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323215</wp:posOffset>
            </wp:positionV>
            <wp:extent cx="630110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1105" cy="317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386715</wp:posOffset>
            </wp:positionV>
            <wp:extent cx="63011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11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440"/>
        <w:spacing w:after="0"/>
        <w:rPr>
          <w:sz w:val="20"/>
          <w:szCs w:val="20"/>
          <w:color w:val="auto"/>
        </w:rPr>
      </w:pPr>
      <w:r>
        <w:rPr>
          <w:rFonts w:ascii="Arial" w:cs="Arial" w:eastAsia="Arial" w:hAnsi="Arial"/>
          <w:sz w:val="30"/>
          <w:szCs w:val="30"/>
          <w:b w:val="1"/>
          <w:bCs w:val="1"/>
          <w:color w:val="auto"/>
        </w:rPr>
        <w:t>UNITED STATES</w:t>
      </w:r>
    </w:p>
    <w:p>
      <w:pPr>
        <w:spacing w:after="0" w:line="35" w:lineRule="exact"/>
        <w:rPr>
          <w:sz w:val="24"/>
          <w:szCs w:val="24"/>
          <w:color w:val="auto"/>
        </w:rPr>
      </w:pPr>
    </w:p>
    <w:p>
      <w:pPr>
        <w:jc w:val="center"/>
        <w:ind w:right="-44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390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127635</wp:posOffset>
            </wp:positionV>
            <wp:extent cx="15716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351" w:lineRule="exact"/>
        <w:rPr>
          <w:sz w:val="24"/>
          <w:szCs w:val="24"/>
          <w:color w:val="auto"/>
        </w:rPr>
      </w:pPr>
    </w:p>
    <w:p>
      <w:pPr>
        <w:jc w:val="center"/>
        <w:ind w:right="-440"/>
        <w:spacing w:after="0"/>
        <w:rPr>
          <w:sz w:val="20"/>
          <w:szCs w:val="20"/>
          <w:color w:val="auto"/>
        </w:rPr>
      </w:pPr>
      <w:r>
        <w:rPr>
          <w:rFonts w:ascii="Arial" w:cs="Arial" w:eastAsia="Arial" w:hAnsi="Arial"/>
          <w:sz w:val="27"/>
          <w:szCs w:val="27"/>
          <w:b w:val="1"/>
          <w:bCs w:val="1"/>
          <w:color w:val="auto"/>
        </w:rPr>
        <w:t>SCHEDULE 14A</w:t>
      </w:r>
    </w:p>
    <w:p>
      <w:pPr>
        <w:spacing w:after="0" w:line="33" w:lineRule="exact"/>
        <w:rPr>
          <w:sz w:val="24"/>
          <w:szCs w:val="24"/>
          <w:color w:val="auto"/>
        </w:rPr>
      </w:pPr>
    </w:p>
    <w:p>
      <w:pPr>
        <w:jc w:val="center"/>
        <w:ind w:right="-440"/>
        <w:spacing w:after="0"/>
        <w:rPr>
          <w:sz w:val="20"/>
          <w:szCs w:val="20"/>
          <w:color w:val="auto"/>
        </w:rPr>
      </w:pPr>
      <w:r>
        <w:rPr>
          <w:rFonts w:ascii="Arial" w:cs="Arial" w:eastAsia="Arial" w:hAnsi="Arial"/>
          <w:sz w:val="23"/>
          <w:szCs w:val="23"/>
          <w:b w:val="1"/>
          <w:bCs w:val="1"/>
          <w:color w:val="auto"/>
        </w:rPr>
        <w:t>(RULE 14a-101)</w:t>
      </w:r>
    </w:p>
    <w:p>
      <w:pPr>
        <w:spacing w:after="0" w:line="83"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15" w:lineRule="exact"/>
        <w:rPr>
          <w:sz w:val="24"/>
          <w:szCs w:val="24"/>
          <w:color w:val="auto"/>
        </w:rPr>
      </w:pPr>
    </w:p>
    <w:p>
      <w:pPr>
        <w:jc w:val="center"/>
        <w:ind w:right="-440"/>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2366645</wp:posOffset>
            </wp:positionH>
            <wp:positionV relativeFrom="paragraph">
              <wp:posOffset>127635</wp:posOffset>
            </wp:positionV>
            <wp:extent cx="15716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1625" cy="762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spacing w:after="0" w:line="196" w:lineRule="exact"/>
        <w:tabs>
          <w:tab w:leader="none" w:pos="250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3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92" w:lineRule="exact"/>
        <w:rPr>
          <w:sz w:val="24"/>
          <w:szCs w:val="24"/>
          <w:color w:val="auto"/>
        </w:rPr>
      </w:pPr>
    </w:p>
    <w:p>
      <w:pPr>
        <w:ind w:left="400" w:hanging="399"/>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204" w:lineRule="exact"/>
        <w:rPr>
          <w:sz w:val="24"/>
          <w:szCs w:val="24"/>
          <w:color w:val="auto"/>
        </w:rPr>
      </w:pPr>
    </w:p>
    <w:p>
      <w:pPr>
        <w:ind w:left="400" w:hanging="399"/>
        <w:spacing w:after="0"/>
        <w:tabs>
          <w:tab w:leader="none" w:pos="4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204" w:lineRule="exact"/>
        <w:rPr>
          <w:rFonts w:ascii="MS PGothic" w:cs="MS PGothic" w:eastAsia="MS PGothic" w:hAnsi="MS PGothic"/>
          <w:sz w:val="17"/>
          <w:szCs w:val="17"/>
          <w:color w:val="auto"/>
        </w:rPr>
      </w:pPr>
    </w:p>
    <w:p>
      <w:pPr>
        <w:ind w:left="400" w:hanging="399"/>
        <w:spacing w:after="0"/>
        <w:tabs>
          <w:tab w:leader="none" w:pos="4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04" w:lineRule="exact"/>
        <w:rPr>
          <w:rFonts w:ascii="MS PGothic" w:cs="MS PGothic" w:eastAsia="MS PGothic" w:hAnsi="MS PGothic"/>
          <w:sz w:val="17"/>
          <w:szCs w:val="17"/>
          <w:color w:val="auto"/>
        </w:rPr>
      </w:pPr>
    </w:p>
    <w:p>
      <w:pPr>
        <w:ind w:left="400" w:hanging="399"/>
        <w:spacing w:after="0"/>
        <w:tabs>
          <w:tab w:leader="none" w:pos="4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04" w:lineRule="exact"/>
        <w:rPr>
          <w:rFonts w:ascii="MS PGothic" w:cs="MS PGothic" w:eastAsia="MS PGothic" w:hAnsi="MS PGothic"/>
          <w:sz w:val="17"/>
          <w:szCs w:val="17"/>
          <w:color w:val="auto"/>
        </w:rPr>
      </w:pPr>
    </w:p>
    <w:p>
      <w:pPr>
        <w:ind w:left="400" w:hanging="399"/>
        <w:spacing w:after="0"/>
        <w:tabs>
          <w:tab w:leader="none" w:pos="40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Sec.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2787015</wp:posOffset>
            </wp:positionH>
            <wp:positionV relativeFrom="paragraph">
              <wp:posOffset>140335</wp:posOffset>
            </wp:positionV>
            <wp:extent cx="730250" cy="340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0250" cy="3409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700"/>
        <w:spacing w:after="0"/>
        <w:rPr>
          <w:sz w:val="20"/>
          <w:szCs w:val="20"/>
          <w:color w:val="auto"/>
        </w:rPr>
      </w:pPr>
      <w:r>
        <w:rPr>
          <w:rFonts w:ascii="Arial" w:cs="Arial" w:eastAsia="Arial" w:hAnsi="Arial"/>
          <w:sz w:val="30"/>
          <w:szCs w:val="30"/>
          <w:b w:val="1"/>
          <w:bCs w:val="1"/>
          <w:color w:val="auto"/>
        </w:rPr>
        <w:t>CECO ENVIRONMENTAL CORP.</w:t>
      </w:r>
    </w:p>
    <w:p>
      <w:pPr>
        <w:spacing w:after="0" w:line="25" w:lineRule="exact"/>
        <w:rPr>
          <w:sz w:val="24"/>
          <w:szCs w:val="24"/>
          <w:color w:val="auto"/>
        </w:rPr>
      </w:pPr>
    </w:p>
    <w:p>
      <w:pPr>
        <w:ind w:left="2720"/>
        <w:spacing w:after="0"/>
        <w:rPr>
          <w:sz w:val="20"/>
          <w:szCs w:val="20"/>
          <w:color w:val="auto"/>
        </w:rPr>
      </w:pPr>
      <w:r>
        <w:rPr>
          <w:rFonts w:ascii="Arial" w:cs="Arial" w:eastAsia="Arial" w:hAnsi="Arial"/>
          <w:sz w:val="20"/>
          <w:szCs w:val="20"/>
          <w:b w:val="1"/>
          <w:bCs w:val="1"/>
          <w:color w:val="auto"/>
        </w:rPr>
        <w:t>(Name of Registrant as Specified in Its Charter)</w:t>
      </w:r>
    </w:p>
    <w:p>
      <w:pPr>
        <w:spacing w:after="0" w:line="193" w:lineRule="exact"/>
        <w:rPr>
          <w:sz w:val="24"/>
          <w:szCs w:val="24"/>
          <w:color w:val="auto"/>
        </w:rPr>
      </w:pPr>
    </w:p>
    <w:p>
      <w:pPr>
        <w:ind w:left="2820"/>
        <w:spacing w:after="0"/>
        <w:rPr>
          <w:sz w:val="20"/>
          <w:szCs w:val="20"/>
          <w:color w:val="auto"/>
        </w:rPr>
      </w:pPr>
      <w:r>
        <w:rPr>
          <w:rFonts w:ascii="Arial" w:cs="Arial" w:eastAsia="Arial" w:hAnsi="Arial"/>
          <w:sz w:val="13"/>
          <w:szCs w:val="13"/>
          <w:b w:val="1"/>
          <w:bCs w:val="1"/>
          <w:color w:val="auto"/>
        </w:rPr>
        <w:t>(Name of Person(s) Filing Proxy Statement, if other than Registrant)</w:t>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192" w:lineRule="exact"/>
        <w:rPr>
          <w:sz w:val="24"/>
          <w:szCs w:val="24"/>
          <w:color w:val="auto"/>
        </w:rPr>
      </w:pPr>
    </w:p>
    <w:p>
      <w:pPr>
        <w:ind w:left="400" w:hanging="399"/>
        <w:spacing w:after="0"/>
        <w:tabs>
          <w:tab w:leader="none" w:pos="4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04" w:lineRule="exact"/>
        <w:rPr>
          <w:sz w:val="24"/>
          <w:szCs w:val="24"/>
          <w:color w:val="auto"/>
        </w:rPr>
      </w:pPr>
    </w:p>
    <w:p>
      <w:pPr>
        <w:ind w:left="400" w:hanging="399"/>
        <w:spacing w:after="0"/>
        <w:tabs>
          <w:tab w:leader="none" w:pos="4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204" w:lineRule="exact"/>
        <w:rPr>
          <w:rFonts w:ascii="MS PGothic" w:cs="MS PGothic" w:eastAsia="MS PGothic" w:hAnsi="MS PGothic"/>
          <w:sz w:val="17"/>
          <w:szCs w:val="17"/>
          <w:color w:val="auto"/>
        </w:rPr>
      </w:pPr>
    </w:p>
    <w:p>
      <w:pPr>
        <w:ind w:left="400" w:hanging="399"/>
        <w:spacing w:after="0"/>
        <w:tabs>
          <w:tab w:leader="none" w:pos="40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640715</wp:posOffset>
            </wp:positionV>
            <wp:extent cx="630110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1105" cy="158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132715</wp:posOffset>
            </wp:positionV>
            <wp:extent cx="630110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110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172085</wp:posOffset>
            </wp:positionV>
            <wp:extent cx="6301105" cy="31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1105" cy="31750"/>
                    </a:xfrm>
                    <a:prstGeom prst="rect">
                      <a:avLst/>
                    </a:prstGeom>
                    <a:noFill/>
                  </pic:spPr>
                </pic:pic>
              </a:graphicData>
            </a:graphic>
          </wp:anchor>
        </w:drawing>
      </w:r>
    </w:p>
    <w:p>
      <w:pPr>
        <w:sectPr>
          <w:pgSz w:w="11900" w:h="16838" w:orient="portrait"/>
          <w:cols w:equalWidth="0" w:num="1">
            <w:col w:w="9479"/>
          </w:cols>
          <w:pgMar w:left="980" w:top="62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April __,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1206500" cy="508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6500" cy="508000"/>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3C578C"/>
        </w:rPr>
        <w:t>Jason DeZwirek</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66040</wp:posOffset>
            </wp:positionV>
            <wp:extent cx="975995" cy="317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5995" cy="317500"/>
                    </a:xfrm>
                    <a:prstGeom prst="rect">
                      <a:avLst/>
                    </a:prstGeom>
                    <a:noFill/>
                  </pic:spPr>
                </pic:pic>
              </a:graphicData>
            </a:graphic>
          </wp:anchor>
        </w:drawing>
        <w:drawing>
          <wp:anchor simplePos="0" relativeHeight="251657728" behindDoc="1" locked="0" layoutInCell="0" allowOverlap="1">
            <wp:simplePos x="0" y="0"/>
            <wp:positionH relativeFrom="column">
              <wp:posOffset>112395</wp:posOffset>
            </wp:positionH>
            <wp:positionV relativeFrom="paragraph">
              <wp:posOffset>1002665</wp:posOffset>
            </wp:positionV>
            <wp:extent cx="1063625" cy="10636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3625" cy="106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3C578C"/>
        </w:rPr>
        <w:t>Todd Gleason</w:t>
      </w:r>
    </w:p>
    <w:p>
      <w:pPr>
        <w:spacing w:after="0" w:line="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2540</wp:posOffset>
            </wp:positionV>
            <wp:extent cx="1261745" cy="277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61745" cy="277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b w:val="1"/>
          <w:bCs w:val="1"/>
          <w:color w:val="3C578C"/>
        </w:rPr>
        <w:t>Dear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-148590</wp:posOffset>
            </wp:positionV>
            <wp:extent cx="31750" cy="5579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750" cy="5579110"/>
                    </a:xfrm>
                    <a:prstGeom prst="rect">
                      <a:avLst/>
                    </a:prstGeom>
                    <a:noFill/>
                  </pic:spPr>
                </pic:pic>
              </a:graphicData>
            </a:graphic>
          </wp:anchor>
        </w:drawing>
      </w:r>
    </w:p>
    <w:p>
      <w:pPr>
        <w:spacing w:after="0" w:line="195" w:lineRule="exact"/>
        <w:rPr>
          <w:sz w:val="20"/>
          <w:szCs w:val="20"/>
          <w:color w:val="auto"/>
        </w:rPr>
      </w:pPr>
    </w:p>
    <w:p>
      <w:pPr>
        <w:spacing w:after="0" w:line="247" w:lineRule="auto"/>
        <w:rPr>
          <w:sz w:val="20"/>
          <w:szCs w:val="20"/>
          <w:color w:val="auto"/>
        </w:rPr>
      </w:pPr>
      <w:r>
        <w:rPr>
          <w:rFonts w:ascii="Arial" w:cs="Arial" w:eastAsia="Arial" w:hAnsi="Arial"/>
          <w:sz w:val="15"/>
          <w:szCs w:val="15"/>
          <w:color w:val="auto"/>
        </w:rPr>
        <w:t>We are pleased to invite you to attend CECO Environmental Corp.’s (“CECO” or the “Company”) Annual Meeting of Stockholders at 8:00 a.m. Central Time on Monday, May 20, 2024 to be held solely through virtual participation via webcast at www.virtualshareholdermeeting.com/CECO2024 (the “Annual Meeting”). We continue to embrace the latest technology to provide expanded access, improved communication, and cost savings. We believe hosting a virtual meeting enables increased stockholder attendance and participation from locations around the world. Stockholders attending the virtual meeting will be afforded the same rights and opportunities to participate as they would at an in-person meeting. Further information on attending, voting, and submitting questions at the Annual Meeting is included in the accompanying Notice of Annual Meeting and Proxy Statement.</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3C578C"/>
        </w:rPr>
        <w:t>Our Board supported the tremendous progress achieved in 2023</w:t>
      </w:r>
    </w:p>
    <w:p>
      <w:pPr>
        <w:spacing w:after="0" w:line="102" w:lineRule="exact"/>
        <w:rPr>
          <w:sz w:val="20"/>
          <w:szCs w:val="20"/>
          <w:color w:val="auto"/>
        </w:rPr>
      </w:pPr>
    </w:p>
    <w:p>
      <w:pPr>
        <w:spacing w:after="0" w:line="250" w:lineRule="auto"/>
        <w:rPr>
          <w:sz w:val="20"/>
          <w:szCs w:val="20"/>
          <w:color w:val="auto"/>
        </w:rPr>
      </w:pPr>
      <w:r>
        <w:rPr>
          <w:rFonts w:ascii="Arial" w:cs="Arial" w:eastAsia="Arial" w:hAnsi="Arial"/>
          <w:sz w:val="15"/>
          <w:szCs w:val="15"/>
          <w:color w:val="auto"/>
        </w:rPr>
        <w:t>The Company achieved numerous financial records including the highest revenues in our history, as well as record bookings and backlog levels. Additionally, we continued to put in place more resources to support our global expansion and to sustain our performance. The result for our stockholders was a share price that once again greatly outperformed our industrial peer group and the broader stock market. We remain committed to creating stockholder value and ensuring our performance reflects the growth opportunities that we believe exist in the global marketplace.</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3C578C"/>
        </w:rPr>
        <w:t>Our Board is highly engaged in our enterprise strategy and business transformation</w:t>
      </w:r>
    </w:p>
    <w:p>
      <w:pPr>
        <w:spacing w:after="0" w:line="102" w:lineRule="exact"/>
        <w:rPr>
          <w:sz w:val="20"/>
          <w:szCs w:val="20"/>
          <w:color w:val="auto"/>
        </w:rPr>
      </w:pPr>
    </w:p>
    <w:p>
      <w:pPr>
        <w:ind w:right="40"/>
        <w:spacing w:after="0" w:line="250" w:lineRule="auto"/>
        <w:rPr>
          <w:sz w:val="20"/>
          <w:szCs w:val="20"/>
          <w:color w:val="auto"/>
        </w:rPr>
      </w:pPr>
      <w:r>
        <w:rPr>
          <w:rFonts w:ascii="Arial" w:cs="Arial" w:eastAsia="Arial" w:hAnsi="Arial"/>
          <w:sz w:val="15"/>
          <w:szCs w:val="15"/>
          <w:color w:val="auto"/>
        </w:rPr>
        <w:t>CECO has a focused growth strategy to advance in Industrial Air, Industrial Water and Energy Transition. To maximize the Company’s leadership, the Board established an M&amp;A Committee to work closely with management and develop a robust pipeline of strategic transactions. In 2023, we closed three strategic acquisitions, expanding our international market leadership. The Company enters 2024 with a very balanced portfolio and stronger leadership positions in niche industries that we believe have attractive longer term growth profiles.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color w:val="3C578C"/>
        </w:rPr>
        <w:t>Our Board is adding more expertise</w:t>
      </w:r>
    </w:p>
    <w:p>
      <w:pPr>
        <w:spacing w:after="0" w:line="102"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We believe our directors bring a well-rounded variety of diversity, skills, qualifications, and experiences, and represent an effective mix of Company knowledge and fresh perspectives. In September 2023, we announced the appointment of Laurie Siegel to the CECO Board of Directors. Laurie brings to the Company substantial experience as a human resources executive with large global enterprises as well as substantial public company board experience.</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Your vote is important to us, regardless of whether you plan to participate virtually during the Annual Meeting.</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We have included voting instructions within these materials and request that you vote as soon as possible.</w:t>
      </w:r>
    </w:p>
    <w:p>
      <w:pPr>
        <w:spacing w:after="0" w:line="88"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On behalf of our entire Board of Directors, we thank you for your continued ownership and support of CECO Environmental Corp. and our mission to protect people, the environment and industrial equipment.</w:t>
      </w:r>
    </w:p>
    <w:p>
      <w:pPr>
        <w:spacing w:after="0" w:line="150"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b w:val="1"/>
          <w:bCs w:val="1"/>
          <w:color w:val="auto"/>
        </w:rPr>
        <w:t>THESE PROXY SOLICITATION MATERIALS AND CECO ENVIRONMENTAL CORP.’S ANNUAL REPORT TO STOCKHOLDERS FOR THE YEAR ENDED DECEMBER 31, 2023, INCLUDING THE RELATED FINANCIAL STATEMENTS, WERE FIRST MADE AVAILABLE TO STOCKHOLDERS ON OR ABOUT APRIL __,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-1712595</wp:posOffset>
            </wp:positionH>
            <wp:positionV relativeFrom="paragraph">
              <wp:posOffset>1068705</wp:posOffset>
            </wp:positionV>
            <wp:extent cx="6301105"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2">
            <w:col w:w="2000" w:space="700"/>
            <w:col w:w="7220"/>
          </w:cols>
          <w:pgMar w:left="980" w:top="485" w:right="9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33"/>
          <w:szCs w:val="33"/>
          <w:b w:val="1"/>
          <w:bCs w:val="1"/>
          <w:color w:val="3C578C"/>
        </w:rPr>
        <w:t>CECO ENVIRONMENTAL CORP.</w:t>
      </w:r>
    </w:p>
    <w:p>
      <w:pPr>
        <w:spacing w:after="0" w:line="108" w:lineRule="exact"/>
        <w:rPr>
          <w:sz w:val="20"/>
          <w:szCs w:val="20"/>
          <w:color w:val="auto"/>
        </w:rPr>
      </w:pPr>
    </w:p>
    <w:p>
      <w:pPr>
        <w:spacing w:after="0"/>
        <w:rPr>
          <w:sz w:val="20"/>
          <w:szCs w:val="20"/>
          <w:color w:val="auto"/>
        </w:rPr>
      </w:pPr>
      <w:r>
        <w:rPr>
          <w:rFonts w:ascii="Arial" w:cs="Arial" w:eastAsia="Arial" w:hAnsi="Arial"/>
          <w:sz w:val="33"/>
          <w:szCs w:val="33"/>
          <w:b w:val="1"/>
          <w:bCs w:val="1"/>
          <w:color w:val="3C578C"/>
        </w:rPr>
        <w:t>NOTICE OF 2024 ANNUAL MEETING OF STOCKHOLDERS</w:t>
      </w:r>
    </w:p>
    <w:p>
      <w:pPr>
        <w:sectPr>
          <w:pgSz w:w="11900" w:h="16838" w:orient="portrait"/>
          <w:cols w:equalWidth="0" w:num="1">
            <w:col w:w="9900"/>
          </w:cols>
          <w:pgMar w:left="980" w:top="485" w:right="101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1B657"/>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-358775</wp:posOffset>
            </wp:positionV>
            <wp:extent cx="2602865" cy="6436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2865" cy="6436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7"/>
          <w:szCs w:val="17"/>
          <w:color w:val="3C578C"/>
        </w:rPr>
        <w:t>Monday, May 20, 2024</w:t>
      </w:r>
    </w:p>
    <w:p>
      <w:pPr>
        <w:spacing w:after="0" w:line="18" w:lineRule="exact"/>
        <w:rPr>
          <w:sz w:val="20"/>
          <w:szCs w:val="20"/>
          <w:color w:val="auto"/>
        </w:rPr>
      </w:pPr>
    </w:p>
    <w:p>
      <w:pPr>
        <w:ind w:left="340"/>
        <w:spacing w:after="0"/>
        <w:rPr>
          <w:sz w:val="20"/>
          <w:szCs w:val="20"/>
          <w:color w:val="auto"/>
        </w:rPr>
      </w:pPr>
      <w:r>
        <w:rPr>
          <w:rFonts w:ascii="Arial" w:cs="Arial" w:eastAsia="Arial" w:hAnsi="Arial"/>
          <w:sz w:val="58"/>
          <w:szCs w:val="58"/>
          <w:color w:val="3C578C"/>
        </w:rPr>
        <w:t xml:space="preserve">8AM </w:t>
      </w:r>
      <w:r>
        <w:rPr>
          <w:rFonts w:ascii="Arial" w:cs="Arial" w:eastAsia="Arial" w:hAnsi="Arial"/>
          <w:sz w:val="16"/>
          <w:szCs w:val="16"/>
          <w:color w:val="3C578C"/>
        </w:rPr>
        <w:t>(CT)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17"/>
          <w:szCs w:val="17"/>
          <w:color w:val="3C578C"/>
        </w:rPr>
        <w:t>Via live audio webcast, please visit:</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6"/>
          <w:szCs w:val="16"/>
          <w:color w:val="3C578C"/>
        </w:rPr>
        <w:t>www.virtualshareholdermeeting.com/CECO2024</w:t>
      </w:r>
    </w:p>
    <w:p>
      <w:pPr>
        <w:spacing w:after="0" w:line="200" w:lineRule="exact"/>
        <w:rPr>
          <w:sz w:val="20"/>
          <w:szCs w:val="20"/>
          <w:color w:val="auto"/>
        </w:rPr>
      </w:pPr>
    </w:p>
    <w:p>
      <w:pPr>
        <w:spacing w:after="0" w:line="362" w:lineRule="exact"/>
        <w:rPr>
          <w:sz w:val="20"/>
          <w:szCs w:val="20"/>
          <w:color w:val="auto"/>
        </w:rPr>
      </w:pPr>
    </w:p>
    <w:p>
      <w:pPr>
        <w:ind w:left="340"/>
        <w:spacing w:after="0"/>
        <w:rPr>
          <w:sz w:val="20"/>
          <w:szCs w:val="20"/>
          <w:color w:val="auto"/>
        </w:rPr>
      </w:pPr>
      <w:r>
        <w:rPr>
          <w:rFonts w:ascii="Arial" w:cs="Arial" w:eastAsia="Arial" w:hAnsi="Arial"/>
          <w:sz w:val="17"/>
          <w:szCs w:val="17"/>
          <w:color w:val="A1B657"/>
        </w:rPr>
        <w:t>WHO MAY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line="281" w:lineRule="auto"/>
        <w:rPr>
          <w:sz w:val="20"/>
          <w:szCs w:val="20"/>
          <w:color w:val="auto"/>
        </w:rPr>
      </w:pPr>
      <w:r>
        <w:rPr>
          <w:rFonts w:ascii="Arial" w:cs="Arial" w:eastAsia="Arial" w:hAnsi="Arial"/>
          <w:sz w:val="13"/>
          <w:szCs w:val="13"/>
          <w:color w:val="3C578C"/>
        </w:rPr>
        <w:t>Stockholders of record at the close of business on March 25, 2024.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8"/>
        <w:spacing w:after="0" w:line="244" w:lineRule="auto"/>
        <w:rPr>
          <w:sz w:val="20"/>
          <w:szCs w:val="20"/>
          <w:color w:val="auto"/>
        </w:rPr>
      </w:pPr>
      <w:r>
        <w:rPr>
          <w:rFonts w:ascii="Arial" w:cs="Arial" w:eastAsia="Arial" w:hAnsi="Arial"/>
          <w:sz w:val="15"/>
          <w:szCs w:val="15"/>
          <w:color w:val="auto"/>
        </w:rPr>
        <w:t>We are taking advantage of the Securities and Exchange Commission ("SEC") rules allowing us to furnish proxy materials to stockholders on the internet. We believe that this method of delivery is more efficient and reduces the environmental impact of our Annual Meeting. Accordingly, we are mailing to stockholders a Notice of Internet Availability of Proxy Materials containing instructions on how to access and review our proxy materials, and to vote online. The proxy materials consist of: (1) this Notice of 2024 Annual Meeting of Stockholders; (2) the Proxy Statement for the Annual Meeting (the “Proxy Statement”); and (3) the CECO Environmental Corp. 2023 Annual Report to Stockholders. If you would like to receive a paper copy of our proxy materials, please follow the instructions for requesting these materials in the Notice of Internet Availability of Proxy Materials or in the Proxy Statement. This Proxy Statement is furnished in connection with the solicitation by the Board of Directors of CECO Environmental Corp., a Delaware corporation (“we,” “us,” “our,” or the “Company”), of proxies to be voted at the Annual Meeting to be held via webcast at 8:00 a.m., Central Time, on May 20, 2024, or any postponement or adjournment thereof.</w:t>
      </w:r>
    </w:p>
    <w:p>
      <w:pPr>
        <w:spacing w:after="0" w:line="5" w:lineRule="exact"/>
        <w:rPr>
          <w:sz w:val="20"/>
          <w:szCs w:val="20"/>
          <w:color w:val="auto"/>
        </w:rPr>
      </w:pPr>
    </w:p>
    <w:p>
      <w:pPr>
        <w:ind w:left="8" w:right="320"/>
        <w:spacing w:after="0" w:line="300" w:lineRule="auto"/>
        <w:rPr>
          <w:sz w:val="20"/>
          <w:szCs w:val="20"/>
          <w:color w:val="auto"/>
        </w:rPr>
      </w:pPr>
      <w:r>
        <w:rPr>
          <w:rFonts w:ascii="Arial" w:cs="Arial" w:eastAsia="Arial" w:hAnsi="Arial"/>
          <w:sz w:val="14"/>
          <w:szCs w:val="14"/>
          <w:color w:val="auto"/>
        </w:rPr>
        <w:t>For more information about the Annual Meeting, please refer to the “Additional Information About the Annual Meeting” section found within the proxy statement.</w:t>
      </w:r>
    </w:p>
    <w:p>
      <w:pPr>
        <w:ind w:left="488" w:hanging="488"/>
        <w:spacing w:after="0" w:line="233" w:lineRule="auto"/>
        <w:tabs>
          <w:tab w:leader="none" w:pos="488" w:val="left"/>
        </w:tabs>
        <w:numPr>
          <w:ilvl w:val="0"/>
          <w:numId w:val="5"/>
        </w:numPr>
        <w:rPr>
          <w:rFonts w:ascii="Arial" w:cs="Arial" w:eastAsia="Arial" w:hAnsi="Arial"/>
          <w:sz w:val="60"/>
          <w:szCs w:val="60"/>
          <w:color w:val="3C578C"/>
        </w:rPr>
      </w:pPr>
      <w:r>
        <w:rPr>
          <w:rFonts w:ascii="Arial" w:cs="Arial" w:eastAsia="Arial" w:hAnsi="Arial"/>
          <w:sz w:val="15"/>
          <w:szCs w:val="15"/>
          <w:color w:val="auto"/>
        </w:rPr>
        <w:t>To elect eight directors for a one-year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-393065</wp:posOffset>
            </wp:positionV>
            <wp:extent cx="360299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02990" cy="15875"/>
                    </a:xfrm>
                    <a:prstGeom prst="rect">
                      <a:avLst/>
                    </a:prstGeom>
                    <a:noFill/>
                  </pic:spPr>
                </pic:pic>
              </a:graphicData>
            </a:graphic>
          </wp:anchor>
        </w:drawing>
      </w:r>
    </w:p>
    <w:p>
      <w:pPr>
        <w:ind w:left="488" w:hanging="488"/>
        <w:spacing w:after="0"/>
        <w:tabs>
          <w:tab w:leader="none" w:pos="488" w:val="left"/>
        </w:tabs>
        <w:numPr>
          <w:ilvl w:val="0"/>
          <w:numId w:val="6"/>
        </w:numPr>
        <w:rPr>
          <w:rFonts w:ascii="Arial" w:cs="Arial" w:eastAsia="Arial" w:hAnsi="Arial"/>
          <w:sz w:val="60"/>
          <w:szCs w:val="60"/>
          <w:color w:val="3C578C"/>
        </w:rPr>
      </w:pPr>
      <w:r>
        <w:rPr>
          <w:rFonts w:ascii="Arial" w:cs="Arial" w:eastAsia="Arial" w:hAnsi="Arial"/>
          <w:sz w:val="15"/>
          <w:szCs w:val="15"/>
          <w:color w:val="auto"/>
        </w:rPr>
        <w:t>To approve the proposed amendment to the Company’s Certificate of</w:t>
      </w:r>
    </w:p>
    <w:p>
      <w:pPr>
        <w:spacing w:after="0" w:line="91" w:lineRule="exact"/>
        <w:rPr>
          <w:sz w:val="20"/>
          <w:szCs w:val="20"/>
          <w:color w:val="auto"/>
        </w:rPr>
      </w:pPr>
    </w:p>
    <w:p>
      <w:pPr>
        <w:ind w:left="608" w:right="440"/>
        <w:spacing w:after="0" w:line="247" w:lineRule="auto"/>
        <w:rPr>
          <w:sz w:val="20"/>
          <w:szCs w:val="20"/>
          <w:color w:val="auto"/>
        </w:rPr>
      </w:pPr>
      <w:r>
        <w:rPr>
          <w:rFonts w:ascii="Arial" w:cs="Arial" w:eastAsia="Arial" w:hAnsi="Arial"/>
          <w:sz w:val="15"/>
          <w:szCs w:val="15"/>
          <w:color w:val="auto"/>
        </w:rPr>
        <w:t>Incorporation to incorporate Delaware law provisions regarding officer exculpation.</w:t>
      </w:r>
    </w:p>
    <w:p>
      <w:pPr>
        <w:spacing w:after="0" w:line="393" w:lineRule="exact"/>
        <w:rPr>
          <w:sz w:val="20"/>
          <w:szCs w:val="20"/>
          <w:color w:val="auto"/>
        </w:rPr>
      </w:pPr>
    </w:p>
    <w:p>
      <w:pPr>
        <w:ind w:left="608" w:right="140" w:hanging="608"/>
        <w:spacing w:after="0" w:line="222" w:lineRule="auto"/>
        <w:tabs>
          <w:tab w:leader="none" w:pos="464" w:val="left"/>
        </w:tabs>
        <w:numPr>
          <w:ilvl w:val="0"/>
          <w:numId w:val="7"/>
        </w:numPr>
        <w:rPr>
          <w:rFonts w:ascii="Arial" w:cs="Arial" w:eastAsia="Arial" w:hAnsi="Arial"/>
          <w:sz w:val="44"/>
          <w:szCs w:val="44"/>
          <w:color w:val="3C578C"/>
        </w:rPr>
      </w:pPr>
      <w:r>
        <w:rPr>
          <w:rFonts w:ascii="Arial" w:cs="Arial" w:eastAsia="Arial" w:hAnsi="Arial"/>
          <w:sz w:val="13"/>
          <w:szCs w:val="13"/>
          <w:color w:val="auto"/>
        </w:rPr>
        <w:t>To approve, on an advisory basis, the compensation of our named executive officers.</w:t>
      </w:r>
    </w:p>
    <w:p>
      <w:pPr>
        <w:spacing w:after="0" w:line="394" w:lineRule="exact"/>
        <w:rPr>
          <w:sz w:val="20"/>
          <w:szCs w:val="20"/>
          <w:color w:val="auto"/>
        </w:rPr>
      </w:pPr>
    </w:p>
    <w:p>
      <w:pPr>
        <w:ind w:left="608" w:right="320" w:hanging="608"/>
        <w:spacing w:after="0" w:line="181" w:lineRule="auto"/>
        <w:tabs>
          <w:tab w:leader="none" w:pos="506" w:val="left"/>
        </w:tabs>
        <w:numPr>
          <w:ilvl w:val="0"/>
          <w:numId w:val="8"/>
        </w:numPr>
        <w:rPr>
          <w:rFonts w:ascii="Arial" w:cs="Arial" w:eastAsia="Arial" w:hAnsi="Arial"/>
          <w:sz w:val="41"/>
          <w:szCs w:val="41"/>
          <w:color w:val="3C578C"/>
        </w:rPr>
      </w:pPr>
      <w:r>
        <w:rPr>
          <w:rFonts w:ascii="Arial" w:cs="Arial" w:eastAsia="Arial" w:hAnsi="Arial"/>
          <w:sz w:val="13"/>
          <w:szCs w:val="13"/>
          <w:color w:val="auto"/>
        </w:rPr>
        <w:t>To ratify the appointment of BDO USA, P.C. (f/k/a BDO USA, LLP) as our independent registered public accounting firm for 2024.</w:t>
      </w:r>
    </w:p>
    <w:p>
      <w:pPr>
        <w:ind w:left="488" w:hanging="488"/>
        <w:spacing w:after="0" w:line="205" w:lineRule="auto"/>
        <w:tabs>
          <w:tab w:leader="none" w:pos="488" w:val="left"/>
        </w:tabs>
        <w:numPr>
          <w:ilvl w:val="0"/>
          <w:numId w:val="9"/>
        </w:numPr>
        <w:rPr>
          <w:rFonts w:ascii="Arial" w:cs="Arial" w:eastAsia="Arial" w:hAnsi="Arial"/>
          <w:sz w:val="60"/>
          <w:szCs w:val="60"/>
          <w:color w:val="3C578C"/>
        </w:rPr>
      </w:pPr>
      <w:r>
        <w:rPr>
          <w:rFonts w:ascii="Arial" w:cs="Arial" w:eastAsia="Arial" w:hAnsi="Arial"/>
          <w:sz w:val="15"/>
          <w:szCs w:val="15"/>
          <w:color w:val="auto"/>
        </w:rPr>
        <w:t>To transact such other business as may properly come before the meeting or</w:t>
      </w:r>
    </w:p>
    <w:p>
      <w:pPr>
        <w:spacing w:after="0" w:line="91" w:lineRule="exact"/>
        <w:rPr>
          <w:sz w:val="20"/>
          <w:szCs w:val="20"/>
          <w:color w:val="auto"/>
        </w:rPr>
      </w:pPr>
    </w:p>
    <w:p>
      <w:pPr>
        <w:ind w:left="608"/>
        <w:spacing w:after="0"/>
        <w:rPr>
          <w:sz w:val="20"/>
          <w:szCs w:val="20"/>
          <w:color w:val="auto"/>
        </w:rPr>
      </w:pPr>
      <w:r>
        <w:rPr>
          <w:rFonts w:ascii="Arial" w:cs="Arial" w:eastAsia="Arial" w:hAnsi="Arial"/>
          <w:sz w:val="15"/>
          <w:szCs w:val="15"/>
          <w:color w:val="auto"/>
        </w:rPr>
        <w:t>any postponements or adjournments thereof</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6029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2990" cy="7620"/>
                    </a:xfrm>
                    <a:prstGeom prst="rect">
                      <a:avLst/>
                    </a:prstGeom>
                    <a:noFill/>
                  </pic:spPr>
                </pic:pic>
              </a:graphicData>
            </a:graphic>
          </wp:anchor>
        </w:drawing>
      </w:r>
    </w:p>
    <w:p>
      <w:pPr>
        <w:jc w:val="both"/>
        <w:ind w:left="8" w:right="560"/>
        <w:spacing w:after="0" w:line="286" w:lineRule="auto"/>
        <w:rPr>
          <w:sz w:val="20"/>
          <w:szCs w:val="20"/>
          <w:color w:val="auto"/>
        </w:rPr>
      </w:pPr>
      <w:r>
        <w:rPr>
          <w:rFonts w:ascii="Arial" w:cs="Arial" w:eastAsia="Arial" w:hAnsi="Arial"/>
          <w:sz w:val="17"/>
          <w:szCs w:val="17"/>
          <w:color w:val="A1B656"/>
        </w:rPr>
        <w:t xml:space="preserve">Your vote is important to us. </w:t>
      </w:r>
      <w:r>
        <w:rPr>
          <w:rFonts w:ascii="Arial" w:cs="Arial" w:eastAsia="Arial" w:hAnsi="Arial"/>
          <w:sz w:val="14"/>
          <w:szCs w:val="14"/>
          <w:color w:val="221E1F"/>
        </w:rPr>
        <w:t>Whether or not you plan to attend the Annual</w:t>
      </w:r>
      <w:r>
        <w:rPr>
          <w:rFonts w:ascii="Arial" w:cs="Arial" w:eastAsia="Arial" w:hAnsi="Arial"/>
          <w:sz w:val="17"/>
          <w:szCs w:val="17"/>
          <w:color w:val="A1B656"/>
        </w:rPr>
        <w:t xml:space="preserve"> </w:t>
      </w:r>
      <w:r>
        <w:rPr>
          <w:rFonts w:ascii="Arial" w:cs="Arial" w:eastAsia="Arial" w:hAnsi="Arial"/>
          <w:sz w:val="14"/>
          <w:szCs w:val="14"/>
          <w:color w:val="221E1F"/>
        </w:rPr>
        <w:t>Meeting online, we urge you to submit your vote now via the Internet, telephone, or mail. We appreciate your continued support.</w:t>
      </w:r>
    </w:p>
    <w:p>
      <w:pPr>
        <w:spacing w:after="0" w:line="58" w:lineRule="exact"/>
        <w:rPr>
          <w:sz w:val="20"/>
          <w:szCs w:val="20"/>
          <w:color w:val="auto"/>
        </w:rPr>
      </w:pPr>
    </w:p>
    <w:p>
      <w:pPr>
        <w:sectPr>
          <w:pgSz w:w="11900" w:h="16838" w:orient="portrait"/>
          <w:cols w:equalWidth="0" w:num="2">
            <w:col w:w="3920" w:space="332"/>
            <w:col w:w="5648"/>
          </w:cols>
          <w:pgMar w:left="980" w:top="485" w:right="1019" w:bottom="1440" w:gutter="0" w:footer="0" w:header="0"/>
          <w:type w:val="continuous"/>
        </w:sectPr>
      </w:pPr>
    </w:p>
    <w:p>
      <w:pPr>
        <w:spacing w:after="0" w:line="12" w:lineRule="exact"/>
        <w:rPr>
          <w:sz w:val="20"/>
          <w:szCs w:val="20"/>
          <w:color w:val="auto"/>
        </w:rPr>
      </w:pPr>
    </w:p>
    <w:p>
      <w:pPr>
        <w:ind w:left="220" w:right="80"/>
        <w:spacing w:after="0" w:line="265" w:lineRule="auto"/>
        <w:rPr>
          <w:sz w:val="20"/>
          <w:szCs w:val="20"/>
          <w:color w:val="auto"/>
        </w:rPr>
      </w:pPr>
      <w:r>
        <w:rPr>
          <w:rFonts w:ascii="Arial" w:cs="Arial" w:eastAsia="Arial" w:hAnsi="Arial"/>
          <w:sz w:val="13"/>
          <w:szCs w:val="13"/>
          <w:b w:val="1"/>
          <w:bCs w:val="1"/>
          <w:i w:val="1"/>
          <w:iCs w:val="1"/>
          <w:color w:val="auto"/>
        </w:rPr>
        <w:t>Important Notice Regarding the Availability of Proxy Materials for the Stockholder Meeting to Be Held on May 20, 2024</w:t>
      </w:r>
    </w:p>
    <w:p>
      <w:pPr>
        <w:spacing w:after="0" w:line="55" w:lineRule="exact"/>
        <w:rPr>
          <w:sz w:val="20"/>
          <w:szCs w:val="20"/>
          <w:color w:val="auto"/>
        </w:rPr>
      </w:pPr>
    </w:p>
    <w:p>
      <w:pPr>
        <w:ind w:left="220"/>
        <w:spacing w:after="0" w:line="250" w:lineRule="auto"/>
        <w:rPr>
          <w:sz w:val="20"/>
          <w:szCs w:val="20"/>
          <w:color w:val="auto"/>
        </w:rPr>
      </w:pPr>
      <w:r>
        <w:rPr>
          <w:rFonts w:ascii="Arial" w:cs="Arial" w:eastAsia="Arial" w:hAnsi="Arial"/>
          <w:sz w:val="13"/>
          <w:szCs w:val="13"/>
          <w:b w:val="1"/>
          <w:bCs w:val="1"/>
          <w:color w:val="auto"/>
        </w:rPr>
        <w:t>This Proxy Statement and the CECO Environmental Corp. 2023 Annual Report to Stockholders, which includes our Annual Report on Form 10-K, are available at https://investors.cecoenviro.com. The content on any website referred to in this Proxy Statement is not incorporated by reference into this Proxy Statement.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620" w:type="dxa"/>
            <w:vAlign w:val="bottom"/>
            <w:tcBorders>
              <w:right w:val="single" w:sz="8" w:color="auto"/>
            </w:tcBorders>
          </w:tcPr>
          <w:p>
            <w:pPr>
              <w:spacing w:after="0"/>
              <w:rPr>
                <w:sz w:val="20"/>
                <w:szCs w:val="20"/>
                <w:color w:val="auto"/>
              </w:rPr>
            </w:pPr>
            <w:r>
              <w:rPr>
                <w:rFonts w:ascii="Arial" w:cs="Arial" w:eastAsia="Arial" w:hAnsi="Arial"/>
                <w:sz w:val="13"/>
                <w:szCs w:val="13"/>
                <w:b w:val="1"/>
                <w:bCs w:val="1"/>
                <w:color w:val="A1B656"/>
              </w:rPr>
              <w:t>BY INTERNET</w:t>
            </w:r>
          </w:p>
        </w:tc>
        <w:tc>
          <w:tcPr>
            <w:tcW w:w="1320" w:type="dxa"/>
            <w:vAlign w:val="bottom"/>
          </w:tcPr>
          <w:p>
            <w:pPr>
              <w:ind w:left="300"/>
              <w:spacing w:after="0"/>
              <w:rPr>
                <w:sz w:val="20"/>
                <w:szCs w:val="20"/>
                <w:color w:val="auto"/>
              </w:rPr>
            </w:pPr>
            <w:r>
              <w:rPr>
                <w:rFonts w:ascii="Arial" w:cs="Arial" w:eastAsia="Arial" w:hAnsi="Arial"/>
                <w:sz w:val="13"/>
                <w:szCs w:val="13"/>
                <w:b w:val="1"/>
                <w:bCs w:val="1"/>
                <w:color w:val="A1B656"/>
                <w:w w:val="98"/>
              </w:rPr>
              <w:t>BY TELEPHONE</w:t>
            </w:r>
          </w:p>
        </w:tc>
      </w:tr>
      <w:tr>
        <w:trPr>
          <w:trHeight w:val="170"/>
        </w:trPr>
        <w:tc>
          <w:tcPr>
            <w:tcW w:w="1620" w:type="dxa"/>
            <w:vAlign w:val="bottom"/>
            <w:tcBorders>
              <w:right w:val="single" w:sz="8" w:color="auto"/>
            </w:tcBorders>
          </w:tcPr>
          <w:p>
            <w:pPr>
              <w:spacing w:after="0"/>
              <w:rPr>
                <w:sz w:val="20"/>
                <w:szCs w:val="20"/>
                <w:color w:val="auto"/>
              </w:rPr>
            </w:pPr>
            <w:r>
              <w:rPr>
                <w:rFonts w:ascii="Arial" w:cs="Arial" w:eastAsia="Arial" w:hAnsi="Arial"/>
                <w:sz w:val="13"/>
                <w:szCs w:val="13"/>
                <w:color w:val="221E1F"/>
              </w:rPr>
              <w:t>www.proxyvote.com</w:t>
            </w:r>
          </w:p>
        </w:tc>
        <w:tc>
          <w:tcPr>
            <w:tcW w:w="1320" w:type="dxa"/>
            <w:vAlign w:val="bottom"/>
          </w:tcPr>
          <w:p>
            <w:pPr>
              <w:ind w:left="300"/>
              <w:spacing w:after="0"/>
              <w:rPr>
                <w:sz w:val="20"/>
                <w:szCs w:val="20"/>
                <w:color w:val="auto"/>
              </w:rPr>
            </w:pPr>
            <w:r>
              <w:rPr>
                <w:rFonts w:ascii="Arial" w:cs="Arial" w:eastAsia="Arial" w:hAnsi="Arial"/>
                <w:sz w:val="13"/>
                <w:szCs w:val="13"/>
                <w:color w:val="221E1F"/>
              </w:rPr>
              <w:t>1-800-690-6903</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706120" cy="229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6120" cy="22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3"/>
          <w:szCs w:val="13"/>
          <w:color w:val="auto"/>
        </w:rPr>
        <w:t>Jason DeZwirek</w:t>
      </w:r>
    </w:p>
    <w:p>
      <w:pPr>
        <w:spacing w:after="0" w:line="12" w:lineRule="exact"/>
        <w:rPr>
          <w:sz w:val="20"/>
          <w:szCs w:val="20"/>
          <w:color w:val="auto"/>
        </w:rPr>
      </w:pPr>
    </w:p>
    <w:p>
      <w:pPr>
        <w:spacing w:after="0"/>
        <w:rPr>
          <w:sz w:val="20"/>
          <w:szCs w:val="20"/>
          <w:color w:val="auto"/>
        </w:rPr>
      </w:pPr>
      <w:r>
        <w:rPr>
          <w:rFonts w:ascii="Arial" w:cs="Arial" w:eastAsia="Arial" w:hAnsi="Arial"/>
          <w:sz w:val="13"/>
          <w:szCs w:val="13"/>
          <w:color w:val="auto"/>
        </w:rPr>
        <w:t>Chairman of the Board of Directors</w:t>
      </w:r>
    </w:p>
    <w:p>
      <w:pPr>
        <w:spacing w:after="0"/>
        <w:rPr>
          <w:sz w:val="20"/>
          <w:szCs w:val="20"/>
          <w:color w:val="auto"/>
        </w:rPr>
      </w:pPr>
      <w:r>
        <w:rPr>
          <w:rFonts w:ascii="Arial" w:cs="Arial" w:eastAsia="Arial" w:hAnsi="Arial"/>
          <w:sz w:val="13"/>
          <w:szCs w:val="13"/>
          <w:color w:val="auto"/>
        </w:rPr>
        <w:t>April __,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-2703195</wp:posOffset>
            </wp:positionH>
            <wp:positionV relativeFrom="paragraph">
              <wp:posOffset>346710</wp:posOffset>
            </wp:positionV>
            <wp:extent cx="630110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1B656"/>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-89535</wp:posOffset>
            </wp:positionV>
            <wp:extent cx="7620" cy="206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0" cy="20637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Mail your signed proxy card</w:t>
      </w:r>
    </w:p>
    <w:p>
      <w:pPr>
        <w:sectPr>
          <w:pgSz w:w="11900" w:h="16838" w:orient="portrait"/>
          <w:cols w:equalWidth="0" w:num="3">
            <w:col w:w="3860" w:space="400"/>
            <w:col w:w="3220" w:space="720"/>
            <w:col w:w="1700"/>
          </w:cols>
          <w:pgMar w:left="980" w:top="485" w:right="10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3"/>
          <w:szCs w:val="33"/>
          <w:b w:val="1"/>
          <w:bCs w:val="1"/>
          <w:color w:val="3C578C"/>
        </w:rPr>
        <w:t>PROXY SUMMARY</w:t>
      </w:r>
    </w:p>
    <w:p>
      <w:pPr>
        <w:spacing w:after="0" w:line="136" w:lineRule="exact"/>
        <w:rPr>
          <w:sz w:val="20"/>
          <w:szCs w:val="20"/>
          <w:color w:val="auto"/>
        </w:rPr>
      </w:pPr>
    </w:p>
    <w:p>
      <w:pPr>
        <w:ind w:right="100"/>
        <w:spacing w:after="0" w:line="254" w:lineRule="auto"/>
        <w:rPr>
          <w:sz w:val="20"/>
          <w:szCs w:val="20"/>
          <w:color w:val="auto"/>
        </w:rPr>
      </w:pPr>
      <w:r>
        <w:rPr>
          <w:rFonts w:ascii="Arial" w:cs="Arial" w:eastAsia="Arial" w:hAnsi="Arial"/>
          <w:sz w:val="13"/>
          <w:szCs w:val="13"/>
          <w:i w:val="1"/>
          <w:iCs w:val="1"/>
          <w:color w:val="auto"/>
        </w:rPr>
        <w:t>This summary highlights selected information contained in this Proxy Statement. Please read this entire Proxy Statement carefully before voting your shares. On April __, 2024, we began to mail to our stockholders of record, as of the close of business on March 25, 2024, either a notice containing instructions on how to access this Proxy Statement and our Annual Report through the Internet or a printed copy of these proxy materials. For more complete information regarding the Company’s 2023 performance, please review the Company’s Annual Report on Form 10-K for the year ended December 31, 2023.</w:t>
      </w:r>
    </w:p>
    <w:p>
      <w:pPr>
        <w:sectPr>
          <w:pgSz w:w="11900" w:h="16838" w:orient="portrait"/>
          <w:cols w:equalWidth="0" w:num="1">
            <w:col w:w="9880"/>
          </w:cols>
          <w:pgMar w:left="980" w:top="485" w:right="103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Who We Are</w:t>
      </w:r>
    </w:p>
    <w:p>
      <w:pPr>
        <w:spacing w:after="0" w:line="10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CECO Environmental is a leading environmentally focused, diversified industrial company serving the broad landscape of industrial air, industrial water and energy transition markets globally providing innovative solutions and application expertise.</w:t>
      </w:r>
    </w:p>
    <w:p>
      <w:pPr>
        <w:spacing w:after="0" w:line="56"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CECO helps companies grow their business with safe, clean, and more efficient solutions that help protect people, the environment and industrial equipment.</w:t>
      </w:r>
    </w:p>
    <w:p>
      <w:pPr>
        <w:spacing w:after="0" w:line="66"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CECO solutions improve air and water quality, optimize emissions management, and increase energy efficiency for highly-engineered applications in power generation,</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midstream and downstream hydrocarbon processing and transport, electric vehicle production, polysilicon fabrication, semiconductor and electronics, battery production and recycling, specialty metals and steel production, beverage can, water/wastewater treatment and a wide range of other industrial end markets.</w:t>
      </w:r>
    </w:p>
    <w:p>
      <w:pPr>
        <w:spacing w:after="0" w:line="15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We produce products to help protect the air we collectively breathe, maintain clean and safe operations for employees, lower energy consumption and minimize waste for customers, and ensure they meet regulatory compliance standards for toxic emissions, fumes, volatile organic compounds, and odors.</w:t>
      </w:r>
    </w:p>
    <w:p>
      <w:pPr>
        <w:spacing w:after="0" w:line="83" w:lineRule="exact"/>
        <w:rPr>
          <w:sz w:val="20"/>
          <w:szCs w:val="20"/>
          <w:color w:val="auto"/>
        </w:rPr>
      </w:pPr>
    </w:p>
    <w:p>
      <w:pPr>
        <w:sectPr>
          <w:pgSz w:w="11900" w:h="16838" w:orient="portrait"/>
          <w:cols w:equalWidth="0" w:num="2">
            <w:col w:w="4860" w:space="200"/>
            <w:col w:w="4820"/>
          </w:cols>
          <w:pgMar w:left="980" w:top="485" w:right="1039" w:bottom="1440" w:gutter="0" w:footer="0" w:header="0"/>
          <w:type w:val="continuous"/>
        </w:sectPr>
      </w:pPr>
    </w:p>
    <w:p>
      <w:pPr>
        <w:spacing w:after="0"/>
        <w:rPr>
          <w:sz w:val="20"/>
          <w:szCs w:val="20"/>
          <w:color w:val="auto"/>
        </w:rPr>
      </w:pPr>
      <w:r>
        <w:rPr>
          <w:rFonts w:ascii="Arial" w:cs="Arial" w:eastAsia="Arial" w:hAnsi="Arial"/>
          <w:sz w:val="22"/>
          <w:szCs w:val="22"/>
          <w:b w:val="1"/>
          <w:bCs w:val="1"/>
          <w:color w:val="3C578C"/>
        </w:rPr>
        <w:t>Virtual Annual Meeting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60" w:type="dxa"/>
            <w:vAlign w:val="bottom"/>
          </w:tcPr>
          <w:p>
            <w:pPr>
              <w:spacing w:after="0"/>
              <w:rPr>
                <w:sz w:val="20"/>
                <w:szCs w:val="20"/>
                <w:color w:val="auto"/>
              </w:rPr>
            </w:pPr>
            <w:r>
              <w:rPr>
                <w:rFonts w:ascii="Arial" w:cs="Arial" w:eastAsia="Arial" w:hAnsi="Arial"/>
                <w:sz w:val="17"/>
                <w:szCs w:val="17"/>
                <w:b w:val="1"/>
                <w:bCs w:val="1"/>
                <w:color w:val="A1B657"/>
              </w:rPr>
              <w:t>WHEN</w:t>
            </w:r>
          </w:p>
        </w:tc>
        <w:tc>
          <w:tcPr>
            <w:tcW w:w="4380" w:type="dxa"/>
            <w:vAlign w:val="bottom"/>
          </w:tcPr>
          <w:p>
            <w:pPr>
              <w:ind w:left="620"/>
              <w:spacing w:after="0"/>
              <w:rPr>
                <w:sz w:val="20"/>
                <w:szCs w:val="20"/>
                <w:color w:val="auto"/>
              </w:rPr>
            </w:pPr>
            <w:r>
              <w:rPr>
                <w:rFonts w:ascii="Arial" w:cs="Arial" w:eastAsia="Arial" w:hAnsi="Arial"/>
                <w:sz w:val="17"/>
                <w:szCs w:val="17"/>
                <w:b w:val="1"/>
                <w:bCs w:val="1"/>
                <w:color w:val="A1B657"/>
              </w:rPr>
              <w:t>ADMISSION</w:t>
            </w:r>
          </w:p>
        </w:tc>
        <w:tc>
          <w:tcPr>
            <w:tcW w:w="2940" w:type="dxa"/>
            <w:vAlign w:val="bottom"/>
          </w:tcPr>
          <w:p>
            <w:pPr>
              <w:ind w:left="200"/>
              <w:spacing w:after="0"/>
              <w:rPr>
                <w:sz w:val="20"/>
                <w:szCs w:val="20"/>
                <w:color w:val="auto"/>
              </w:rPr>
            </w:pPr>
            <w:r>
              <w:rPr>
                <w:rFonts w:ascii="Arial" w:cs="Arial" w:eastAsia="Arial" w:hAnsi="Arial"/>
                <w:sz w:val="17"/>
                <w:szCs w:val="17"/>
                <w:b w:val="1"/>
                <w:bCs w:val="1"/>
                <w:color w:val="A1B657"/>
              </w:rPr>
              <w:t>WHO MAY VOTE</w:t>
            </w:r>
          </w:p>
        </w:tc>
        <w:tc>
          <w:tcPr>
            <w:tcW w:w="0" w:type="dxa"/>
            <w:vAlign w:val="bottom"/>
          </w:tcPr>
          <w:p>
            <w:pPr>
              <w:spacing w:after="0"/>
              <w:rPr>
                <w:sz w:val="1"/>
                <w:szCs w:val="1"/>
                <w:color w:val="auto"/>
              </w:rPr>
            </w:pPr>
          </w:p>
        </w:tc>
      </w:tr>
      <w:tr>
        <w:trPr>
          <w:trHeight w:val="800"/>
        </w:trPr>
        <w:tc>
          <w:tcPr>
            <w:tcW w:w="2360" w:type="dxa"/>
            <w:vAlign w:val="bottom"/>
          </w:tcPr>
          <w:p>
            <w:pPr>
              <w:spacing w:after="0"/>
              <w:rPr>
                <w:sz w:val="20"/>
                <w:szCs w:val="20"/>
                <w:color w:val="auto"/>
              </w:rPr>
            </w:pPr>
            <w:r>
              <w:rPr>
                <w:rFonts w:ascii="Arial" w:cs="Arial" w:eastAsia="Arial" w:hAnsi="Arial"/>
                <w:sz w:val="17"/>
                <w:szCs w:val="17"/>
                <w:color w:val="3C578C"/>
              </w:rPr>
              <w:t>Monday, May 20, 2024</w:t>
            </w:r>
          </w:p>
        </w:tc>
        <w:tc>
          <w:tcPr>
            <w:tcW w:w="4380" w:type="dxa"/>
            <w:vAlign w:val="bottom"/>
          </w:tcPr>
          <w:p>
            <w:pPr>
              <w:ind w:left="620"/>
              <w:spacing w:after="0"/>
              <w:rPr>
                <w:sz w:val="20"/>
                <w:szCs w:val="20"/>
                <w:color w:val="auto"/>
              </w:rPr>
            </w:pPr>
            <w:r>
              <w:rPr>
                <w:rFonts w:ascii="Arial" w:cs="Arial" w:eastAsia="Arial" w:hAnsi="Arial"/>
                <w:sz w:val="17"/>
                <w:szCs w:val="17"/>
                <w:color w:val="3C578C"/>
              </w:rPr>
              <w:t>Via live audio webcast,</w:t>
            </w:r>
          </w:p>
        </w:tc>
        <w:tc>
          <w:tcPr>
            <w:tcW w:w="2940" w:type="dxa"/>
            <w:vAlign w:val="bottom"/>
          </w:tcPr>
          <w:p>
            <w:pPr>
              <w:ind w:left="200"/>
              <w:spacing w:after="0"/>
              <w:rPr>
                <w:sz w:val="20"/>
                <w:szCs w:val="20"/>
                <w:color w:val="auto"/>
              </w:rPr>
            </w:pPr>
            <w:r>
              <w:rPr>
                <w:rFonts w:ascii="Arial" w:cs="Arial" w:eastAsia="Arial" w:hAnsi="Arial"/>
                <w:sz w:val="17"/>
                <w:szCs w:val="17"/>
                <w:color w:val="3C578C"/>
                <w:w w:val="96"/>
              </w:rPr>
              <w:t>Stockholders of record at the close of</w:t>
            </w:r>
          </w:p>
        </w:tc>
        <w:tc>
          <w:tcPr>
            <w:tcW w:w="0" w:type="dxa"/>
            <w:vAlign w:val="bottom"/>
          </w:tcPr>
          <w:p>
            <w:pPr>
              <w:spacing w:after="0"/>
              <w:rPr>
                <w:sz w:val="1"/>
                <w:szCs w:val="1"/>
                <w:color w:val="auto"/>
              </w:rPr>
            </w:pPr>
          </w:p>
        </w:tc>
      </w:tr>
      <w:tr>
        <w:trPr>
          <w:trHeight w:val="208"/>
        </w:trPr>
        <w:tc>
          <w:tcPr>
            <w:tcW w:w="2360" w:type="dxa"/>
            <w:vAlign w:val="bottom"/>
            <w:vMerge w:val="restart"/>
          </w:tcPr>
          <w:p>
            <w:pPr>
              <w:spacing w:after="0" w:line="373" w:lineRule="exact"/>
              <w:rPr>
                <w:sz w:val="20"/>
                <w:szCs w:val="20"/>
                <w:color w:val="auto"/>
              </w:rPr>
            </w:pPr>
            <w:r>
              <w:rPr>
                <w:rFonts w:ascii="Arial" w:cs="Arial" w:eastAsia="Arial" w:hAnsi="Arial"/>
                <w:sz w:val="43"/>
                <w:szCs w:val="43"/>
                <w:color w:val="3C578C"/>
              </w:rPr>
              <w:t>8AM</w:t>
            </w:r>
            <w:r>
              <w:rPr>
                <w:rFonts w:ascii="Arial" w:cs="Arial" w:eastAsia="Arial" w:hAnsi="Arial"/>
                <w:sz w:val="14"/>
                <w:szCs w:val="14"/>
                <w:color w:val="3C578C"/>
              </w:rPr>
              <w:t>(CT)</w:t>
            </w:r>
          </w:p>
        </w:tc>
        <w:tc>
          <w:tcPr>
            <w:tcW w:w="4380" w:type="dxa"/>
            <w:vAlign w:val="bottom"/>
          </w:tcPr>
          <w:p>
            <w:pPr>
              <w:ind w:left="620"/>
              <w:spacing w:after="0"/>
              <w:rPr>
                <w:sz w:val="20"/>
                <w:szCs w:val="20"/>
                <w:color w:val="auto"/>
              </w:rPr>
            </w:pPr>
            <w:r>
              <w:rPr>
                <w:rFonts w:ascii="Arial" w:cs="Arial" w:eastAsia="Arial" w:hAnsi="Arial"/>
                <w:sz w:val="17"/>
                <w:szCs w:val="17"/>
                <w:color w:val="3C578C"/>
              </w:rPr>
              <w:t>please visit:</w:t>
            </w:r>
          </w:p>
        </w:tc>
        <w:tc>
          <w:tcPr>
            <w:tcW w:w="2940" w:type="dxa"/>
            <w:vAlign w:val="bottom"/>
          </w:tcPr>
          <w:p>
            <w:pPr>
              <w:ind w:left="200"/>
              <w:spacing w:after="0"/>
              <w:rPr>
                <w:sz w:val="20"/>
                <w:szCs w:val="20"/>
                <w:color w:val="auto"/>
              </w:rPr>
            </w:pPr>
            <w:r>
              <w:rPr>
                <w:rFonts w:ascii="Arial" w:cs="Arial" w:eastAsia="Arial" w:hAnsi="Arial"/>
                <w:sz w:val="17"/>
                <w:szCs w:val="17"/>
                <w:color w:val="3C578C"/>
              </w:rPr>
              <w:t>business on March 25, 2024</w:t>
            </w:r>
          </w:p>
        </w:tc>
        <w:tc>
          <w:tcPr>
            <w:tcW w:w="0" w:type="dxa"/>
            <w:vAlign w:val="bottom"/>
          </w:tcPr>
          <w:p>
            <w:pPr>
              <w:spacing w:after="0"/>
              <w:rPr>
                <w:sz w:val="1"/>
                <w:szCs w:val="1"/>
                <w:color w:val="auto"/>
              </w:rPr>
            </w:pPr>
          </w:p>
        </w:tc>
      </w:tr>
      <w:tr>
        <w:trPr>
          <w:trHeight w:val="167"/>
        </w:trPr>
        <w:tc>
          <w:tcPr>
            <w:tcW w:w="2360" w:type="dxa"/>
            <w:vAlign w:val="bottom"/>
            <w:vMerge w:val="continue"/>
          </w:tcPr>
          <w:p>
            <w:pPr>
              <w:spacing w:after="0"/>
              <w:rPr>
                <w:sz w:val="14"/>
                <w:szCs w:val="14"/>
                <w:color w:val="auto"/>
              </w:rPr>
            </w:pPr>
          </w:p>
        </w:tc>
        <w:tc>
          <w:tcPr>
            <w:tcW w:w="4380" w:type="dxa"/>
            <w:vAlign w:val="bottom"/>
            <w:vMerge w:val="restart"/>
          </w:tcPr>
          <w:p>
            <w:pPr>
              <w:ind w:left="620"/>
              <w:spacing w:after="0"/>
              <w:rPr>
                <w:sz w:val="20"/>
                <w:szCs w:val="20"/>
                <w:color w:val="auto"/>
              </w:rPr>
            </w:pPr>
            <w:r>
              <w:rPr>
                <w:rFonts w:ascii="Arial" w:cs="Arial" w:eastAsia="Arial" w:hAnsi="Arial"/>
                <w:sz w:val="17"/>
                <w:szCs w:val="17"/>
                <w:color w:val="3C578C"/>
              </w:rPr>
              <w:t>www.virtualshareholdermeeting.com/CECO2024</w:t>
            </w: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360" w:type="dxa"/>
            <w:vAlign w:val="bottom"/>
          </w:tcPr>
          <w:p>
            <w:pPr>
              <w:spacing w:after="0"/>
              <w:rPr>
                <w:sz w:val="4"/>
                <w:szCs w:val="4"/>
                <w:color w:val="auto"/>
              </w:rPr>
            </w:pPr>
          </w:p>
        </w:tc>
        <w:tc>
          <w:tcPr>
            <w:tcW w:w="4380" w:type="dxa"/>
            <w:vAlign w:val="bottom"/>
            <w:vMerge w:val="continue"/>
          </w:tcPr>
          <w:p>
            <w:pPr>
              <w:spacing w:after="0"/>
              <w:rPr>
                <w:sz w:val="4"/>
                <w:szCs w:val="4"/>
                <w:color w:val="auto"/>
              </w:rPr>
            </w:pPr>
          </w:p>
        </w:tc>
        <w:tc>
          <w:tcPr>
            <w:tcW w:w="29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-730885</wp:posOffset>
            </wp:positionV>
            <wp:extent cx="396875" cy="301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6875" cy="301625"/>
                    </a:xfrm>
                    <a:prstGeom prst="rect">
                      <a:avLst/>
                    </a:prstGeom>
                    <a:noFill/>
                  </pic:spPr>
                </pic:pic>
              </a:graphicData>
            </a:graphic>
          </wp:anchor>
        </w:drawing>
        <w:drawing>
          <wp:anchor simplePos="0" relativeHeight="251657728" behindDoc="1" locked="0" layoutInCell="0" allowOverlap="1">
            <wp:simplePos x="0" y="0"/>
            <wp:positionH relativeFrom="column">
              <wp:posOffset>1890395</wp:posOffset>
            </wp:positionH>
            <wp:positionV relativeFrom="paragraph">
              <wp:posOffset>-730885</wp:posOffset>
            </wp:positionV>
            <wp:extent cx="428625" cy="301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8625" cy="30162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-730885</wp:posOffset>
            </wp:positionV>
            <wp:extent cx="340995" cy="301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995" cy="30162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307975</wp:posOffset>
            </wp:positionV>
            <wp:extent cx="6301105" cy="2888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01105" cy="2888615"/>
                    </a:xfrm>
                    <a:prstGeom prst="rect">
                      <a:avLst/>
                    </a:prstGeom>
                    <a:noFill/>
                  </pic:spPr>
                </pic:pic>
              </a:graphicData>
            </a:graphic>
          </wp:anchor>
        </w:drawing>
      </w:r>
    </w:p>
    <w:p>
      <w:pPr>
        <w:sectPr>
          <w:pgSz w:w="11900" w:h="16838" w:orient="portrait"/>
          <w:cols w:equalWidth="0" w:num="1">
            <w:col w:w="9880"/>
          </w:cols>
          <w:pgMar w:left="980" w:top="485" w:right="10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3C578C"/>
        </w:rPr>
        <w:t>MATTERS TO BE VOTED</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1B657"/>
        </w:rPr>
        <w:t>PROPOSALS</w:t>
      </w:r>
    </w:p>
    <w:p>
      <w:pPr>
        <w:ind w:left="800" w:hanging="561"/>
        <w:spacing w:after="0" w:line="213" w:lineRule="auto"/>
        <w:tabs>
          <w:tab w:leader="none" w:pos="800" w:val="left"/>
        </w:tabs>
        <w:numPr>
          <w:ilvl w:val="0"/>
          <w:numId w:val="10"/>
        </w:numPr>
        <w:rPr>
          <w:rFonts w:ascii="Arial" w:cs="Arial" w:eastAsia="Arial" w:hAnsi="Arial"/>
          <w:sz w:val="67"/>
          <w:szCs w:val="67"/>
          <w:color w:val="3C578C"/>
        </w:rPr>
      </w:pPr>
      <w:r>
        <w:rPr>
          <w:rFonts w:ascii="Arial" w:cs="Arial" w:eastAsia="Arial" w:hAnsi="Arial"/>
          <w:sz w:val="17"/>
          <w:szCs w:val="17"/>
          <w:color w:val="auto"/>
        </w:rPr>
        <w:t>To elect eight directors for a one-year term.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800" w:right="200" w:hanging="561"/>
        <w:spacing w:after="0" w:line="182" w:lineRule="auto"/>
        <w:tabs>
          <w:tab w:leader="none" w:pos="800" w:val="left"/>
        </w:tabs>
        <w:numPr>
          <w:ilvl w:val="0"/>
          <w:numId w:val="11"/>
        </w:numPr>
        <w:rPr>
          <w:rFonts w:ascii="Arial" w:cs="Arial" w:eastAsia="Arial" w:hAnsi="Arial"/>
          <w:sz w:val="30"/>
          <w:szCs w:val="30"/>
          <w:color w:val="3C578C"/>
        </w:rPr>
      </w:pPr>
      <w:r>
        <w:rPr>
          <w:rFonts w:ascii="Arial" w:cs="Arial" w:eastAsia="Arial" w:hAnsi="Arial"/>
          <w:sz w:val="14"/>
          <w:szCs w:val="14"/>
          <w:color w:val="auto"/>
        </w:rPr>
        <w:t xml:space="preserve">Company’s Certificate of Incorporation to incorporate Delaware law provisions regarding </w:t>
      </w:r>
      <w:r>
        <w:rPr>
          <w:rFonts w:ascii="Arial" w:cs="Arial" w:eastAsia="Arial" w:hAnsi="Arial"/>
          <w:sz w:val="19"/>
          <w:szCs w:val="19"/>
          <w:color w:val="auto"/>
          <w:vertAlign w:val="subscript"/>
        </w:rPr>
        <w:t>officer exculpation.</w:t>
      </w:r>
      <w:r>
        <w:rPr>
          <w:rFonts w:ascii="Arial" w:cs="Arial" w:eastAsia="Arial" w:hAnsi="Arial"/>
          <w:sz w:val="14"/>
          <w:szCs w:val="14"/>
          <w:color w:val="auto"/>
        </w:rPr>
        <w:t>Toapprovetheproposed amendment to the</w:t>
      </w:r>
    </w:p>
    <w:p>
      <w:pPr>
        <w:spacing w:after="0" w:line="357" w:lineRule="exact"/>
        <w:rPr>
          <w:sz w:val="20"/>
          <w:szCs w:val="20"/>
          <w:color w:val="auto"/>
        </w:rPr>
      </w:pPr>
    </w:p>
    <w:p>
      <w:pPr>
        <w:ind w:left="800" w:right="180" w:hanging="561"/>
        <w:spacing w:after="0" w:line="180" w:lineRule="auto"/>
        <w:tabs>
          <w:tab w:leader="none" w:pos="800" w:val="left"/>
        </w:tabs>
        <w:numPr>
          <w:ilvl w:val="0"/>
          <w:numId w:val="12"/>
        </w:numPr>
        <w:rPr>
          <w:rFonts w:ascii="Arial" w:cs="Arial" w:eastAsia="Arial" w:hAnsi="Arial"/>
          <w:sz w:val="33"/>
          <w:szCs w:val="33"/>
          <w:color w:val="3C578C"/>
        </w:rPr>
      </w:pPr>
      <w:r>
        <w:rPr>
          <w:rFonts w:ascii="Arial" w:cs="Arial" w:eastAsia="Arial" w:hAnsi="Arial"/>
          <w:sz w:val="14"/>
          <w:szCs w:val="14"/>
          <w:color w:val="auto"/>
        </w:rPr>
        <w:t>To approve, on an advisory basis, the compensation of our named executive officers.</w:t>
      </w:r>
    </w:p>
    <w:p>
      <w:pPr>
        <w:spacing w:after="0" w:line="270" w:lineRule="exact"/>
        <w:rPr>
          <w:sz w:val="20"/>
          <w:szCs w:val="20"/>
          <w:color w:val="auto"/>
        </w:rPr>
      </w:pPr>
    </w:p>
    <w:p>
      <w:pPr>
        <w:ind w:left="800" w:hanging="561"/>
        <w:spacing w:after="0" w:line="182" w:lineRule="auto"/>
        <w:tabs>
          <w:tab w:leader="none" w:pos="800" w:val="left"/>
        </w:tabs>
        <w:numPr>
          <w:ilvl w:val="0"/>
          <w:numId w:val="13"/>
        </w:numPr>
        <w:rPr>
          <w:rFonts w:ascii="Arial" w:cs="Arial" w:eastAsia="Arial" w:hAnsi="Arial"/>
          <w:sz w:val="40"/>
          <w:szCs w:val="40"/>
          <w:color w:val="3C578C"/>
        </w:rPr>
      </w:pPr>
      <w:r>
        <w:rPr>
          <w:rFonts w:ascii="Arial" w:cs="Arial" w:eastAsia="Arial" w:hAnsi="Arial"/>
          <w:sz w:val="14"/>
          <w:szCs w:val="14"/>
          <w:color w:val="auto"/>
        </w:rPr>
        <w:t>To ratify the appointment of BDO USA, P.C. (f/k/a BDO USA, LLP) as our independent registered public accounting firm for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BOARD RECOMMENDATION</w:t>
      </w:r>
    </w:p>
    <w:p>
      <w:pPr>
        <w:spacing w:after="0" w:line="200" w:lineRule="exact"/>
        <w:rPr>
          <w:sz w:val="20"/>
          <w:szCs w:val="20"/>
          <w:color w:val="auto"/>
        </w:rPr>
      </w:pPr>
    </w:p>
    <w:p>
      <w:pPr>
        <w:spacing w:after="0" w:line="26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each director nominee.</w:t>
      </w:r>
    </w:p>
    <w:p>
      <w:pPr>
        <w:spacing w:after="0" w:line="200" w:lineRule="exact"/>
        <w:rPr>
          <w:sz w:val="20"/>
          <w:szCs w:val="20"/>
          <w:color w:val="auto"/>
        </w:rPr>
      </w:pPr>
    </w:p>
    <w:p>
      <w:pPr>
        <w:spacing w:after="0" w:line="36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of the proposed amendment to the</w:t>
      </w:r>
    </w:p>
    <w:p>
      <w:pPr>
        <w:spacing w:after="0" w:line="11"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Company’s Certificate of Incorporation to incorporate</w:t>
      </w:r>
    </w:p>
    <w:p>
      <w:pPr>
        <w:ind w:left="900"/>
        <w:spacing w:after="0"/>
        <w:rPr>
          <w:sz w:val="20"/>
          <w:szCs w:val="20"/>
          <w:color w:val="auto"/>
        </w:rPr>
      </w:pPr>
      <w:r>
        <w:rPr>
          <w:rFonts w:ascii="Arial" w:cs="Arial" w:eastAsia="Arial" w:hAnsi="Arial"/>
          <w:sz w:val="16"/>
          <w:szCs w:val="16"/>
          <w:color w:val="auto"/>
        </w:rPr>
        <w:t>Delaware law provisions regarding officer exculpation.</w:t>
      </w:r>
    </w:p>
    <w:p>
      <w:pPr>
        <w:spacing w:after="0" w:line="200" w:lineRule="exact"/>
        <w:rPr>
          <w:sz w:val="20"/>
          <w:szCs w:val="20"/>
          <w:color w:val="auto"/>
        </w:rPr>
      </w:pPr>
    </w:p>
    <w:p>
      <w:pPr>
        <w:spacing w:after="0" w:line="262" w:lineRule="exact"/>
        <w:rPr>
          <w:sz w:val="20"/>
          <w:szCs w:val="20"/>
          <w:color w:val="auto"/>
        </w:rPr>
      </w:pPr>
    </w:p>
    <w:p>
      <w:pPr>
        <w:jc w:val="both"/>
        <w:ind w:left="900" w:right="660"/>
        <w:spacing w:after="0" w:line="289"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of our named executive officers.</w:t>
      </w:r>
    </w:p>
    <w:p>
      <w:pPr>
        <w:spacing w:after="0" w:line="232" w:lineRule="exact"/>
        <w:rPr>
          <w:sz w:val="20"/>
          <w:szCs w:val="20"/>
          <w:color w:val="auto"/>
        </w:rPr>
      </w:pPr>
    </w:p>
    <w:p>
      <w:pPr>
        <w:ind w:left="900" w:right="220"/>
        <w:spacing w:after="0" w:line="267"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BDO USA,</w:t>
      </w:r>
      <w:r>
        <w:rPr>
          <w:rFonts w:ascii="Arial" w:cs="Arial" w:eastAsia="Arial" w:hAnsi="Arial"/>
          <w:sz w:val="16"/>
          <w:szCs w:val="16"/>
          <w:b w:val="1"/>
          <w:bCs w:val="1"/>
          <w:color w:val="auto"/>
        </w:rPr>
        <w:t xml:space="preserve"> </w:t>
      </w:r>
      <w:r>
        <w:rPr>
          <w:rFonts w:ascii="Arial" w:cs="Arial" w:eastAsia="Arial" w:hAnsi="Arial"/>
          <w:sz w:val="16"/>
          <w:szCs w:val="16"/>
          <w:color w:val="auto"/>
        </w:rPr>
        <w:t>P.C. (f/k/a BDO USA, LLP) as our independent registered public accounting firm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-3096895</wp:posOffset>
            </wp:positionH>
            <wp:positionV relativeFrom="paragraph">
              <wp:posOffset>556895</wp:posOffset>
            </wp:positionV>
            <wp:extent cx="630110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2">
            <w:col w:w="4420" w:space="460"/>
            <w:col w:w="5000"/>
          </w:cols>
          <w:pgMar w:left="980" w:top="485" w:right="10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u w:val="single" w:color="auto"/>
          <w:color w:val="0000EE"/>
        </w:rPr>
        <w:t>Table of Contents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DIRECTOR NOMINEES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jc w:val="center"/>
              <w:ind w:left="33"/>
              <w:spacing w:after="0"/>
              <w:rPr>
                <w:sz w:val="20"/>
                <w:szCs w:val="20"/>
                <w:color w:val="auto"/>
              </w:rPr>
            </w:pPr>
            <w:r>
              <w:rPr>
                <w:rFonts w:ascii="Arial" w:cs="Arial" w:eastAsia="Arial" w:hAnsi="Arial"/>
                <w:sz w:val="13"/>
                <w:szCs w:val="13"/>
                <w:b w:val="1"/>
                <w:bCs w:val="1"/>
                <w:color w:val="auto"/>
              </w:rPr>
              <w:t>Director</w:t>
            </w:r>
          </w:p>
        </w:tc>
        <w:tc>
          <w:tcPr>
            <w:tcW w:w="1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200" w:type="dxa"/>
            <w:vAlign w:val="bottom"/>
            <w:tcBorders>
              <w:bottom w:val="single" w:sz="8" w:color="D0CECE"/>
            </w:tcBorders>
          </w:tcPr>
          <w:p>
            <w:pPr>
              <w:spacing w:after="0"/>
              <w:rPr>
                <w:sz w:val="13"/>
                <w:szCs w:val="13"/>
                <w:color w:val="auto"/>
              </w:rPr>
            </w:pPr>
          </w:p>
        </w:tc>
        <w:tc>
          <w:tcPr>
            <w:tcW w:w="700" w:type="dxa"/>
            <w:vAlign w:val="bottom"/>
            <w:tcBorders>
              <w:bottom w:val="single" w:sz="8" w:color="D0CECE"/>
            </w:tcBorders>
          </w:tcPr>
          <w:p>
            <w:pPr>
              <w:jc w:val="center"/>
              <w:spacing w:after="0"/>
              <w:rPr>
                <w:sz w:val="20"/>
                <w:szCs w:val="20"/>
                <w:color w:val="auto"/>
              </w:rPr>
            </w:pPr>
            <w:r>
              <w:rPr>
                <w:rFonts w:ascii="Arial" w:cs="Arial" w:eastAsia="Arial" w:hAnsi="Arial"/>
                <w:sz w:val="13"/>
                <w:szCs w:val="13"/>
                <w:b w:val="1"/>
                <w:bCs w:val="1"/>
                <w:color w:val="auto"/>
                <w:w w:val="97"/>
              </w:rPr>
              <w:t>Age</w:t>
            </w:r>
          </w:p>
        </w:tc>
        <w:tc>
          <w:tcPr>
            <w:tcW w:w="900" w:type="dxa"/>
            <w:vAlign w:val="bottom"/>
            <w:tcBorders>
              <w:bottom w:val="single" w:sz="8" w:color="D0CECE"/>
            </w:tcBorders>
          </w:tcPr>
          <w:p>
            <w:pPr>
              <w:jc w:val="center"/>
              <w:ind w:left="33"/>
              <w:spacing w:after="0"/>
              <w:rPr>
                <w:sz w:val="20"/>
                <w:szCs w:val="20"/>
                <w:color w:val="auto"/>
              </w:rPr>
            </w:pPr>
            <w:r>
              <w:rPr>
                <w:rFonts w:ascii="Arial" w:cs="Arial" w:eastAsia="Arial" w:hAnsi="Arial"/>
                <w:sz w:val="13"/>
                <w:szCs w:val="13"/>
                <w:b w:val="1"/>
                <w:bCs w:val="1"/>
                <w:color w:val="auto"/>
              </w:rPr>
              <w:t>Since</w:t>
            </w:r>
          </w:p>
        </w:tc>
        <w:tc>
          <w:tcPr>
            <w:tcW w:w="1840" w:type="dxa"/>
            <w:vAlign w:val="bottom"/>
            <w:tcBorders>
              <w:bottom w:val="single" w:sz="8" w:color="D0CECE"/>
            </w:tcBorders>
          </w:tcPr>
          <w:p>
            <w:pPr>
              <w:jc w:val="center"/>
              <w:ind w:right="13"/>
              <w:spacing w:after="0"/>
              <w:rPr>
                <w:sz w:val="20"/>
                <w:szCs w:val="20"/>
                <w:color w:val="auto"/>
              </w:rPr>
            </w:pPr>
            <w:r>
              <w:rPr>
                <w:rFonts w:ascii="Arial" w:cs="Arial" w:eastAsia="Arial" w:hAnsi="Arial"/>
                <w:sz w:val="13"/>
                <w:szCs w:val="13"/>
                <w:b w:val="1"/>
                <w:bCs w:val="1"/>
                <w:color w:val="auto"/>
              </w:rPr>
              <w:t>Committees</w:t>
            </w:r>
          </w:p>
        </w:tc>
        <w:tc>
          <w:tcPr>
            <w:tcW w:w="380" w:type="dxa"/>
            <w:vAlign w:val="bottom"/>
            <w:tcBorders>
              <w:bottom w:val="single" w:sz="8" w:color="D0CECE"/>
            </w:tcBorders>
          </w:tcPr>
          <w:p>
            <w:pPr>
              <w:spacing w:after="0"/>
              <w:rPr>
                <w:sz w:val="13"/>
                <w:szCs w:val="13"/>
                <w:color w:val="auto"/>
              </w:rPr>
            </w:pPr>
          </w:p>
        </w:tc>
        <w:tc>
          <w:tcPr>
            <w:tcW w:w="1900" w:type="dxa"/>
            <w:vAlign w:val="bottom"/>
            <w:tcBorders>
              <w:bottom w:val="single" w:sz="8" w:color="D0CECE"/>
            </w:tcBorders>
          </w:tcPr>
          <w:p>
            <w:pPr>
              <w:ind w:left="260"/>
              <w:spacing w:after="0"/>
              <w:rPr>
                <w:sz w:val="20"/>
                <w:szCs w:val="20"/>
                <w:color w:val="auto"/>
              </w:rPr>
            </w:pPr>
            <w:r>
              <w:rPr>
                <w:rFonts w:ascii="Arial" w:cs="Arial" w:eastAsia="Arial" w:hAnsi="Arial"/>
                <w:sz w:val="13"/>
                <w:szCs w:val="13"/>
                <w:b w:val="1"/>
                <w:bCs w:val="1"/>
                <w:color w:val="auto"/>
              </w:rPr>
              <w:t>Qualifications</w:t>
            </w:r>
          </w:p>
        </w:tc>
        <w:tc>
          <w:tcPr>
            <w:tcW w:w="0" w:type="dxa"/>
            <w:vAlign w:val="bottom"/>
          </w:tcPr>
          <w:p>
            <w:pPr>
              <w:spacing w:after="0"/>
              <w:rPr>
                <w:sz w:val="1"/>
                <w:szCs w:val="1"/>
                <w:color w:val="auto"/>
              </w:rPr>
            </w:pPr>
          </w:p>
        </w:tc>
      </w:tr>
      <w:tr>
        <w:trPr>
          <w:trHeight w:val="310"/>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JASON DEZWIREK</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rPr>
              <w:t>Mergers and Acquisitions</w:t>
            </w: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Operations</w:t>
            </w: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595959"/>
              </w:rPr>
              <w:t>53</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595959"/>
                <w:w w:val="96"/>
              </w:rPr>
              <w:t>1994</w:t>
            </w:r>
          </w:p>
        </w:tc>
        <w:tc>
          <w:tcPr>
            <w:tcW w:w="1840" w:type="dxa"/>
            <w:vAlign w:val="bottom"/>
          </w:tcPr>
          <w:p>
            <w:pPr>
              <w:spacing w:after="0"/>
              <w:rPr>
                <w:sz w:val="6"/>
                <w:szCs w:val="6"/>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Technology</w:t>
            </w:r>
          </w:p>
        </w:tc>
        <w:tc>
          <w:tcPr>
            <w:tcW w:w="0" w:type="dxa"/>
            <w:vAlign w:val="bottom"/>
          </w:tcPr>
          <w:p>
            <w:pPr>
              <w:spacing w:after="0"/>
              <w:rPr>
                <w:sz w:val="1"/>
                <w:szCs w:val="1"/>
                <w:color w:val="auto"/>
              </w:rPr>
            </w:pPr>
          </w:p>
        </w:tc>
      </w:tr>
      <w:tr>
        <w:trPr>
          <w:trHeight w:val="83"/>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Chairman of the Board</w:t>
            </w:r>
          </w:p>
        </w:tc>
        <w:tc>
          <w:tcPr>
            <w:tcW w:w="7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Nominations and</w:t>
            </w:r>
          </w:p>
        </w:tc>
        <w:tc>
          <w:tcPr>
            <w:tcW w:w="38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4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38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line="143" w:lineRule="exact"/>
              <w:rPr>
                <w:sz w:val="20"/>
                <w:szCs w:val="20"/>
                <w:color w:val="auto"/>
              </w:rPr>
            </w:pPr>
            <w:r>
              <w:rPr>
                <w:rFonts w:ascii="Arial" w:cs="Arial" w:eastAsia="Arial" w:hAnsi="Arial"/>
                <w:sz w:val="13"/>
                <w:szCs w:val="13"/>
                <w:color w:val="auto"/>
              </w:rPr>
              <w:t>Management</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CECO Environmental Corp</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Governance</w:t>
            </w: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Strategy</w:t>
            </w:r>
          </w:p>
        </w:tc>
        <w:tc>
          <w:tcPr>
            <w:tcW w:w="0" w:type="dxa"/>
            <w:vAlign w:val="bottom"/>
          </w:tcPr>
          <w:p>
            <w:pPr>
              <w:spacing w:after="0"/>
              <w:rPr>
                <w:sz w:val="1"/>
                <w:szCs w:val="1"/>
                <w:color w:val="auto"/>
              </w:rPr>
            </w:pPr>
          </w:p>
        </w:tc>
      </w:tr>
      <w:tr>
        <w:trPr>
          <w:trHeight w:val="75"/>
        </w:trPr>
        <w:tc>
          <w:tcPr>
            <w:tcW w:w="4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200" w:type="dxa"/>
            <w:vAlign w:val="bottom"/>
            <w:tcBorders>
              <w:bottom w:val="single" w:sz="8" w:color="D0CECE"/>
            </w:tcBorders>
          </w:tcPr>
          <w:p>
            <w:pPr>
              <w:spacing w:after="0"/>
              <w:rPr>
                <w:sz w:val="13"/>
                <w:szCs w:val="13"/>
                <w:color w:val="auto"/>
              </w:rPr>
            </w:pPr>
          </w:p>
        </w:tc>
        <w:tc>
          <w:tcPr>
            <w:tcW w:w="700" w:type="dxa"/>
            <w:vAlign w:val="bottom"/>
            <w:tcBorders>
              <w:bottom w:val="single" w:sz="8" w:color="D0CECE"/>
            </w:tcBorders>
          </w:tcPr>
          <w:p>
            <w:pPr>
              <w:spacing w:after="0"/>
              <w:rPr>
                <w:sz w:val="13"/>
                <w:szCs w:val="13"/>
                <w:color w:val="auto"/>
              </w:rPr>
            </w:pPr>
          </w:p>
        </w:tc>
        <w:tc>
          <w:tcPr>
            <w:tcW w:w="900" w:type="dxa"/>
            <w:vAlign w:val="bottom"/>
            <w:tcBorders>
              <w:bottom w:val="single" w:sz="8" w:color="D0CECE"/>
            </w:tcBorders>
          </w:tcPr>
          <w:p>
            <w:pPr>
              <w:spacing w:after="0"/>
              <w:rPr>
                <w:sz w:val="13"/>
                <w:szCs w:val="13"/>
                <w:color w:val="auto"/>
              </w:rPr>
            </w:pPr>
          </w:p>
        </w:tc>
        <w:tc>
          <w:tcPr>
            <w:tcW w:w="1840" w:type="dxa"/>
            <w:vAlign w:val="bottom"/>
            <w:tcBorders>
              <w:bottom w:val="single" w:sz="8" w:color="D0CECE"/>
            </w:tcBorders>
          </w:tcPr>
          <w:p>
            <w:pPr>
              <w:spacing w:after="0"/>
              <w:rPr>
                <w:sz w:val="13"/>
                <w:szCs w:val="13"/>
                <w:color w:val="auto"/>
              </w:rPr>
            </w:pPr>
          </w:p>
        </w:tc>
        <w:tc>
          <w:tcPr>
            <w:tcW w:w="380" w:type="dxa"/>
            <w:vAlign w:val="bottom"/>
            <w:tcBorders>
              <w:bottom w:val="single" w:sz="8" w:color="D0CECE"/>
            </w:tcBorders>
          </w:tcPr>
          <w:p>
            <w:pPr>
              <w:spacing w:after="0"/>
              <w:rPr>
                <w:sz w:val="13"/>
                <w:szCs w:val="13"/>
                <w:color w:val="auto"/>
              </w:rPr>
            </w:pPr>
          </w:p>
        </w:tc>
        <w:tc>
          <w:tcPr>
            <w:tcW w:w="1900" w:type="dxa"/>
            <w:vAlign w:val="bottom"/>
            <w:tcBorders>
              <w:bottom w:val="single" w:sz="8" w:color="D0CECE"/>
            </w:tcBorders>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4200" w:type="dxa"/>
            <w:vAlign w:val="bottom"/>
          </w:tcPr>
          <w:p>
            <w:pPr>
              <w:ind w:left="1340"/>
              <w:spacing w:after="0"/>
              <w:rPr>
                <w:sz w:val="20"/>
                <w:szCs w:val="20"/>
                <w:color w:val="auto"/>
              </w:rPr>
            </w:pPr>
            <w:r>
              <w:rPr>
                <w:rFonts w:ascii="Arial" w:cs="Arial" w:eastAsia="Arial" w:hAnsi="Arial"/>
                <w:sz w:val="13"/>
                <w:szCs w:val="13"/>
                <w:b w:val="1"/>
                <w:bCs w:val="1"/>
                <w:color w:val="3C578C"/>
              </w:rPr>
              <w:t>TODD GLEASON</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595959"/>
              </w:rPr>
              <w:t>53</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595959"/>
                <w:w w:val="96"/>
              </w:rPr>
              <w:t>2020</w:t>
            </w: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Mergers and Acquisitions</w:t>
            </w: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Financial</w:t>
            </w:r>
          </w:p>
        </w:tc>
        <w:tc>
          <w:tcPr>
            <w:tcW w:w="0" w:type="dxa"/>
            <w:vAlign w:val="bottom"/>
          </w:tcPr>
          <w:p>
            <w:pPr>
              <w:spacing w:after="0"/>
              <w:rPr>
                <w:sz w:val="1"/>
                <w:szCs w:val="1"/>
                <w:color w:val="auto"/>
              </w:rPr>
            </w:pPr>
          </w:p>
        </w:tc>
      </w:tr>
      <w:tr>
        <w:trPr>
          <w:trHeight w:val="150"/>
        </w:trPr>
        <w:tc>
          <w:tcPr>
            <w:tcW w:w="4200" w:type="dxa"/>
            <w:vAlign w:val="bottom"/>
          </w:tcPr>
          <w:p>
            <w:pPr>
              <w:ind w:left="1340"/>
              <w:spacing w:after="0"/>
              <w:rPr>
                <w:sz w:val="20"/>
                <w:szCs w:val="20"/>
                <w:color w:val="auto"/>
              </w:rPr>
            </w:pPr>
            <w:r>
              <w:rPr>
                <w:rFonts w:ascii="Arial" w:cs="Arial" w:eastAsia="Arial" w:hAnsi="Arial"/>
                <w:sz w:val="13"/>
                <w:szCs w:val="13"/>
                <w:color w:val="7F7F7F"/>
              </w:rPr>
              <w:t>Chief Executive Officer</w:t>
            </w:r>
          </w:p>
        </w:tc>
        <w:tc>
          <w:tcPr>
            <w:tcW w:w="70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Business</w:t>
            </w:r>
          </w:p>
        </w:tc>
        <w:tc>
          <w:tcPr>
            <w:tcW w:w="0" w:type="dxa"/>
            <w:vAlign w:val="bottom"/>
          </w:tcPr>
          <w:p>
            <w:pPr>
              <w:spacing w:after="0"/>
              <w:rPr>
                <w:sz w:val="1"/>
                <w:szCs w:val="1"/>
                <w:color w:val="auto"/>
              </w:rPr>
            </w:pPr>
          </w:p>
        </w:tc>
      </w:tr>
      <w:tr>
        <w:trPr>
          <w:trHeight w:val="175"/>
        </w:trPr>
        <w:tc>
          <w:tcPr>
            <w:tcW w:w="4200" w:type="dxa"/>
            <w:vAlign w:val="bottom"/>
          </w:tcPr>
          <w:p>
            <w:pPr>
              <w:ind w:left="1340"/>
              <w:spacing w:after="0"/>
              <w:rPr>
                <w:sz w:val="20"/>
                <w:szCs w:val="20"/>
                <w:color w:val="auto"/>
              </w:rPr>
            </w:pPr>
            <w:r>
              <w:rPr>
                <w:rFonts w:ascii="Arial" w:cs="Arial" w:eastAsia="Arial" w:hAnsi="Arial"/>
                <w:sz w:val="13"/>
                <w:szCs w:val="13"/>
                <w:color w:val="7F7F7F"/>
              </w:rPr>
              <w:t>CECO Environmental Corp</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Executive Leadership</w:t>
            </w:r>
          </w:p>
        </w:tc>
        <w:tc>
          <w:tcPr>
            <w:tcW w:w="0" w:type="dxa"/>
            <w:vAlign w:val="bottom"/>
          </w:tcPr>
          <w:p>
            <w:pPr>
              <w:spacing w:after="0"/>
              <w:rPr>
                <w:sz w:val="1"/>
                <w:szCs w:val="1"/>
                <w:color w:val="auto"/>
              </w:rPr>
            </w:pPr>
          </w:p>
        </w:tc>
      </w:tr>
      <w:tr>
        <w:trPr>
          <w:trHeight w:val="233"/>
        </w:trPr>
        <w:tc>
          <w:tcPr>
            <w:tcW w:w="4200" w:type="dxa"/>
            <w:vAlign w:val="bottom"/>
            <w:tcBorders>
              <w:bottom w:val="single" w:sz="8" w:color="D0CECE"/>
            </w:tcBorders>
          </w:tcPr>
          <w:p>
            <w:pPr>
              <w:spacing w:after="0"/>
              <w:rPr>
                <w:sz w:val="20"/>
                <w:szCs w:val="20"/>
                <w:color w:val="auto"/>
              </w:rPr>
            </w:pPr>
          </w:p>
        </w:tc>
        <w:tc>
          <w:tcPr>
            <w:tcW w:w="700" w:type="dxa"/>
            <w:vAlign w:val="bottom"/>
            <w:tcBorders>
              <w:bottom w:val="single" w:sz="8" w:color="D0CECE"/>
            </w:tcBorders>
          </w:tcPr>
          <w:p>
            <w:pPr>
              <w:spacing w:after="0"/>
              <w:rPr>
                <w:sz w:val="20"/>
                <w:szCs w:val="20"/>
                <w:color w:val="auto"/>
              </w:rPr>
            </w:pPr>
          </w:p>
        </w:tc>
        <w:tc>
          <w:tcPr>
            <w:tcW w:w="900" w:type="dxa"/>
            <w:vAlign w:val="bottom"/>
            <w:tcBorders>
              <w:bottom w:val="single" w:sz="8" w:color="D0CECE"/>
            </w:tcBorders>
          </w:tcPr>
          <w:p>
            <w:pPr>
              <w:spacing w:after="0"/>
              <w:rPr>
                <w:sz w:val="20"/>
                <w:szCs w:val="20"/>
                <w:color w:val="auto"/>
              </w:rPr>
            </w:pPr>
          </w:p>
        </w:tc>
        <w:tc>
          <w:tcPr>
            <w:tcW w:w="1840" w:type="dxa"/>
            <w:vAlign w:val="bottom"/>
            <w:tcBorders>
              <w:bottom w:val="single" w:sz="8" w:color="D0CECE"/>
            </w:tcBorders>
          </w:tcPr>
          <w:p>
            <w:pPr>
              <w:spacing w:after="0"/>
              <w:rPr>
                <w:sz w:val="20"/>
                <w:szCs w:val="20"/>
                <w:color w:val="auto"/>
              </w:rPr>
            </w:pPr>
          </w:p>
        </w:tc>
        <w:tc>
          <w:tcPr>
            <w:tcW w:w="380" w:type="dxa"/>
            <w:vAlign w:val="bottom"/>
            <w:tcBorders>
              <w:bottom w:val="single" w:sz="8" w:color="D0CECE"/>
            </w:tcBorders>
          </w:tcPr>
          <w:p>
            <w:pPr>
              <w:spacing w:after="0"/>
              <w:rPr>
                <w:sz w:val="20"/>
                <w:szCs w:val="20"/>
                <w:color w:val="auto"/>
              </w:rPr>
            </w:pPr>
          </w:p>
        </w:tc>
        <w:tc>
          <w:tcPr>
            <w:tcW w:w="1900" w:type="dxa"/>
            <w:vAlign w:val="bottom"/>
            <w:tcBorders>
              <w:bottom w:val="single" w:sz="8" w:color="D0CECE"/>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rPr>
              <w:t>Compensation</w:t>
            </w: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Business</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ROBERT E. KNOWLING, JR.</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rPr>
              <w:t>(Chair)</w:t>
            </w: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595959"/>
              </w:rPr>
              <w:t>68</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595959"/>
                <w:w w:val="96"/>
              </w:rPr>
              <w:t>2022</w:t>
            </w:r>
          </w:p>
        </w:tc>
        <w:tc>
          <w:tcPr>
            <w:tcW w:w="1840" w:type="dxa"/>
            <w:vAlign w:val="bottom"/>
            <w:vMerge w:val="continue"/>
          </w:tcPr>
          <w:p>
            <w:pPr>
              <w:spacing w:after="0"/>
              <w:rPr>
                <w:sz w:val="6"/>
                <w:szCs w:val="6"/>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Executive Leadership</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Chairman</w:t>
            </w: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Merger and Acquisition</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Eagles Landing Partners</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Mergers and Acquisitions</w:t>
            </w: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100"/>
        </w:trPr>
        <w:tc>
          <w:tcPr>
            <w:tcW w:w="4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b w:val="1"/>
                <w:bCs w:val="1"/>
                <w:color w:val="auto"/>
              </w:rPr>
              <w:t>(Chair)</w:t>
            </w:r>
          </w:p>
        </w:tc>
        <w:tc>
          <w:tcPr>
            <w:tcW w:w="38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4200" w:type="dxa"/>
            <w:vAlign w:val="bottom"/>
            <w:tcBorders>
              <w:bottom w:val="single" w:sz="8" w:color="D0CECE"/>
            </w:tcBorders>
          </w:tcPr>
          <w:p>
            <w:pPr>
              <w:spacing w:after="0"/>
              <w:rPr>
                <w:sz w:val="6"/>
                <w:szCs w:val="6"/>
                <w:color w:val="auto"/>
              </w:rPr>
            </w:pPr>
          </w:p>
        </w:tc>
        <w:tc>
          <w:tcPr>
            <w:tcW w:w="700" w:type="dxa"/>
            <w:vAlign w:val="bottom"/>
            <w:tcBorders>
              <w:bottom w:val="single" w:sz="8" w:color="D0CECE"/>
            </w:tcBorders>
          </w:tcPr>
          <w:p>
            <w:pPr>
              <w:spacing w:after="0"/>
              <w:rPr>
                <w:sz w:val="6"/>
                <w:szCs w:val="6"/>
                <w:color w:val="auto"/>
              </w:rPr>
            </w:pPr>
          </w:p>
        </w:tc>
        <w:tc>
          <w:tcPr>
            <w:tcW w:w="900" w:type="dxa"/>
            <w:vAlign w:val="bottom"/>
            <w:tcBorders>
              <w:bottom w:val="single" w:sz="8" w:color="D0CECE"/>
            </w:tcBorders>
          </w:tcPr>
          <w:p>
            <w:pPr>
              <w:spacing w:after="0"/>
              <w:rPr>
                <w:sz w:val="6"/>
                <w:szCs w:val="6"/>
                <w:color w:val="auto"/>
              </w:rPr>
            </w:pPr>
          </w:p>
        </w:tc>
        <w:tc>
          <w:tcPr>
            <w:tcW w:w="1840" w:type="dxa"/>
            <w:vAlign w:val="bottom"/>
            <w:tcBorders>
              <w:bottom w:val="single" w:sz="8" w:color="D0CECE"/>
            </w:tcBorders>
          </w:tcPr>
          <w:p>
            <w:pPr>
              <w:spacing w:after="0"/>
              <w:rPr>
                <w:sz w:val="6"/>
                <w:szCs w:val="6"/>
                <w:color w:val="auto"/>
              </w:rPr>
            </w:pPr>
          </w:p>
        </w:tc>
        <w:tc>
          <w:tcPr>
            <w:tcW w:w="380" w:type="dxa"/>
            <w:vAlign w:val="bottom"/>
            <w:tcBorders>
              <w:bottom w:val="single" w:sz="8" w:color="D0CECE"/>
            </w:tcBorders>
          </w:tcPr>
          <w:p>
            <w:pPr>
              <w:spacing w:after="0"/>
              <w:rPr>
                <w:sz w:val="6"/>
                <w:szCs w:val="6"/>
                <w:color w:val="auto"/>
              </w:rPr>
            </w:pPr>
          </w:p>
        </w:tc>
        <w:tc>
          <w:tcPr>
            <w:tcW w:w="1900" w:type="dxa"/>
            <w:vAlign w:val="bottom"/>
            <w:tcBorders>
              <w:bottom w:val="single" w:sz="8" w:color="D0CECE"/>
            </w:tcBorders>
          </w:tcPr>
          <w:p>
            <w:pPr>
              <w:spacing w:after="0"/>
              <w:rPr>
                <w:sz w:val="6"/>
                <w:szCs w:val="6"/>
                <w:color w:val="auto"/>
              </w:rPr>
            </w:pPr>
          </w:p>
        </w:tc>
        <w:tc>
          <w:tcPr>
            <w:tcW w:w="0" w:type="dxa"/>
            <w:vAlign w:val="bottom"/>
          </w:tcPr>
          <w:p>
            <w:pPr>
              <w:spacing w:after="0"/>
              <w:rPr>
                <w:sz w:val="1"/>
                <w:szCs w:val="1"/>
                <w:color w:val="auto"/>
              </w:rPr>
            </w:pPr>
          </w:p>
        </w:tc>
      </w:tr>
      <w:tr>
        <w:trPr>
          <w:trHeight w:val="385"/>
        </w:trPr>
        <w:tc>
          <w:tcPr>
            <w:tcW w:w="4200" w:type="dxa"/>
            <w:vAlign w:val="bottom"/>
          </w:tcPr>
          <w:p>
            <w:pPr>
              <w:ind w:left="1340"/>
              <w:spacing w:after="0"/>
              <w:rPr>
                <w:sz w:val="20"/>
                <w:szCs w:val="20"/>
                <w:color w:val="auto"/>
              </w:rPr>
            </w:pPr>
            <w:r>
              <w:rPr>
                <w:rFonts w:ascii="Arial" w:cs="Arial" w:eastAsia="Arial" w:hAnsi="Arial"/>
                <w:sz w:val="13"/>
                <w:szCs w:val="13"/>
                <w:b w:val="1"/>
                <w:bCs w:val="1"/>
                <w:color w:val="3C578C"/>
              </w:rPr>
              <w:t>CLAUDIO A. MANNARINO</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595959"/>
              </w:rPr>
              <w:t>53</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595959"/>
                <w:w w:val="96"/>
              </w:rPr>
              <w:t>2015</w:t>
            </w:r>
          </w:p>
        </w:tc>
        <w:tc>
          <w:tcPr>
            <w:tcW w:w="1840" w:type="dxa"/>
            <w:vAlign w:val="bottom"/>
          </w:tcPr>
          <w:p>
            <w:pPr>
              <w:jc w:val="center"/>
              <w:spacing w:after="0"/>
              <w:rPr>
                <w:sz w:val="20"/>
                <w:szCs w:val="20"/>
                <w:color w:val="auto"/>
              </w:rPr>
            </w:pPr>
            <w:r>
              <w:rPr>
                <w:rFonts w:ascii="Arial" w:cs="Arial" w:eastAsia="Arial" w:hAnsi="Arial"/>
                <w:sz w:val="13"/>
                <w:szCs w:val="13"/>
                <w:color w:val="auto"/>
              </w:rPr>
              <w:t>Audit</w:t>
            </w: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Financial</w:t>
            </w:r>
          </w:p>
        </w:tc>
        <w:tc>
          <w:tcPr>
            <w:tcW w:w="0" w:type="dxa"/>
            <w:vAlign w:val="bottom"/>
          </w:tcPr>
          <w:p>
            <w:pPr>
              <w:spacing w:after="0"/>
              <w:rPr>
                <w:sz w:val="1"/>
                <w:szCs w:val="1"/>
                <w:color w:val="auto"/>
              </w:rPr>
            </w:pPr>
          </w:p>
        </w:tc>
      </w:tr>
      <w:tr>
        <w:trPr>
          <w:trHeight w:val="12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President</w:t>
            </w:r>
          </w:p>
        </w:tc>
        <w:tc>
          <w:tcPr>
            <w:tcW w:w="7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840" w:type="dxa"/>
            <w:vAlign w:val="bottom"/>
          </w:tcPr>
          <w:p>
            <w:pPr>
              <w:spacing w:after="0"/>
              <w:rPr>
                <w:sz w:val="10"/>
                <w:szCs w:val="10"/>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Strategy</w:t>
            </w:r>
          </w:p>
        </w:tc>
        <w:tc>
          <w:tcPr>
            <w:tcW w:w="0" w:type="dxa"/>
            <w:vAlign w:val="bottom"/>
          </w:tcPr>
          <w:p>
            <w:pPr>
              <w:spacing w:after="0"/>
              <w:rPr>
                <w:sz w:val="1"/>
                <w:szCs w:val="1"/>
                <w:color w:val="auto"/>
              </w:rPr>
            </w:pPr>
          </w:p>
        </w:tc>
      </w:tr>
      <w:tr>
        <w:trPr>
          <w:trHeight w:val="25"/>
        </w:trPr>
        <w:tc>
          <w:tcPr>
            <w:tcW w:w="420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Compensation</w:t>
            </w:r>
          </w:p>
        </w:tc>
        <w:tc>
          <w:tcPr>
            <w:tcW w:w="380" w:type="dxa"/>
            <w:vAlign w:val="bottom"/>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200" w:type="dxa"/>
            <w:vAlign w:val="bottom"/>
          </w:tcPr>
          <w:p>
            <w:pPr>
              <w:ind w:left="1340"/>
              <w:spacing w:after="0"/>
              <w:rPr>
                <w:sz w:val="20"/>
                <w:szCs w:val="20"/>
                <w:color w:val="auto"/>
              </w:rPr>
            </w:pPr>
            <w:r>
              <w:rPr>
                <w:rFonts w:ascii="Arial" w:cs="Arial" w:eastAsia="Arial" w:hAnsi="Arial"/>
                <w:sz w:val="13"/>
                <w:szCs w:val="13"/>
                <w:color w:val="7F7F7F"/>
              </w:rPr>
              <w:t>Sette CS Inc</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Merger and Acquisition</w:t>
            </w:r>
          </w:p>
        </w:tc>
        <w:tc>
          <w:tcPr>
            <w:tcW w:w="0" w:type="dxa"/>
            <w:vAlign w:val="bottom"/>
          </w:tcPr>
          <w:p>
            <w:pPr>
              <w:spacing w:after="0"/>
              <w:rPr>
                <w:sz w:val="1"/>
                <w:szCs w:val="1"/>
                <w:color w:val="auto"/>
              </w:rPr>
            </w:pPr>
          </w:p>
        </w:tc>
      </w:tr>
      <w:tr>
        <w:trPr>
          <w:trHeight w:val="233"/>
        </w:trPr>
        <w:tc>
          <w:tcPr>
            <w:tcW w:w="4200" w:type="dxa"/>
            <w:vAlign w:val="bottom"/>
            <w:tcBorders>
              <w:bottom w:val="single" w:sz="8" w:color="D0CECE"/>
            </w:tcBorders>
          </w:tcPr>
          <w:p>
            <w:pPr>
              <w:spacing w:after="0"/>
              <w:rPr>
                <w:sz w:val="20"/>
                <w:szCs w:val="20"/>
                <w:color w:val="auto"/>
              </w:rPr>
            </w:pPr>
          </w:p>
        </w:tc>
        <w:tc>
          <w:tcPr>
            <w:tcW w:w="700" w:type="dxa"/>
            <w:vAlign w:val="bottom"/>
            <w:tcBorders>
              <w:bottom w:val="single" w:sz="8" w:color="D0CECE"/>
            </w:tcBorders>
          </w:tcPr>
          <w:p>
            <w:pPr>
              <w:spacing w:after="0"/>
              <w:rPr>
                <w:sz w:val="20"/>
                <w:szCs w:val="20"/>
                <w:color w:val="auto"/>
              </w:rPr>
            </w:pPr>
          </w:p>
        </w:tc>
        <w:tc>
          <w:tcPr>
            <w:tcW w:w="900" w:type="dxa"/>
            <w:vAlign w:val="bottom"/>
            <w:tcBorders>
              <w:bottom w:val="single" w:sz="8" w:color="D0CECE"/>
            </w:tcBorders>
          </w:tcPr>
          <w:p>
            <w:pPr>
              <w:spacing w:after="0"/>
              <w:rPr>
                <w:sz w:val="20"/>
                <w:szCs w:val="20"/>
                <w:color w:val="auto"/>
              </w:rPr>
            </w:pPr>
          </w:p>
        </w:tc>
        <w:tc>
          <w:tcPr>
            <w:tcW w:w="1840" w:type="dxa"/>
            <w:vAlign w:val="bottom"/>
            <w:tcBorders>
              <w:bottom w:val="single" w:sz="8" w:color="D0CECE"/>
            </w:tcBorders>
          </w:tcPr>
          <w:p>
            <w:pPr>
              <w:spacing w:after="0"/>
              <w:rPr>
                <w:sz w:val="20"/>
                <w:szCs w:val="20"/>
                <w:color w:val="auto"/>
              </w:rPr>
            </w:pPr>
          </w:p>
        </w:tc>
        <w:tc>
          <w:tcPr>
            <w:tcW w:w="380" w:type="dxa"/>
            <w:vAlign w:val="bottom"/>
            <w:tcBorders>
              <w:bottom w:val="single" w:sz="8" w:color="D0CECE"/>
            </w:tcBorders>
          </w:tcPr>
          <w:p>
            <w:pPr>
              <w:spacing w:after="0"/>
              <w:rPr>
                <w:sz w:val="20"/>
                <w:szCs w:val="20"/>
                <w:color w:val="auto"/>
              </w:rPr>
            </w:pPr>
          </w:p>
        </w:tc>
        <w:tc>
          <w:tcPr>
            <w:tcW w:w="1900" w:type="dxa"/>
            <w:vAlign w:val="bottom"/>
            <w:tcBorders>
              <w:bottom w:val="single" w:sz="8" w:color="D0CECE"/>
            </w:tcBorders>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MUNISH NANDA</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rPr>
              <w:t>Audit</w:t>
            </w: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Operations</w:t>
            </w: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Fluid Handling</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Former President, Americas &amp; Europe</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595959"/>
              </w:rPr>
              <w:t>59</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595959"/>
                <w:w w:val="96"/>
              </w:rPr>
              <w:t>2018</w:t>
            </w:r>
          </w:p>
        </w:tc>
        <w:tc>
          <w:tcPr>
            <w:tcW w:w="18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Nominations and</w:t>
            </w: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Energy</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Watts Water Technologies, Inc.</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Governance</w:t>
            </w: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Manufacturing</w:t>
            </w:r>
          </w:p>
        </w:tc>
        <w:tc>
          <w:tcPr>
            <w:tcW w:w="0" w:type="dxa"/>
            <w:vAlign w:val="bottom"/>
          </w:tcPr>
          <w:p>
            <w:pPr>
              <w:spacing w:after="0"/>
              <w:rPr>
                <w:sz w:val="1"/>
                <w:szCs w:val="1"/>
                <w:color w:val="auto"/>
              </w:rPr>
            </w:pPr>
          </w:p>
        </w:tc>
      </w:tr>
      <w:tr>
        <w:trPr>
          <w:trHeight w:val="75"/>
        </w:trPr>
        <w:tc>
          <w:tcPr>
            <w:tcW w:w="4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200" w:type="dxa"/>
            <w:vAlign w:val="bottom"/>
            <w:tcBorders>
              <w:bottom w:val="single" w:sz="8" w:color="D0CECE"/>
            </w:tcBorders>
          </w:tcPr>
          <w:p>
            <w:pPr>
              <w:spacing w:after="0"/>
              <w:rPr>
                <w:sz w:val="13"/>
                <w:szCs w:val="13"/>
                <w:color w:val="auto"/>
              </w:rPr>
            </w:pPr>
          </w:p>
        </w:tc>
        <w:tc>
          <w:tcPr>
            <w:tcW w:w="700" w:type="dxa"/>
            <w:vAlign w:val="bottom"/>
            <w:tcBorders>
              <w:bottom w:val="single" w:sz="8" w:color="D0CECE"/>
            </w:tcBorders>
          </w:tcPr>
          <w:p>
            <w:pPr>
              <w:spacing w:after="0"/>
              <w:rPr>
                <w:sz w:val="13"/>
                <w:szCs w:val="13"/>
                <w:color w:val="auto"/>
              </w:rPr>
            </w:pPr>
          </w:p>
        </w:tc>
        <w:tc>
          <w:tcPr>
            <w:tcW w:w="900" w:type="dxa"/>
            <w:vAlign w:val="bottom"/>
            <w:tcBorders>
              <w:bottom w:val="single" w:sz="8" w:color="D0CECE"/>
            </w:tcBorders>
          </w:tcPr>
          <w:p>
            <w:pPr>
              <w:spacing w:after="0"/>
              <w:rPr>
                <w:sz w:val="13"/>
                <w:szCs w:val="13"/>
                <w:color w:val="auto"/>
              </w:rPr>
            </w:pPr>
          </w:p>
        </w:tc>
        <w:tc>
          <w:tcPr>
            <w:tcW w:w="1840" w:type="dxa"/>
            <w:vAlign w:val="bottom"/>
            <w:tcBorders>
              <w:bottom w:val="single" w:sz="8" w:color="D0CECE"/>
            </w:tcBorders>
          </w:tcPr>
          <w:p>
            <w:pPr>
              <w:spacing w:after="0"/>
              <w:rPr>
                <w:sz w:val="13"/>
                <w:szCs w:val="13"/>
                <w:color w:val="auto"/>
              </w:rPr>
            </w:pPr>
          </w:p>
        </w:tc>
        <w:tc>
          <w:tcPr>
            <w:tcW w:w="380" w:type="dxa"/>
            <w:vAlign w:val="bottom"/>
            <w:tcBorders>
              <w:bottom w:val="single" w:sz="8" w:color="D0CECE"/>
            </w:tcBorders>
          </w:tcPr>
          <w:p>
            <w:pPr>
              <w:spacing w:after="0"/>
              <w:rPr>
                <w:sz w:val="13"/>
                <w:szCs w:val="13"/>
                <w:color w:val="auto"/>
              </w:rPr>
            </w:pPr>
          </w:p>
        </w:tc>
        <w:tc>
          <w:tcPr>
            <w:tcW w:w="1900" w:type="dxa"/>
            <w:vAlign w:val="bottom"/>
            <w:tcBorders>
              <w:bottom w:val="single" w:sz="8" w:color="D0CECE"/>
            </w:tcBorders>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VALERIE GENTILE SACHS</w:t>
            </w: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Compensation</w:t>
            </w: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Legal</w:t>
            </w:r>
          </w:p>
        </w:tc>
        <w:tc>
          <w:tcPr>
            <w:tcW w:w="0" w:type="dxa"/>
            <w:vAlign w:val="bottom"/>
          </w:tcPr>
          <w:p>
            <w:pPr>
              <w:spacing w:after="0"/>
              <w:rPr>
                <w:sz w:val="1"/>
                <w:szCs w:val="1"/>
                <w:color w:val="auto"/>
              </w:rPr>
            </w:pPr>
          </w:p>
        </w:tc>
      </w:tr>
      <w:tr>
        <w:trPr>
          <w:trHeight w:val="83"/>
        </w:trPr>
        <w:tc>
          <w:tcPr>
            <w:tcW w:w="42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Management</w:t>
            </w:r>
          </w:p>
        </w:tc>
        <w:tc>
          <w:tcPr>
            <w:tcW w:w="0" w:type="dxa"/>
            <w:vAlign w:val="bottom"/>
          </w:tcPr>
          <w:p>
            <w:pPr>
              <w:spacing w:after="0"/>
              <w:rPr>
                <w:sz w:val="1"/>
                <w:szCs w:val="1"/>
                <w:color w:val="auto"/>
              </w:rPr>
            </w:pPr>
          </w:p>
        </w:tc>
      </w:tr>
      <w:tr>
        <w:trPr>
          <w:trHeight w:val="67"/>
        </w:trPr>
        <w:tc>
          <w:tcPr>
            <w:tcW w:w="4200" w:type="dxa"/>
            <w:vAlign w:val="bottom"/>
            <w:vMerge w:val="restart"/>
          </w:tcPr>
          <w:p>
            <w:pPr>
              <w:ind w:left="1340"/>
              <w:spacing w:after="0" w:line="143" w:lineRule="exact"/>
              <w:rPr>
                <w:sz w:val="20"/>
                <w:szCs w:val="20"/>
                <w:color w:val="auto"/>
              </w:rPr>
            </w:pPr>
            <w:r>
              <w:rPr>
                <w:rFonts w:ascii="Arial" w:cs="Arial" w:eastAsia="Arial" w:hAnsi="Arial"/>
                <w:sz w:val="13"/>
                <w:szCs w:val="13"/>
                <w:color w:val="7F7F7F"/>
              </w:rPr>
              <w:t>Former Vice President, General Counsel and</w:t>
            </w:r>
          </w:p>
        </w:tc>
        <w:tc>
          <w:tcPr>
            <w:tcW w:w="700" w:type="dxa"/>
            <w:vAlign w:val="bottom"/>
            <w:vMerge w:val="restart"/>
          </w:tcPr>
          <w:p>
            <w:pPr>
              <w:jc w:val="center"/>
              <w:spacing w:after="0" w:line="143" w:lineRule="exact"/>
              <w:rPr>
                <w:sz w:val="20"/>
                <w:szCs w:val="20"/>
                <w:color w:val="auto"/>
              </w:rPr>
            </w:pPr>
            <w:r>
              <w:rPr>
                <w:rFonts w:ascii="Arial" w:cs="Arial" w:eastAsia="Arial" w:hAnsi="Arial"/>
                <w:sz w:val="13"/>
                <w:szCs w:val="13"/>
                <w:color w:val="595959"/>
              </w:rPr>
              <w:t>68</w:t>
            </w:r>
          </w:p>
        </w:tc>
        <w:tc>
          <w:tcPr>
            <w:tcW w:w="900" w:type="dxa"/>
            <w:vAlign w:val="bottom"/>
            <w:vMerge w:val="restart"/>
          </w:tcPr>
          <w:p>
            <w:pPr>
              <w:jc w:val="center"/>
              <w:ind w:left="33"/>
              <w:spacing w:after="0" w:line="143" w:lineRule="exact"/>
              <w:rPr>
                <w:sz w:val="20"/>
                <w:szCs w:val="20"/>
                <w:color w:val="auto"/>
              </w:rPr>
            </w:pPr>
            <w:r>
              <w:rPr>
                <w:rFonts w:ascii="Arial" w:cs="Arial" w:eastAsia="Arial" w:hAnsi="Arial"/>
                <w:sz w:val="13"/>
                <w:szCs w:val="13"/>
                <w:color w:val="595959"/>
                <w:w w:val="96"/>
              </w:rPr>
              <w:t>2016</w:t>
            </w:r>
          </w:p>
        </w:tc>
        <w:tc>
          <w:tcPr>
            <w:tcW w:w="18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Nominations and</w:t>
            </w: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Governance</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line="133" w:lineRule="exact"/>
              <w:rPr>
                <w:sz w:val="20"/>
                <w:szCs w:val="20"/>
                <w:color w:val="auto"/>
              </w:rPr>
            </w:pPr>
            <w:r>
              <w:rPr>
                <w:rFonts w:ascii="Arial" w:cs="Arial" w:eastAsia="Arial" w:hAnsi="Arial"/>
                <w:sz w:val="13"/>
                <w:szCs w:val="13"/>
                <w:color w:val="7F7F7F"/>
              </w:rPr>
              <w:t>Corporate Secretary</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4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40" w:type="dxa"/>
            <w:vAlign w:val="bottom"/>
            <w:vMerge w:val="continue"/>
          </w:tcPr>
          <w:p>
            <w:pPr>
              <w:spacing w:after="0"/>
              <w:rPr>
                <w:sz w:val="5"/>
                <w:szCs w:val="5"/>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Compliance</w:t>
            </w:r>
          </w:p>
        </w:tc>
        <w:tc>
          <w:tcPr>
            <w:tcW w:w="0" w:type="dxa"/>
            <w:vAlign w:val="bottom"/>
          </w:tcPr>
          <w:p>
            <w:pPr>
              <w:spacing w:after="0"/>
              <w:rPr>
                <w:sz w:val="1"/>
                <w:szCs w:val="1"/>
                <w:color w:val="auto"/>
              </w:rPr>
            </w:pPr>
          </w:p>
        </w:tc>
      </w:tr>
      <w:tr>
        <w:trPr>
          <w:trHeight w:val="92"/>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OM Group, Inc.</w:t>
            </w: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 xml:space="preserve">Governance </w:t>
            </w:r>
            <w:r>
              <w:rPr>
                <w:rFonts w:ascii="Arial" w:cs="Arial" w:eastAsia="Arial" w:hAnsi="Arial"/>
                <w:sz w:val="13"/>
                <w:szCs w:val="13"/>
                <w:b w:val="1"/>
                <w:bCs w:val="1"/>
                <w:color w:val="auto"/>
              </w:rPr>
              <w:t>(Chair)</w:t>
            </w:r>
          </w:p>
        </w:tc>
        <w:tc>
          <w:tcPr>
            <w:tcW w:w="38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vMerge w:val="continue"/>
          </w:tcPr>
          <w:p>
            <w:pPr>
              <w:spacing w:after="0"/>
              <w:rPr>
                <w:sz w:val="8"/>
                <w:szCs w:val="8"/>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75"/>
        </w:trPr>
        <w:tc>
          <w:tcPr>
            <w:tcW w:w="4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4200" w:type="dxa"/>
            <w:vAlign w:val="bottom"/>
            <w:tcBorders>
              <w:bottom w:val="single" w:sz="8" w:color="D0CECE"/>
            </w:tcBorders>
          </w:tcPr>
          <w:p>
            <w:pPr>
              <w:spacing w:after="0"/>
              <w:rPr>
                <w:sz w:val="7"/>
                <w:szCs w:val="7"/>
                <w:color w:val="auto"/>
              </w:rPr>
            </w:pPr>
          </w:p>
        </w:tc>
        <w:tc>
          <w:tcPr>
            <w:tcW w:w="700" w:type="dxa"/>
            <w:vAlign w:val="bottom"/>
            <w:tcBorders>
              <w:bottom w:val="single" w:sz="8" w:color="D0CECE"/>
            </w:tcBorders>
          </w:tcPr>
          <w:p>
            <w:pPr>
              <w:spacing w:after="0"/>
              <w:rPr>
                <w:sz w:val="7"/>
                <w:szCs w:val="7"/>
                <w:color w:val="auto"/>
              </w:rPr>
            </w:pPr>
          </w:p>
        </w:tc>
        <w:tc>
          <w:tcPr>
            <w:tcW w:w="900" w:type="dxa"/>
            <w:vAlign w:val="bottom"/>
            <w:tcBorders>
              <w:bottom w:val="single" w:sz="8" w:color="D0CECE"/>
            </w:tcBorders>
          </w:tcPr>
          <w:p>
            <w:pPr>
              <w:spacing w:after="0"/>
              <w:rPr>
                <w:sz w:val="7"/>
                <w:szCs w:val="7"/>
                <w:color w:val="auto"/>
              </w:rPr>
            </w:pPr>
          </w:p>
        </w:tc>
        <w:tc>
          <w:tcPr>
            <w:tcW w:w="1840" w:type="dxa"/>
            <w:vAlign w:val="bottom"/>
            <w:tcBorders>
              <w:bottom w:val="single" w:sz="8" w:color="D0CECE"/>
            </w:tcBorders>
          </w:tcPr>
          <w:p>
            <w:pPr>
              <w:spacing w:after="0"/>
              <w:rPr>
                <w:sz w:val="7"/>
                <w:szCs w:val="7"/>
                <w:color w:val="auto"/>
              </w:rPr>
            </w:pPr>
          </w:p>
        </w:tc>
        <w:tc>
          <w:tcPr>
            <w:tcW w:w="380" w:type="dxa"/>
            <w:vAlign w:val="bottom"/>
            <w:tcBorders>
              <w:bottom w:val="single" w:sz="8" w:color="D0CECE"/>
            </w:tcBorders>
          </w:tcPr>
          <w:p>
            <w:pPr>
              <w:spacing w:after="0"/>
              <w:rPr>
                <w:sz w:val="7"/>
                <w:szCs w:val="7"/>
                <w:color w:val="auto"/>
              </w:rPr>
            </w:pPr>
          </w:p>
        </w:tc>
        <w:tc>
          <w:tcPr>
            <w:tcW w:w="1900" w:type="dxa"/>
            <w:vAlign w:val="bottom"/>
            <w:tcBorders>
              <w:bottom w:val="single" w:sz="8" w:color="D0CECE"/>
            </w:tcBorders>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4200" w:type="dxa"/>
            <w:vAlign w:val="bottom"/>
            <w:vMerge w:val="restart"/>
          </w:tcPr>
          <w:p>
            <w:pPr>
              <w:ind w:left="1340"/>
              <w:spacing w:after="0"/>
              <w:rPr>
                <w:sz w:val="20"/>
                <w:szCs w:val="20"/>
                <w:color w:val="auto"/>
              </w:rPr>
            </w:pPr>
            <w:r>
              <w:rPr>
                <w:rFonts w:ascii="Arial" w:cs="Arial" w:eastAsia="Arial" w:hAnsi="Arial"/>
                <w:sz w:val="13"/>
                <w:szCs w:val="13"/>
                <w:b w:val="1"/>
                <w:bCs w:val="1"/>
                <w:color w:val="3C578C"/>
              </w:rPr>
              <w:t>LAURIE A. SIEGEL</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tcPr>
          <w:p>
            <w:pPr>
              <w:ind w:left="120"/>
              <w:spacing w:after="0"/>
              <w:rPr>
                <w:sz w:val="20"/>
                <w:szCs w:val="20"/>
                <w:color w:val="auto"/>
              </w:rPr>
            </w:pPr>
            <w:r>
              <w:rPr>
                <w:rFonts w:ascii="Arial" w:cs="Arial" w:eastAsia="Arial" w:hAnsi="Arial"/>
                <w:sz w:val="13"/>
                <w:szCs w:val="13"/>
                <w:color w:val="auto"/>
              </w:rPr>
              <w:t>Executive Leadership</w:t>
            </w:r>
          </w:p>
        </w:tc>
        <w:tc>
          <w:tcPr>
            <w:tcW w:w="0" w:type="dxa"/>
            <w:vAlign w:val="bottom"/>
          </w:tcPr>
          <w:p>
            <w:pPr>
              <w:spacing w:after="0"/>
              <w:rPr>
                <w:sz w:val="1"/>
                <w:szCs w:val="1"/>
                <w:color w:val="auto"/>
              </w:rPr>
            </w:pPr>
          </w:p>
        </w:tc>
      </w:tr>
      <w:tr>
        <w:trPr>
          <w:trHeight w:val="100"/>
        </w:trPr>
        <w:tc>
          <w:tcPr>
            <w:tcW w:w="4200" w:type="dxa"/>
            <w:vAlign w:val="bottom"/>
            <w:vMerge w:val="continue"/>
          </w:tcPr>
          <w:p>
            <w:pPr>
              <w:spacing w:after="0"/>
              <w:rPr>
                <w:sz w:val="8"/>
                <w:szCs w:val="8"/>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color w:val="595959"/>
              </w:rPr>
              <w:t>67</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595959"/>
                <w:w w:val="96"/>
              </w:rPr>
              <w:t>2023</w:t>
            </w: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Compensation</w:t>
            </w: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Compensation</w:t>
            </w:r>
          </w:p>
        </w:tc>
        <w:tc>
          <w:tcPr>
            <w:tcW w:w="0" w:type="dxa"/>
            <w:vAlign w:val="bottom"/>
          </w:tcPr>
          <w:p>
            <w:pPr>
              <w:spacing w:after="0"/>
              <w:rPr>
                <w:sz w:val="1"/>
                <w:szCs w:val="1"/>
                <w:color w:val="auto"/>
              </w:rPr>
            </w:pPr>
          </w:p>
        </w:tc>
      </w:tr>
      <w:tr>
        <w:trPr>
          <w:trHeight w:val="58"/>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President</w:t>
            </w:r>
          </w:p>
        </w:tc>
        <w:tc>
          <w:tcPr>
            <w:tcW w:w="7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84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Human Resources</w:t>
            </w:r>
          </w:p>
        </w:tc>
        <w:tc>
          <w:tcPr>
            <w:tcW w:w="0" w:type="dxa"/>
            <w:vAlign w:val="bottom"/>
          </w:tcPr>
          <w:p>
            <w:pPr>
              <w:spacing w:after="0"/>
              <w:rPr>
                <w:sz w:val="1"/>
                <w:szCs w:val="1"/>
                <w:color w:val="auto"/>
              </w:rPr>
            </w:pPr>
          </w:p>
        </w:tc>
      </w:tr>
      <w:tr>
        <w:trPr>
          <w:trHeight w:val="82"/>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LAS Advisory Services.</w:t>
            </w:r>
          </w:p>
        </w:tc>
        <w:tc>
          <w:tcPr>
            <w:tcW w:w="7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2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4200" w:type="dxa"/>
            <w:vAlign w:val="bottom"/>
            <w:tcBorders>
              <w:bottom w:val="single" w:sz="8" w:color="D0CECE"/>
            </w:tcBorders>
          </w:tcPr>
          <w:p>
            <w:pPr>
              <w:spacing w:after="0"/>
              <w:rPr>
                <w:sz w:val="23"/>
                <w:szCs w:val="23"/>
                <w:color w:val="auto"/>
              </w:rPr>
            </w:pPr>
          </w:p>
        </w:tc>
        <w:tc>
          <w:tcPr>
            <w:tcW w:w="700" w:type="dxa"/>
            <w:vAlign w:val="bottom"/>
            <w:tcBorders>
              <w:bottom w:val="single" w:sz="8" w:color="D0CECE"/>
            </w:tcBorders>
          </w:tcPr>
          <w:p>
            <w:pPr>
              <w:spacing w:after="0"/>
              <w:rPr>
                <w:sz w:val="23"/>
                <w:szCs w:val="23"/>
                <w:color w:val="auto"/>
              </w:rPr>
            </w:pPr>
          </w:p>
        </w:tc>
        <w:tc>
          <w:tcPr>
            <w:tcW w:w="900" w:type="dxa"/>
            <w:vAlign w:val="bottom"/>
            <w:tcBorders>
              <w:bottom w:val="single" w:sz="8" w:color="D0CECE"/>
            </w:tcBorders>
          </w:tcPr>
          <w:p>
            <w:pPr>
              <w:spacing w:after="0"/>
              <w:rPr>
                <w:sz w:val="23"/>
                <w:szCs w:val="23"/>
                <w:color w:val="auto"/>
              </w:rPr>
            </w:pPr>
          </w:p>
        </w:tc>
        <w:tc>
          <w:tcPr>
            <w:tcW w:w="1840" w:type="dxa"/>
            <w:vAlign w:val="bottom"/>
            <w:tcBorders>
              <w:bottom w:val="single" w:sz="8" w:color="D0CECE"/>
            </w:tcBorders>
          </w:tcPr>
          <w:p>
            <w:pPr>
              <w:spacing w:after="0"/>
              <w:rPr>
                <w:sz w:val="23"/>
                <w:szCs w:val="23"/>
                <w:color w:val="auto"/>
              </w:rPr>
            </w:pPr>
          </w:p>
        </w:tc>
        <w:tc>
          <w:tcPr>
            <w:tcW w:w="380" w:type="dxa"/>
            <w:vAlign w:val="bottom"/>
            <w:tcBorders>
              <w:bottom w:val="single" w:sz="8" w:color="D0CECE"/>
            </w:tcBorders>
          </w:tcPr>
          <w:p>
            <w:pPr>
              <w:spacing w:after="0"/>
              <w:rPr>
                <w:sz w:val="23"/>
                <w:szCs w:val="23"/>
                <w:color w:val="auto"/>
              </w:rPr>
            </w:pPr>
          </w:p>
        </w:tc>
        <w:tc>
          <w:tcPr>
            <w:tcW w:w="1900" w:type="dxa"/>
            <w:vAlign w:val="bottom"/>
            <w:tcBorders>
              <w:bottom w:val="single" w:sz="8" w:color="D0CECE"/>
            </w:tcBorders>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4200" w:type="dxa"/>
            <w:vAlign w:val="bottom"/>
          </w:tcPr>
          <w:p>
            <w:pPr>
              <w:ind w:left="1340"/>
              <w:spacing w:after="0"/>
              <w:rPr>
                <w:sz w:val="20"/>
                <w:szCs w:val="20"/>
                <w:color w:val="auto"/>
              </w:rPr>
            </w:pPr>
            <w:r>
              <w:rPr>
                <w:rFonts w:ascii="Arial" w:cs="Arial" w:eastAsia="Arial" w:hAnsi="Arial"/>
                <w:sz w:val="13"/>
                <w:szCs w:val="13"/>
                <w:b w:val="1"/>
                <w:bCs w:val="1"/>
                <w:color w:val="3C578C"/>
              </w:rPr>
              <w:t>RICHARD F. WALLMAN</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40" w:type="dxa"/>
            <w:vAlign w:val="bottom"/>
            <w:vMerge w:val="restart"/>
          </w:tcPr>
          <w:p>
            <w:pPr>
              <w:jc w:val="center"/>
              <w:ind w:right="13"/>
              <w:spacing w:after="0"/>
              <w:rPr>
                <w:sz w:val="20"/>
                <w:szCs w:val="20"/>
                <w:color w:val="auto"/>
              </w:rPr>
            </w:pPr>
            <w:r>
              <w:rPr>
                <w:rFonts w:ascii="Arial" w:cs="Arial" w:eastAsia="Arial" w:hAnsi="Arial"/>
                <w:sz w:val="13"/>
                <w:szCs w:val="13"/>
                <w:color w:val="auto"/>
              </w:rPr>
              <w:t xml:space="preserve">Audit </w:t>
            </w:r>
            <w:r>
              <w:rPr>
                <w:rFonts w:ascii="Arial" w:cs="Arial" w:eastAsia="Arial" w:hAnsi="Arial"/>
                <w:sz w:val="13"/>
                <w:szCs w:val="13"/>
                <w:b w:val="1"/>
                <w:bCs w:val="1"/>
                <w:color w:val="auto"/>
              </w:rPr>
              <w:t>(Chair)</w:t>
            </w: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Financial</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Former Senior Vice President and Chief</w:t>
            </w:r>
          </w:p>
        </w:tc>
        <w:tc>
          <w:tcPr>
            <w:tcW w:w="700" w:type="dxa"/>
            <w:vAlign w:val="bottom"/>
            <w:vMerge w:val="restart"/>
          </w:tcPr>
          <w:p>
            <w:pPr>
              <w:jc w:val="center"/>
              <w:spacing w:after="0"/>
              <w:rPr>
                <w:sz w:val="20"/>
                <w:szCs w:val="20"/>
                <w:color w:val="auto"/>
              </w:rPr>
            </w:pPr>
            <w:r>
              <w:rPr>
                <w:rFonts w:ascii="Arial" w:cs="Arial" w:eastAsia="Arial" w:hAnsi="Arial"/>
                <w:sz w:val="13"/>
                <w:szCs w:val="13"/>
                <w:color w:val="595959"/>
              </w:rPr>
              <w:t>72</w:t>
            </w:r>
          </w:p>
        </w:tc>
        <w:tc>
          <w:tcPr>
            <w:tcW w:w="900" w:type="dxa"/>
            <w:vAlign w:val="bottom"/>
            <w:vMerge w:val="restart"/>
          </w:tcPr>
          <w:p>
            <w:pPr>
              <w:jc w:val="center"/>
              <w:ind w:left="33"/>
              <w:spacing w:after="0"/>
              <w:rPr>
                <w:sz w:val="20"/>
                <w:szCs w:val="20"/>
                <w:color w:val="auto"/>
              </w:rPr>
            </w:pPr>
            <w:r>
              <w:rPr>
                <w:rFonts w:ascii="Arial" w:cs="Arial" w:eastAsia="Arial" w:hAnsi="Arial"/>
                <w:sz w:val="13"/>
                <w:szCs w:val="13"/>
                <w:color w:val="595959"/>
                <w:w w:val="96"/>
              </w:rPr>
              <w:t>2021</w:t>
            </w:r>
          </w:p>
        </w:tc>
        <w:tc>
          <w:tcPr>
            <w:tcW w:w="18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1840" w:type="dxa"/>
            <w:vAlign w:val="bottom"/>
          </w:tcPr>
          <w:p>
            <w:pPr>
              <w:spacing w:after="0"/>
              <w:rPr>
                <w:sz w:val="6"/>
                <w:szCs w:val="6"/>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Executive Leadership</w:t>
            </w:r>
          </w:p>
        </w:tc>
        <w:tc>
          <w:tcPr>
            <w:tcW w:w="0" w:type="dxa"/>
            <w:vAlign w:val="bottom"/>
          </w:tcPr>
          <w:p>
            <w:pPr>
              <w:spacing w:after="0"/>
              <w:rPr>
                <w:sz w:val="1"/>
                <w:szCs w:val="1"/>
                <w:color w:val="auto"/>
              </w:rPr>
            </w:pPr>
          </w:p>
        </w:tc>
      </w:tr>
      <w:tr>
        <w:trPr>
          <w:trHeight w:val="75"/>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Financial Officer</w:t>
            </w: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rPr>
              <w:t>Mergers and Acquisitions</w:t>
            </w:r>
          </w:p>
        </w:tc>
        <w:tc>
          <w:tcPr>
            <w:tcW w:w="38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3C578C"/>
              </w:rPr>
              <w:t>●</w:t>
            </w:r>
          </w:p>
        </w:tc>
        <w:tc>
          <w:tcPr>
            <w:tcW w:w="1900" w:type="dxa"/>
            <w:vAlign w:val="bottom"/>
            <w:vMerge w:val="restart"/>
          </w:tcPr>
          <w:p>
            <w:pPr>
              <w:ind w:left="120"/>
              <w:spacing w:after="0"/>
              <w:rPr>
                <w:sz w:val="20"/>
                <w:szCs w:val="20"/>
                <w:color w:val="auto"/>
              </w:rPr>
            </w:pPr>
            <w:r>
              <w:rPr>
                <w:rFonts w:ascii="Arial" w:cs="Arial" w:eastAsia="Arial" w:hAnsi="Arial"/>
                <w:sz w:val="13"/>
                <w:szCs w:val="13"/>
                <w:color w:val="auto"/>
              </w:rPr>
              <w:t>Management</w:t>
            </w:r>
          </w:p>
        </w:tc>
        <w:tc>
          <w:tcPr>
            <w:tcW w:w="0" w:type="dxa"/>
            <w:vAlign w:val="bottom"/>
          </w:tcPr>
          <w:p>
            <w:pPr>
              <w:spacing w:after="0"/>
              <w:rPr>
                <w:sz w:val="1"/>
                <w:szCs w:val="1"/>
                <w:color w:val="auto"/>
              </w:rPr>
            </w:pPr>
          </w:p>
        </w:tc>
      </w:tr>
      <w:tr>
        <w:trPr>
          <w:trHeight w:val="100"/>
        </w:trPr>
        <w:tc>
          <w:tcPr>
            <w:tcW w:w="4200" w:type="dxa"/>
            <w:vAlign w:val="bottom"/>
            <w:vMerge w:val="restart"/>
          </w:tcPr>
          <w:p>
            <w:pPr>
              <w:ind w:left="1340"/>
              <w:spacing w:after="0"/>
              <w:rPr>
                <w:sz w:val="20"/>
                <w:szCs w:val="20"/>
                <w:color w:val="auto"/>
              </w:rPr>
            </w:pPr>
            <w:r>
              <w:rPr>
                <w:rFonts w:ascii="Arial" w:cs="Arial" w:eastAsia="Arial" w:hAnsi="Arial"/>
                <w:sz w:val="13"/>
                <w:szCs w:val="13"/>
                <w:color w:val="7F7F7F"/>
              </w:rPr>
              <w:t>Honeywell International, Inc.</w:t>
            </w: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42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-4819650</wp:posOffset>
            </wp:positionV>
            <wp:extent cx="6301105" cy="4928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1105" cy="492823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2215515</wp:posOffset>
            </wp:positionH>
            <wp:positionV relativeFrom="paragraph">
              <wp:posOffset>45085</wp:posOffset>
            </wp:positionV>
            <wp:extent cx="3936365" cy="1563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36365" cy="1563370"/>
                    </a:xfrm>
                    <a:prstGeom prst="rect">
                      <a:avLst/>
                    </a:prstGeom>
                    <a:noFill/>
                  </pic:spPr>
                </pic:pic>
              </a:graphicData>
            </a:graphic>
          </wp:anchor>
        </w:drawing>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3C578C"/>
        </w:rPr>
        <w:t>I</w:t>
      </w:r>
      <w:r>
        <w:rPr>
          <w:rFonts w:ascii="Arial" w:cs="Arial" w:eastAsia="Arial" w:hAnsi="Arial"/>
          <w:sz w:val="13"/>
          <w:szCs w:val="13"/>
          <w:b w:val="1"/>
          <w:bCs w:val="1"/>
          <w:color w:val="3C578C"/>
        </w:rPr>
        <w:t>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85090</wp:posOffset>
            </wp:positionV>
            <wp:extent cx="1349375" cy="14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49375" cy="142875"/>
                    </a:xfrm>
                    <a:prstGeom prst="rect">
                      <a:avLst/>
                    </a:prstGeom>
                    <a:noFill/>
                  </pic:spPr>
                </pic:pic>
              </a:graphicData>
            </a:graphic>
          </wp:anchor>
        </w:drawing>
      </w:r>
    </w:p>
    <w:p>
      <w:pPr>
        <w:spacing w:after="0" w:line="330" w:lineRule="exact"/>
        <w:rPr>
          <w:sz w:val="20"/>
          <w:szCs w:val="20"/>
          <w:color w:val="auto"/>
        </w:rPr>
      </w:pPr>
    </w:p>
    <w:p>
      <w:pPr>
        <w:ind w:left="180"/>
        <w:spacing w:after="0"/>
        <w:rPr>
          <w:sz w:val="20"/>
          <w:szCs w:val="20"/>
          <w:color w:val="auto"/>
        </w:rPr>
      </w:pPr>
      <w:r>
        <w:rPr>
          <w:rFonts w:ascii="Arial" w:cs="Arial" w:eastAsia="Arial" w:hAnsi="Arial"/>
          <w:sz w:val="33"/>
          <w:szCs w:val="33"/>
          <w:color w:val="3C578C"/>
        </w:rPr>
        <w:t>7 of 8</w:t>
      </w:r>
    </w:p>
    <w:p>
      <w:pPr>
        <w:spacing w:after="0" w:line="334"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3C578C"/>
        </w:rPr>
        <w:t>WOMEN OR MINORITIES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100330</wp:posOffset>
            </wp:positionV>
            <wp:extent cx="1372870" cy="166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2870" cy="16637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Arial" w:cs="Arial" w:eastAsia="Arial" w:hAnsi="Arial"/>
          <w:sz w:val="33"/>
          <w:szCs w:val="33"/>
          <w:color w:val="3C578C"/>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470535</wp:posOffset>
            </wp:positionV>
            <wp:extent cx="630110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BUSINESS PERFORMANCE AND FINANCIAL HIGHLIGHTS</w:t>
      </w:r>
    </w:p>
    <w:p>
      <w:pPr>
        <w:spacing w:after="0" w:line="192" w:lineRule="exact"/>
        <w:rPr>
          <w:sz w:val="20"/>
          <w:szCs w:val="20"/>
          <w:color w:val="auto"/>
        </w:rPr>
      </w:pPr>
    </w:p>
    <w:p>
      <w:pPr>
        <w:ind w:right="660"/>
        <w:spacing w:after="0" w:line="267" w:lineRule="auto"/>
        <w:rPr>
          <w:sz w:val="20"/>
          <w:szCs w:val="20"/>
          <w:color w:val="auto"/>
        </w:rPr>
      </w:pPr>
      <w:r>
        <w:rPr>
          <w:rFonts w:ascii="Arial" w:cs="Arial" w:eastAsia="Arial" w:hAnsi="Arial"/>
          <w:sz w:val="16"/>
          <w:szCs w:val="16"/>
          <w:color w:val="auto"/>
        </w:rPr>
        <w:t>As an engineering and services company focused on helping our customers meet or exceed regulatory or self-appointed environmental targets, we understand that we have a responsibility to reduce our internal environmental footprint. We are also committed to ensuring that we are fostering an engaged workforce and strong processes around controls and transparency.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495"/>
        </w:trPr>
        <w:tc>
          <w:tcPr>
            <w:tcW w:w="2480" w:type="dxa"/>
            <w:vAlign w:val="bottom"/>
            <w:tcBorders>
              <w:top w:val="single" w:sz="8" w:color="3C578C"/>
            </w:tcBorders>
            <w:gridSpan w:val="2"/>
            <w:shd w:val="clear" w:color="auto" w:fill="EEEFE9"/>
          </w:tcPr>
          <w:p>
            <w:pPr>
              <w:jc w:val="center"/>
              <w:ind w:left="530"/>
              <w:spacing w:after="0"/>
              <w:rPr>
                <w:sz w:val="20"/>
                <w:szCs w:val="20"/>
                <w:color w:val="auto"/>
              </w:rPr>
            </w:pPr>
            <w:r>
              <w:rPr>
                <w:rFonts w:ascii="Arial" w:cs="Arial" w:eastAsia="Arial" w:hAnsi="Arial"/>
                <w:sz w:val="20"/>
                <w:szCs w:val="20"/>
                <w:b w:val="1"/>
                <w:bCs w:val="1"/>
                <w:color w:val="auto"/>
                <w:w w:val="99"/>
              </w:rPr>
              <w:t>REVENUE</w:t>
            </w:r>
          </w:p>
        </w:tc>
        <w:tc>
          <w:tcPr>
            <w:tcW w:w="680" w:type="dxa"/>
            <w:vAlign w:val="bottom"/>
            <w:tcBorders>
              <w:top w:val="single" w:sz="8" w:color="3C578C"/>
            </w:tcBorders>
            <w:shd w:val="clear" w:color="auto" w:fill="EEEFE9"/>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Borders>
              <w:top w:val="single" w:sz="8" w:color="3C578C"/>
            </w:tcBorders>
            <w:shd w:val="clear" w:color="auto" w:fill="EEEFE9"/>
          </w:tcPr>
          <w:p>
            <w:pPr>
              <w:spacing w:after="0"/>
              <w:rPr>
                <w:sz w:val="24"/>
                <w:szCs w:val="24"/>
                <w:color w:val="auto"/>
              </w:rPr>
            </w:pPr>
          </w:p>
        </w:tc>
        <w:tc>
          <w:tcPr>
            <w:tcW w:w="2100" w:type="dxa"/>
            <w:vAlign w:val="bottom"/>
            <w:tcBorders>
              <w:top w:val="single" w:sz="8" w:color="3C578C"/>
            </w:tcBorders>
            <w:gridSpan w:val="3"/>
            <w:shd w:val="clear" w:color="auto" w:fill="EEEFE9"/>
          </w:tcPr>
          <w:p>
            <w:pPr>
              <w:jc w:val="center"/>
              <w:ind w:right="930"/>
              <w:spacing w:after="0"/>
              <w:rPr>
                <w:sz w:val="20"/>
                <w:szCs w:val="20"/>
                <w:color w:val="auto"/>
              </w:rPr>
            </w:pPr>
            <w:r>
              <w:rPr>
                <w:rFonts w:ascii="Arial" w:cs="Arial" w:eastAsia="Arial" w:hAnsi="Arial"/>
                <w:sz w:val="20"/>
                <w:szCs w:val="20"/>
                <w:b w:val="1"/>
                <w:bCs w:val="1"/>
                <w:color w:val="auto"/>
              </w:rPr>
              <w:t>ORDERS</w:t>
            </w:r>
          </w:p>
        </w:tc>
        <w:tc>
          <w:tcPr>
            <w:tcW w:w="220" w:type="dxa"/>
            <w:vAlign w:val="bottom"/>
          </w:tcPr>
          <w:p>
            <w:pPr>
              <w:spacing w:after="0"/>
              <w:rPr>
                <w:sz w:val="24"/>
                <w:szCs w:val="24"/>
                <w:color w:val="auto"/>
              </w:rPr>
            </w:pPr>
          </w:p>
        </w:tc>
        <w:tc>
          <w:tcPr>
            <w:tcW w:w="320" w:type="dxa"/>
            <w:vAlign w:val="bottom"/>
            <w:tcBorders>
              <w:top w:val="single" w:sz="8" w:color="3C578C"/>
            </w:tcBorders>
            <w:shd w:val="clear" w:color="auto" w:fill="EEEFE9"/>
          </w:tcPr>
          <w:p>
            <w:pPr>
              <w:spacing w:after="0"/>
              <w:rPr>
                <w:sz w:val="24"/>
                <w:szCs w:val="24"/>
                <w:color w:val="auto"/>
              </w:rPr>
            </w:pPr>
          </w:p>
        </w:tc>
        <w:tc>
          <w:tcPr>
            <w:tcW w:w="2840" w:type="dxa"/>
            <w:vAlign w:val="bottom"/>
            <w:tcBorders>
              <w:top w:val="single" w:sz="8" w:color="3C578C"/>
            </w:tcBorders>
            <w:gridSpan w:val="3"/>
            <w:shd w:val="clear" w:color="auto" w:fill="EEEFE9"/>
          </w:tcPr>
          <w:p>
            <w:pPr>
              <w:jc w:val="center"/>
              <w:ind w:right="170"/>
              <w:spacing w:after="0"/>
              <w:rPr>
                <w:sz w:val="20"/>
                <w:szCs w:val="20"/>
                <w:color w:val="auto"/>
              </w:rPr>
            </w:pPr>
            <w:r>
              <w:rPr>
                <w:rFonts w:ascii="Arial" w:cs="Arial" w:eastAsia="Arial" w:hAnsi="Arial"/>
                <w:sz w:val="20"/>
                <w:szCs w:val="20"/>
                <w:b w:val="1"/>
                <w:bCs w:val="1"/>
                <w:color w:val="auto"/>
              </w:rPr>
              <w:t>EARNINGS PER SHARE</w:t>
            </w:r>
          </w:p>
        </w:tc>
      </w:tr>
      <w:tr>
        <w:trPr>
          <w:trHeight w:val="588"/>
        </w:trPr>
        <w:tc>
          <w:tcPr>
            <w:tcW w:w="2480" w:type="dxa"/>
            <w:vAlign w:val="bottom"/>
            <w:gridSpan w:val="2"/>
            <w:shd w:val="clear" w:color="auto" w:fill="EEEFE9"/>
          </w:tcPr>
          <w:p>
            <w:pPr>
              <w:jc w:val="center"/>
              <w:ind w:left="530"/>
              <w:spacing w:after="0"/>
              <w:rPr>
                <w:sz w:val="20"/>
                <w:szCs w:val="20"/>
                <w:color w:val="auto"/>
              </w:rPr>
            </w:pPr>
            <w:r>
              <w:rPr>
                <w:rFonts w:ascii="Arial" w:cs="Arial" w:eastAsia="Arial" w:hAnsi="Arial"/>
                <w:sz w:val="50"/>
                <w:szCs w:val="50"/>
                <w:b w:val="1"/>
                <w:bCs w:val="1"/>
                <w:color w:val="3C578C"/>
                <w:w w:val="99"/>
              </w:rPr>
              <w:t>$545M</w:t>
            </w:r>
          </w:p>
        </w:tc>
        <w:tc>
          <w:tcPr>
            <w:tcW w:w="680" w:type="dxa"/>
            <w:vAlign w:val="bottom"/>
            <w:shd w:val="clear" w:color="auto" w:fill="EEEFE9"/>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4"/>
            <w:shd w:val="clear" w:color="auto" w:fill="EEEFE9"/>
          </w:tcPr>
          <w:p>
            <w:pPr>
              <w:jc w:val="center"/>
              <w:spacing w:after="0"/>
              <w:rPr>
                <w:sz w:val="20"/>
                <w:szCs w:val="20"/>
                <w:color w:val="auto"/>
              </w:rPr>
            </w:pPr>
            <w:r>
              <w:rPr>
                <w:rFonts w:ascii="Arial" w:cs="Arial" w:eastAsia="Arial" w:hAnsi="Arial"/>
                <w:sz w:val="50"/>
                <w:szCs w:val="50"/>
                <w:b w:val="1"/>
                <w:bCs w:val="1"/>
                <w:color w:val="3C578C"/>
                <w:w w:val="99"/>
              </w:rPr>
              <w:t>$583M</w:t>
            </w:r>
          </w:p>
        </w:tc>
        <w:tc>
          <w:tcPr>
            <w:tcW w:w="220" w:type="dxa"/>
            <w:vAlign w:val="bottom"/>
          </w:tcPr>
          <w:p>
            <w:pPr>
              <w:spacing w:after="0"/>
              <w:rPr>
                <w:sz w:val="24"/>
                <w:szCs w:val="24"/>
                <w:color w:val="auto"/>
              </w:rPr>
            </w:pPr>
          </w:p>
        </w:tc>
        <w:tc>
          <w:tcPr>
            <w:tcW w:w="320" w:type="dxa"/>
            <w:vAlign w:val="bottom"/>
            <w:shd w:val="clear" w:color="auto" w:fill="EEEFE9"/>
          </w:tcPr>
          <w:p>
            <w:pPr>
              <w:spacing w:after="0"/>
              <w:rPr>
                <w:sz w:val="24"/>
                <w:szCs w:val="24"/>
                <w:color w:val="auto"/>
              </w:rPr>
            </w:pPr>
          </w:p>
        </w:tc>
        <w:tc>
          <w:tcPr>
            <w:tcW w:w="2840" w:type="dxa"/>
            <w:vAlign w:val="bottom"/>
            <w:gridSpan w:val="3"/>
            <w:shd w:val="clear" w:color="auto" w:fill="EEEFE9"/>
          </w:tcPr>
          <w:p>
            <w:pPr>
              <w:jc w:val="center"/>
              <w:ind w:right="170"/>
              <w:spacing w:after="0"/>
              <w:rPr>
                <w:sz w:val="20"/>
                <w:szCs w:val="20"/>
                <w:color w:val="auto"/>
              </w:rPr>
            </w:pPr>
            <w:r>
              <w:rPr>
                <w:rFonts w:ascii="Arial" w:cs="Arial" w:eastAsia="Arial" w:hAnsi="Arial"/>
                <w:sz w:val="50"/>
                <w:szCs w:val="50"/>
                <w:b w:val="1"/>
                <w:bCs w:val="1"/>
                <w:color w:val="3C578C"/>
                <w:w w:val="99"/>
              </w:rPr>
              <w:t>$0.37</w:t>
            </w:r>
          </w:p>
        </w:tc>
      </w:tr>
      <w:tr>
        <w:trPr>
          <w:trHeight w:val="316"/>
        </w:trPr>
        <w:tc>
          <w:tcPr>
            <w:tcW w:w="2480" w:type="dxa"/>
            <w:vAlign w:val="bottom"/>
            <w:gridSpan w:val="2"/>
            <w:shd w:val="clear" w:color="auto" w:fill="EEEFE9"/>
          </w:tcPr>
          <w:p>
            <w:pPr>
              <w:jc w:val="center"/>
              <w:ind w:left="550"/>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29% YOY</w:t>
            </w:r>
          </w:p>
        </w:tc>
        <w:tc>
          <w:tcPr>
            <w:tcW w:w="680" w:type="dxa"/>
            <w:vAlign w:val="bottom"/>
            <w:shd w:val="clear" w:color="auto" w:fill="EEEFE9"/>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shd w:val="clear" w:color="auto" w:fill="EEEFE9"/>
          </w:tcPr>
          <w:p>
            <w:pPr>
              <w:spacing w:after="0"/>
              <w:rPr>
                <w:sz w:val="24"/>
                <w:szCs w:val="24"/>
                <w:color w:val="auto"/>
              </w:rPr>
            </w:pPr>
          </w:p>
        </w:tc>
        <w:tc>
          <w:tcPr>
            <w:tcW w:w="2100" w:type="dxa"/>
            <w:vAlign w:val="bottom"/>
            <w:gridSpan w:val="3"/>
            <w:shd w:val="clear" w:color="auto" w:fill="EEEFE9"/>
          </w:tcPr>
          <w:p>
            <w:pPr>
              <w:jc w:val="center"/>
              <w:ind w:right="910"/>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11% YOY</w:t>
            </w:r>
          </w:p>
        </w:tc>
        <w:tc>
          <w:tcPr>
            <w:tcW w:w="220" w:type="dxa"/>
            <w:vAlign w:val="bottom"/>
          </w:tcPr>
          <w:p>
            <w:pPr>
              <w:spacing w:after="0"/>
              <w:rPr>
                <w:sz w:val="24"/>
                <w:szCs w:val="24"/>
                <w:color w:val="auto"/>
              </w:rPr>
            </w:pPr>
          </w:p>
        </w:tc>
        <w:tc>
          <w:tcPr>
            <w:tcW w:w="320" w:type="dxa"/>
            <w:vAlign w:val="bottom"/>
            <w:shd w:val="clear" w:color="auto" w:fill="EEEFE9"/>
          </w:tcPr>
          <w:p>
            <w:pPr>
              <w:spacing w:after="0"/>
              <w:rPr>
                <w:sz w:val="24"/>
                <w:szCs w:val="24"/>
                <w:color w:val="auto"/>
              </w:rPr>
            </w:pPr>
          </w:p>
        </w:tc>
        <w:tc>
          <w:tcPr>
            <w:tcW w:w="280" w:type="dxa"/>
            <w:vAlign w:val="bottom"/>
            <w:shd w:val="clear" w:color="auto" w:fill="EEEFE9"/>
          </w:tcPr>
          <w:p>
            <w:pPr>
              <w:spacing w:after="0"/>
              <w:rPr>
                <w:sz w:val="24"/>
                <w:szCs w:val="24"/>
                <w:color w:val="auto"/>
              </w:rPr>
            </w:pPr>
          </w:p>
        </w:tc>
        <w:tc>
          <w:tcPr>
            <w:tcW w:w="2560" w:type="dxa"/>
            <w:vAlign w:val="bottom"/>
            <w:gridSpan w:val="2"/>
            <w:shd w:val="clear" w:color="auto" w:fill="EEEFE9"/>
          </w:tcPr>
          <w:p>
            <w:pPr>
              <w:jc w:val="center"/>
              <w:ind w:right="450"/>
              <w:spacing w:after="0"/>
              <w:rPr>
                <w:sz w:val="20"/>
                <w:szCs w:val="20"/>
                <w:color w:val="auto"/>
              </w:rPr>
            </w:pPr>
            <w:r>
              <w:rPr>
                <w:rFonts w:ascii="Times New Roman" w:cs="Times New Roman" w:eastAsia="Times New Roman" w:hAnsi="Times New Roman"/>
                <w:sz w:val="20"/>
                <w:szCs w:val="20"/>
                <w:b w:val="1"/>
                <w:bCs w:val="1"/>
                <w:color w:val="FF0000"/>
              </w:rPr>
              <w:t xml:space="preserve">▼ </w:t>
            </w:r>
            <w:r>
              <w:rPr>
                <w:rFonts w:ascii="Arial" w:cs="Arial" w:eastAsia="Arial" w:hAnsi="Arial"/>
                <w:sz w:val="16"/>
                <w:szCs w:val="16"/>
                <w:b w:val="1"/>
                <w:bCs w:val="1"/>
                <w:color w:val="000000"/>
              </w:rPr>
              <w:t>26% YOY ($0.13 YOY)</w:t>
            </w:r>
          </w:p>
        </w:tc>
      </w:tr>
      <w:tr>
        <w:trPr>
          <w:trHeight w:val="238"/>
        </w:trPr>
        <w:tc>
          <w:tcPr>
            <w:tcW w:w="2240" w:type="dxa"/>
            <w:vAlign w:val="bottom"/>
            <w:shd w:val="clear" w:color="auto" w:fill="EEEFE9"/>
          </w:tcPr>
          <w:p>
            <w:pPr>
              <w:spacing w:after="0"/>
              <w:rPr>
                <w:sz w:val="20"/>
                <w:szCs w:val="20"/>
                <w:color w:val="auto"/>
              </w:rPr>
            </w:pPr>
          </w:p>
        </w:tc>
        <w:tc>
          <w:tcPr>
            <w:tcW w:w="240" w:type="dxa"/>
            <w:vAlign w:val="bottom"/>
            <w:shd w:val="clear" w:color="auto" w:fill="EEEFE9"/>
          </w:tcPr>
          <w:p>
            <w:pPr>
              <w:spacing w:after="0"/>
              <w:rPr>
                <w:sz w:val="20"/>
                <w:szCs w:val="20"/>
                <w:color w:val="auto"/>
              </w:rPr>
            </w:pPr>
          </w:p>
        </w:tc>
        <w:tc>
          <w:tcPr>
            <w:tcW w:w="680" w:type="dxa"/>
            <w:vAlign w:val="bottom"/>
            <w:shd w:val="clear" w:color="auto" w:fill="EEEFE9"/>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shd w:val="clear" w:color="auto" w:fill="EEEFE9"/>
          </w:tcPr>
          <w:p>
            <w:pPr>
              <w:spacing w:after="0"/>
              <w:rPr>
                <w:sz w:val="20"/>
                <w:szCs w:val="20"/>
                <w:color w:val="auto"/>
              </w:rPr>
            </w:pPr>
          </w:p>
        </w:tc>
        <w:tc>
          <w:tcPr>
            <w:tcW w:w="360" w:type="dxa"/>
            <w:vAlign w:val="bottom"/>
            <w:shd w:val="clear" w:color="auto" w:fill="EEEFE9"/>
          </w:tcPr>
          <w:p>
            <w:pPr>
              <w:spacing w:after="0"/>
              <w:rPr>
                <w:sz w:val="20"/>
                <w:szCs w:val="20"/>
                <w:color w:val="auto"/>
              </w:rPr>
            </w:pPr>
          </w:p>
        </w:tc>
        <w:tc>
          <w:tcPr>
            <w:tcW w:w="240" w:type="dxa"/>
            <w:vAlign w:val="bottom"/>
            <w:shd w:val="clear" w:color="auto" w:fill="EEEFE9"/>
          </w:tcPr>
          <w:p>
            <w:pPr>
              <w:spacing w:after="0"/>
              <w:rPr>
                <w:sz w:val="20"/>
                <w:szCs w:val="20"/>
                <w:color w:val="auto"/>
              </w:rPr>
            </w:pPr>
          </w:p>
        </w:tc>
        <w:tc>
          <w:tcPr>
            <w:tcW w:w="1500" w:type="dxa"/>
            <w:vAlign w:val="bottom"/>
            <w:shd w:val="clear" w:color="auto" w:fill="EEEFE9"/>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shd w:val="clear" w:color="auto" w:fill="EEEFE9"/>
          </w:tcPr>
          <w:p>
            <w:pPr>
              <w:spacing w:after="0"/>
              <w:rPr>
                <w:sz w:val="20"/>
                <w:szCs w:val="20"/>
                <w:color w:val="auto"/>
              </w:rPr>
            </w:pPr>
          </w:p>
        </w:tc>
        <w:tc>
          <w:tcPr>
            <w:tcW w:w="280" w:type="dxa"/>
            <w:vAlign w:val="bottom"/>
            <w:shd w:val="clear" w:color="auto" w:fill="EEEFE9"/>
          </w:tcPr>
          <w:p>
            <w:pPr>
              <w:spacing w:after="0"/>
              <w:rPr>
                <w:sz w:val="20"/>
                <w:szCs w:val="20"/>
                <w:color w:val="auto"/>
              </w:rPr>
            </w:pPr>
          </w:p>
        </w:tc>
        <w:tc>
          <w:tcPr>
            <w:tcW w:w="240" w:type="dxa"/>
            <w:vAlign w:val="bottom"/>
            <w:shd w:val="clear" w:color="auto" w:fill="EEEFE9"/>
          </w:tcPr>
          <w:p>
            <w:pPr>
              <w:spacing w:after="0"/>
              <w:rPr>
                <w:sz w:val="20"/>
                <w:szCs w:val="20"/>
                <w:color w:val="auto"/>
              </w:rPr>
            </w:pPr>
          </w:p>
        </w:tc>
        <w:tc>
          <w:tcPr>
            <w:tcW w:w="2320" w:type="dxa"/>
            <w:vAlign w:val="bottom"/>
            <w:shd w:val="clear" w:color="auto" w:fill="EEEFE9"/>
          </w:tcPr>
          <w:p>
            <w:pPr>
              <w:spacing w:after="0"/>
              <w:rPr>
                <w:sz w:val="20"/>
                <w:szCs w:val="20"/>
                <w:color w:val="auto"/>
              </w:rPr>
            </w:pPr>
          </w:p>
        </w:tc>
      </w:tr>
      <w:tr>
        <w:trPr>
          <w:trHeight w:val="230"/>
        </w:trPr>
        <w:tc>
          <w:tcPr>
            <w:tcW w:w="2480" w:type="dxa"/>
            <w:vAlign w:val="bottom"/>
            <w:gridSpan w:val="2"/>
          </w:tcPr>
          <w:p>
            <w:pPr>
              <w:spacing w:after="0"/>
              <w:rPr>
                <w:sz w:val="19"/>
                <w:szCs w:val="19"/>
                <w:color w:val="auto"/>
              </w:rPr>
            </w:pPr>
          </w:p>
        </w:tc>
        <w:tc>
          <w:tcPr>
            <w:tcW w:w="1960" w:type="dxa"/>
            <w:vAlign w:val="bottom"/>
            <w:gridSpan w:val="3"/>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gridSpan w:val="3"/>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tcPr>
          <w:p>
            <w:pPr>
              <w:spacing w:after="0"/>
              <w:rPr>
                <w:sz w:val="19"/>
                <w:szCs w:val="19"/>
                <w:color w:val="auto"/>
              </w:rPr>
            </w:pPr>
          </w:p>
        </w:tc>
      </w:tr>
      <w:tr>
        <w:trPr>
          <w:trHeight w:val="499"/>
        </w:trPr>
        <w:tc>
          <w:tcPr>
            <w:tcW w:w="2240" w:type="dxa"/>
            <w:vAlign w:val="bottom"/>
            <w:tcBorders>
              <w:top w:val="single" w:sz="8" w:color="3C578C"/>
            </w:tcBorders>
            <w:shd w:val="clear" w:color="auto" w:fill="EEEFE9"/>
          </w:tcPr>
          <w:p>
            <w:pPr>
              <w:jc w:val="center"/>
              <w:spacing w:after="0"/>
              <w:rPr>
                <w:sz w:val="20"/>
                <w:szCs w:val="20"/>
                <w:color w:val="auto"/>
              </w:rPr>
            </w:pPr>
            <w:r>
              <w:rPr>
                <w:rFonts w:ascii="Arial" w:cs="Arial" w:eastAsia="Arial" w:hAnsi="Arial"/>
                <w:sz w:val="20"/>
                <w:szCs w:val="20"/>
                <w:b w:val="1"/>
                <w:bCs w:val="1"/>
                <w:color w:val="auto"/>
                <w:w w:val="99"/>
              </w:rPr>
              <w:t>FREE CASH FLOW</w:t>
            </w:r>
          </w:p>
        </w:tc>
        <w:tc>
          <w:tcPr>
            <w:tcW w:w="240" w:type="dxa"/>
            <w:vAlign w:val="bottom"/>
          </w:tcPr>
          <w:p>
            <w:pPr>
              <w:spacing w:after="0"/>
              <w:rPr>
                <w:sz w:val="24"/>
                <w:szCs w:val="24"/>
                <w:color w:val="auto"/>
              </w:rPr>
            </w:pPr>
          </w:p>
        </w:tc>
        <w:tc>
          <w:tcPr>
            <w:tcW w:w="1960" w:type="dxa"/>
            <w:vAlign w:val="bottom"/>
            <w:tcBorders>
              <w:top w:val="single" w:sz="8" w:color="3C578C"/>
            </w:tcBorders>
            <w:gridSpan w:val="3"/>
            <w:shd w:val="clear" w:color="auto" w:fill="EEEFE9"/>
          </w:tcPr>
          <w:p>
            <w:pPr>
              <w:jc w:val="center"/>
              <w:ind w:left="210"/>
              <w:spacing w:after="0"/>
              <w:rPr>
                <w:sz w:val="20"/>
                <w:szCs w:val="20"/>
                <w:color w:val="auto"/>
              </w:rPr>
            </w:pPr>
            <w:r>
              <w:rPr>
                <w:rFonts w:ascii="Arial" w:cs="Arial" w:eastAsia="Arial" w:hAnsi="Arial"/>
                <w:sz w:val="20"/>
                <w:szCs w:val="20"/>
                <w:b w:val="1"/>
                <w:bCs w:val="1"/>
                <w:color w:val="auto"/>
              </w:rPr>
              <w:t>GROSS PROFIT</w:t>
            </w:r>
          </w:p>
        </w:tc>
        <w:tc>
          <w:tcPr>
            <w:tcW w:w="360" w:type="dxa"/>
            <w:vAlign w:val="bottom"/>
            <w:tcBorders>
              <w:top w:val="single" w:sz="8" w:color="3C578C"/>
            </w:tcBorders>
            <w:shd w:val="clear" w:color="auto" w:fill="EEEFE9"/>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Borders>
              <w:top w:val="single" w:sz="8" w:color="3C578C"/>
            </w:tcBorders>
            <w:gridSpan w:val="3"/>
            <w:shd w:val="clear" w:color="auto" w:fill="EEEFE9"/>
          </w:tcPr>
          <w:p>
            <w:pPr>
              <w:jc w:val="center"/>
              <w:ind w:left="130"/>
              <w:spacing w:after="0"/>
              <w:rPr>
                <w:sz w:val="20"/>
                <w:szCs w:val="20"/>
                <w:color w:val="auto"/>
              </w:rPr>
            </w:pPr>
            <w:r>
              <w:rPr>
                <w:rFonts w:ascii="Arial" w:cs="Arial" w:eastAsia="Arial" w:hAnsi="Arial"/>
                <w:sz w:val="20"/>
                <w:szCs w:val="20"/>
                <w:b w:val="1"/>
                <w:bCs w:val="1"/>
                <w:color w:val="auto"/>
                <w:w w:val="98"/>
              </w:rPr>
              <w:t>BACKLOG</w:t>
            </w:r>
          </w:p>
        </w:tc>
        <w:tc>
          <w:tcPr>
            <w:tcW w:w="280" w:type="dxa"/>
            <w:vAlign w:val="bottom"/>
            <w:tcBorders>
              <w:top w:val="single" w:sz="8" w:color="3C578C"/>
            </w:tcBorders>
            <w:shd w:val="clear" w:color="auto" w:fill="EEEFE9"/>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tcBorders>
              <w:top w:val="single" w:sz="8" w:color="3C578C"/>
            </w:tcBorders>
            <w:shd w:val="clear" w:color="auto" w:fill="EEEFE9"/>
          </w:tcPr>
          <w:p>
            <w:pPr>
              <w:jc w:val="center"/>
              <w:spacing w:after="0"/>
              <w:rPr>
                <w:sz w:val="20"/>
                <w:szCs w:val="20"/>
                <w:color w:val="auto"/>
              </w:rPr>
            </w:pPr>
            <w:r>
              <w:rPr>
                <w:rFonts w:ascii="Arial" w:cs="Arial" w:eastAsia="Arial" w:hAnsi="Arial"/>
                <w:sz w:val="20"/>
                <w:szCs w:val="20"/>
                <w:b w:val="1"/>
                <w:bCs w:val="1"/>
                <w:color w:val="auto"/>
              </w:rPr>
              <w:t>ADJUSTED EBITDA</w:t>
            </w:r>
          </w:p>
        </w:tc>
      </w:tr>
      <w:tr>
        <w:trPr>
          <w:trHeight w:val="809"/>
        </w:trPr>
        <w:tc>
          <w:tcPr>
            <w:tcW w:w="2240" w:type="dxa"/>
            <w:vAlign w:val="bottom"/>
            <w:shd w:val="clear" w:color="auto" w:fill="EEEFE9"/>
          </w:tcPr>
          <w:p>
            <w:pPr>
              <w:jc w:val="center"/>
              <w:spacing w:after="0"/>
              <w:rPr>
                <w:sz w:val="20"/>
                <w:szCs w:val="20"/>
                <w:color w:val="auto"/>
              </w:rPr>
            </w:pPr>
            <w:r>
              <w:rPr>
                <w:rFonts w:ascii="Arial" w:cs="Arial" w:eastAsia="Arial" w:hAnsi="Arial"/>
                <w:sz w:val="50"/>
                <w:szCs w:val="50"/>
                <w:b w:val="1"/>
                <w:bCs w:val="1"/>
                <w:color w:val="3C578C"/>
                <w:w w:val="99"/>
              </w:rPr>
              <w:t>$36M</w:t>
            </w:r>
          </w:p>
        </w:tc>
        <w:tc>
          <w:tcPr>
            <w:tcW w:w="240" w:type="dxa"/>
            <w:vAlign w:val="bottom"/>
          </w:tcPr>
          <w:p>
            <w:pPr>
              <w:spacing w:after="0"/>
              <w:rPr>
                <w:sz w:val="24"/>
                <w:szCs w:val="24"/>
                <w:color w:val="auto"/>
              </w:rPr>
            </w:pPr>
          </w:p>
        </w:tc>
        <w:tc>
          <w:tcPr>
            <w:tcW w:w="1960" w:type="dxa"/>
            <w:vAlign w:val="bottom"/>
            <w:gridSpan w:val="3"/>
            <w:shd w:val="clear" w:color="auto" w:fill="EEEFE9"/>
          </w:tcPr>
          <w:p>
            <w:pPr>
              <w:jc w:val="center"/>
              <w:ind w:left="210"/>
              <w:spacing w:after="0"/>
              <w:rPr>
                <w:sz w:val="20"/>
                <w:szCs w:val="20"/>
                <w:color w:val="auto"/>
              </w:rPr>
            </w:pPr>
            <w:r>
              <w:rPr>
                <w:rFonts w:ascii="Arial" w:cs="Arial" w:eastAsia="Arial" w:hAnsi="Arial"/>
                <w:sz w:val="50"/>
                <w:szCs w:val="50"/>
                <w:b w:val="1"/>
                <w:bCs w:val="1"/>
                <w:color w:val="3C578C"/>
                <w:w w:val="99"/>
              </w:rPr>
              <w:t>$171M</w:t>
            </w:r>
          </w:p>
        </w:tc>
        <w:tc>
          <w:tcPr>
            <w:tcW w:w="360" w:type="dxa"/>
            <w:vAlign w:val="bottom"/>
            <w:shd w:val="clear" w:color="auto" w:fill="EEEFE9"/>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3"/>
            <w:shd w:val="clear" w:color="auto" w:fill="EEEFE9"/>
          </w:tcPr>
          <w:p>
            <w:pPr>
              <w:jc w:val="center"/>
              <w:ind w:left="130"/>
              <w:spacing w:after="0"/>
              <w:rPr>
                <w:sz w:val="20"/>
                <w:szCs w:val="20"/>
                <w:color w:val="auto"/>
              </w:rPr>
            </w:pPr>
            <w:r>
              <w:rPr>
                <w:rFonts w:ascii="Arial" w:cs="Arial" w:eastAsia="Arial" w:hAnsi="Arial"/>
                <w:sz w:val="50"/>
                <w:szCs w:val="50"/>
                <w:b w:val="1"/>
                <w:bCs w:val="1"/>
                <w:color w:val="3C578C"/>
                <w:w w:val="99"/>
              </w:rPr>
              <w:t>$371M</w:t>
            </w:r>
          </w:p>
        </w:tc>
        <w:tc>
          <w:tcPr>
            <w:tcW w:w="280" w:type="dxa"/>
            <w:vAlign w:val="bottom"/>
            <w:shd w:val="clear" w:color="auto" w:fill="EEEFE9"/>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shd w:val="clear" w:color="auto" w:fill="EEEFE9"/>
          </w:tcPr>
          <w:p>
            <w:pPr>
              <w:jc w:val="center"/>
              <w:spacing w:after="0"/>
              <w:rPr>
                <w:sz w:val="20"/>
                <w:szCs w:val="20"/>
                <w:color w:val="auto"/>
              </w:rPr>
            </w:pPr>
            <w:r>
              <w:rPr>
                <w:rFonts w:ascii="Arial" w:cs="Arial" w:eastAsia="Arial" w:hAnsi="Arial"/>
                <w:sz w:val="50"/>
                <w:szCs w:val="50"/>
                <w:b w:val="1"/>
                <w:bCs w:val="1"/>
                <w:color w:val="3C578C"/>
                <w:w w:val="99"/>
              </w:rPr>
              <w:t>$58M</w:t>
            </w:r>
          </w:p>
        </w:tc>
      </w:tr>
      <w:tr>
        <w:trPr>
          <w:trHeight w:val="291"/>
        </w:trPr>
        <w:tc>
          <w:tcPr>
            <w:tcW w:w="2240" w:type="dxa"/>
            <w:vAlign w:val="bottom"/>
            <w:shd w:val="clear" w:color="auto" w:fill="EEEFE9"/>
          </w:tcPr>
          <w:p>
            <w:pPr>
              <w:jc w:val="center"/>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$33% YOY</w:t>
            </w:r>
          </w:p>
        </w:tc>
        <w:tc>
          <w:tcPr>
            <w:tcW w:w="240" w:type="dxa"/>
            <w:vAlign w:val="bottom"/>
          </w:tcPr>
          <w:p>
            <w:pPr>
              <w:spacing w:after="0"/>
              <w:rPr>
                <w:sz w:val="24"/>
                <w:szCs w:val="24"/>
                <w:color w:val="auto"/>
              </w:rPr>
            </w:pPr>
          </w:p>
        </w:tc>
        <w:tc>
          <w:tcPr>
            <w:tcW w:w="1960" w:type="dxa"/>
            <w:vAlign w:val="bottom"/>
            <w:gridSpan w:val="3"/>
            <w:shd w:val="clear" w:color="auto" w:fill="EEEFE9"/>
          </w:tcPr>
          <w:p>
            <w:pPr>
              <w:jc w:val="center"/>
              <w:ind w:left="190"/>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33% YOY</w:t>
            </w:r>
          </w:p>
        </w:tc>
        <w:tc>
          <w:tcPr>
            <w:tcW w:w="360" w:type="dxa"/>
            <w:vAlign w:val="bottom"/>
            <w:shd w:val="clear" w:color="auto" w:fill="EEEFE9"/>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3"/>
            <w:shd w:val="clear" w:color="auto" w:fill="EEEFE9"/>
          </w:tcPr>
          <w:p>
            <w:pPr>
              <w:jc w:val="center"/>
              <w:ind w:left="130"/>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19% YOY</w:t>
            </w:r>
          </w:p>
        </w:tc>
        <w:tc>
          <w:tcPr>
            <w:tcW w:w="280" w:type="dxa"/>
            <w:vAlign w:val="bottom"/>
            <w:shd w:val="clear" w:color="auto" w:fill="EEEFE9"/>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shd w:val="clear" w:color="auto" w:fill="EEEFE9"/>
          </w:tcPr>
          <w:p>
            <w:pPr>
              <w:jc w:val="center"/>
              <w:spacing w:after="0"/>
              <w:rPr>
                <w:sz w:val="20"/>
                <w:szCs w:val="20"/>
                <w:color w:val="auto"/>
              </w:rPr>
            </w:pPr>
            <w:r>
              <w:rPr>
                <w:rFonts w:ascii="Times New Roman" w:cs="Times New Roman" w:eastAsia="Times New Roman" w:hAnsi="Times New Roman"/>
                <w:sz w:val="20"/>
                <w:szCs w:val="20"/>
                <w:b w:val="1"/>
                <w:bCs w:val="1"/>
                <w:color w:val="A1B657"/>
              </w:rPr>
              <w:t xml:space="preserve">▲ </w:t>
            </w:r>
            <w:r>
              <w:rPr>
                <w:rFonts w:ascii="Arial" w:cs="Arial" w:eastAsia="Arial" w:hAnsi="Arial"/>
                <w:sz w:val="16"/>
                <w:szCs w:val="16"/>
                <w:b w:val="1"/>
                <w:bCs w:val="1"/>
                <w:color w:val="000000"/>
              </w:rPr>
              <w:t>37% YOY</w:t>
            </w:r>
          </w:p>
        </w:tc>
      </w:tr>
      <w:tr>
        <w:trPr>
          <w:trHeight w:val="75"/>
        </w:trPr>
        <w:tc>
          <w:tcPr>
            <w:tcW w:w="2240" w:type="dxa"/>
            <w:vAlign w:val="bottom"/>
            <w:shd w:val="clear" w:color="auto" w:fill="EEEFE9"/>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shd w:val="clear" w:color="auto" w:fill="EEEFE9"/>
          </w:tcPr>
          <w:p>
            <w:pPr>
              <w:spacing w:after="0"/>
              <w:rPr>
                <w:sz w:val="6"/>
                <w:szCs w:val="6"/>
                <w:color w:val="auto"/>
              </w:rPr>
            </w:pPr>
          </w:p>
        </w:tc>
        <w:tc>
          <w:tcPr>
            <w:tcW w:w="220" w:type="dxa"/>
            <w:vAlign w:val="bottom"/>
            <w:shd w:val="clear" w:color="auto" w:fill="EEEFE9"/>
          </w:tcPr>
          <w:p>
            <w:pPr>
              <w:spacing w:after="0"/>
              <w:rPr>
                <w:sz w:val="6"/>
                <w:szCs w:val="6"/>
                <w:color w:val="auto"/>
              </w:rPr>
            </w:pPr>
          </w:p>
        </w:tc>
        <w:tc>
          <w:tcPr>
            <w:tcW w:w="1060" w:type="dxa"/>
            <w:vAlign w:val="bottom"/>
            <w:shd w:val="clear" w:color="auto" w:fill="EEEFE9"/>
          </w:tcPr>
          <w:p>
            <w:pPr>
              <w:spacing w:after="0"/>
              <w:rPr>
                <w:sz w:val="6"/>
                <w:szCs w:val="6"/>
                <w:color w:val="auto"/>
              </w:rPr>
            </w:pPr>
          </w:p>
        </w:tc>
        <w:tc>
          <w:tcPr>
            <w:tcW w:w="360" w:type="dxa"/>
            <w:vAlign w:val="bottom"/>
            <w:shd w:val="clear" w:color="auto" w:fill="EEEFE9"/>
          </w:tcPr>
          <w:p>
            <w:pPr>
              <w:spacing w:after="0"/>
              <w:rPr>
                <w:sz w:val="6"/>
                <w:szCs w:val="6"/>
                <w:color w:val="auto"/>
              </w:rPr>
            </w:pPr>
          </w:p>
        </w:tc>
        <w:tc>
          <w:tcPr>
            <w:tcW w:w="240" w:type="dxa"/>
            <w:vAlign w:val="bottom"/>
          </w:tcPr>
          <w:p>
            <w:pPr>
              <w:spacing w:after="0"/>
              <w:rPr>
                <w:sz w:val="6"/>
                <w:szCs w:val="6"/>
                <w:color w:val="auto"/>
              </w:rPr>
            </w:pPr>
          </w:p>
        </w:tc>
        <w:tc>
          <w:tcPr>
            <w:tcW w:w="1500" w:type="dxa"/>
            <w:vAlign w:val="bottom"/>
            <w:shd w:val="clear" w:color="auto" w:fill="EEEFE9"/>
          </w:tcPr>
          <w:p>
            <w:pPr>
              <w:spacing w:after="0"/>
              <w:rPr>
                <w:sz w:val="6"/>
                <w:szCs w:val="6"/>
                <w:color w:val="auto"/>
              </w:rPr>
            </w:pPr>
          </w:p>
        </w:tc>
        <w:tc>
          <w:tcPr>
            <w:tcW w:w="220" w:type="dxa"/>
            <w:vAlign w:val="bottom"/>
            <w:shd w:val="clear" w:color="auto" w:fill="EEEFE9"/>
          </w:tcPr>
          <w:p>
            <w:pPr>
              <w:spacing w:after="0"/>
              <w:rPr>
                <w:sz w:val="6"/>
                <w:szCs w:val="6"/>
                <w:color w:val="auto"/>
              </w:rPr>
            </w:pPr>
          </w:p>
        </w:tc>
        <w:tc>
          <w:tcPr>
            <w:tcW w:w="320" w:type="dxa"/>
            <w:vAlign w:val="bottom"/>
            <w:shd w:val="clear" w:color="auto" w:fill="EEEFE9"/>
          </w:tcPr>
          <w:p>
            <w:pPr>
              <w:spacing w:after="0"/>
              <w:rPr>
                <w:sz w:val="6"/>
                <w:szCs w:val="6"/>
                <w:color w:val="auto"/>
              </w:rPr>
            </w:pPr>
          </w:p>
        </w:tc>
        <w:tc>
          <w:tcPr>
            <w:tcW w:w="280" w:type="dxa"/>
            <w:vAlign w:val="bottom"/>
            <w:shd w:val="clear" w:color="auto" w:fill="EEEFE9"/>
          </w:tcPr>
          <w:p>
            <w:pPr>
              <w:spacing w:after="0"/>
              <w:rPr>
                <w:sz w:val="6"/>
                <w:szCs w:val="6"/>
                <w:color w:val="auto"/>
              </w:rPr>
            </w:pPr>
          </w:p>
        </w:tc>
        <w:tc>
          <w:tcPr>
            <w:tcW w:w="240" w:type="dxa"/>
            <w:vAlign w:val="bottom"/>
          </w:tcPr>
          <w:p>
            <w:pPr>
              <w:spacing w:after="0"/>
              <w:rPr>
                <w:sz w:val="6"/>
                <w:szCs w:val="6"/>
                <w:color w:val="auto"/>
              </w:rPr>
            </w:pPr>
          </w:p>
        </w:tc>
        <w:tc>
          <w:tcPr>
            <w:tcW w:w="2320" w:type="dxa"/>
            <w:vAlign w:val="bottom"/>
            <w:shd w:val="clear" w:color="auto" w:fill="EEEFE9"/>
          </w:tcPr>
          <w:p>
            <w:pPr>
              <w:spacing w:after="0"/>
              <w:rPr>
                <w:sz w:val="6"/>
                <w:szCs w:val="6"/>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140335</wp:posOffset>
            </wp:positionV>
            <wp:extent cx="6309360" cy="245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9360" cy="245745"/>
                    </a:xfrm>
                    <a:prstGeom prst="rect">
                      <a:avLst/>
                    </a:prstGeom>
                    <a:noFill/>
                  </pic:spPr>
                </pic:pic>
              </a:graphicData>
            </a:graphic>
          </wp:anchor>
        </w:drawing>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FFFFFF"/>
        </w:rPr>
        <w:t>BOARD AND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69215</wp:posOffset>
            </wp:positionV>
            <wp:extent cx="6309360" cy="2856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9360" cy="285686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164" w:lineRule="exact"/>
        <w:rPr>
          <w:sz w:val="20"/>
          <w:szCs w:val="20"/>
          <w:color w:val="auto"/>
        </w:rPr>
      </w:pPr>
    </w:p>
    <w:p>
      <w:pPr>
        <w:ind w:left="100" w:right="80"/>
        <w:spacing w:after="0" w:line="280" w:lineRule="auto"/>
        <w:rPr>
          <w:sz w:val="20"/>
          <w:szCs w:val="20"/>
          <w:color w:val="auto"/>
        </w:rPr>
      </w:pPr>
      <w:r>
        <w:rPr>
          <w:rFonts w:ascii="Arial" w:cs="Arial" w:eastAsia="Arial" w:hAnsi="Arial"/>
          <w:sz w:val="13"/>
          <w:szCs w:val="13"/>
          <w:b w:val="1"/>
          <w:bCs w:val="1"/>
          <w:color w:val="3C578C"/>
        </w:rPr>
        <w:t>Size of the Board</w:t>
      </w:r>
      <w:r>
        <w:rPr>
          <w:rFonts w:ascii="Arial" w:cs="Arial" w:eastAsia="Arial" w:hAnsi="Arial"/>
          <w:sz w:val="13"/>
          <w:szCs w:val="13"/>
          <w:color w:val="000000"/>
        </w:rPr>
        <w:t>. The Company’s Bylaws provide</w:t>
      </w:r>
      <w:r>
        <w:rPr>
          <w:rFonts w:ascii="Arial" w:cs="Arial" w:eastAsia="Arial" w:hAnsi="Arial"/>
          <w:sz w:val="13"/>
          <w:szCs w:val="13"/>
          <w:b w:val="1"/>
          <w:bCs w:val="1"/>
          <w:color w:val="3C578C"/>
        </w:rPr>
        <w:t xml:space="preserve"> </w:t>
      </w:r>
      <w:r>
        <w:rPr>
          <w:rFonts w:ascii="Arial" w:cs="Arial" w:eastAsia="Arial" w:hAnsi="Arial"/>
          <w:sz w:val="13"/>
          <w:szCs w:val="13"/>
          <w:color w:val="000000"/>
        </w:rPr>
        <w:t>that the Board will be not less than 3 nor more than 9 directors.</w:t>
      </w:r>
    </w:p>
    <w:p>
      <w:pPr>
        <w:spacing w:after="0" w:line="77" w:lineRule="exact"/>
        <w:rPr>
          <w:sz w:val="20"/>
          <w:szCs w:val="20"/>
          <w:color w:val="auto"/>
        </w:rPr>
      </w:pPr>
    </w:p>
    <w:p>
      <w:pPr>
        <w:ind w:left="100" w:right="40"/>
        <w:spacing w:after="0" w:line="280" w:lineRule="auto"/>
        <w:rPr>
          <w:sz w:val="20"/>
          <w:szCs w:val="20"/>
          <w:color w:val="auto"/>
        </w:rPr>
      </w:pPr>
      <w:r>
        <w:rPr>
          <w:rFonts w:ascii="Arial" w:cs="Arial" w:eastAsia="Arial" w:hAnsi="Arial"/>
          <w:sz w:val="13"/>
          <w:szCs w:val="13"/>
          <w:b w:val="1"/>
          <w:bCs w:val="1"/>
          <w:color w:val="3C578C"/>
        </w:rPr>
        <w:t xml:space="preserve">Majority of Independent Directors. </w:t>
      </w:r>
      <w:r>
        <w:rPr>
          <w:rFonts w:ascii="Arial" w:cs="Arial" w:eastAsia="Arial" w:hAnsi="Arial"/>
          <w:sz w:val="13"/>
          <w:szCs w:val="13"/>
          <w:color w:val="000000"/>
        </w:rPr>
        <w:t>It is the policy of</w:t>
      </w:r>
      <w:r>
        <w:rPr>
          <w:rFonts w:ascii="Arial" w:cs="Arial" w:eastAsia="Arial" w:hAnsi="Arial"/>
          <w:sz w:val="13"/>
          <w:szCs w:val="13"/>
          <w:b w:val="1"/>
          <w:bCs w:val="1"/>
          <w:color w:val="3C578C"/>
        </w:rPr>
        <w:t xml:space="preserve"> </w:t>
      </w:r>
      <w:r>
        <w:rPr>
          <w:rFonts w:ascii="Arial" w:cs="Arial" w:eastAsia="Arial" w:hAnsi="Arial"/>
          <w:sz w:val="13"/>
          <w:szCs w:val="13"/>
          <w:color w:val="000000"/>
        </w:rPr>
        <w:t>the Board that a majority of the directors will not be current employees of the Company and will otherwise meet appropriate standards of independence.</w:t>
      </w:r>
    </w:p>
    <w:p>
      <w:pPr>
        <w:spacing w:after="0" w:line="65" w:lineRule="exact"/>
        <w:rPr>
          <w:sz w:val="20"/>
          <w:szCs w:val="20"/>
          <w:color w:val="auto"/>
        </w:rPr>
      </w:pPr>
    </w:p>
    <w:p>
      <w:pPr>
        <w:ind w:left="100" w:right="20"/>
        <w:spacing w:after="0" w:line="290" w:lineRule="auto"/>
        <w:rPr>
          <w:sz w:val="20"/>
          <w:szCs w:val="20"/>
          <w:color w:val="auto"/>
        </w:rPr>
      </w:pPr>
      <w:r>
        <w:rPr>
          <w:rFonts w:ascii="Arial" w:cs="Arial" w:eastAsia="Arial" w:hAnsi="Arial"/>
          <w:sz w:val="13"/>
          <w:szCs w:val="13"/>
          <w:b w:val="1"/>
          <w:bCs w:val="1"/>
          <w:color w:val="3C578C"/>
        </w:rPr>
        <w:t xml:space="preserve">Management Directors. </w:t>
      </w:r>
      <w:r>
        <w:rPr>
          <w:rFonts w:ascii="Arial" w:cs="Arial" w:eastAsia="Arial" w:hAnsi="Arial"/>
          <w:sz w:val="13"/>
          <w:szCs w:val="13"/>
          <w:color w:val="000000"/>
        </w:rPr>
        <w:t>The Board anticipates that</w:t>
      </w:r>
      <w:r>
        <w:rPr>
          <w:rFonts w:ascii="Arial" w:cs="Arial" w:eastAsia="Arial" w:hAnsi="Arial"/>
          <w:sz w:val="13"/>
          <w:szCs w:val="13"/>
          <w:b w:val="1"/>
          <w:bCs w:val="1"/>
          <w:color w:val="3C578C"/>
        </w:rPr>
        <w:t xml:space="preserve"> </w:t>
      </w:r>
      <w:r>
        <w:rPr>
          <w:rFonts w:ascii="Arial" w:cs="Arial" w:eastAsia="Arial" w:hAnsi="Arial"/>
          <w:sz w:val="13"/>
          <w:szCs w:val="13"/>
          <w:color w:val="000000"/>
        </w:rPr>
        <w:t>the Company’s Chief Executive Officer (“CEO”) will be nominated annually to serve on the Board.</w:t>
      </w:r>
    </w:p>
    <w:p>
      <w:pPr>
        <w:spacing w:after="0" w:line="58" w:lineRule="exact"/>
        <w:rPr>
          <w:sz w:val="20"/>
          <w:szCs w:val="20"/>
          <w:color w:val="auto"/>
        </w:rPr>
      </w:pPr>
    </w:p>
    <w:p>
      <w:pPr>
        <w:ind w:left="100" w:right="120"/>
        <w:spacing w:after="0" w:line="290" w:lineRule="auto"/>
        <w:rPr>
          <w:sz w:val="20"/>
          <w:szCs w:val="20"/>
          <w:color w:val="auto"/>
        </w:rPr>
      </w:pPr>
      <w:r>
        <w:rPr>
          <w:rFonts w:ascii="Arial" w:cs="Arial" w:eastAsia="Arial" w:hAnsi="Arial"/>
          <w:sz w:val="13"/>
          <w:szCs w:val="13"/>
          <w:b w:val="1"/>
          <w:bCs w:val="1"/>
          <w:color w:val="3C578C"/>
        </w:rPr>
        <w:t xml:space="preserve">Chairman; Lead Independent Director. </w:t>
      </w:r>
      <w:r>
        <w:rPr>
          <w:rFonts w:ascii="Arial" w:cs="Arial" w:eastAsia="Arial" w:hAnsi="Arial"/>
          <w:sz w:val="13"/>
          <w:szCs w:val="13"/>
          <w:color w:val="000000"/>
        </w:rPr>
        <w:t>The Board</w:t>
      </w:r>
      <w:r>
        <w:rPr>
          <w:rFonts w:ascii="Arial" w:cs="Arial" w:eastAsia="Arial" w:hAnsi="Arial"/>
          <w:sz w:val="13"/>
          <w:szCs w:val="13"/>
          <w:b w:val="1"/>
          <w:bCs w:val="1"/>
          <w:color w:val="3C578C"/>
        </w:rPr>
        <w:t xml:space="preserve"> </w:t>
      </w:r>
      <w:r>
        <w:rPr>
          <w:rFonts w:ascii="Arial" w:cs="Arial" w:eastAsia="Arial" w:hAnsi="Arial"/>
          <w:sz w:val="13"/>
          <w:szCs w:val="13"/>
          <w:color w:val="000000"/>
        </w:rPr>
        <w:t>will appoint a Chairman. All directors, including the CEO, are eligible for appointment as the Chairman.</w:t>
      </w:r>
    </w:p>
    <w:p>
      <w:pPr>
        <w:spacing w:after="0" w:line="58" w:lineRule="exact"/>
        <w:rPr>
          <w:sz w:val="20"/>
          <w:szCs w:val="20"/>
          <w:color w:val="auto"/>
        </w:rPr>
      </w:pPr>
    </w:p>
    <w:p>
      <w:pPr>
        <w:ind w:left="100" w:right="40"/>
        <w:spacing w:after="0" w:line="280" w:lineRule="auto"/>
        <w:rPr>
          <w:sz w:val="20"/>
          <w:szCs w:val="20"/>
          <w:color w:val="auto"/>
        </w:rPr>
      </w:pPr>
      <w:r>
        <w:rPr>
          <w:rFonts w:ascii="Arial" w:cs="Arial" w:eastAsia="Arial" w:hAnsi="Arial"/>
          <w:sz w:val="13"/>
          <w:szCs w:val="13"/>
          <w:b w:val="1"/>
          <w:bCs w:val="1"/>
          <w:color w:val="3C578C"/>
        </w:rPr>
        <w:t xml:space="preserve">Selection of Nominees to the Board of Directors. </w:t>
      </w:r>
      <w:r>
        <w:rPr>
          <w:rFonts w:ascii="Arial" w:cs="Arial" w:eastAsia="Arial" w:hAnsi="Arial"/>
          <w:sz w:val="13"/>
          <w:szCs w:val="13"/>
          <w:color w:val="000000"/>
        </w:rPr>
        <w:t>The Board, through the Nominations and Governance Committee, is responsible for the selection of nominees for election or appointment to the Board.</w:t>
      </w:r>
    </w:p>
    <w:p>
      <w:pPr>
        <w:spacing w:after="0" w:line="65" w:lineRule="exact"/>
        <w:rPr>
          <w:sz w:val="20"/>
          <w:szCs w:val="20"/>
          <w:color w:val="auto"/>
        </w:rPr>
      </w:pPr>
    </w:p>
    <w:p>
      <w:pPr>
        <w:ind w:left="100"/>
        <w:spacing w:after="0" w:line="275" w:lineRule="auto"/>
        <w:rPr>
          <w:sz w:val="20"/>
          <w:szCs w:val="20"/>
          <w:color w:val="auto"/>
        </w:rPr>
      </w:pPr>
      <w:r>
        <w:rPr>
          <w:rFonts w:ascii="Arial" w:cs="Arial" w:eastAsia="Arial" w:hAnsi="Arial"/>
          <w:sz w:val="13"/>
          <w:szCs w:val="13"/>
          <w:b w:val="1"/>
          <w:bCs w:val="1"/>
          <w:color w:val="3C578C"/>
        </w:rPr>
        <w:t xml:space="preserve">Board Membership Criteria. </w:t>
      </w:r>
      <w:r>
        <w:rPr>
          <w:rFonts w:ascii="Arial" w:cs="Arial" w:eastAsia="Arial" w:hAnsi="Arial"/>
          <w:sz w:val="13"/>
          <w:szCs w:val="13"/>
          <w:color w:val="000000"/>
        </w:rPr>
        <w:t>Nominees for the Board</w:t>
      </w:r>
      <w:r>
        <w:rPr>
          <w:rFonts w:ascii="Arial" w:cs="Arial" w:eastAsia="Arial" w:hAnsi="Arial"/>
          <w:sz w:val="13"/>
          <w:szCs w:val="13"/>
          <w:b w:val="1"/>
          <w:bCs w:val="1"/>
          <w:color w:val="3C578C"/>
        </w:rPr>
        <w:t xml:space="preserve"> </w:t>
      </w:r>
      <w:r>
        <w:rPr>
          <w:rFonts w:ascii="Arial" w:cs="Arial" w:eastAsia="Arial" w:hAnsi="Arial"/>
          <w:sz w:val="13"/>
          <w:szCs w:val="13"/>
          <w:color w:val="000000"/>
        </w:rPr>
        <w:t>should be committed to enhancing long-term stockholder value and must possess a high level of personal and professional ethics, sound business judgment and integrity.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0"/>
        <w:spacing w:after="0" w:line="272" w:lineRule="auto"/>
        <w:rPr>
          <w:sz w:val="20"/>
          <w:szCs w:val="20"/>
          <w:color w:val="auto"/>
        </w:rPr>
      </w:pPr>
      <w:r>
        <w:rPr>
          <w:rFonts w:ascii="Arial" w:cs="Arial" w:eastAsia="Arial" w:hAnsi="Arial"/>
          <w:sz w:val="13"/>
          <w:szCs w:val="13"/>
          <w:b w:val="1"/>
          <w:bCs w:val="1"/>
          <w:color w:val="3C578C"/>
        </w:rPr>
        <w:t xml:space="preserve">Board Compensation. </w:t>
      </w:r>
      <w:r>
        <w:rPr>
          <w:rFonts w:ascii="Arial" w:cs="Arial" w:eastAsia="Arial" w:hAnsi="Arial"/>
          <w:sz w:val="13"/>
          <w:szCs w:val="13"/>
          <w:color w:val="000000"/>
        </w:rPr>
        <w:t>The Board, through the</w:t>
      </w:r>
      <w:r>
        <w:rPr>
          <w:rFonts w:ascii="Arial" w:cs="Arial" w:eastAsia="Arial" w:hAnsi="Arial"/>
          <w:sz w:val="13"/>
          <w:szCs w:val="13"/>
          <w:b w:val="1"/>
          <w:bCs w:val="1"/>
          <w:color w:val="3C578C"/>
        </w:rPr>
        <w:t xml:space="preserve"> </w:t>
      </w:r>
      <w:r>
        <w:rPr>
          <w:rFonts w:ascii="Arial" w:cs="Arial" w:eastAsia="Arial" w:hAnsi="Arial"/>
          <w:sz w:val="13"/>
          <w:szCs w:val="13"/>
          <w:color w:val="000000"/>
        </w:rPr>
        <w:t>Compensation Committee, reviews, with the assistance of management (including the CEO), and the Compensation Committee-retained compensation consultant, policies for the directors serving on the Board and its committees.</w:t>
      </w:r>
    </w:p>
    <w:p>
      <w:pPr>
        <w:spacing w:after="0" w:line="83"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b w:val="1"/>
          <w:bCs w:val="1"/>
          <w:color w:val="3C578C"/>
        </w:rPr>
        <w:t>Other Board Memberships</w:t>
      </w:r>
      <w:r>
        <w:rPr>
          <w:rFonts w:ascii="Arial" w:cs="Arial" w:eastAsia="Arial" w:hAnsi="Arial"/>
          <w:sz w:val="13"/>
          <w:szCs w:val="13"/>
          <w:color w:val="3C578C"/>
        </w:rPr>
        <w:t>.</w:t>
      </w:r>
      <w:r>
        <w:rPr>
          <w:rFonts w:ascii="Arial" w:cs="Arial" w:eastAsia="Arial" w:hAnsi="Arial"/>
          <w:sz w:val="13"/>
          <w:szCs w:val="13"/>
          <w:b w:val="1"/>
          <w:bCs w:val="1"/>
          <w:color w:val="3C578C"/>
        </w:rPr>
        <w:t xml:space="preserve"> </w:t>
      </w:r>
      <w:r>
        <w:rPr>
          <w:rFonts w:ascii="Arial" w:cs="Arial" w:eastAsia="Arial" w:hAnsi="Arial"/>
          <w:sz w:val="13"/>
          <w:szCs w:val="13"/>
          <w:color w:val="000000"/>
        </w:rPr>
        <w:t>Without prior approval</w:t>
      </w:r>
      <w:r>
        <w:rPr>
          <w:rFonts w:ascii="Arial" w:cs="Arial" w:eastAsia="Arial" w:hAnsi="Arial"/>
          <w:sz w:val="13"/>
          <w:szCs w:val="13"/>
          <w:b w:val="1"/>
          <w:bCs w:val="1"/>
          <w:color w:val="3C578C"/>
        </w:rPr>
        <w:t xml:space="preserve"> </w:t>
      </w:r>
      <w:r>
        <w:rPr>
          <w:rFonts w:ascii="Arial" w:cs="Arial" w:eastAsia="Arial" w:hAnsi="Arial"/>
          <w:sz w:val="13"/>
          <w:szCs w:val="13"/>
          <w:color w:val="000000"/>
        </w:rPr>
        <w:t>from the Board, no director may serve on more than four public corporation boards (including the Company’s Board).</w:t>
      </w:r>
    </w:p>
    <w:p>
      <w:pPr>
        <w:spacing w:after="0" w:line="65" w:lineRule="exact"/>
        <w:rPr>
          <w:sz w:val="20"/>
          <w:szCs w:val="20"/>
          <w:color w:val="auto"/>
        </w:rPr>
      </w:pPr>
    </w:p>
    <w:p>
      <w:pPr>
        <w:ind w:right="20"/>
        <w:spacing w:after="0" w:line="301" w:lineRule="auto"/>
        <w:rPr>
          <w:sz w:val="20"/>
          <w:szCs w:val="20"/>
          <w:color w:val="auto"/>
        </w:rPr>
      </w:pPr>
      <w:r>
        <w:rPr>
          <w:rFonts w:ascii="Arial" w:cs="Arial" w:eastAsia="Arial" w:hAnsi="Arial"/>
          <w:sz w:val="13"/>
          <w:szCs w:val="13"/>
          <w:b w:val="1"/>
          <w:bCs w:val="1"/>
          <w:color w:val="3C578C"/>
        </w:rPr>
        <w:t xml:space="preserve">Board Evaluations. </w:t>
      </w:r>
      <w:r>
        <w:rPr>
          <w:rFonts w:ascii="Arial" w:cs="Arial" w:eastAsia="Arial" w:hAnsi="Arial"/>
          <w:sz w:val="13"/>
          <w:szCs w:val="13"/>
          <w:color w:val="000000"/>
        </w:rPr>
        <w:t>The Board shall conduct a self-evaluation at least annually.</w:t>
      </w:r>
    </w:p>
    <w:p>
      <w:pPr>
        <w:spacing w:after="0" w:line="62" w:lineRule="exact"/>
        <w:rPr>
          <w:sz w:val="20"/>
          <w:szCs w:val="20"/>
          <w:color w:val="auto"/>
        </w:rPr>
      </w:pPr>
    </w:p>
    <w:p>
      <w:pPr>
        <w:ind w:right="140"/>
        <w:spacing w:after="0" w:line="274" w:lineRule="auto"/>
        <w:rPr>
          <w:sz w:val="20"/>
          <w:szCs w:val="20"/>
          <w:color w:val="auto"/>
        </w:rPr>
      </w:pPr>
      <w:r>
        <w:rPr>
          <w:rFonts w:ascii="Arial" w:cs="Arial" w:eastAsia="Arial" w:hAnsi="Arial"/>
          <w:sz w:val="13"/>
          <w:szCs w:val="13"/>
          <w:b w:val="1"/>
          <w:bCs w:val="1"/>
          <w:color w:val="3C578C"/>
        </w:rPr>
        <w:t xml:space="preserve">Attendance. </w:t>
      </w:r>
      <w:r>
        <w:rPr>
          <w:rFonts w:ascii="Arial" w:cs="Arial" w:eastAsia="Arial" w:hAnsi="Arial"/>
          <w:sz w:val="13"/>
          <w:szCs w:val="13"/>
          <w:color w:val="000000"/>
        </w:rPr>
        <w:t>Absent unusual circumstances, each</w:t>
      </w:r>
      <w:r>
        <w:rPr>
          <w:rFonts w:ascii="Arial" w:cs="Arial" w:eastAsia="Arial" w:hAnsi="Arial"/>
          <w:sz w:val="13"/>
          <w:szCs w:val="13"/>
          <w:b w:val="1"/>
          <w:bCs w:val="1"/>
          <w:color w:val="3C578C"/>
        </w:rPr>
        <w:t xml:space="preserve"> </w:t>
      </w:r>
      <w:r>
        <w:rPr>
          <w:rFonts w:ascii="Arial" w:cs="Arial" w:eastAsia="Arial" w:hAnsi="Arial"/>
          <w:sz w:val="13"/>
          <w:szCs w:val="13"/>
          <w:color w:val="000000"/>
        </w:rPr>
        <w:t>director is expected to attend all meetings of the Board and all meetings of any committee on which such director serves.</w:t>
      </w:r>
    </w:p>
    <w:p>
      <w:pPr>
        <w:spacing w:after="0" w:line="80" w:lineRule="exact"/>
        <w:rPr>
          <w:sz w:val="20"/>
          <w:szCs w:val="20"/>
          <w:color w:val="auto"/>
        </w:rPr>
      </w:pPr>
    </w:p>
    <w:p>
      <w:pPr>
        <w:spacing w:after="0" w:line="275" w:lineRule="auto"/>
        <w:rPr>
          <w:sz w:val="20"/>
          <w:szCs w:val="20"/>
          <w:color w:val="auto"/>
        </w:rPr>
      </w:pPr>
      <w:r>
        <w:rPr>
          <w:rFonts w:ascii="Arial" w:cs="Arial" w:eastAsia="Arial" w:hAnsi="Arial"/>
          <w:sz w:val="13"/>
          <w:szCs w:val="13"/>
          <w:b w:val="1"/>
          <w:bCs w:val="1"/>
          <w:color w:val="auto"/>
        </w:rPr>
        <w:t>I</w:t>
      </w:r>
      <w:r>
        <w:rPr>
          <w:rFonts w:ascii="Arial" w:cs="Arial" w:eastAsia="Arial" w:hAnsi="Arial"/>
          <w:sz w:val="13"/>
          <w:szCs w:val="13"/>
          <w:b w:val="1"/>
          <w:bCs w:val="1"/>
          <w:color w:val="3C578C"/>
        </w:rPr>
        <w:t>ndependent and Non-Management Directors</w:t>
      </w:r>
      <w:r>
        <w:rPr>
          <w:rFonts w:ascii="Arial" w:cs="Arial" w:eastAsia="Arial" w:hAnsi="Arial"/>
          <w:sz w:val="13"/>
          <w:szCs w:val="13"/>
          <w:b w:val="1"/>
          <w:bCs w:val="1"/>
          <w:color w:val="auto"/>
        </w:rPr>
        <w:t xml:space="preserve"> </w:t>
      </w:r>
      <w:r>
        <w:rPr>
          <w:rFonts w:ascii="Arial" w:cs="Arial" w:eastAsia="Arial" w:hAnsi="Arial"/>
          <w:sz w:val="13"/>
          <w:szCs w:val="13"/>
          <w:b w:val="1"/>
          <w:bCs w:val="1"/>
          <w:color w:val="3C578C"/>
        </w:rPr>
        <w:t>Discussions</w:t>
      </w:r>
      <w:r>
        <w:rPr>
          <w:rFonts w:ascii="Arial" w:cs="Arial" w:eastAsia="Arial" w:hAnsi="Arial"/>
          <w:sz w:val="13"/>
          <w:szCs w:val="13"/>
          <w:color w:val="3C578C"/>
        </w:rPr>
        <w:t>.</w:t>
      </w:r>
      <w:r>
        <w:rPr>
          <w:rFonts w:ascii="Arial" w:cs="Arial" w:eastAsia="Arial" w:hAnsi="Arial"/>
          <w:sz w:val="13"/>
          <w:szCs w:val="13"/>
          <w:b w:val="1"/>
          <w:bCs w:val="1"/>
          <w:color w:val="3C578C"/>
        </w:rPr>
        <w:t xml:space="preserve"> </w:t>
      </w:r>
      <w:r>
        <w:rPr>
          <w:rFonts w:ascii="Arial" w:cs="Arial" w:eastAsia="Arial" w:hAnsi="Arial"/>
          <w:sz w:val="13"/>
          <w:szCs w:val="13"/>
          <w:color w:val="000000"/>
        </w:rPr>
        <w:t>It is the policy of the Board that the</w:t>
      </w:r>
      <w:r>
        <w:rPr>
          <w:rFonts w:ascii="Arial" w:cs="Arial" w:eastAsia="Arial" w:hAnsi="Arial"/>
          <w:sz w:val="13"/>
          <w:szCs w:val="13"/>
          <w:b w:val="1"/>
          <w:bCs w:val="1"/>
          <w:color w:val="3C578C"/>
        </w:rPr>
        <w:t xml:space="preserve"> </w:t>
      </w:r>
      <w:r>
        <w:rPr>
          <w:rFonts w:ascii="Arial" w:cs="Arial" w:eastAsia="Arial" w:hAnsi="Arial"/>
          <w:sz w:val="13"/>
          <w:szCs w:val="13"/>
          <w:color w:val="000000"/>
        </w:rPr>
        <w:t>independent members of the Board meet separately after each Board meeting to discuss such matters as the independent directors consider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-2220595</wp:posOffset>
            </wp:positionH>
            <wp:positionV relativeFrom="paragraph">
              <wp:posOffset>754380</wp:posOffset>
            </wp:positionV>
            <wp:extent cx="6301105"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20"/>
        <w:spacing w:after="0" w:line="274" w:lineRule="auto"/>
        <w:rPr>
          <w:sz w:val="20"/>
          <w:szCs w:val="20"/>
          <w:color w:val="auto"/>
        </w:rPr>
      </w:pPr>
      <w:r>
        <w:rPr>
          <w:rFonts w:ascii="Arial" w:cs="Arial" w:eastAsia="Arial" w:hAnsi="Arial"/>
          <w:sz w:val="13"/>
          <w:szCs w:val="13"/>
          <w:b w:val="1"/>
          <w:bCs w:val="1"/>
          <w:color w:val="3C578C"/>
        </w:rPr>
        <w:t xml:space="preserve">Board Presentations and Access to Information. </w:t>
      </w:r>
      <w:r>
        <w:rPr>
          <w:rFonts w:ascii="Arial" w:cs="Arial" w:eastAsia="Arial" w:hAnsi="Arial"/>
          <w:sz w:val="13"/>
          <w:szCs w:val="13"/>
          <w:color w:val="000000"/>
        </w:rPr>
        <w:t>The Board encourages the</w:t>
      </w:r>
      <w:r>
        <w:rPr>
          <w:rFonts w:ascii="Arial" w:cs="Arial" w:eastAsia="Arial" w:hAnsi="Arial"/>
          <w:sz w:val="13"/>
          <w:szCs w:val="13"/>
          <w:b w:val="1"/>
          <w:bCs w:val="1"/>
          <w:color w:val="3C578C"/>
        </w:rPr>
        <w:t xml:space="preserve"> </w:t>
      </w:r>
      <w:r>
        <w:rPr>
          <w:rFonts w:ascii="Arial" w:cs="Arial" w:eastAsia="Arial" w:hAnsi="Arial"/>
          <w:sz w:val="13"/>
          <w:szCs w:val="13"/>
          <w:color w:val="000000"/>
        </w:rPr>
        <w:t>presentation at meetings by managers who can provide additional insight into matters being discussed and the CEO will occasionally ask high-potential employees to present to the Board to give these individuals exposure to the Board.</w:t>
      </w:r>
    </w:p>
    <w:p>
      <w:pPr>
        <w:spacing w:after="0" w:line="68" w:lineRule="exact"/>
        <w:rPr>
          <w:sz w:val="20"/>
          <w:szCs w:val="20"/>
          <w:color w:val="auto"/>
        </w:rPr>
      </w:pPr>
    </w:p>
    <w:p>
      <w:pPr>
        <w:ind w:right="140"/>
        <w:spacing w:after="0" w:line="274" w:lineRule="auto"/>
        <w:rPr>
          <w:sz w:val="20"/>
          <w:szCs w:val="20"/>
          <w:color w:val="auto"/>
        </w:rPr>
      </w:pPr>
      <w:r>
        <w:rPr>
          <w:rFonts w:ascii="Arial" w:cs="Arial" w:eastAsia="Arial" w:hAnsi="Arial"/>
          <w:sz w:val="13"/>
          <w:szCs w:val="13"/>
          <w:b w:val="1"/>
          <w:bCs w:val="1"/>
          <w:color w:val="3C578C"/>
        </w:rPr>
        <w:t xml:space="preserve">Director Stock Ownership. </w:t>
      </w:r>
      <w:r>
        <w:rPr>
          <w:rFonts w:ascii="Arial" w:cs="Arial" w:eastAsia="Arial" w:hAnsi="Arial"/>
          <w:sz w:val="13"/>
          <w:szCs w:val="13"/>
          <w:color w:val="000000"/>
        </w:rPr>
        <w:t>To further align the</w:t>
      </w:r>
      <w:r>
        <w:rPr>
          <w:rFonts w:ascii="Arial" w:cs="Arial" w:eastAsia="Arial" w:hAnsi="Arial"/>
          <w:sz w:val="13"/>
          <w:szCs w:val="13"/>
          <w:b w:val="1"/>
          <w:bCs w:val="1"/>
          <w:color w:val="3C578C"/>
        </w:rPr>
        <w:t xml:space="preserve"> </w:t>
      </w:r>
      <w:r>
        <w:rPr>
          <w:rFonts w:ascii="Arial" w:cs="Arial" w:eastAsia="Arial" w:hAnsi="Arial"/>
          <w:sz w:val="13"/>
          <w:szCs w:val="13"/>
          <w:color w:val="000000"/>
        </w:rPr>
        <w:t>interests of non-management directors and stockholders, each non-management director is required to own shares of the Company’s common stock having a value equal to at least three times the non-management director’s regular annual cash retainer.</w:t>
      </w:r>
    </w:p>
    <w:p>
      <w:pPr>
        <w:spacing w:after="0" w:line="68" w:lineRule="exact"/>
        <w:rPr>
          <w:sz w:val="20"/>
          <w:szCs w:val="20"/>
          <w:color w:val="auto"/>
        </w:rPr>
      </w:pPr>
    </w:p>
    <w:p>
      <w:pPr>
        <w:ind w:right="120"/>
        <w:spacing w:after="0" w:line="275" w:lineRule="auto"/>
        <w:rPr>
          <w:sz w:val="20"/>
          <w:szCs w:val="20"/>
          <w:color w:val="auto"/>
        </w:rPr>
      </w:pPr>
      <w:r>
        <w:rPr>
          <w:rFonts w:ascii="Arial" w:cs="Arial" w:eastAsia="Arial" w:hAnsi="Arial"/>
          <w:sz w:val="13"/>
          <w:szCs w:val="13"/>
          <w:b w:val="1"/>
          <w:bCs w:val="1"/>
          <w:color w:val="3C578C"/>
        </w:rPr>
        <w:t xml:space="preserve">CEO Stock Ownership. </w:t>
      </w:r>
      <w:r>
        <w:rPr>
          <w:rFonts w:ascii="Arial" w:cs="Arial" w:eastAsia="Arial" w:hAnsi="Arial"/>
          <w:sz w:val="13"/>
          <w:szCs w:val="13"/>
          <w:color w:val="000000"/>
        </w:rPr>
        <w:t>To further align the</w:t>
      </w:r>
      <w:r>
        <w:rPr>
          <w:rFonts w:ascii="Arial" w:cs="Arial" w:eastAsia="Arial" w:hAnsi="Arial"/>
          <w:sz w:val="13"/>
          <w:szCs w:val="13"/>
          <w:b w:val="1"/>
          <w:bCs w:val="1"/>
          <w:color w:val="3C578C"/>
        </w:rPr>
        <w:t xml:space="preserve"> </w:t>
      </w:r>
      <w:r>
        <w:rPr>
          <w:rFonts w:ascii="Arial" w:cs="Arial" w:eastAsia="Arial" w:hAnsi="Arial"/>
          <w:sz w:val="13"/>
          <w:szCs w:val="13"/>
          <w:color w:val="000000"/>
        </w:rPr>
        <w:t>interests of the CEO and stockholders, the CEO is required to own shares of the Company’s common stock having a value equal to at least five times his or her base salary.</w:t>
      </w:r>
    </w:p>
    <w:p>
      <w:pPr>
        <w:spacing w:after="0" w:line="81" w:lineRule="exact"/>
        <w:rPr>
          <w:sz w:val="20"/>
          <w:szCs w:val="20"/>
          <w:color w:val="auto"/>
        </w:rPr>
      </w:pPr>
    </w:p>
    <w:p>
      <w:pPr>
        <w:ind w:right="380"/>
        <w:spacing w:after="0" w:line="275" w:lineRule="auto"/>
        <w:rPr>
          <w:sz w:val="20"/>
          <w:szCs w:val="20"/>
          <w:color w:val="auto"/>
        </w:rPr>
      </w:pPr>
      <w:r>
        <w:rPr>
          <w:rFonts w:ascii="Arial" w:cs="Arial" w:eastAsia="Arial" w:hAnsi="Arial"/>
          <w:sz w:val="13"/>
          <w:szCs w:val="13"/>
          <w:b w:val="1"/>
          <w:bCs w:val="1"/>
          <w:color w:val="3C578C"/>
        </w:rPr>
        <w:t xml:space="preserve">Management Succession and Development Planning. </w:t>
      </w:r>
      <w:r>
        <w:rPr>
          <w:rFonts w:ascii="Arial" w:cs="Arial" w:eastAsia="Arial" w:hAnsi="Arial"/>
          <w:sz w:val="13"/>
          <w:szCs w:val="13"/>
          <w:color w:val="000000"/>
        </w:rPr>
        <w:t>The CEO reviews with the Board</w:t>
      </w:r>
      <w:r>
        <w:rPr>
          <w:rFonts w:ascii="Arial" w:cs="Arial" w:eastAsia="Arial" w:hAnsi="Arial"/>
          <w:sz w:val="13"/>
          <w:szCs w:val="13"/>
          <w:b w:val="1"/>
          <w:bCs w:val="1"/>
          <w:color w:val="3C578C"/>
        </w:rPr>
        <w:t xml:space="preserve"> </w:t>
      </w:r>
      <w:r>
        <w:rPr>
          <w:rFonts w:ascii="Arial" w:cs="Arial" w:eastAsia="Arial" w:hAnsi="Arial"/>
          <w:sz w:val="13"/>
          <w:szCs w:val="13"/>
          <w:color w:val="000000"/>
        </w:rPr>
        <w:t>succession and development plans for senior executive officers. The Board discusses CEO succession planning annually.</w:t>
      </w:r>
    </w:p>
    <w:p>
      <w:pPr>
        <w:sectPr>
          <w:pgSz w:w="11900" w:h="16838" w:orient="portrait"/>
          <w:cols w:equalWidth="0" w:num="3">
            <w:col w:w="3300" w:space="200"/>
            <w:col w:w="3100" w:space="200"/>
            <w:col w:w="3120"/>
          </w:cols>
          <w:pgMar w:left="980" w:top="485" w:right="99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130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w w:val="95"/>
              </w:rPr>
              <w:t>Table of Contents</w:t>
            </w:r>
          </w:p>
        </w:tc>
        <w:tc>
          <w:tcPr>
            <w:tcW w:w="2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20" w:type="dxa"/>
            <w:vAlign w:val="bottom"/>
          </w:tcPr>
          <w:p>
            <w:pPr>
              <w:spacing w:after="0"/>
              <w:rPr>
                <w:sz w:val="16"/>
                <w:szCs w:val="16"/>
                <w:color w:val="auto"/>
              </w:rPr>
            </w:pPr>
          </w:p>
        </w:tc>
      </w:tr>
      <w:tr>
        <w:trPr>
          <w:trHeight w:val="717"/>
        </w:trPr>
        <w:tc>
          <w:tcPr>
            <w:tcW w:w="3380" w:type="dxa"/>
            <w:vAlign w:val="bottom"/>
            <w:gridSpan w:val="3"/>
          </w:tcPr>
          <w:p>
            <w:pPr>
              <w:spacing w:after="0"/>
              <w:rPr>
                <w:sz w:val="20"/>
                <w:szCs w:val="20"/>
                <w:color w:val="auto"/>
              </w:rPr>
            </w:pPr>
            <w:r>
              <w:rPr>
                <w:rFonts w:ascii="Arial" w:cs="Arial" w:eastAsia="Arial" w:hAnsi="Arial"/>
                <w:sz w:val="17"/>
                <w:szCs w:val="17"/>
                <w:b w:val="1"/>
                <w:bCs w:val="1"/>
                <w:color w:val="3C578C"/>
              </w:rPr>
              <w:t>COMPENSATION HIGHLIGHTS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175"/>
        </w:trPr>
        <w:tc>
          <w:tcPr>
            <w:tcW w:w="440" w:type="dxa"/>
            <w:vAlign w:val="bottom"/>
            <w:tcBorders>
              <w:bottom w:val="single" w:sz="8" w:color="3C578C"/>
            </w:tcBorders>
          </w:tcPr>
          <w:p>
            <w:pPr>
              <w:spacing w:after="0"/>
              <w:rPr>
                <w:sz w:val="15"/>
                <w:szCs w:val="15"/>
                <w:color w:val="auto"/>
              </w:rPr>
            </w:pPr>
          </w:p>
        </w:tc>
        <w:tc>
          <w:tcPr>
            <w:tcW w:w="860" w:type="dxa"/>
            <w:vAlign w:val="bottom"/>
            <w:tcBorders>
              <w:bottom w:val="single" w:sz="8" w:color="3C578C"/>
            </w:tcBorders>
          </w:tcPr>
          <w:p>
            <w:pPr>
              <w:spacing w:after="0"/>
              <w:rPr>
                <w:sz w:val="15"/>
                <w:szCs w:val="15"/>
                <w:color w:val="auto"/>
              </w:rPr>
            </w:pPr>
          </w:p>
        </w:tc>
        <w:tc>
          <w:tcPr>
            <w:tcW w:w="2080" w:type="dxa"/>
            <w:vAlign w:val="bottom"/>
            <w:tcBorders>
              <w:bottom w:val="single" w:sz="8" w:color="3C578C"/>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bottom w:val="single" w:sz="8" w:color="3C578C"/>
            </w:tcBorders>
          </w:tcPr>
          <w:p>
            <w:pPr>
              <w:spacing w:after="0"/>
              <w:rPr>
                <w:sz w:val="15"/>
                <w:szCs w:val="15"/>
                <w:color w:val="auto"/>
              </w:rPr>
            </w:pPr>
          </w:p>
        </w:tc>
        <w:tc>
          <w:tcPr>
            <w:tcW w:w="860" w:type="dxa"/>
            <w:vAlign w:val="bottom"/>
            <w:tcBorders>
              <w:bottom w:val="single" w:sz="8" w:color="3C578C"/>
            </w:tcBorders>
          </w:tcPr>
          <w:p>
            <w:pPr>
              <w:spacing w:after="0"/>
              <w:rPr>
                <w:sz w:val="15"/>
                <w:szCs w:val="15"/>
                <w:color w:val="auto"/>
              </w:rPr>
            </w:pPr>
          </w:p>
        </w:tc>
        <w:tc>
          <w:tcPr>
            <w:tcW w:w="220" w:type="dxa"/>
            <w:vAlign w:val="bottom"/>
            <w:tcBorders>
              <w:bottom w:val="single" w:sz="8" w:color="3C578C"/>
            </w:tcBorders>
          </w:tcPr>
          <w:p>
            <w:pPr>
              <w:spacing w:after="0"/>
              <w:rPr>
                <w:sz w:val="15"/>
                <w:szCs w:val="15"/>
                <w:color w:val="auto"/>
              </w:rPr>
            </w:pPr>
          </w:p>
        </w:tc>
        <w:tc>
          <w:tcPr>
            <w:tcW w:w="440" w:type="dxa"/>
            <w:vAlign w:val="bottom"/>
            <w:tcBorders>
              <w:bottom w:val="single" w:sz="8" w:color="3C578C"/>
            </w:tcBorders>
          </w:tcPr>
          <w:p>
            <w:pPr>
              <w:spacing w:after="0"/>
              <w:rPr>
                <w:sz w:val="15"/>
                <w:szCs w:val="15"/>
                <w:color w:val="auto"/>
              </w:rPr>
            </w:pPr>
          </w:p>
        </w:tc>
        <w:tc>
          <w:tcPr>
            <w:tcW w:w="4420" w:type="dxa"/>
            <w:vAlign w:val="bottom"/>
            <w:tcBorders>
              <w:bottom w:val="single" w:sz="8" w:color="3C578C"/>
            </w:tcBorders>
          </w:tcPr>
          <w:p>
            <w:pPr>
              <w:spacing w:after="0"/>
              <w:rPr>
                <w:sz w:val="15"/>
                <w:szCs w:val="15"/>
                <w:color w:val="auto"/>
              </w:rPr>
            </w:pPr>
          </w:p>
        </w:tc>
      </w:tr>
      <w:tr>
        <w:trPr>
          <w:trHeight w:val="260"/>
        </w:trPr>
        <w:tc>
          <w:tcPr>
            <w:tcW w:w="440" w:type="dxa"/>
            <w:vAlign w:val="bottom"/>
            <w:tcBorders>
              <w:bottom w:val="single" w:sz="8" w:color="3C578C"/>
              <w:right w:val="single" w:sz="8" w:color="F3F8FB"/>
            </w:tcBorders>
            <w:shd w:val="clear" w:color="auto" w:fill="3C578C"/>
          </w:tcPr>
          <w:p>
            <w:pPr>
              <w:ind w:left="160"/>
              <w:spacing w:after="0"/>
              <w:rPr>
                <w:sz w:val="20"/>
                <w:szCs w:val="20"/>
                <w:color w:val="auto"/>
              </w:rPr>
            </w:pPr>
            <w:r>
              <w:rPr>
                <w:rFonts w:ascii="Arial" w:cs="Arial" w:eastAsia="Arial" w:hAnsi="Arial"/>
                <w:sz w:val="17"/>
                <w:szCs w:val="17"/>
                <w:b w:val="1"/>
                <w:bCs w:val="1"/>
                <w:color w:val="FFFFFF"/>
              </w:rPr>
              <w:t>1</w:t>
            </w:r>
          </w:p>
        </w:tc>
        <w:tc>
          <w:tcPr>
            <w:tcW w:w="860" w:type="dxa"/>
            <w:vAlign w:val="bottom"/>
            <w:tcBorders>
              <w:bottom w:val="single" w:sz="8" w:color="F3F8FB"/>
            </w:tcBorders>
            <w:shd w:val="clear" w:color="auto" w:fill="F3F8FB"/>
          </w:tcPr>
          <w:p>
            <w:pPr>
              <w:spacing w:after="0"/>
              <w:rPr>
                <w:sz w:val="22"/>
                <w:szCs w:val="22"/>
                <w:color w:val="auto"/>
              </w:rPr>
            </w:pPr>
          </w:p>
        </w:tc>
        <w:tc>
          <w:tcPr>
            <w:tcW w:w="2080" w:type="dxa"/>
            <w:vAlign w:val="bottom"/>
            <w:tcBorders>
              <w:bottom w:val="single" w:sz="8" w:color="F3F8FB"/>
            </w:tcBorders>
            <w:shd w:val="clear" w:color="auto" w:fill="F3F8FB"/>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Borders>
              <w:bottom w:val="single" w:sz="8" w:color="3C578C"/>
            </w:tcBorders>
            <w:shd w:val="clear" w:color="auto" w:fill="3C578C"/>
          </w:tcPr>
          <w:p>
            <w:pPr>
              <w:jc w:val="right"/>
              <w:ind w:right="82"/>
              <w:spacing w:after="0"/>
              <w:rPr>
                <w:sz w:val="20"/>
                <w:szCs w:val="20"/>
                <w:color w:val="auto"/>
              </w:rPr>
            </w:pPr>
            <w:r>
              <w:rPr>
                <w:rFonts w:ascii="Arial" w:cs="Arial" w:eastAsia="Arial" w:hAnsi="Arial"/>
                <w:sz w:val="17"/>
                <w:szCs w:val="17"/>
                <w:b w:val="1"/>
                <w:bCs w:val="1"/>
                <w:color w:val="FFFFFF"/>
              </w:rPr>
              <w:t>2</w:t>
            </w:r>
          </w:p>
        </w:tc>
        <w:tc>
          <w:tcPr>
            <w:tcW w:w="860" w:type="dxa"/>
            <w:vAlign w:val="bottom"/>
            <w:tcBorders>
              <w:bottom w:val="single" w:sz="8" w:color="F3F8FB"/>
            </w:tcBorders>
            <w:shd w:val="clear" w:color="auto" w:fill="F3F8FB"/>
          </w:tcPr>
          <w:p>
            <w:pPr>
              <w:spacing w:after="0"/>
              <w:rPr>
                <w:sz w:val="22"/>
                <w:szCs w:val="22"/>
                <w:color w:val="auto"/>
              </w:rPr>
            </w:pPr>
          </w:p>
        </w:tc>
        <w:tc>
          <w:tcPr>
            <w:tcW w:w="220" w:type="dxa"/>
            <w:vAlign w:val="bottom"/>
            <w:tcBorders>
              <w:bottom w:val="single" w:sz="8" w:color="F3F8FB"/>
            </w:tcBorders>
            <w:shd w:val="clear" w:color="auto" w:fill="F3F8FB"/>
          </w:tcPr>
          <w:p>
            <w:pPr>
              <w:spacing w:after="0"/>
              <w:rPr>
                <w:sz w:val="22"/>
                <w:szCs w:val="22"/>
                <w:color w:val="auto"/>
              </w:rPr>
            </w:pPr>
          </w:p>
        </w:tc>
        <w:tc>
          <w:tcPr>
            <w:tcW w:w="440" w:type="dxa"/>
            <w:vAlign w:val="bottom"/>
            <w:tcBorders>
              <w:bottom w:val="single" w:sz="8" w:color="F3F8FB"/>
            </w:tcBorders>
            <w:shd w:val="clear" w:color="auto" w:fill="F3F8FB"/>
          </w:tcPr>
          <w:p>
            <w:pPr>
              <w:spacing w:after="0"/>
              <w:rPr>
                <w:sz w:val="22"/>
                <w:szCs w:val="22"/>
                <w:color w:val="auto"/>
              </w:rPr>
            </w:pPr>
          </w:p>
        </w:tc>
        <w:tc>
          <w:tcPr>
            <w:tcW w:w="4420" w:type="dxa"/>
            <w:vAlign w:val="bottom"/>
            <w:tcBorders>
              <w:bottom w:val="single" w:sz="8" w:color="F3F8FB"/>
            </w:tcBorders>
            <w:shd w:val="clear" w:color="auto" w:fill="F3F8FB"/>
          </w:tcPr>
          <w:p>
            <w:pPr>
              <w:spacing w:after="0"/>
              <w:rPr>
                <w:sz w:val="22"/>
                <w:szCs w:val="22"/>
                <w:color w:val="auto"/>
              </w:rPr>
            </w:pPr>
          </w:p>
        </w:tc>
      </w:tr>
      <w:tr>
        <w:trPr>
          <w:trHeight w:val="188"/>
        </w:trPr>
        <w:tc>
          <w:tcPr>
            <w:tcW w:w="3380" w:type="dxa"/>
            <w:vAlign w:val="bottom"/>
            <w:gridSpan w:val="3"/>
            <w:shd w:val="clear" w:color="auto" w:fill="F3F8FB"/>
          </w:tcPr>
          <w:p>
            <w:pPr>
              <w:jc w:val="center"/>
              <w:spacing w:after="0"/>
              <w:rPr>
                <w:sz w:val="20"/>
                <w:szCs w:val="20"/>
                <w:color w:val="auto"/>
              </w:rPr>
            </w:pPr>
            <w:r>
              <w:rPr>
                <w:rFonts w:ascii="Arial" w:cs="Arial" w:eastAsia="Arial" w:hAnsi="Arial"/>
                <w:sz w:val="15"/>
                <w:szCs w:val="15"/>
                <w:color w:val="auto"/>
              </w:rPr>
              <w:t>During 2023, our Compensation Committee</w:t>
            </w:r>
          </w:p>
        </w:tc>
        <w:tc>
          <w:tcPr>
            <w:tcW w:w="200" w:type="dxa"/>
            <w:vAlign w:val="bottom"/>
          </w:tcPr>
          <w:p>
            <w:pPr>
              <w:spacing w:after="0"/>
              <w:rPr>
                <w:sz w:val="16"/>
                <w:szCs w:val="16"/>
                <w:color w:val="auto"/>
              </w:rPr>
            </w:pPr>
          </w:p>
        </w:tc>
        <w:tc>
          <w:tcPr>
            <w:tcW w:w="6340" w:type="dxa"/>
            <w:vAlign w:val="bottom"/>
            <w:gridSpan w:val="5"/>
            <w:shd w:val="clear" w:color="auto" w:fill="F3F8FB"/>
          </w:tcPr>
          <w:p>
            <w:pPr>
              <w:jc w:val="center"/>
              <w:ind w:left="42"/>
              <w:spacing w:after="0"/>
              <w:rPr>
                <w:sz w:val="20"/>
                <w:szCs w:val="20"/>
                <w:color w:val="auto"/>
              </w:rPr>
            </w:pPr>
            <w:r>
              <w:rPr>
                <w:rFonts w:ascii="Arial" w:cs="Arial" w:eastAsia="Arial" w:hAnsi="Arial"/>
                <w:sz w:val="15"/>
                <w:szCs w:val="15"/>
                <w:color w:val="auto"/>
                <w:w w:val="98"/>
              </w:rPr>
              <w:t> Our annual performance-based cash incentive compensation program is typically designed</w:t>
            </w:r>
          </w:p>
        </w:tc>
      </w:tr>
      <w:tr>
        <w:trPr>
          <w:trHeight w:val="175"/>
        </w:trPr>
        <w:tc>
          <w:tcPr>
            <w:tcW w:w="440" w:type="dxa"/>
            <w:vAlign w:val="bottom"/>
            <w:tcBorders>
              <w:right w:val="single" w:sz="8" w:color="F3F8FB"/>
            </w:tcBorders>
            <w:shd w:val="clear" w:color="auto" w:fill="F3F8FB"/>
          </w:tcPr>
          <w:p>
            <w:pPr>
              <w:spacing w:after="0"/>
              <w:rPr>
                <w:sz w:val="15"/>
                <w:szCs w:val="15"/>
                <w:color w:val="auto"/>
              </w:rPr>
            </w:pPr>
          </w:p>
        </w:tc>
        <w:tc>
          <w:tcPr>
            <w:tcW w:w="2940" w:type="dxa"/>
            <w:vAlign w:val="bottom"/>
            <w:gridSpan w:val="2"/>
            <w:shd w:val="clear" w:color="auto" w:fill="F3F8FB"/>
          </w:tcPr>
          <w:p>
            <w:pPr>
              <w:jc w:val="center"/>
              <w:ind w:right="440"/>
              <w:spacing w:after="0"/>
              <w:rPr>
                <w:sz w:val="20"/>
                <w:szCs w:val="20"/>
                <w:color w:val="auto"/>
              </w:rPr>
            </w:pPr>
            <w:r>
              <w:rPr>
                <w:rFonts w:ascii="Arial" w:cs="Arial" w:eastAsia="Arial" w:hAnsi="Arial"/>
                <w:sz w:val="15"/>
                <w:szCs w:val="15"/>
                <w:color w:val="auto"/>
                <w:w w:val="99"/>
              </w:rPr>
              <w:t>continued to administer executive</w:t>
            </w:r>
          </w:p>
        </w:tc>
        <w:tc>
          <w:tcPr>
            <w:tcW w:w="200" w:type="dxa"/>
            <w:vAlign w:val="bottom"/>
          </w:tcPr>
          <w:p>
            <w:pPr>
              <w:spacing w:after="0"/>
              <w:rPr>
                <w:sz w:val="15"/>
                <w:szCs w:val="15"/>
                <w:color w:val="auto"/>
              </w:rPr>
            </w:pPr>
          </w:p>
        </w:tc>
        <w:tc>
          <w:tcPr>
            <w:tcW w:w="400" w:type="dxa"/>
            <w:vAlign w:val="bottom"/>
            <w:shd w:val="clear" w:color="auto" w:fill="F3F8FB"/>
          </w:tcPr>
          <w:p>
            <w:pPr>
              <w:spacing w:after="0"/>
              <w:rPr>
                <w:sz w:val="15"/>
                <w:szCs w:val="15"/>
                <w:color w:val="auto"/>
              </w:rPr>
            </w:pPr>
          </w:p>
        </w:tc>
        <w:tc>
          <w:tcPr>
            <w:tcW w:w="5940" w:type="dxa"/>
            <w:vAlign w:val="bottom"/>
            <w:gridSpan w:val="4"/>
            <w:shd w:val="clear" w:color="auto" w:fill="F3F8FB"/>
          </w:tcPr>
          <w:p>
            <w:pPr>
              <w:jc w:val="center"/>
              <w:ind w:right="185"/>
              <w:spacing w:after="0"/>
              <w:rPr>
                <w:sz w:val="20"/>
                <w:szCs w:val="20"/>
                <w:color w:val="auto"/>
              </w:rPr>
            </w:pPr>
            <w:r>
              <w:rPr>
                <w:rFonts w:ascii="Arial" w:cs="Arial" w:eastAsia="Arial" w:hAnsi="Arial"/>
                <w:sz w:val="15"/>
                <w:szCs w:val="15"/>
                <w:color w:val="auto"/>
                <w:w w:val="97"/>
              </w:rPr>
              <w:t>to reward our management team (including our named executive officers (“NEOs”)) for</w:t>
            </w:r>
          </w:p>
        </w:tc>
      </w:tr>
      <w:tr>
        <w:trPr>
          <w:trHeight w:val="175"/>
        </w:trPr>
        <w:tc>
          <w:tcPr>
            <w:tcW w:w="3380" w:type="dxa"/>
            <w:vAlign w:val="bottom"/>
            <w:gridSpan w:val="3"/>
            <w:shd w:val="clear" w:color="auto" w:fill="F3F8FB"/>
          </w:tcPr>
          <w:p>
            <w:pPr>
              <w:jc w:val="center"/>
              <w:spacing w:after="0"/>
              <w:rPr>
                <w:sz w:val="20"/>
                <w:szCs w:val="20"/>
                <w:color w:val="auto"/>
              </w:rPr>
            </w:pPr>
            <w:r>
              <w:rPr>
                <w:rFonts w:ascii="Arial" w:cs="Arial" w:eastAsia="Arial" w:hAnsi="Arial"/>
                <w:sz w:val="15"/>
                <w:szCs w:val="15"/>
                <w:color w:val="auto"/>
                <w:w w:val="99"/>
              </w:rPr>
              <w:t>compensation programs that it considers to be</w:t>
            </w:r>
          </w:p>
        </w:tc>
        <w:tc>
          <w:tcPr>
            <w:tcW w:w="200" w:type="dxa"/>
            <w:vAlign w:val="bottom"/>
          </w:tcPr>
          <w:p>
            <w:pPr>
              <w:spacing w:after="0"/>
              <w:rPr>
                <w:sz w:val="15"/>
                <w:szCs w:val="15"/>
                <w:color w:val="auto"/>
              </w:rPr>
            </w:pPr>
          </w:p>
        </w:tc>
        <w:tc>
          <w:tcPr>
            <w:tcW w:w="6340" w:type="dxa"/>
            <w:vAlign w:val="bottom"/>
            <w:gridSpan w:val="5"/>
            <w:shd w:val="clear" w:color="auto" w:fill="F3F8FB"/>
          </w:tcPr>
          <w:p>
            <w:pPr>
              <w:jc w:val="center"/>
              <w:ind w:left="62"/>
              <w:spacing w:after="0"/>
              <w:rPr>
                <w:sz w:val="20"/>
                <w:szCs w:val="20"/>
                <w:color w:val="auto"/>
              </w:rPr>
            </w:pPr>
            <w:r>
              <w:rPr>
                <w:rFonts w:ascii="Arial" w:cs="Arial" w:eastAsia="Arial" w:hAnsi="Arial"/>
                <w:sz w:val="15"/>
                <w:szCs w:val="15"/>
                <w:color w:val="auto"/>
                <w:w w:val="97"/>
              </w:rPr>
              <w:t>achievement of certain pre-established, short-term financial and/or operational goals. For</w:t>
            </w:r>
          </w:p>
        </w:tc>
      </w:tr>
      <w:tr>
        <w:trPr>
          <w:trHeight w:val="175"/>
        </w:trPr>
        <w:tc>
          <w:tcPr>
            <w:tcW w:w="3380" w:type="dxa"/>
            <w:vAlign w:val="bottom"/>
            <w:gridSpan w:val="3"/>
            <w:shd w:val="clear" w:color="auto" w:fill="F3F8FB"/>
          </w:tcPr>
          <w:p>
            <w:pPr>
              <w:jc w:val="center"/>
              <w:spacing w:after="0"/>
              <w:rPr>
                <w:sz w:val="20"/>
                <w:szCs w:val="20"/>
                <w:color w:val="auto"/>
              </w:rPr>
            </w:pPr>
            <w:r>
              <w:rPr>
                <w:rFonts w:ascii="Arial" w:cs="Arial" w:eastAsia="Arial" w:hAnsi="Arial"/>
                <w:sz w:val="15"/>
                <w:szCs w:val="15"/>
                <w:color w:val="auto"/>
                <w:w w:val="99"/>
              </w:rPr>
              <w:t>competitive in the market for talent and aligned</w:t>
            </w:r>
          </w:p>
        </w:tc>
        <w:tc>
          <w:tcPr>
            <w:tcW w:w="200" w:type="dxa"/>
            <w:vAlign w:val="bottom"/>
          </w:tcPr>
          <w:p>
            <w:pPr>
              <w:spacing w:after="0"/>
              <w:rPr>
                <w:sz w:val="15"/>
                <w:szCs w:val="15"/>
                <w:color w:val="auto"/>
              </w:rPr>
            </w:pPr>
          </w:p>
        </w:tc>
        <w:tc>
          <w:tcPr>
            <w:tcW w:w="400" w:type="dxa"/>
            <w:vAlign w:val="bottom"/>
            <w:shd w:val="clear" w:color="auto" w:fill="F3F8FB"/>
          </w:tcPr>
          <w:p>
            <w:pPr>
              <w:spacing w:after="0"/>
              <w:rPr>
                <w:sz w:val="15"/>
                <w:szCs w:val="15"/>
                <w:color w:val="auto"/>
              </w:rPr>
            </w:pPr>
          </w:p>
        </w:tc>
        <w:tc>
          <w:tcPr>
            <w:tcW w:w="5940" w:type="dxa"/>
            <w:vAlign w:val="bottom"/>
            <w:gridSpan w:val="4"/>
            <w:shd w:val="clear" w:color="auto" w:fill="F3F8FB"/>
          </w:tcPr>
          <w:p>
            <w:pPr>
              <w:jc w:val="center"/>
              <w:ind w:right="185"/>
              <w:spacing w:after="0"/>
              <w:rPr>
                <w:sz w:val="20"/>
                <w:szCs w:val="20"/>
                <w:color w:val="auto"/>
              </w:rPr>
            </w:pPr>
            <w:r>
              <w:rPr>
                <w:rFonts w:ascii="Arial" w:cs="Arial" w:eastAsia="Arial" w:hAnsi="Arial"/>
                <w:sz w:val="15"/>
                <w:szCs w:val="15"/>
                <w:color w:val="auto"/>
                <w:w w:val="97"/>
              </w:rPr>
              <w:t>2023, the performance objectives under our performance-based incentive program</w:t>
            </w:r>
          </w:p>
        </w:tc>
      </w:tr>
      <w:tr>
        <w:trPr>
          <w:trHeight w:val="175"/>
        </w:trPr>
        <w:tc>
          <w:tcPr>
            <w:tcW w:w="3380" w:type="dxa"/>
            <w:vAlign w:val="bottom"/>
            <w:gridSpan w:val="3"/>
            <w:shd w:val="clear" w:color="auto" w:fill="F3F8FB"/>
          </w:tcPr>
          <w:p>
            <w:pPr>
              <w:jc w:val="center"/>
              <w:spacing w:after="0"/>
              <w:rPr>
                <w:sz w:val="20"/>
                <w:szCs w:val="20"/>
                <w:color w:val="auto"/>
              </w:rPr>
            </w:pPr>
            <w:r>
              <w:rPr>
                <w:rFonts w:ascii="Arial" w:cs="Arial" w:eastAsia="Arial" w:hAnsi="Arial"/>
                <w:sz w:val="15"/>
                <w:szCs w:val="15"/>
                <w:color w:val="auto"/>
              </w:rPr>
              <w:t>with industry best practices and the long-term</w:t>
            </w:r>
          </w:p>
        </w:tc>
        <w:tc>
          <w:tcPr>
            <w:tcW w:w="200" w:type="dxa"/>
            <w:vAlign w:val="bottom"/>
          </w:tcPr>
          <w:p>
            <w:pPr>
              <w:spacing w:after="0"/>
              <w:rPr>
                <w:sz w:val="15"/>
                <w:szCs w:val="15"/>
                <w:color w:val="auto"/>
              </w:rPr>
            </w:pPr>
          </w:p>
        </w:tc>
        <w:tc>
          <w:tcPr>
            <w:tcW w:w="400" w:type="dxa"/>
            <w:vAlign w:val="bottom"/>
            <w:shd w:val="clear" w:color="auto" w:fill="F3F8FB"/>
          </w:tcPr>
          <w:p>
            <w:pPr>
              <w:spacing w:after="0"/>
              <w:rPr>
                <w:sz w:val="15"/>
                <w:szCs w:val="15"/>
                <w:color w:val="auto"/>
              </w:rPr>
            </w:pPr>
          </w:p>
        </w:tc>
        <w:tc>
          <w:tcPr>
            <w:tcW w:w="5940" w:type="dxa"/>
            <w:vAlign w:val="bottom"/>
            <w:gridSpan w:val="4"/>
            <w:shd w:val="clear" w:color="auto" w:fill="F3F8FB"/>
          </w:tcPr>
          <w:p>
            <w:pPr>
              <w:jc w:val="center"/>
              <w:ind w:right="185"/>
              <w:spacing w:after="0"/>
              <w:rPr>
                <w:sz w:val="20"/>
                <w:szCs w:val="20"/>
                <w:color w:val="auto"/>
              </w:rPr>
            </w:pPr>
            <w:r>
              <w:rPr>
                <w:rFonts w:ascii="Arial" w:cs="Arial" w:eastAsia="Arial" w:hAnsi="Arial"/>
                <w:sz w:val="15"/>
                <w:szCs w:val="15"/>
                <w:color w:val="auto"/>
                <w:w w:val="97"/>
              </w:rPr>
              <w:t xml:space="preserve">consisted of </w:t>
            </w:r>
            <w:r>
              <w:rPr>
                <w:rFonts w:ascii="Arial" w:cs="Arial" w:eastAsia="Arial" w:hAnsi="Arial"/>
                <w:sz w:val="15"/>
                <w:szCs w:val="15"/>
                <w:b w:val="1"/>
                <w:bCs w:val="1"/>
                <w:color w:val="auto"/>
                <w:w w:val="97"/>
              </w:rPr>
              <w:t>Adjusted EBITDA (50)%, Revenue (25)% and Free Cash Flow (25)%</w:t>
            </w:r>
            <w:r>
              <w:rPr>
                <w:rFonts w:ascii="Arial" w:cs="Arial" w:eastAsia="Arial" w:hAnsi="Arial"/>
                <w:sz w:val="15"/>
                <w:szCs w:val="15"/>
                <w:color w:val="auto"/>
                <w:w w:val="97"/>
              </w:rPr>
              <w:t>, in</w:t>
            </w:r>
          </w:p>
        </w:tc>
      </w:tr>
      <w:tr>
        <w:trPr>
          <w:trHeight w:val="198"/>
        </w:trPr>
        <w:tc>
          <w:tcPr>
            <w:tcW w:w="440" w:type="dxa"/>
            <w:vAlign w:val="bottom"/>
            <w:tcBorders>
              <w:right w:val="single" w:sz="8" w:color="F3F8FB"/>
            </w:tcBorders>
            <w:shd w:val="clear" w:color="auto" w:fill="F3F8FB"/>
          </w:tcPr>
          <w:p>
            <w:pPr>
              <w:spacing w:after="0"/>
              <w:rPr>
                <w:sz w:val="17"/>
                <w:szCs w:val="17"/>
                <w:color w:val="auto"/>
              </w:rPr>
            </w:pPr>
          </w:p>
        </w:tc>
        <w:tc>
          <w:tcPr>
            <w:tcW w:w="2940" w:type="dxa"/>
            <w:vAlign w:val="bottom"/>
            <w:gridSpan w:val="2"/>
            <w:shd w:val="clear" w:color="auto" w:fill="F3F8FB"/>
          </w:tcPr>
          <w:p>
            <w:pPr>
              <w:jc w:val="center"/>
              <w:ind w:right="440"/>
              <w:spacing w:after="0"/>
              <w:rPr>
                <w:sz w:val="20"/>
                <w:szCs w:val="20"/>
                <w:color w:val="auto"/>
              </w:rPr>
            </w:pPr>
            <w:r>
              <w:rPr>
                <w:rFonts w:ascii="Arial" w:cs="Arial" w:eastAsia="Arial" w:hAnsi="Arial"/>
                <w:sz w:val="15"/>
                <w:szCs w:val="15"/>
                <w:color w:val="auto"/>
                <w:w w:val="99"/>
              </w:rPr>
              <w:t>interests of our stockholders.</w:t>
            </w:r>
          </w:p>
        </w:tc>
        <w:tc>
          <w:tcPr>
            <w:tcW w:w="200" w:type="dxa"/>
            <w:vAlign w:val="bottom"/>
          </w:tcPr>
          <w:p>
            <w:pPr>
              <w:spacing w:after="0"/>
              <w:rPr>
                <w:sz w:val="17"/>
                <w:szCs w:val="17"/>
                <w:color w:val="auto"/>
              </w:rPr>
            </w:pPr>
          </w:p>
        </w:tc>
        <w:tc>
          <w:tcPr>
            <w:tcW w:w="400" w:type="dxa"/>
            <w:vAlign w:val="bottom"/>
            <w:shd w:val="clear" w:color="auto" w:fill="F3F8FB"/>
          </w:tcPr>
          <w:p>
            <w:pPr>
              <w:spacing w:after="0"/>
              <w:rPr>
                <w:sz w:val="17"/>
                <w:szCs w:val="17"/>
                <w:color w:val="auto"/>
              </w:rPr>
            </w:pPr>
          </w:p>
        </w:tc>
        <w:tc>
          <w:tcPr>
            <w:tcW w:w="5940" w:type="dxa"/>
            <w:vAlign w:val="bottom"/>
            <w:gridSpan w:val="4"/>
            <w:shd w:val="clear" w:color="auto" w:fill="F3F8FB"/>
          </w:tcPr>
          <w:p>
            <w:pPr>
              <w:jc w:val="center"/>
              <w:ind w:right="185"/>
              <w:spacing w:after="0"/>
              <w:rPr>
                <w:sz w:val="20"/>
                <w:szCs w:val="20"/>
                <w:color w:val="auto"/>
              </w:rPr>
            </w:pPr>
            <w:r>
              <w:rPr>
                <w:rFonts w:ascii="Arial" w:cs="Arial" w:eastAsia="Arial" w:hAnsi="Arial"/>
                <w:sz w:val="15"/>
                <w:szCs w:val="15"/>
                <w:color w:val="auto"/>
                <w:w w:val="97"/>
              </w:rPr>
              <w:t>each case established by reference to the Company’s annual operating plan.</w:t>
            </w:r>
          </w:p>
        </w:tc>
      </w:tr>
      <w:tr>
        <w:trPr>
          <w:trHeight w:val="202"/>
        </w:trPr>
        <w:tc>
          <w:tcPr>
            <w:tcW w:w="440" w:type="dxa"/>
            <w:vAlign w:val="bottom"/>
            <w:tcBorders>
              <w:right w:val="single" w:sz="8" w:color="F3F8FB"/>
            </w:tcBorders>
            <w:shd w:val="clear" w:color="auto" w:fill="F3F8FB"/>
          </w:tcPr>
          <w:p>
            <w:pPr>
              <w:spacing w:after="0"/>
              <w:rPr>
                <w:sz w:val="17"/>
                <w:szCs w:val="17"/>
                <w:color w:val="auto"/>
              </w:rPr>
            </w:pPr>
          </w:p>
        </w:tc>
        <w:tc>
          <w:tcPr>
            <w:tcW w:w="860" w:type="dxa"/>
            <w:vAlign w:val="bottom"/>
            <w:shd w:val="clear" w:color="auto" w:fill="F3F8FB"/>
          </w:tcPr>
          <w:p>
            <w:pPr>
              <w:spacing w:after="0"/>
              <w:rPr>
                <w:sz w:val="17"/>
                <w:szCs w:val="17"/>
                <w:color w:val="auto"/>
              </w:rPr>
            </w:pPr>
          </w:p>
        </w:tc>
        <w:tc>
          <w:tcPr>
            <w:tcW w:w="2080" w:type="dxa"/>
            <w:vAlign w:val="bottom"/>
            <w:shd w:val="clear" w:color="auto" w:fill="F3F8FB"/>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shd w:val="clear" w:color="auto" w:fill="F3F8FB"/>
          </w:tcPr>
          <w:p>
            <w:pPr>
              <w:spacing w:after="0"/>
              <w:rPr>
                <w:sz w:val="17"/>
                <w:szCs w:val="17"/>
                <w:color w:val="auto"/>
              </w:rPr>
            </w:pPr>
          </w:p>
        </w:tc>
        <w:tc>
          <w:tcPr>
            <w:tcW w:w="860" w:type="dxa"/>
            <w:vAlign w:val="bottom"/>
            <w:shd w:val="clear" w:color="auto" w:fill="F3F8FB"/>
          </w:tcPr>
          <w:p>
            <w:pPr>
              <w:spacing w:after="0"/>
              <w:rPr>
                <w:sz w:val="17"/>
                <w:szCs w:val="17"/>
                <w:color w:val="auto"/>
              </w:rPr>
            </w:pPr>
          </w:p>
        </w:tc>
        <w:tc>
          <w:tcPr>
            <w:tcW w:w="220" w:type="dxa"/>
            <w:vAlign w:val="bottom"/>
            <w:shd w:val="clear" w:color="auto" w:fill="F3F8FB"/>
          </w:tcPr>
          <w:p>
            <w:pPr>
              <w:spacing w:after="0"/>
              <w:rPr>
                <w:sz w:val="17"/>
                <w:szCs w:val="17"/>
                <w:color w:val="auto"/>
              </w:rPr>
            </w:pPr>
          </w:p>
        </w:tc>
        <w:tc>
          <w:tcPr>
            <w:tcW w:w="440" w:type="dxa"/>
            <w:vAlign w:val="bottom"/>
            <w:shd w:val="clear" w:color="auto" w:fill="F3F8FB"/>
          </w:tcPr>
          <w:p>
            <w:pPr>
              <w:spacing w:after="0"/>
              <w:rPr>
                <w:sz w:val="17"/>
                <w:szCs w:val="17"/>
                <w:color w:val="auto"/>
              </w:rPr>
            </w:pPr>
          </w:p>
        </w:tc>
        <w:tc>
          <w:tcPr>
            <w:tcW w:w="4420" w:type="dxa"/>
            <w:vAlign w:val="bottom"/>
            <w:shd w:val="clear" w:color="auto" w:fill="F3F8FB"/>
          </w:tcPr>
          <w:p>
            <w:pPr>
              <w:spacing w:after="0"/>
              <w:rPr>
                <w:sz w:val="17"/>
                <w:szCs w:val="17"/>
                <w:color w:val="auto"/>
              </w:rPr>
            </w:pPr>
          </w:p>
        </w:tc>
      </w:tr>
      <w:tr>
        <w:trPr>
          <w:trHeight w:val="125"/>
        </w:trPr>
        <w:tc>
          <w:tcPr>
            <w:tcW w:w="440" w:type="dxa"/>
            <w:vAlign w:val="bottom"/>
            <w:tcBorders>
              <w:bottom w:val="single" w:sz="8" w:color="3C578C"/>
            </w:tcBorders>
          </w:tcPr>
          <w:p>
            <w:pPr>
              <w:spacing w:after="0"/>
              <w:rPr>
                <w:sz w:val="10"/>
                <w:szCs w:val="10"/>
                <w:color w:val="auto"/>
              </w:rPr>
            </w:pPr>
          </w:p>
        </w:tc>
        <w:tc>
          <w:tcPr>
            <w:tcW w:w="860" w:type="dxa"/>
            <w:vAlign w:val="bottom"/>
            <w:tcBorders>
              <w:bottom w:val="single" w:sz="8" w:color="3C578C"/>
            </w:tcBorders>
          </w:tcPr>
          <w:p>
            <w:pPr>
              <w:spacing w:after="0"/>
              <w:rPr>
                <w:sz w:val="10"/>
                <w:szCs w:val="10"/>
                <w:color w:val="auto"/>
              </w:rPr>
            </w:pPr>
          </w:p>
        </w:tc>
        <w:tc>
          <w:tcPr>
            <w:tcW w:w="2080" w:type="dxa"/>
            <w:vAlign w:val="bottom"/>
            <w:tcBorders>
              <w:bottom w:val="single" w:sz="8" w:color="3C578C"/>
            </w:tcBorders>
          </w:tcPr>
          <w:p>
            <w:pPr>
              <w:spacing w:after="0"/>
              <w:rPr>
                <w:sz w:val="10"/>
                <w:szCs w:val="10"/>
                <w:color w:val="auto"/>
              </w:rPr>
            </w:pPr>
          </w:p>
        </w:tc>
        <w:tc>
          <w:tcPr>
            <w:tcW w:w="200" w:type="dxa"/>
            <w:vAlign w:val="bottom"/>
            <w:tcBorders>
              <w:bottom w:val="single" w:sz="8" w:color="3C578C"/>
            </w:tcBorders>
          </w:tcPr>
          <w:p>
            <w:pPr>
              <w:spacing w:after="0"/>
              <w:rPr>
                <w:sz w:val="10"/>
                <w:szCs w:val="10"/>
                <w:color w:val="auto"/>
              </w:rPr>
            </w:pPr>
          </w:p>
        </w:tc>
        <w:tc>
          <w:tcPr>
            <w:tcW w:w="400" w:type="dxa"/>
            <w:vAlign w:val="bottom"/>
            <w:tcBorders>
              <w:bottom w:val="single" w:sz="8" w:color="3C578C"/>
            </w:tcBorders>
          </w:tcPr>
          <w:p>
            <w:pPr>
              <w:spacing w:after="0"/>
              <w:rPr>
                <w:sz w:val="10"/>
                <w:szCs w:val="10"/>
                <w:color w:val="auto"/>
              </w:rPr>
            </w:pPr>
          </w:p>
        </w:tc>
        <w:tc>
          <w:tcPr>
            <w:tcW w:w="860" w:type="dxa"/>
            <w:vAlign w:val="bottom"/>
            <w:tcBorders>
              <w:bottom w:val="single" w:sz="8" w:color="3C578C"/>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bottom w:val="single" w:sz="8" w:color="3C578C"/>
            </w:tcBorders>
          </w:tcPr>
          <w:p>
            <w:pPr>
              <w:spacing w:after="0"/>
              <w:rPr>
                <w:sz w:val="10"/>
                <w:szCs w:val="10"/>
                <w:color w:val="auto"/>
              </w:rPr>
            </w:pPr>
          </w:p>
        </w:tc>
        <w:tc>
          <w:tcPr>
            <w:tcW w:w="4420" w:type="dxa"/>
            <w:vAlign w:val="bottom"/>
            <w:tcBorders>
              <w:bottom w:val="single" w:sz="8" w:color="3C578C"/>
            </w:tcBorders>
          </w:tcPr>
          <w:p>
            <w:pPr>
              <w:spacing w:after="0"/>
              <w:rPr>
                <w:sz w:val="10"/>
                <w:szCs w:val="10"/>
                <w:color w:val="auto"/>
              </w:rPr>
            </w:pPr>
          </w:p>
        </w:tc>
      </w:tr>
      <w:tr>
        <w:trPr>
          <w:trHeight w:val="260"/>
        </w:trPr>
        <w:tc>
          <w:tcPr>
            <w:tcW w:w="440" w:type="dxa"/>
            <w:vAlign w:val="bottom"/>
            <w:tcBorders>
              <w:bottom w:val="single" w:sz="8" w:color="3C578C"/>
              <w:right w:val="single" w:sz="8" w:color="3C578C"/>
            </w:tcBorders>
            <w:shd w:val="clear" w:color="auto" w:fill="3C578C"/>
          </w:tcPr>
          <w:p>
            <w:pPr>
              <w:ind w:left="180"/>
              <w:spacing w:after="0"/>
              <w:rPr>
                <w:sz w:val="20"/>
                <w:szCs w:val="20"/>
                <w:color w:val="auto"/>
              </w:rPr>
            </w:pPr>
            <w:r>
              <w:rPr>
                <w:rFonts w:ascii="Arial" w:cs="Arial" w:eastAsia="Arial" w:hAnsi="Arial"/>
                <w:sz w:val="17"/>
                <w:szCs w:val="17"/>
                <w:b w:val="1"/>
                <w:bCs w:val="1"/>
                <w:color w:val="FFFFFF"/>
              </w:rPr>
              <w:t>3</w:t>
            </w:r>
          </w:p>
        </w:tc>
        <w:tc>
          <w:tcPr>
            <w:tcW w:w="860" w:type="dxa"/>
            <w:vAlign w:val="bottom"/>
            <w:tcBorders>
              <w:bottom w:val="single" w:sz="8" w:color="F3F8FB"/>
            </w:tcBorders>
            <w:shd w:val="clear" w:color="auto" w:fill="F3F8FB"/>
          </w:tcPr>
          <w:p>
            <w:pPr>
              <w:spacing w:after="0"/>
              <w:rPr>
                <w:sz w:val="22"/>
                <w:szCs w:val="22"/>
                <w:color w:val="auto"/>
              </w:rPr>
            </w:pPr>
          </w:p>
        </w:tc>
        <w:tc>
          <w:tcPr>
            <w:tcW w:w="2080" w:type="dxa"/>
            <w:vAlign w:val="bottom"/>
            <w:tcBorders>
              <w:bottom w:val="single" w:sz="8" w:color="F3F8FB"/>
            </w:tcBorders>
            <w:shd w:val="clear" w:color="auto" w:fill="F3F8FB"/>
          </w:tcPr>
          <w:p>
            <w:pPr>
              <w:spacing w:after="0"/>
              <w:rPr>
                <w:sz w:val="22"/>
                <w:szCs w:val="22"/>
                <w:color w:val="auto"/>
              </w:rPr>
            </w:pPr>
          </w:p>
        </w:tc>
        <w:tc>
          <w:tcPr>
            <w:tcW w:w="200" w:type="dxa"/>
            <w:vAlign w:val="bottom"/>
            <w:tcBorders>
              <w:bottom w:val="single" w:sz="8" w:color="F3F8FB"/>
            </w:tcBorders>
            <w:shd w:val="clear" w:color="auto" w:fill="F3F8FB"/>
          </w:tcPr>
          <w:p>
            <w:pPr>
              <w:spacing w:after="0"/>
              <w:rPr>
                <w:sz w:val="22"/>
                <w:szCs w:val="22"/>
                <w:color w:val="auto"/>
              </w:rPr>
            </w:pPr>
          </w:p>
        </w:tc>
        <w:tc>
          <w:tcPr>
            <w:tcW w:w="400" w:type="dxa"/>
            <w:vAlign w:val="bottom"/>
            <w:tcBorders>
              <w:bottom w:val="single" w:sz="8" w:color="F3F8FB"/>
            </w:tcBorders>
            <w:shd w:val="clear" w:color="auto" w:fill="F3F8FB"/>
          </w:tcPr>
          <w:p>
            <w:pPr>
              <w:spacing w:after="0"/>
              <w:rPr>
                <w:sz w:val="22"/>
                <w:szCs w:val="22"/>
                <w:color w:val="auto"/>
              </w:rPr>
            </w:pPr>
          </w:p>
        </w:tc>
        <w:tc>
          <w:tcPr>
            <w:tcW w:w="860" w:type="dxa"/>
            <w:vAlign w:val="bottom"/>
            <w:tcBorders>
              <w:bottom w:val="single" w:sz="8" w:color="F3F8FB"/>
            </w:tcBorders>
            <w:shd w:val="clear" w:color="auto" w:fill="F3F8FB"/>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Borders>
              <w:bottom w:val="single" w:sz="8" w:color="3C578C"/>
            </w:tcBorders>
            <w:shd w:val="clear" w:color="auto" w:fill="3C578C"/>
          </w:tcPr>
          <w:p>
            <w:pPr>
              <w:jc w:val="right"/>
              <w:ind w:right="102"/>
              <w:spacing w:after="0"/>
              <w:rPr>
                <w:sz w:val="20"/>
                <w:szCs w:val="20"/>
                <w:color w:val="auto"/>
              </w:rPr>
            </w:pPr>
            <w:r>
              <w:rPr>
                <w:rFonts w:ascii="Arial" w:cs="Arial" w:eastAsia="Arial" w:hAnsi="Arial"/>
                <w:sz w:val="17"/>
                <w:szCs w:val="17"/>
                <w:b w:val="1"/>
                <w:bCs w:val="1"/>
                <w:color w:val="FFFFFF"/>
              </w:rPr>
              <w:t>4</w:t>
            </w:r>
          </w:p>
        </w:tc>
        <w:tc>
          <w:tcPr>
            <w:tcW w:w="4420" w:type="dxa"/>
            <w:vAlign w:val="bottom"/>
            <w:tcBorders>
              <w:bottom w:val="single" w:sz="8" w:color="F3F8FB"/>
            </w:tcBorders>
            <w:shd w:val="clear" w:color="auto" w:fill="F3F8FB"/>
          </w:tcPr>
          <w:p>
            <w:pPr>
              <w:spacing w:after="0"/>
              <w:rPr>
                <w:sz w:val="22"/>
                <w:szCs w:val="22"/>
                <w:color w:val="auto"/>
              </w:rPr>
            </w:pPr>
          </w:p>
        </w:tc>
      </w:tr>
      <w:tr>
        <w:trPr>
          <w:trHeight w:val="200"/>
        </w:trPr>
        <w:tc>
          <w:tcPr>
            <w:tcW w:w="4840" w:type="dxa"/>
            <w:vAlign w:val="bottom"/>
            <w:gridSpan w:val="6"/>
            <w:shd w:val="clear" w:color="auto" w:fill="F3F8FB"/>
          </w:tcPr>
          <w:p>
            <w:pPr>
              <w:jc w:val="center"/>
              <w:spacing w:after="0"/>
              <w:rPr>
                <w:sz w:val="20"/>
                <w:szCs w:val="20"/>
                <w:color w:val="auto"/>
              </w:rPr>
            </w:pPr>
            <w:r>
              <w:rPr>
                <w:rFonts w:ascii="Arial" w:cs="Arial" w:eastAsia="Arial" w:hAnsi="Arial"/>
                <w:sz w:val="15"/>
                <w:szCs w:val="15"/>
                <w:color w:val="auto"/>
              </w:rPr>
              <w:t>Performance-based restricted stock units (“PRSUs”) that were</w:t>
            </w:r>
          </w:p>
        </w:tc>
        <w:tc>
          <w:tcPr>
            <w:tcW w:w="220" w:type="dxa"/>
            <w:vAlign w:val="bottom"/>
          </w:tcPr>
          <w:p>
            <w:pPr>
              <w:spacing w:after="0"/>
              <w:rPr>
                <w:sz w:val="17"/>
                <w:szCs w:val="17"/>
                <w:color w:val="auto"/>
              </w:rPr>
            </w:pPr>
          </w:p>
        </w:tc>
        <w:tc>
          <w:tcPr>
            <w:tcW w:w="440" w:type="dxa"/>
            <w:vAlign w:val="bottom"/>
            <w:shd w:val="clear" w:color="auto" w:fill="F3F8FB"/>
          </w:tcPr>
          <w:p>
            <w:pPr>
              <w:spacing w:after="0"/>
              <w:rPr>
                <w:sz w:val="17"/>
                <w:szCs w:val="17"/>
                <w:color w:val="auto"/>
              </w:rPr>
            </w:pPr>
          </w:p>
        </w:tc>
        <w:tc>
          <w:tcPr>
            <w:tcW w:w="4420" w:type="dxa"/>
            <w:vAlign w:val="bottom"/>
            <w:shd w:val="clear" w:color="auto" w:fill="F3F8FB"/>
          </w:tcPr>
          <w:p>
            <w:pPr>
              <w:jc w:val="center"/>
              <w:ind w:right="245"/>
              <w:spacing w:after="0"/>
              <w:rPr>
                <w:sz w:val="20"/>
                <w:szCs w:val="20"/>
                <w:color w:val="auto"/>
              </w:rPr>
            </w:pPr>
            <w:r>
              <w:rPr>
                <w:rFonts w:ascii="Arial" w:cs="Arial" w:eastAsia="Arial" w:hAnsi="Arial"/>
                <w:sz w:val="15"/>
                <w:szCs w:val="15"/>
                <w:color w:val="auto"/>
              </w:rPr>
              <w:t>Our Compensation Committee has engaged an independent</w:t>
            </w:r>
          </w:p>
        </w:tc>
      </w:tr>
      <w:tr>
        <w:trPr>
          <w:trHeight w:val="175"/>
        </w:trPr>
        <w:tc>
          <w:tcPr>
            <w:tcW w:w="4840" w:type="dxa"/>
            <w:vAlign w:val="bottom"/>
            <w:gridSpan w:val="6"/>
            <w:shd w:val="clear" w:color="auto" w:fill="F3F8FB"/>
          </w:tcPr>
          <w:p>
            <w:pPr>
              <w:jc w:val="center"/>
              <w:spacing w:after="0"/>
              <w:rPr>
                <w:sz w:val="20"/>
                <w:szCs w:val="20"/>
                <w:color w:val="auto"/>
              </w:rPr>
            </w:pPr>
            <w:r>
              <w:rPr>
                <w:rFonts w:ascii="Arial" w:cs="Arial" w:eastAsia="Arial" w:hAnsi="Arial"/>
                <w:sz w:val="15"/>
                <w:szCs w:val="15"/>
                <w:color w:val="auto"/>
              </w:rPr>
              <w:t>granted in 2023 under our long-term equity incentive program require</w:t>
            </w:r>
          </w:p>
        </w:tc>
        <w:tc>
          <w:tcPr>
            <w:tcW w:w="220" w:type="dxa"/>
            <w:vAlign w:val="bottom"/>
          </w:tcPr>
          <w:p>
            <w:pPr>
              <w:spacing w:after="0"/>
              <w:rPr>
                <w:sz w:val="15"/>
                <w:szCs w:val="15"/>
                <w:color w:val="auto"/>
              </w:rPr>
            </w:pPr>
          </w:p>
        </w:tc>
        <w:tc>
          <w:tcPr>
            <w:tcW w:w="440" w:type="dxa"/>
            <w:vAlign w:val="bottom"/>
            <w:shd w:val="clear" w:color="auto" w:fill="F3F8FB"/>
          </w:tcPr>
          <w:p>
            <w:pPr>
              <w:spacing w:after="0"/>
              <w:rPr>
                <w:sz w:val="15"/>
                <w:szCs w:val="15"/>
                <w:color w:val="auto"/>
              </w:rPr>
            </w:pPr>
          </w:p>
        </w:tc>
        <w:tc>
          <w:tcPr>
            <w:tcW w:w="4420" w:type="dxa"/>
            <w:vAlign w:val="bottom"/>
            <w:shd w:val="clear" w:color="auto" w:fill="F3F8FB"/>
          </w:tcPr>
          <w:p>
            <w:pPr>
              <w:jc w:val="center"/>
              <w:ind w:right="225"/>
              <w:spacing w:after="0"/>
              <w:rPr>
                <w:sz w:val="20"/>
                <w:szCs w:val="20"/>
                <w:color w:val="auto"/>
              </w:rPr>
            </w:pPr>
            <w:r>
              <w:rPr>
                <w:rFonts w:ascii="Arial" w:cs="Arial" w:eastAsia="Arial" w:hAnsi="Arial"/>
                <w:sz w:val="15"/>
                <w:szCs w:val="15"/>
                <w:color w:val="auto"/>
              </w:rPr>
              <w:t>executive compensation consultant to provide advice on</w:t>
            </w:r>
          </w:p>
        </w:tc>
      </w:tr>
      <w:tr>
        <w:trPr>
          <w:trHeight w:val="175"/>
        </w:trPr>
        <w:tc>
          <w:tcPr>
            <w:tcW w:w="4840" w:type="dxa"/>
            <w:vAlign w:val="bottom"/>
            <w:gridSpan w:val="6"/>
            <w:shd w:val="clear" w:color="auto" w:fill="F3F8FB"/>
          </w:tcPr>
          <w:p>
            <w:pPr>
              <w:jc w:val="center"/>
              <w:spacing w:after="0"/>
              <w:rPr>
                <w:sz w:val="20"/>
                <w:szCs w:val="20"/>
                <w:color w:val="auto"/>
              </w:rPr>
            </w:pPr>
            <w:r>
              <w:rPr>
                <w:rFonts w:ascii="Arial" w:cs="Arial" w:eastAsia="Arial" w:hAnsi="Arial"/>
                <w:sz w:val="15"/>
                <w:szCs w:val="15"/>
                <w:color w:val="auto"/>
              </w:rPr>
              <w:t>attainment of relative total shareholder return (“Relative TSR”) goals</w:t>
            </w:r>
          </w:p>
        </w:tc>
        <w:tc>
          <w:tcPr>
            <w:tcW w:w="220" w:type="dxa"/>
            <w:vAlign w:val="bottom"/>
          </w:tcPr>
          <w:p>
            <w:pPr>
              <w:spacing w:after="0"/>
              <w:rPr>
                <w:sz w:val="15"/>
                <w:szCs w:val="15"/>
                <w:color w:val="auto"/>
              </w:rPr>
            </w:pPr>
          </w:p>
        </w:tc>
        <w:tc>
          <w:tcPr>
            <w:tcW w:w="440" w:type="dxa"/>
            <w:vAlign w:val="bottom"/>
            <w:shd w:val="clear" w:color="auto" w:fill="F3F8FB"/>
          </w:tcPr>
          <w:p>
            <w:pPr>
              <w:spacing w:after="0"/>
              <w:rPr>
                <w:sz w:val="15"/>
                <w:szCs w:val="15"/>
                <w:color w:val="auto"/>
              </w:rPr>
            </w:pPr>
          </w:p>
        </w:tc>
        <w:tc>
          <w:tcPr>
            <w:tcW w:w="4420" w:type="dxa"/>
            <w:vAlign w:val="bottom"/>
            <w:shd w:val="clear" w:color="auto" w:fill="F3F8FB"/>
          </w:tcPr>
          <w:p>
            <w:pPr>
              <w:jc w:val="center"/>
              <w:ind w:right="225"/>
              <w:spacing w:after="0"/>
              <w:rPr>
                <w:sz w:val="20"/>
                <w:szCs w:val="20"/>
                <w:color w:val="auto"/>
              </w:rPr>
            </w:pPr>
            <w:r>
              <w:rPr>
                <w:rFonts w:ascii="Arial" w:cs="Arial" w:eastAsia="Arial" w:hAnsi="Arial"/>
                <w:sz w:val="15"/>
                <w:szCs w:val="15"/>
                <w:color w:val="auto"/>
                <w:w w:val="99"/>
              </w:rPr>
              <w:t>compensation matters. In 2023, we engaged our independent</w:t>
            </w:r>
          </w:p>
        </w:tc>
      </w:tr>
      <w:tr>
        <w:trPr>
          <w:trHeight w:val="175"/>
        </w:trPr>
        <w:tc>
          <w:tcPr>
            <w:tcW w:w="4840" w:type="dxa"/>
            <w:vAlign w:val="bottom"/>
            <w:gridSpan w:val="6"/>
            <w:shd w:val="clear" w:color="auto" w:fill="F3F8FB"/>
          </w:tcPr>
          <w:p>
            <w:pPr>
              <w:jc w:val="center"/>
              <w:spacing w:after="0"/>
              <w:rPr>
                <w:sz w:val="20"/>
                <w:szCs w:val="20"/>
                <w:color w:val="auto"/>
              </w:rPr>
            </w:pPr>
            <w:r>
              <w:rPr>
                <w:rFonts w:ascii="Arial" w:cs="Arial" w:eastAsia="Arial" w:hAnsi="Arial"/>
                <w:sz w:val="15"/>
                <w:szCs w:val="15"/>
                <w:color w:val="auto"/>
                <w:w w:val="99"/>
              </w:rPr>
              <w:t>during the 2023-2025 performance period for a specific percentage</w:t>
            </w:r>
          </w:p>
        </w:tc>
        <w:tc>
          <w:tcPr>
            <w:tcW w:w="220" w:type="dxa"/>
            <w:vAlign w:val="bottom"/>
          </w:tcPr>
          <w:p>
            <w:pPr>
              <w:spacing w:after="0"/>
              <w:rPr>
                <w:sz w:val="15"/>
                <w:szCs w:val="15"/>
                <w:color w:val="auto"/>
              </w:rPr>
            </w:pPr>
          </w:p>
        </w:tc>
        <w:tc>
          <w:tcPr>
            <w:tcW w:w="440" w:type="dxa"/>
            <w:vAlign w:val="bottom"/>
            <w:shd w:val="clear" w:color="auto" w:fill="F3F8FB"/>
          </w:tcPr>
          <w:p>
            <w:pPr>
              <w:spacing w:after="0"/>
              <w:rPr>
                <w:sz w:val="15"/>
                <w:szCs w:val="15"/>
                <w:color w:val="auto"/>
              </w:rPr>
            </w:pPr>
          </w:p>
        </w:tc>
        <w:tc>
          <w:tcPr>
            <w:tcW w:w="4420" w:type="dxa"/>
            <w:vAlign w:val="bottom"/>
            <w:shd w:val="clear" w:color="auto" w:fill="F3F8FB"/>
          </w:tcPr>
          <w:p>
            <w:pPr>
              <w:jc w:val="center"/>
              <w:ind w:right="245"/>
              <w:spacing w:after="0"/>
              <w:rPr>
                <w:sz w:val="20"/>
                <w:szCs w:val="20"/>
                <w:color w:val="auto"/>
              </w:rPr>
            </w:pPr>
            <w:r>
              <w:rPr>
                <w:rFonts w:ascii="Arial" w:cs="Arial" w:eastAsia="Arial" w:hAnsi="Arial"/>
                <w:sz w:val="15"/>
                <w:szCs w:val="15"/>
                <w:color w:val="auto"/>
              </w:rPr>
              <w:t>compensation consultant to conduct a market analysis of the</w:t>
            </w:r>
          </w:p>
        </w:tc>
      </w:tr>
      <w:tr>
        <w:trPr>
          <w:trHeight w:val="175"/>
        </w:trPr>
        <w:tc>
          <w:tcPr>
            <w:tcW w:w="4840" w:type="dxa"/>
            <w:vAlign w:val="bottom"/>
            <w:gridSpan w:val="6"/>
            <w:shd w:val="clear" w:color="auto" w:fill="F3F8FB"/>
          </w:tcPr>
          <w:p>
            <w:pPr>
              <w:jc w:val="center"/>
              <w:spacing w:after="0"/>
              <w:rPr>
                <w:sz w:val="20"/>
                <w:szCs w:val="20"/>
                <w:color w:val="auto"/>
              </w:rPr>
            </w:pPr>
            <w:r>
              <w:rPr>
                <w:rFonts w:ascii="Arial" w:cs="Arial" w:eastAsia="Arial" w:hAnsi="Arial"/>
                <w:sz w:val="15"/>
                <w:szCs w:val="15"/>
                <w:color w:val="auto"/>
                <w:w w:val="99"/>
              </w:rPr>
              <w:t>of those PRSUs to vest. We also granted time-based restricted stock</w:t>
            </w:r>
          </w:p>
        </w:tc>
        <w:tc>
          <w:tcPr>
            <w:tcW w:w="220" w:type="dxa"/>
            <w:vAlign w:val="bottom"/>
          </w:tcPr>
          <w:p>
            <w:pPr>
              <w:spacing w:after="0"/>
              <w:rPr>
                <w:sz w:val="15"/>
                <w:szCs w:val="15"/>
                <w:color w:val="auto"/>
              </w:rPr>
            </w:pPr>
          </w:p>
        </w:tc>
        <w:tc>
          <w:tcPr>
            <w:tcW w:w="4860" w:type="dxa"/>
            <w:vAlign w:val="bottom"/>
            <w:gridSpan w:val="2"/>
            <w:shd w:val="clear" w:color="auto" w:fill="F3F8FB"/>
          </w:tcPr>
          <w:p>
            <w:pPr>
              <w:jc w:val="center"/>
              <w:ind w:left="42"/>
              <w:spacing w:after="0"/>
              <w:rPr>
                <w:sz w:val="20"/>
                <w:szCs w:val="20"/>
                <w:color w:val="auto"/>
              </w:rPr>
            </w:pPr>
            <w:r>
              <w:rPr>
                <w:rFonts w:ascii="Arial" w:cs="Arial" w:eastAsia="Arial" w:hAnsi="Arial"/>
                <w:sz w:val="15"/>
                <w:szCs w:val="15"/>
                <w:color w:val="auto"/>
                <w:w w:val="99"/>
              </w:rPr>
              <w:t>compensation of all our executive officers and the entire Board’s</w:t>
            </w:r>
          </w:p>
        </w:tc>
      </w:tr>
      <w:tr>
        <w:trPr>
          <w:trHeight w:val="175"/>
        </w:trPr>
        <w:tc>
          <w:tcPr>
            <w:tcW w:w="4840" w:type="dxa"/>
            <w:vAlign w:val="bottom"/>
            <w:gridSpan w:val="6"/>
            <w:shd w:val="clear" w:color="auto" w:fill="F3F8FB"/>
          </w:tcPr>
          <w:p>
            <w:pPr>
              <w:jc w:val="center"/>
              <w:spacing w:after="0"/>
              <w:rPr>
                <w:sz w:val="20"/>
                <w:szCs w:val="20"/>
                <w:color w:val="auto"/>
              </w:rPr>
            </w:pPr>
            <w:r>
              <w:rPr>
                <w:rFonts w:ascii="Arial" w:cs="Arial" w:eastAsia="Arial" w:hAnsi="Arial"/>
                <w:sz w:val="15"/>
                <w:szCs w:val="15"/>
                <w:color w:val="auto"/>
                <w:w w:val="99"/>
              </w:rPr>
              <w:t>units (“RSUs”) in 2023 to our NEOs. These RSUs have a four-year</w:t>
            </w:r>
          </w:p>
        </w:tc>
        <w:tc>
          <w:tcPr>
            <w:tcW w:w="220" w:type="dxa"/>
            <w:vAlign w:val="bottom"/>
          </w:tcPr>
          <w:p>
            <w:pPr>
              <w:spacing w:after="0"/>
              <w:rPr>
                <w:sz w:val="15"/>
                <w:szCs w:val="15"/>
                <w:color w:val="auto"/>
              </w:rPr>
            </w:pPr>
          </w:p>
        </w:tc>
        <w:tc>
          <w:tcPr>
            <w:tcW w:w="4860" w:type="dxa"/>
            <w:vAlign w:val="bottom"/>
            <w:gridSpan w:val="2"/>
            <w:shd w:val="clear" w:color="auto" w:fill="F3F8FB"/>
          </w:tcPr>
          <w:p>
            <w:pPr>
              <w:jc w:val="center"/>
              <w:ind w:left="42"/>
              <w:spacing w:after="0"/>
              <w:rPr>
                <w:sz w:val="20"/>
                <w:szCs w:val="20"/>
                <w:color w:val="auto"/>
              </w:rPr>
            </w:pPr>
            <w:r>
              <w:rPr>
                <w:rFonts w:ascii="Arial" w:cs="Arial" w:eastAsia="Arial" w:hAnsi="Arial"/>
                <w:sz w:val="15"/>
                <w:szCs w:val="15"/>
                <w:color w:val="auto"/>
              </w:rPr>
              <w:t>total cash compensation and equity retainer against the general</w:t>
            </w:r>
          </w:p>
        </w:tc>
      </w:tr>
      <w:tr>
        <w:trPr>
          <w:trHeight w:val="198"/>
        </w:trPr>
        <w:tc>
          <w:tcPr>
            <w:tcW w:w="4840" w:type="dxa"/>
            <w:vAlign w:val="bottom"/>
            <w:gridSpan w:val="6"/>
            <w:shd w:val="clear" w:color="auto" w:fill="F3F8FB"/>
          </w:tcPr>
          <w:p>
            <w:pPr>
              <w:jc w:val="center"/>
              <w:spacing w:after="0"/>
              <w:rPr>
                <w:sz w:val="20"/>
                <w:szCs w:val="20"/>
                <w:color w:val="auto"/>
              </w:rPr>
            </w:pPr>
            <w:r>
              <w:rPr>
                <w:rFonts w:ascii="Arial" w:cs="Arial" w:eastAsia="Arial" w:hAnsi="Arial"/>
                <w:sz w:val="15"/>
                <w:szCs w:val="15"/>
                <w:color w:val="auto"/>
              </w:rPr>
              <w:t>vesting period, with 25% vesting annually on each anniversary date.</w:t>
            </w:r>
          </w:p>
        </w:tc>
        <w:tc>
          <w:tcPr>
            <w:tcW w:w="220" w:type="dxa"/>
            <w:vAlign w:val="bottom"/>
          </w:tcPr>
          <w:p>
            <w:pPr>
              <w:spacing w:after="0"/>
              <w:rPr>
                <w:sz w:val="17"/>
                <w:szCs w:val="17"/>
                <w:color w:val="auto"/>
              </w:rPr>
            </w:pPr>
          </w:p>
        </w:tc>
        <w:tc>
          <w:tcPr>
            <w:tcW w:w="440" w:type="dxa"/>
            <w:vAlign w:val="bottom"/>
            <w:shd w:val="clear" w:color="auto" w:fill="F3F8FB"/>
          </w:tcPr>
          <w:p>
            <w:pPr>
              <w:spacing w:after="0"/>
              <w:rPr>
                <w:sz w:val="17"/>
                <w:szCs w:val="17"/>
                <w:color w:val="auto"/>
              </w:rPr>
            </w:pPr>
          </w:p>
        </w:tc>
        <w:tc>
          <w:tcPr>
            <w:tcW w:w="4420" w:type="dxa"/>
            <w:vAlign w:val="bottom"/>
            <w:shd w:val="clear" w:color="auto" w:fill="F3F8FB"/>
          </w:tcPr>
          <w:p>
            <w:pPr>
              <w:jc w:val="center"/>
              <w:ind w:right="245"/>
              <w:spacing w:after="0"/>
              <w:rPr>
                <w:sz w:val="20"/>
                <w:szCs w:val="20"/>
                <w:color w:val="auto"/>
              </w:rPr>
            </w:pPr>
            <w:r>
              <w:rPr>
                <w:rFonts w:ascii="Arial" w:cs="Arial" w:eastAsia="Arial" w:hAnsi="Arial"/>
                <w:sz w:val="15"/>
                <w:szCs w:val="15"/>
                <w:color w:val="auto"/>
              </w:rPr>
              <w:t>market and our peer group.</w:t>
            </w:r>
          </w:p>
        </w:tc>
      </w:tr>
      <w:tr>
        <w:trPr>
          <w:trHeight w:val="189"/>
        </w:trPr>
        <w:tc>
          <w:tcPr>
            <w:tcW w:w="440" w:type="dxa"/>
            <w:vAlign w:val="bottom"/>
            <w:tcBorders>
              <w:right w:val="single" w:sz="8" w:color="F3F8FB"/>
            </w:tcBorders>
            <w:shd w:val="clear" w:color="auto" w:fill="F3F8FB"/>
          </w:tcPr>
          <w:p>
            <w:pPr>
              <w:spacing w:after="0"/>
              <w:rPr>
                <w:sz w:val="16"/>
                <w:szCs w:val="16"/>
                <w:color w:val="auto"/>
              </w:rPr>
            </w:pPr>
          </w:p>
        </w:tc>
        <w:tc>
          <w:tcPr>
            <w:tcW w:w="860" w:type="dxa"/>
            <w:vAlign w:val="bottom"/>
            <w:shd w:val="clear" w:color="auto" w:fill="F3F8FB"/>
          </w:tcPr>
          <w:p>
            <w:pPr>
              <w:spacing w:after="0"/>
              <w:rPr>
                <w:sz w:val="16"/>
                <w:szCs w:val="16"/>
                <w:color w:val="auto"/>
              </w:rPr>
            </w:pPr>
          </w:p>
        </w:tc>
        <w:tc>
          <w:tcPr>
            <w:tcW w:w="2080" w:type="dxa"/>
            <w:vAlign w:val="bottom"/>
            <w:shd w:val="clear" w:color="auto" w:fill="F3F8FB"/>
          </w:tcPr>
          <w:p>
            <w:pPr>
              <w:spacing w:after="0"/>
              <w:rPr>
                <w:sz w:val="16"/>
                <w:szCs w:val="16"/>
                <w:color w:val="auto"/>
              </w:rPr>
            </w:pPr>
          </w:p>
        </w:tc>
        <w:tc>
          <w:tcPr>
            <w:tcW w:w="200" w:type="dxa"/>
            <w:vAlign w:val="bottom"/>
            <w:shd w:val="clear" w:color="auto" w:fill="F3F8FB"/>
          </w:tcPr>
          <w:p>
            <w:pPr>
              <w:spacing w:after="0"/>
              <w:rPr>
                <w:sz w:val="16"/>
                <w:szCs w:val="16"/>
                <w:color w:val="auto"/>
              </w:rPr>
            </w:pPr>
          </w:p>
        </w:tc>
        <w:tc>
          <w:tcPr>
            <w:tcW w:w="400" w:type="dxa"/>
            <w:vAlign w:val="bottom"/>
            <w:shd w:val="clear" w:color="auto" w:fill="F3F8FB"/>
          </w:tcPr>
          <w:p>
            <w:pPr>
              <w:spacing w:after="0"/>
              <w:rPr>
                <w:sz w:val="16"/>
                <w:szCs w:val="16"/>
                <w:color w:val="auto"/>
              </w:rPr>
            </w:pPr>
          </w:p>
        </w:tc>
        <w:tc>
          <w:tcPr>
            <w:tcW w:w="860" w:type="dxa"/>
            <w:vAlign w:val="bottom"/>
            <w:shd w:val="clear" w:color="auto" w:fill="F3F8FB"/>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shd w:val="clear" w:color="auto" w:fill="F3F8FB"/>
          </w:tcPr>
          <w:p>
            <w:pPr>
              <w:spacing w:after="0"/>
              <w:rPr>
                <w:sz w:val="16"/>
                <w:szCs w:val="16"/>
                <w:color w:val="auto"/>
              </w:rPr>
            </w:pPr>
          </w:p>
        </w:tc>
        <w:tc>
          <w:tcPr>
            <w:tcW w:w="4420" w:type="dxa"/>
            <w:vAlign w:val="bottom"/>
            <w:shd w:val="clear" w:color="auto" w:fill="F3F8FB"/>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79375</wp:posOffset>
            </wp:positionV>
            <wp:extent cx="2094865" cy="1981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94865" cy="198120"/>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420" w:type="dxa"/>
            <w:vAlign w:val="bottom"/>
            <w:tcBorders>
              <w:top w:val="single" w:sz="8" w:color="3C578C"/>
              <w:bottom w:val="single" w:sz="8" w:color="3C578C"/>
            </w:tcBorders>
            <w:shd w:val="clear" w:color="auto" w:fill="3C578C"/>
          </w:tcPr>
          <w:p>
            <w:pPr>
              <w:jc w:val="right"/>
              <w:ind w:right="84"/>
              <w:spacing w:after="0"/>
              <w:rPr>
                <w:sz w:val="20"/>
                <w:szCs w:val="20"/>
                <w:color w:val="auto"/>
              </w:rPr>
            </w:pPr>
            <w:r>
              <w:rPr>
                <w:rFonts w:ascii="Arial" w:cs="Arial" w:eastAsia="Arial" w:hAnsi="Arial"/>
                <w:sz w:val="17"/>
                <w:szCs w:val="17"/>
                <w:b w:val="1"/>
                <w:bCs w:val="1"/>
                <w:color w:val="FFFFFF"/>
              </w:rPr>
              <w:t>5</w:t>
            </w:r>
          </w:p>
        </w:tc>
        <w:tc>
          <w:tcPr>
            <w:tcW w:w="2120" w:type="dxa"/>
            <w:vAlign w:val="bottom"/>
            <w:tcBorders>
              <w:top w:val="single" w:sz="8" w:color="3C578C"/>
              <w:bottom w:val="single" w:sz="8" w:color="F3F8FB"/>
            </w:tcBorders>
            <w:shd w:val="clear" w:color="auto" w:fill="F3F8FB"/>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3C578C"/>
              <w:bottom w:val="single" w:sz="8" w:color="3C578C"/>
            </w:tcBorders>
            <w:shd w:val="clear" w:color="auto" w:fill="3C578C"/>
          </w:tcPr>
          <w:p>
            <w:pPr>
              <w:ind w:left="180"/>
              <w:spacing w:after="0"/>
              <w:rPr>
                <w:sz w:val="20"/>
                <w:szCs w:val="20"/>
                <w:color w:val="auto"/>
              </w:rPr>
            </w:pPr>
            <w:r>
              <w:rPr>
                <w:rFonts w:ascii="Arial" w:cs="Arial" w:eastAsia="Arial" w:hAnsi="Arial"/>
                <w:sz w:val="17"/>
                <w:szCs w:val="17"/>
                <w:b w:val="1"/>
                <w:bCs w:val="1"/>
                <w:color w:val="FFFFFF"/>
              </w:rPr>
              <w:t>6</w:t>
            </w:r>
          </w:p>
        </w:tc>
        <w:tc>
          <w:tcPr>
            <w:tcW w:w="3220" w:type="dxa"/>
            <w:vAlign w:val="bottom"/>
            <w:tcBorders>
              <w:top w:val="single" w:sz="8" w:color="3C578C"/>
              <w:bottom w:val="single" w:sz="8" w:color="F3F8FB"/>
            </w:tcBorders>
            <w:shd w:val="clear" w:color="auto" w:fill="F3F8FB"/>
          </w:tcPr>
          <w:p>
            <w:pPr>
              <w:spacing w:after="0"/>
              <w:rPr>
                <w:sz w:val="24"/>
                <w:szCs w:val="24"/>
                <w:color w:val="auto"/>
              </w:rPr>
            </w:pPr>
          </w:p>
        </w:tc>
      </w:tr>
      <w:tr>
        <w:trPr>
          <w:trHeight w:val="200"/>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rPr>
              <w:t>Our stock ownership guidelines</w:t>
            </w:r>
          </w:p>
        </w:tc>
        <w:tc>
          <w:tcPr>
            <w:tcW w:w="220" w:type="dxa"/>
            <w:vAlign w:val="bottom"/>
          </w:tcPr>
          <w:p>
            <w:pPr>
              <w:spacing w:after="0"/>
              <w:rPr>
                <w:sz w:val="17"/>
                <w:szCs w:val="17"/>
                <w:color w:val="auto"/>
              </w:rPr>
            </w:pPr>
          </w:p>
        </w:tc>
        <w:tc>
          <w:tcPr>
            <w:tcW w:w="36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During 2023, we adopted an updated clawback</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8"/>
              </w:rPr>
              <w:t>apply to all executive officers,</w:t>
            </w:r>
          </w:p>
        </w:tc>
        <w:tc>
          <w:tcPr>
            <w:tcW w:w="220" w:type="dxa"/>
            <w:vAlign w:val="bottom"/>
          </w:tcPr>
          <w:p>
            <w:pPr>
              <w:spacing w:after="0"/>
              <w:rPr>
                <w:sz w:val="15"/>
                <w:szCs w:val="15"/>
                <w:color w:val="auto"/>
              </w:rPr>
            </w:pPr>
          </w:p>
        </w:tc>
        <w:tc>
          <w:tcPr>
            <w:tcW w:w="36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policy governing the recovery of erroneously</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including our named executive</w:t>
            </w:r>
          </w:p>
        </w:tc>
        <w:tc>
          <w:tcPr>
            <w:tcW w:w="220" w:type="dxa"/>
            <w:vAlign w:val="bottom"/>
          </w:tcPr>
          <w:p>
            <w:pPr>
              <w:spacing w:after="0"/>
              <w:rPr>
                <w:sz w:val="15"/>
                <w:szCs w:val="15"/>
                <w:color w:val="auto"/>
              </w:rPr>
            </w:pPr>
          </w:p>
        </w:tc>
        <w:tc>
          <w:tcPr>
            <w:tcW w:w="36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awarded incentive-based compensation consistent</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rPr>
              <w:t>officers. Our CEO is required to</w:t>
            </w:r>
          </w:p>
        </w:tc>
        <w:tc>
          <w:tcPr>
            <w:tcW w:w="220" w:type="dxa"/>
            <w:vAlign w:val="bottom"/>
          </w:tcPr>
          <w:p>
            <w:pPr>
              <w:spacing w:after="0"/>
              <w:rPr>
                <w:sz w:val="15"/>
                <w:szCs w:val="15"/>
                <w:color w:val="auto"/>
              </w:rPr>
            </w:pPr>
          </w:p>
        </w:tc>
        <w:tc>
          <w:tcPr>
            <w:tcW w:w="3640" w:type="dxa"/>
            <w:vAlign w:val="bottom"/>
            <w:gridSpan w:val="2"/>
            <w:shd w:val="clear" w:color="auto" w:fill="F3F8FB"/>
          </w:tcPr>
          <w:p>
            <w:pPr>
              <w:ind w:left="180"/>
              <w:spacing w:after="0"/>
              <w:rPr>
                <w:sz w:val="20"/>
                <w:szCs w:val="20"/>
                <w:color w:val="auto"/>
              </w:rPr>
            </w:pPr>
            <w:r>
              <w:rPr>
                <w:rFonts w:ascii="Arial" w:cs="Arial" w:eastAsia="Arial" w:hAnsi="Arial"/>
                <w:sz w:val="15"/>
                <w:szCs w:val="15"/>
                <w:color w:val="auto"/>
              </w:rPr>
              <w:t>with the requirements of the SEC and NASDAQ.</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own shares of our stock or stock</w:t>
            </w:r>
          </w:p>
        </w:tc>
        <w:tc>
          <w:tcPr>
            <w:tcW w:w="220" w:type="dxa"/>
            <w:vAlign w:val="bottom"/>
          </w:tcPr>
          <w:p>
            <w:pPr>
              <w:spacing w:after="0"/>
              <w:rPr>
                <w:sz w:val="15"/>
                <w:szCs w:val="15"/>
                <w:color w:val="auto"/>
              </w:rPr>
            </w:pPr>
          </w:p>
        </w:tc>
        <w:tc>
          <w:tcPr>
            <w:tcW w:w="36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rPr>
              <w:t>The policy provides that, if we are required to</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rPr>
              <w:t>equivalents having a value equal</w:t>
            </w:r>
          </w:p>
        </w:tc>
        <w:tc>
          <w:tcPr>
            <w:tcW w:w="220" w:type="dxa"/>
            <w:vAlign w:val="bottom"/>
          </w:tcPr>
          <w:p>
            <w:pPr>
              <w:spacing w:after="0"/>
              <w:rPr>
                <w:sz w:val="15"/>
                <w:szCs w:val="15"/>
                <w:color w:val="auto"/>
              </w:rPr>
            </w:pPr>
          </w:p>
        </w:tc>
        <w:tc>
          <w:tcPr>
            <w:tcW w:w="36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prepare a qualifying accounting restatement, then,</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 xml:space="preserve">to </w:t>
            </w:r>
            <w:r>
              <w:rPr>
                <w:rFonts w:ascii="Arial" w:cs="Arial" w:eastAsia="Arial" w:hAnsi="Arial"/>
                <w:sz w:val="15"/>
                <w:szCs w:val="15"/>
                <w:b w:val="1"/>
                <w:bCs w:val="1"/>
                <w:color w:val="auto"/>
                <w:w w:val="99"/>
              </w:rPr>
              <w:t>five</w:t>
            </w:r>
            <w:r>
              <w:rPr>
                <w:rFonts w:ascii="Arial" w:cs="Arial" w:eastAsia="Arial" w:hAnsi="Arial"/>
                <w:sz w:val="15"/>
                <w:szCs w:val="15"/>
                <w:color w:val="auto"/>
                <w:w w:val="99"/>
              </w:rPr>
              <w:t xml:space="preserve"> times his base salary. Our</w:t>
            </w:r>
          </w:p>
        </w:tc>
        <w:tc>
          <w:tcPr>
            <w:tcW w:w="220" w:type="dxa"/>
            <w:vAlign w:val="bottom"/>
          </w:tcPr>
          <w:p>
            <w:pPr>
              <w:spacing w:after="0"/>
              <w:rPr>
                <w:sz w:val="15"/>
                <w:szCs w:val="15"/>
                <w:color w:val="auto"/>
              </w:rPr>
            </w:pPr>
          </w:p>
        </w:tc>
        <w:tc>
          <w:tcPr>
            <w:tcW w:w="36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rPr>
              <w:t>unless an exception applies, we will recover any</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other NEOs are required to own</w:t>
            </w:r>
          </w:p>
        </w:tc>
        <w:tc>
          <w:tcPr>
            <w:tcW w:w="220" w:type="dxa"/>
            <w:vAlign w:val="bottom"/>
          </w:tcPr>
          <w:p>
            <w:pPr>
              <w:spacing w:after="0"/>
              <w:rPr>
                <w:sz w:val="15"/>
                <w:szCs w:val="15"/>
                <w:color w:val="auto"/>
              </w:rPr>
            </w:pPr>
          </w:p>
        </w:tc>
        <w:tc>
          <w:tcPr>
            <w:tcW w:w="36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rPr>
              <w:t>excess incentive-based compensation paid to</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shares of our stock or stock</w:t>
            </w:r>
          </w:p>
        </w:tc>
        <w:tc>
          <w:tcPr>
            <w:tcW w:w="220" w:type="dxa"/>
            <w:vAlign w:val="bottom"/>
          </w:tcPr>
          <w:p>
            <w:pPr>
              <w:spacing w:after="0"/>
              <w:rPr>
                <w:sz w:val="15"/>
                <w:szCs w:val="15"/>
                <w:color w:val="auto"/>
              </w:rPr>
            </w:pPr>
          </w:p>
        </w:tc>
        <w:tc>
          <w:tcPr>
            <w:tcW w:w="420" w:type="dxa"/>
            <w:vAlign w:val="bottom"/>
            <w:shd w:val="clear" w:color="auto" w:fill="F3F8FB"/>
          </w:tcPr>
          <w:p>
            <w:pPr>
              <w:spacing w:after="0"/>
              <w:rPr>
                <w:sz w:val="15"/>
                <w:szCs w:val="15"/>
                <w:color w:val="auto"/>
              </w:rPr>
            </w:pPr>
          </w:p>
        </w:tc>
        <w:tc>
          <w:tcPr>
            <w:tcW w:w="3220" w:type="dxa"/>
            <w:vAlign w:val="bottom"/>
            <w:shd w:val="clear" w:color="auto" w:fill="F3F8FB"/>
          </w:tcPr>
          <w:p>
            <w:pPr>
              <w:ind w:left="860"/>
              <w:spacing w:after="0"/>
              <w:rPr>
                <w:sz w:val="20"/>
                <w:szCs w:val="20"/>
                <w:color w:val="auto"/>
              </w:rPr>
            </w:pPr>
            <w:r>
              <w:rPr>
                <w:rFonts w:ascii="Arial" w:cs="Arial" w:eastAsia="Arial" w:hAnsi="Arial"/>
                <w:sz w:val="15"/>
                <w:szCs w:val="15"/>
                <w:color w:val="auto"/>
              </w:rPr>
              <w:t>covered officers.</w:t>
            </w:r>
          </w:p>
        </w:tc>
      </w:tr>
      <w:tr>
        <w:trPr>
          <w:trHeight w:val="175"/>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rPr>
              <w:t>equivalents having a value equal</w:t>
            </w:r>
          </w:p>
        </w:tc>
        <w:tc>
          <w:tcPr>
            <w:tcW w:w="220" w:type="dxa"/>
            <w:vAlign w:val="bottom"/>
          </w:tcPr>
          <w:p>
            <w:pPr>
              <w:spacing w:after="0"/>
              <w:rPr>
                <w:sz w:val="15"/>
                <w:szCs w:val="15"/>
                <w:color w:val="auto"/>
              </w:rPr>
            </w:pPr>
          </w:p>
        </w:tc>
        <w:tc>
          <w:tcPr>
            <w:tcW w:w="420" w:type="dxa"/>
            <w:vAlign w:val="bottom"/>
            <w:shd w:val="clear" w:color="auto" w:fill="F3F8FB"/>
          </w:tcPr>
          <w:p>
            <w:pPr>
              <w:spacing w:after="0"/>
              <w:rPr>
                <w:sz w:val="15"/>
                <w:szCs w:val="15"/>
                <w:color w:val="auto"/>
              </w:rPr>
            </w:pPr>
          </w:p>
        </w:tc>
        <w:tc>
          <w:tcPr>
            <w:tcW w:w="3220" w:type="dxa"/>
            <w:vAlign w:val="bottom"/>
            <w:shd w:val="clear" w:color="auto" w:fill="F3F8FB"/>
          </w:tcPr>
          <w:p>
            <w:pPr>
              <w:spacing w:after="0"/>
              <w:rPr>
                <w:sz w:val="15"/>
                <w:szCs w:val="15"/>
                <w:color w:val="auto"/>
              </w:rPr>
            </w:pPr>
          </w:p>
        </w:tc>
      </w:tr>
      <w:tr>
        <w:trPr>
          <w:trHeight w:val="206"/>
        </w:trPr>
        <w:tc>
          <w:tcPr>
            <w:tcW w:w="2540" w:type="dxa"/>
            <w:vAlign w:val="bottom"/>
            <w:gridSpan w:val="2"/>
            <w:shd w:val="clear" w:color="auto" w:fill="F3F8FB"/>
          </w:tcPr>
          <w:p>
            <w:pPr>
              <w:jc w:val="center"/>
              <w:spacing w:after="0"/>
              <w:rPr>
                <w:sz w:val="20"/>
                <w:szCs w:val="20"/>
                <w:color w:val="auto"/>
              </w:rPr>
            </w:pPr>
            <w:r>
              <w:rPr>
                <w:rFonts w:ascii="Arial" w:cs="Arial" w:eastAsia="Arial" w:hAnsi="Arial"/>
                <w:sz w:val="15"/>
                <w:szCs w:val="15"/>
                <w:color w:val="auto"/>
                <w:w w:val="99"/>
              </w:rPr>
              <w:t xml:space="preserve">to </w:t>
            </w:r>
            <w:r>
              <w:rPr>
                <w:rFonts w:ascii="Arial" w:cs="Arial" w:eastAsia="Arial" w:hAnsi="Arial"/>
                <w:sz w:val="15"/>
                <w:szCs w:val="15"/>
                <w:b w:val="1"/>
                <w:bCs w:val="1"/>
                <w:color w:val="auto"/>
                <w:w w:val="99"/>
              </w:rPr>
              <w:t>three</w:t>
            </w:r>
            <w:r>
              <w:rPr>
                <w:rFonts w:ascii="Arial" w:cs="Arial" w:eastAsia="Arial" w:hAnsi="Arial"/>
                <w:sz w:val="15"/>
                <w:szCs w:val="15"/>
                <w:color w:val="auto"/>
                <w:w w:val="99"/>
              </w:rPr>
              <w:t xml:space="preserve"> times their base salary.</w:t>
            </w:r>
          </w:p>
        </w:tc>
        <w:tc>
          <w:tcPr>
            <w:tcW w:w="220" w:type="dxa"/>
            <w:vAlign w:val="bottom"/>
          </w:tcPr>
          <w:p>
            <w:pPr>
              <w:spacing w:after="0"/>
              <w:rPr>
                <w:sz w:val="17"/>
                <w:szCs w:val="17"/>
                <w:color w:val="auto"/>
              </w:rPr>
            </w:pPr>
          </w:p>
        </w:tc>
        <w:tc>
          <w:tcPr>
            <w:tcW w:w="420" w:type="dxa"/>
            <w:vAlign w:val="bottom"/>
            <w:shd w:val="clear" w:color="auto" w:fill="F3F8FB"/>
          </w:tcPr>
          <w:p>
            <w:pPr>
              <w:spacing w:after="0"/>
              <w:rPr>
                <w:sz w:val="17"/>
                <w:szCs w:val="17"/>
                <w:color w:val="auto"/>
              </w:rPr>
            </w:pPr>
          </w:p>
        </w:tc>
        <w:tc>
          <w:tcPr>
            <w:tcW w:w="3220" w:type="dxa"/>
            <w:vAlign w:val="bottom"/>
            <w:shd w:val="clear" w:color="auto" w:fill="F3F8FB"/>
          </w:tcPr>
          <w:p>
            <w:pPr>
              <w:spacing w:after="0"/>
              <w:rPr>
                <w:sz w:val="17"/>
                <w:szCs w:val="17"/>
                <w:color w:val="auto"/>
              </w:rPr>
            </w:pPr>
          </w:p>
        </w:tc>
      </w:tr>
      <w:tr>
        <w:trPr>
          <w:trHeight w:val="181"/>
        </w:trPr>
        <w:tc>
          <w:tcPr>
            <w:tcW w:w="420" w:type="dxa"/>
            <w:vAlign w:val="bottom"/>
            <w:shd w:val="clear" w:color="auto" w:fill="F3F8FB"/>
          </w:tcPr>
          <w:p>
            <w:pPr>
              <w:spacing w:after="0"/>
              <w:rPr>
                <w:sz w:val="15"/>
                <w:szCs w:val="15"/>
                <w:color w:val="auto"/>
              </w:rPr>
            </w:pPr>
          </w:p>
        </w:tc>
        <w:tc>
          <w:tcPr>
            <w:tcW w:w="2120" w:type="dxa"/>
            <w:vAlign w:val="bottom"/>
            <w:shd w:val="clear" w:color="auto" w:fill="F3F8FB"/>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shd w:val="clear" w:color="auto" w:fill="F3F8FB"/>
          </w:tcPr>
          <w:p>
            <w:pPr>
              <w:spacing w:after="0"/>
              <w:rPr>
                <w:sz w:val="15"/>
                <w:szCs w:val="15"/>
                <w:color w:val="auto"/>
              </w:rPr>
            </w:pPr>
          </w:p>
        </w:tc>
        <w:tc>
          <w:tcPr>
            <w:tcW w:w="3220" w:type="dxa"/>
            <w:vAlign w:val="bottom"/>
            <w:shd w:val="clear" w:color="auto" w:fill="F3F8FB"/>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333375</wp:posOffset>
            </wp:positionV>
            <wp:extent cx="630110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FFFF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40640</wp:posOffset>
            </wp:positionV>
            <wp:extent cx="2094865" cy="523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94865" cy="523875"/>
                    </a:xfrm>
                    <a:prstGeom prst="rect">
                      <a:avLst/>
                    </a:prstGeom>
                    <a:noFill/>
                  </pic:spPr>
                </pic:pic>
              </a:graphicData>
            </a:graphic>
          </wp:anchor>
        </w:drawing>
      </w:r>
    </w:p>
    <w:p>
      <w:pPr>
        <w:spacing w:after="0" w:line="70" w:lineRule="exact"/>
        <w:rPr>
          <w:sz w:val="20"/>
          <w:szCs w:val="20"/>
          <w:color w:val="auto"/>
        </w:rPr>
      </w:pPr>
    </w:p>
    <w:p>
      <w:pPr>
        <w:jc w:val="center"/>
        <w:ind w:right="380"/>
        <w:spacing w:after="0"/>
        <w:rPr>
          <w:sz w:val="20"/>
          <w:szCs w:val="20"/>
          <w:color w:val="auto"/>
        </w:rPr>
      </w:pPr>
      <w:r>
        <w:rPr>
          <w:rFonts w:ascii="Arial" w:cs="Arial" w:eastAsia="Arial" w:hAnsi="Arial"/>
          <w:sz w:val="14"/>
          <w:szCs w:val="14"/>
          <w:color w:val="auto"/>
        </w:rPr>
        <w:t>We use tally sheets when determining</w:t>
      </w:r>
    </w:p>
    <w:p>
      <w:pPr>
        <w:spacing w:after="0" w:line="28"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476885</wp:posOffset>
            </wp:positionV>
            <wp:extent cx="2094865" cy="269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94865" cy="26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FFFFF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116840</wp:posOffset>
            </wp:positionV>
            <wp:extent cx="2094865" cy="3810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94865" cy="381000"/>
                    </a:xfrm>
                    <a:prstGeom prst="rect">
                      <a:avLst/>
                    </a:prstGeom>
                    <a:noFill/>
                  </pic:spPr>
                </pic:pic>
              </a:graphicData>
            </a:graphic>
          </wp:anchor>
        </w:drawing>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We provide very few perquisites.</w:t>
      </w:r>
    </w:p>
    <w:p>
      <w:pPr>
        <w:sectPr>
          <w:pgSz w:w="11900" w:h="16838" w:orient="portrait"/>
          <w:cols w:equalWidth="0" w:num="2">
            <w:col w:w="6400" w:space="620"/>
            <w:col w:w="2900"/>
          </w:cols>
          <w:pgMar w:left="980" w:top="469"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3"/>
          <w:szCs w:val="33"/>
          <w:b w:val="1"/>
          <w:bCs w:val="1"/>
          <w:color w:val="3C578C"/>
        </w:rPr>
        <w:t>TABLE OF CONTENTS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00"/>
        </w:trPr>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120" w:type="dxa"/>
            <w:vAlign w:val="bottom"/>
            <w:shd w:val="clear" w:color="auto" w:fill="F3F6F7"/>
          </w:tcPr>
          <w:p>
            <w:pPr>
              <w:spacing w:after="0"/>
              <w:rPr>
                <w:sz w:val="21"/>
                <w:szCs w:val="21"/>
                <w:color w:val="auto"/>
              </w:rPr>
            </w:pPr>
          </w:p>
        </w:tc>
        <w:tc>
          <w:tcPr>
            <w:tcW w:w="4420" w:type="dxa"/>
            <w:vAlign w:val="bottom"/>
            <w:gridSpan w:val="21"/>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INFORMATION ABOUT THE ANNUAL MEETING</w:t>
            </w:r>
          </w:p>
        </w:tc>
        <w:tc>
          <w:tcPr>
            <w:tcW w:w="400" w:type="dxa"/>
            <w:vAlign w:val="bottom"/>
            <w:shd w:val="clear" w:color="auto" w:fill="F3F6F7"/>
          </w:tcPr>
          <w:p>
            <w:pPr>
              <w:spacing w:after="0"/>
              <w:rPr>
                <w:sz w:val="21"/>
                <w:szCs w:val="21"/>
                <w:color w:val="auto"/>
              </w:rPr>
            </w:pPr>
          </w:p>
        </w:tc>
        <w:tc>
          <w:tcPr>
            <w:tcW w:w="240" w:type="dxa"/>
            <w:vAlign w:val="bottom"/>
            <w:shd w:val="clear" w:color="auto" w:fill="F3F6F7"/>
          </w:tcPr>
          <w:p>
            <w:pPr>
              <w:spacing w:after="0"/>
              <w:rPr>
                <w:sz w:val="21"/>
                <w:szCs w:val="21"/>
                <w:color w:val="auto"/>
              </w:rPr>
            </w:pPr>
          </w:p>
        </w:tc>
        <w:tc>
          <w:tcPr>
            <w:tcW w:w="120" w:type="dxa"/>
            <w:vAlign w:val="bottom"/>
            <w:shd w:val="clear" w:color="auto" w:fill="F3F6F7"/>
          </w:tcPr>
          <w:p>
            <w:pPr>
              <w:spacing w:after="0"/>
              <w:rPr>
                <w:sz w:val="21"/>
                <w:szCs w:val="21"/>
                <w:color w:val="auto"/>
              </w:rPr>
            </w:pPr>
          </w:p>
        </w:tc>
        <w:tc>
          <w:tcPr>
            <w:tcW w:w="660" w:type="dxa"/>
            <w:vAlign w:val="bottom"/>
            <w:shd w:val="clear" w:color="auto" w:fill="F3F6F7"/>
          </w:tcPr>
          <w:p>
            <w:pPr>
              <w:spacing w:after="0"/>
              <w:rPr>
                <w:sz w:val="21"/>
                <w:szCs w:val="21"/>
                <w:color w:val="auto"/>
              </w:rPr>
            </w:pPr>
          </w:p>
        </w:tc>
        <w:tc>
          <w:tcPr>
            <w:tcW w:w="240" w:type="dxa"/>
            <w:vAlign w:val="bottom"/>
            <w:shd w:val="clear" w:color="auto" w:fill="F3F6F7"/>
          </w:tcPr>
          <w:p>
            <w:pPr>
              <w:spacing w:after="0"/>
              <w:rPr>
                <w:sz w:val="21"/>
                <w:szCs w:val="21"/>
                <w:color w:val="auto"/>
              </w:rPr>
            </w:pPr>
          </w:p>
        </w:tc>
        <w:tc>
          <w:tcPr>
            <w:tcW w:w="400" w:type="dxa"/>
            <w:vAlign w:val="bottom"/>
            <w:shd w:val="clear" w:color="auto" w:fill="F3F6F7"/>
          </w:tcPr>
          <w:p>
            <w:pPr>
              <w:spacing w:after="0"/>
              <w:rPr>
                <w:sz w:val="21"/>
                <w:szCs w:val="21"/>
                <w:color w:val="auto"/>
              </w:rPr>
            </w:pPr>
          </w:p>
        </w:tc>
        <w:tc>
          <w:tcPr>
            <w:tcW w:w="180" w:type="dxa"/>
            <w:vAlign w:val="bottom"/>
            <w:shd w:val="clear" w:color="auto" w:fill="F3F6F7"/>
          </w:tcPr>
          <w:p>
            <w:pPr>
              <w:spacing w:after="0"/>
              <w:rPr>
                <w:sz w:val="21"/>
                <w:szCs w:val="21"/>
                <w:color w:val="auto"/>
              </w:rPr>
            </w:pPr>
          </w:p>
        </w:tc>
        <w:tc>
          <w:tcPr>
            <w:tcW w:w="220" w:type="dxa"/>
            <w:vAlign w:val="bottom"/>
            <w:shd w:val="clear" w:color="auto" w:fill="F3F6F7"/>
          </w:tcPr>
          <w:p>
            <w:pPr>
              <w:spacing w:after="0"/>
              <w:rPr>
                <w:sz w:val="21"/>
                <w:szCs w:val="21"/>
                <w:color w:val="auto"/>
              </w:rPr>
            </w:pPr>
          </w:p>
        </w:tc>
        <w:tc>
          <w:tcPr>
            <w:tcW w:w="280" w:type="dxa"/>
            <w:vAlign w:val="bottom"/>
            <w:shd w:val="clear" w:color="auto" w:fill="F3F6F7"/>
          </w:tcPr>
          <w:p>
            <w:pPr>
              <w:spacing w:after="0"/>
              <w:rPr>
                <w:sz w:val="21"/>
                <w:szCs w:val="21"/>
                <w:color w:val="auto"/>
              </w:rPr>
            </w:pPr>
          </w:p>
        </w:tc>
        <w:tc>
          <w:tcPr>
            <w:tcW w:w="140" w:type="dxa"/>
            <w:vAlign w:val="bottom"/>
            <w:shd w:val="clear" w:color="auto" w:fill="F3F6F7"/>
          </w:tcPr>
          <w:p>
            <w:pPr>
              <w:spacing w:after="0"/>
              <w:rPr>
                <w:sz w:val="21"/>
                <w:szCs w:val="21"/>
                <w:color w:val="auto"/>
              </w:rPr>
            </w:pPr>
          </w:p>
        </w:tc>
        <w:tc>
          <w:tcPr>
            <w:tcW w:w="140" w:type="dxa"/>
            <w:vAlign w:val="bottom"/>
            <w:shd w:val="clear" w:color="auto" w:fill="F3F6F7"/>
          </w:tcPr>
          <w:p>
            <w:pPr>
              <w:spacing w:after="0"/>
              <w:rPr>
                <w:sz w:val="21"/>
                <w:szCs w:val="21"/>
                <w:color w:val="auto"/>
              </w:rPr>
            </w:pPr>
          </w:p>
        </w:tc>
        <w:tc>
          <w:tcPr>
            <w:tcW w:w="520" w:type="dxa"/>
            <w:vAlign w:val="bottom"/>
            <w:shd w:val="clear" w:color="auto" w:fill="F3F6F7"/>
          </w:tcPr>
          <w:p>
            <w:pPr>
              <w:spacing w:after="0"/>
              <w:rPr>
                <w:sz w:val="21"/>
                <w:szCs w:val="21"/>
                <w:color w:val="auto"/>
              </w:rPr>
            </w:pPr>
          </w:p>
        </w:tc>
        <w:tc>
          <w:tcPr>
            <w:tcW w:w="280" w:type="dxa"/>
            <w:vAlign w:val="bottom"/>
            <w:shd w:val="clear" w:color="auto" w:fill="F3F6F7"/>
          </w:tcPr>
          <w:p>
            <w:pPr>
              <w:spacing w:after="0"/>
              <w:rPr>
                <w:sz w:val="21"/>
                <w:szCs w:val="21"/>
                <w:color w:val="auto"/>
              </w:rPr>
            </w:pPr>
          </w:p>
        </w:tc>
        <w:tc>
          <w:tcPr>
            <w:tcW w:w="100" w:type="dxa"/>
            <w:vAlign w:val="bottom"/>
            <w:shd w:val="clear" w:color="auto" w:fill="F3F6F7"/>
          </w:tcPr>
          <w:p>
            <w:pPr>
              <w:spacing w:after="0"/>
              <w:rPr>
                <w:sz w:val="21"/>
                <w:szCs w:val="21"/>
                <w:color w:val="auto"/>
              </w:rPr>
            </w:pPr>
          </w:p>
        </w:tc>
        <w:tc>
          <w:tcPr>
            <w:tcW w:w="80" w:type="dxa"/>
            <w:vAlign w:val="bottom"/>
            <w:shd w:val="clear" w:color="auto" w:fill="F3F6F7"/>
          </w:tcPr>
          <w:p>
            <w:pPr>
              <w:spacing w:after="0"/>
              <w:rPr>
                <w:sz w:val="21"/>
                <w:szCs w:val="21"/>
                <w:color w:val="auto"/>
              </w:rPr>
            </w:pPr>
          </w:p>
        </w:tc>
        <w:tc>
          <w:tcPr>
            <w:tcW w:w="80" w:type="dxa"/>
            <w:vAlign w:val="bottom"/>
            <w:shd w:val="clear" w:color="auto" w:fill="F3F6F7"/>
          </w:tcPr>
          <w:p>
            <w:pPr>
              <w:spacing w:after="0"/>
              <w:rPr>
                <w:sz w:val="21"/>
                <w:szCs w:val="21"/>
                <w:color w:val="auto"/>
              </w:rPr>
            </w:pPr>
          </w:p>
        </w:tc>
        <w:tc>
          <w:tcPr>
            <w:tcW w:w="180" w:type="dxa"/>
            <w:vAlign w:val="bottom"/>
            <w:shd w:val="clear" w:color="auto" w:fill="F3F6F7"/>
          </w:tcPr>
          <w:p>
            <w:pPr>
              <w:spacing w:after="0"/>
              <w:rPr>
                <w:sz w:val="21"/>
                <w:szCs w:val="21"/>
                <w:color w:val="auto"/>
              </w:rPr>
            </w:pPr>
          </w:p>
        </w:tc>
        <w:tc>
          <w:tcPr>
            <w:tcW w:w="120" w:type="dxa"/>
            <w:vAlign w:val="bottom"/>
            <w:shd w:val="clear" w:color="auto" w:fill="F3F6F7"/>
          </w:tcPr>
          <w:p>
            <w:pPr>
              <w:spacing w:after="0"/>
              <w:rPr>
                <w:sz w:val="21"/>
                <w:szCs w:val="21"/>
                <w:color w:val="auto"/>
              </w:rPr>
            </w:pPr>
          </w:p>
        </w:tc>
        <w:tc>
          <w:tcPr>
            <w:tcW w:w="180" w:type="dxa"/>
            <w:vAlign w:val="bottom"/>
            <w:shd w:val="clear" w:color="auto" w:fill="F3F6F7"/>
          </w:tcPr>
          <w:p>
            <w:pPr>
              <w:spacing w:after="0"/>
              <w:rPr>
                <w:sz w:val="21"/>
                <w:szCs w:val="21"/>
                <w:color w:val="auto"/>
              </w:rPr>
            </w:pPr>
          </w:p>
        </w:tc>
        <w:tc>
          <w:tcPr>
            <w:tcW w:w="160" w:type="dxa"/>
            <w:vAlign w:val="bottom"/>
            <w:shd w:val="clear" w:color="auto" w:fill="F3F6F7"/>
          </w:tcPr>
          <w:p>
            <w:pPr>
              <w:spacing w:after="0"/>
              <w:rPr>
                <w:sz w:val="21"/>
                <w:szCs w:val="21"/>
                <w:color w:val="auto"/>
              </w:rPr>
            </w:pPr>
          </w:p>
        </w:tc>
        <w:tc>
          <w:tcPr>
            <w:tcW w:w="660" w:type="dxa"/>
            <w:vAlign w:val="bottom"/>
            <w:shd w:val="clear" w:color="auto" w:fill="F3F6F7"/>
          </w:tcPr>
          <w:p>
            <w:pPr>
              <w:jc w:val="right"/>
              <w:ind w:right="42"/>
              <w:spacing w:after="0" w:line="200"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40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120" w:type="dxa"/>
            <w:vAlign w:val="bottom"/>
            <w:tcBorders>
              <w:top w:val="single" w:sz="8" w:color="F3F6F7"/>
            </w:tcBorders>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40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5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2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tcBorders>
              <w:bottom w:val="single" w:sz="8" w:color="F3F6F7"/>
            </w:tcBorders>
            <w:shd w:val="clear" w:color="auto" w:fill="F3F6F7"/>
          </w:tcPr>
          <w:p>
            <w:pPr>
              <w:spacing w:after="0"/>
              <w:rPr>
                <w:sz w:val="17"/>
                <w:szCs w:val="17"/>
                <w:color w:val="auto"/>
              </w:rPr>
            </w:pPr>
          </w:p>
        </w:tc>
        <w:tc>
          <w:tcPr>
            <w:tcW w:w="3600" w:type="dxa"/>
            <w:vAlign w:val="bottom"/>
            <w:tcBorders>
              <w:bottom w:val="single" w:sz="8" w:color="0000EE"/>
            </w:tcBorders>
            <w:gridSpan w:val="16"/>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PROPOSAL 1 ELECTION OF DIRECTORS</w:t>
            </w:r>
          </w:p>
        </w:tc>
        <w:tc>
          <w:tcPr>
            <w:tcW w:w="820" w:type="dxa"/>
            <w:vAlign w:val="bottom"/>
            <w:tcBorders>
              <w:bottom w:val="single" w:sz="8" w:color="F3F6F7"/>
            </w:tcBorders>
            <w:gridSpan w:val="5"/>
            <w:shd w:val="clear" w:color="auto" w:fill="F3F6F7"/>
          </w:tcPr>
          <w:p>
            <w:pPr>
              <w:spacing w:after="0"/>
              <w:rPr>
                <w:sz w:val="17"/>
                <w:szCs w:val="17"/>
                <w:color w:val="auto"/>
              </w:rPr>
            </w:pPr>
          </w:p>
        </w:tc>
        <w:tc>
          <w:tcPr>
            <w:tcW w:w="40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12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40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220" w:type="dxa"/>
            <w:vAlign w:val="bottom"/>
            <w:tcBorders>
              <w:bottom w:val="single" w:sz="8" w:color="F3F6F7"/>
            </w:tcBorders>
            <w:shd w:val="clear" w:color="auto" w:fill="F3F6F7"/>
          </w:tcPr>
          <w:p>
            <w:pPr>
              <w:spacing w:after="0"/>
              <w:rPr>
                <w:sz w:val="17"/>
                <w:szCs w:val="17"/>
                <w:color w:val="auto"/>
              </w:rPr>
            </w:pPr>
          </w:p>
        </w:tc>
        <w:tc>
          <w:tcPr>
            <w:tcW w:w="280" w:type="dxa"/>
            <w:vAlign w:val="bottom"/>
            <w:tcBorders>
              <w:bottom w:val="single" w:sz="8" w:color="F3F6F7"/>
            </w:tcBorders>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520" w:type="dxa"/>
            <w:vAlign w:val="bottom"/>
            <w:tcBorders>
              <w:bottom w:val="single" w:sz="8" w:color="F3F6F7"/>
            </w:tcBorders>
            <w:shd w:val="clear" w:color="auto" w:fill="F3F6F7"/>
          </w:tcPr>
          <w:p>
            <w:pPr>
              <w:spacing w:after="0"/>
              <w:rPr>
                <w:sz w:val="17"/>
                <w:szCs w:val="17"/>
                <w:color w:val="auto"/>
              </w:rPr>
            </w:pPr>
          </w:p>
        </w:tc>
        <w:tc>
          <w:tcPr>
            <w:tcW w:w="280" w:type="dxa"/>
            <w:vAlign w:val="bottom"/>
            <w:tcBorders>
              <w:bottom w:val="single" w:sz="8" w:color="F3F6F7"/>
            </w:tcBorders>
            <w:shd w:val="clear" w:color="auto" w:fill="F3F6F7"/>
          </w:tcPr>
          <w:p>
            <w:pPr>
              <w:spacing w:after="0"/>
              <w:rPr>
                <w:sz w:val="17"/>
                <w:szCs w:val="17"/>
                <w:color w:val="auto"/>
              </w:rPr>
            </w:pPr>
          </w:p>
        </w:tc>
        <w:tc>
          <w:tcPr>
            <w:tcW w:w="10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12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16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jc w:val="right"/>
              <w:ind w:right="42"/>
              <w:spacing w:after="0" w:line="200"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80"/>
        </w:trPr>
        <w:tc>
          <w:tcPr>
            <w:tcW w:w="120" w:type="dxa"/>
            <w:vAlign w:val="bottom"/>
            <w:shd w:val="clear" w:color="auto" w:fill="F3F6F7"/>
          </w:tcPr>
          <w:p>
            <w:pPr>
              <w:spacing w:after="0"/>
              <w:rPr>
                <w:sz w:val="24"/>
                <w:szCs w:val="24"/>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Directors and Nominees</w:t>
            </w:r>
          </w:p>
        </w:tc>
        <w:tc>
          <w:tcPr>
            <w:tcW w:w="140" w:type="dxa"/>
            <w:vAlign w:val="bottom"/>
            <w:shd w:val="clear" w:color="auto" w:fill="F3F6F7"/>
          </w:tcPr>
          <w:p>
            <w:pPr>
              <w:spacing w:after="0"/>
              <w:rPr>
                <w:sz w:val="24"/>
                <w:szCs w:val="24"/>
                <w:color w:val="auto"/>
              </w:rPr>
            </w:pPr>
          </w:p>
        </w:tc>
        <w:tc>
          <w:tcPr>
            <w:tcW w:w="240" w:type="dxa"/>
            <w:vAlign w:val="bottom"/>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2</w:t>
            </w:r>
          </w:p>
        </w:tc>
        <w:tc>
          <w:tcPr>
            <w:tcW w:w="240" w:type="dxa"/>
            <w:vAlign w:val="bottom"/>
            <w:shd w:val="clear" w:color="auto" w:fill="F3F6F7"/>
          </w:tcPr>
          <w:p>
            <w:pPr>
              <w:spacing w:after="0"/>
              <w:rPr>
                <w:sz w:val="24"/>
                <w:szCs w:val="24"/>
                <w:color w:val="auto"/>
              </w:rPr>
            </w:pPr>
          </w:p>
        </w:tc>
        <w:tc>
          <w:tcPr>
            <w:tcW w:w="4080" w:type="dxa"/>
            <w:vAlign w:val="bottom"/>
            <w:gridSpan w:val="18"/>
            <w:shd w:val="clear" w:color="auto" w:fill="F3F6F7"/>
          </w:tcPr>
          <w:p>
            <w:pPr>
              <w:ind w:left="120"/>
              <w:spacing w:after="0"/>
              <w:rPr>
                <w:sz w:val="20"/>
                <w:szCs w:val="20"/>
                <w:color w:val="auto"/>
              </w:rPr>
            </w:pPr>
            <w:r>
              <w:rPr>
                <w:rFonts w:ascii="Arial" w:cs="Arial" w:eastAsia="Arial" w:hAnsi="Arial"/>
                <w:sz w:val="13"/>
                <w:szCs w:val="13"/>
                <w:color w:val="0000EE"/>
              </w:rPr>
              <w:t>ESG Oversight</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F3F6F7"/>
            </w:tcBorders>
            <w:shd w:val="clear" w:color="auto" w:fill="0000EE"/>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6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90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 w:type="dxa"/>
            <w:vAlign w:val="bottom"/>
            <w:shd w:val="clear" w:color="auto" w:fill="F3F6F7"/>
          </w:tcPr>
          <w:p>
            <w:pPr>
              <w:spacing w:after="0" w:line="20" w:lineRule="exact"/>
              <w:rPr>
                <w:sz w:val="1"/>
                <w:szCs w:val="1"/>
                <w:color w:val="auto"/>
              </w:rPr>
            </w:pPr>
          </w:p>
        </w:tc>
        <w:tc>
          <w:tcPr>
            <w:tcW w:w="3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40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20" w:type="dxa"/>
            <w:vAlign w:val="bottom"/>
            <w:shd w:val="clear" w:color="auto" w:fill="F3F6F7"/>
          </w:tcPr>
          <w:p>
            <w:pPr>
              <w:spacing w:after="0" w:line="20" w:lineRule="exact"/>
              <w:rPr>
                <w:sz w:val="1"/>
                <w:szCs w:val="1"/>
                <w:color w:val="auto"/>
              </w:rPr>
            </w:pPr>
          </w:p>
        </w:tc>
        <w:tc>
          <w:tcPr>
            <w:tcW w:w="28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520" w:type="dxa"/>
            <w:vAlign w:val="bottom"/>
            <w:shd w:val="clear" w:color="auto" w:fill="F3F6F7"/>
          </w:tcPr>
          <w:p>
            <w:pPr>
              <w:spacing w:after="0" w:line="20" w:lineRule="exact"/>
              <w:rPr>
                <w:sz w:val="1"/>
                <w:szCs w:val="1"/>
                <w:color w:val="auto"/>
              </w:rPr>
            </w:pPr>
          </w:p>
        </w:tc>
        <w:tc>
          <w:tcPr>
            <w:tcW w:w="2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60" w:type="dxa"/>
            <w:vAlign w:val="bottom"/>
            <w:shd w:val="clear" w:color="auto" w:fill="F3F6F7"/>
          </w:tcPr>
          <w:p>
            <w:pPr>
              <w:spacing w:after="0" w:line="20" w:lineRule="exact"/>
              <w:rPr>
                <w:sz w:val="1"/>
                <w:szCs w:val="1"/>
                <w:color w:val="auto"/>
              </w:rPr>
            </w:pPr>
          </w:p>
        </w:tc>
        <w:tc>
          <w:tcPr>
            <w:tcW w:w="66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Attributes And Experience</w:t>
            </w:r>
          </w:p>
        </w:tc>
        <w:tc>
          <w:tcPr>
            <w:tcW w:w="140" w:type="dxa"/>
            <w:vAlign w:val="bottom"/>
            <w:shd w:val="clear" w:color="auto" w:fill="F3F6F7"/>
          </w:tcPr>
          <w:p>
            <w:pPr>
              <w:spacing w:after="0"/>
              <w:rPr>
                <w:sz w:val="23"/>
                <w:szCs w:val="23"/>
                <w:color w:val="auto"/>
              </w:rPr>
            </w:pPr>
          </w:p>
        </w:tc>
        <w:tc>
          <w:tcPr>
            <w:tcW w:w="24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3</w:t>
            </w:r>
          </w:p>
        </w:tc>
        <w:tc>
          <w:tcPr>
            <w:tcW w:w="240" w:type="dxa"/>
            <w:vAlign w:val="bottom"/>
            <w:shd w:val="clear" w:color="auto" w:fill="F3F6F7"/>
          </w:tcPr>
          <w:p>
            <w:pPr>
              <w:spacing w:after="0"/>
              <w:rPr>
                <w:sz w:val="23"/>
                <w:szCs w:val="23"/>
                <w:color w:val="auto"/>
              </w:rPr>
            </w:pPr>
          </w:p>
        </w:tc>
        <w:tc>
          <w:tcPr>
            <w:tcW w:w="4080" w:type="dxa"/>
            <w:vAlign w:val="bottom"/>
            <w:gridSpan w:val="18"/>
            <w:shd w:val="clear" w:color="auto" w:fill="F3F6F7"/>
          </w:tcPr>
          <w:p>
            <w:pPr>
              <w:ind w:left="120"/>
              <w:spacing w:after="0"/>
              <w:rPr>
                <w:sz w:val="20"/>
                <w:szCs w:val="20"/>
                <w:color w:val="auto"/>
              </w:rPr>
            </w:pPr>
            <w:r>
              <w:rPr>
                <w:rFonts w:ascii="Arial" w:cs="Arial" w:eastAsia="Arial" w:hAnsi="Arial"/>
                <w:sz w:val="13"/>
                <w:szCs w:val="13"/>
                <w:color w:val="0000EE"/>
              </w:rPr>
              <w:t>Director Qualifications and Diversity</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6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90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 w:type="dxa"/>
            <w:vAlign w:val="bottom"/>
            <w:shd w:val="clear" w:color="auto" w:fill="F3F6F7"/>
          </w:tcPr>
          <w:p>
            <w:pPr>
              <w:spacing w:after="0" w:line="20" w:lineRule="exact"/>
              <w:rPr>
                <w:sz w:val="1"/>
                <w:szCs w:val="1"/>
                <w:color w:val="auto"/>
              </w:rPr>
            </w:pPr>
          </w:p>
        </w:tc>
        <w:tc>
          <w:tcPr>
            <w:tcW w:w="3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40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520" w:type="dxa"/>
            <w:vAlign w:val="bottom"/>
            <w:shd w:val="clear" w:color="auto" w:fill="F3F6F7"/>
          </w:tcPr>
          <w:p>
            <w:pPr>
              <w:spacing w:after="0" w:line="20" w:lineRule="exact"/>
              <w:rPr>
                <w:sz w:val="1"/>
                <w:szCs w:val="1"/>
                <w:color w:val="auto"/>
              </w:rPr>
            </w:pPr>
          </w:p>
        </w:tc>
        <w:tc>
          <w:tcPr>
            <w:tcW w:w="2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60" w:type="dxa"/>
            <w:vAlign w:val="bottom"/>
            <w:shd w:val="clear" w:color="auto" w:fill="F3F6F7"/>
          </w:tcPr>
          <w:p>
            <w:pPr>
              <w:spacing w:after="0" w:line="20" w:lineRule="exact"/>
              <w:rPr>
                <w:sz w:val="1"/>
                <w:szCs w:val="1"/>
                <w:color w:val="auto"/>
              </w:rPr>
            </w:pPr>
          </w:p>
        </w:tc>
        <w:tc>
          <w:tcPr>
            <w:tcW w:w="66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1800" w:type="dxa"/>
            <w:vAlign w:val="bottom"/>
            <w:gridSpan w:val="7"/>
            <w:shd w:val="clear" w:color="auto" w:fill="F3F6F7"/>
          </w:tcPr>
          <w:p>
            <w:pPr>
              <w:spacing w:after="0"/>
              <w:rPr>
                <w:sz w:val="20"/>
                <w:szCs w:val="20"/>
                <w:color w:val="auto"/>
              </w:rPr>
            </w:pPr>
            <w:r>
              <w:rPr>
                <w:rFonts w:ascii="Arial" w:cs="Arial" w:eastAsia="Arial" w:hAnsi="Arial"/>
                <w:sz w:val="13"/>
                <w:szCs w:val="13"/>
                <w:color w:val="0000EE"/>
              </w:rPr>
              <w:t>Our Board and Its Committees</w:t>
            </w:r>
          </w:p>
        </w:tc>
        <w:tc>
          <w:tcPr>
            <w:tcW w:w="2160" w:type="dxa"/>
            <w:vAlign w:val="bottom"/>
            <w:gridSpan w:val="11"/>
            <w:shd w:val="clear" w:color="auto" w:fill="F3F6F7"/>
          </w:tcPr>
          <w:p>
            <w:pPr>
              <w:spacing w:after="0"/>
              <w:rPr>
                <w:sz w:val="23"/>
                <w:szCs w:val="23"/>
                <w:color w:val="auto"/>
              </w:rPr>
            </w:pPr>
          </w:p>
        </w:tc>
        <w:tc>
          <w:tcPr>
            <w:tcW w:w="140" w:type="dxa"/>
            <w:vAlign w:val="bottom"/>
            <w:shd w:val="clear" w:color="auto" w:fill="F3F6F7"/>
          </w:tcPr>
          <w:p>
            <w:pPr>
              <w:spacing w:after="0"/>
              <w:rPr>
                <w:sz w:val="23"/>
                <w:szCs w:val="23"/>
                <w:color w:val="auto"/>
              </w:rPr>
            </w:pPr>
          </w:p>
        </w:tc>
        <w:tc>
          <w:tcPr>
            <w:tcW w:w="24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8</w:t>
            </w:r>
          </w:p>
        </w:tc>
        <w:tc>
          <w:tcPr>
            <w:tcW w:w="240" w:type="dxa"/>
            <w:vAlign w:val="bottom"/>
            <w:shd w:val="clear" w:color="auto" w:fill="F3F6F7"/>
          </w:tcPr>
          <w:p>
            <w:pPr>
              <w:spacing w:after="0"/>
              <w:rPr>
                <w:sz w:val="23"/>
                <w:szCs w:val="23"/>
                <w:color w:val="auto"/>
              </w:rPr>
            </w:pPr>
          </w:p>
        </w:tc>
        <w:tc>
          <w:tcPr>
            <w:tcW w:w="120" w:type="dxa"/>
            <w:vAlign w:val="bottom"/>
            <w:shd w:val="clear" w:color="auto" w:fill="F3F6F7"/>
          </w:tcPr>
          <w:p>
            <w:pPr>
              <w:spacing w:after="0"/>
              <w:rPr>
                <w:sz w:val="23"/>
                <w:szCs w:val="23"/>
                <w:color w:val="auto"/>
              </w:rPr>
            </w:pPr>
          </w:p>
        </w:tc>
        <w:tc>
          <w:tcPr>
            <w:tcW w:w="3960" w:type="dxa"/>
            <w:vAlign w:val="bottom"/>
            <w:gridSpan w:val="17"/>
            <w:shd w:val="clear" w:color="auto" w:fill="F3F6F7"/>
          </w:tcPr>
          <w:p>
            <w:pPr>
              <w:spacing w:after="0"/>
              <w:rPr>
                <w:sz w:val="20"/>
                <w:szCs w:val="20"/>
                <w:color w:val="auto"/>
              </w:rPr>
            </w:pPr>
            <w:r>
              <w:rPr>
                <w:rFonts w:ascii="Arial" w:cs="Arial" w:eastAsia="Arial" w:hAnsi="Arial"/>
                <w:sz w:val="13"/>
                <w:szCs w:val="13"/>
                <w:color w:val="0000EE"/>
              </w:rPr>
              <w:t>2023 Director Compensation</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67"/>
        </w:trPr>
        <w:tc>
          <w:tcPr>
            <w:tcW w:w="120" w:type="dxa"/>
            <w:vAlign w:val="bottom"/>
            <w:tcBorders>
              <w:top w:val="single" w:sz="8" w:color="F3F6F7"/>
            </w:tcBorders>
            <w:shd w:val="clear" w:color="auto" w:fill="F3F6F7"/>
          </w:tcPr>
          <w:p>
            <w:pPr>
              <w:spacing w:after="0"/>
              <w:rPr>
                <w:sz w:val="23"/>
                <w:szCs w:val="23"/>
                <w:color w:val="auto"/>
              </w:rPr>
            </w:pPr>
          </w:p>
        </w:tc>
        <w:tc>
          <w:tcPr>
            <w:tcW w:w="1800" w:type="dxa"/>
            <w:vAlign w:val="bottom"/>
            <w:tcBorders>
              <w:top w:val="single" w:sz="8" w:color="0000EE"/>
            </w:tcBorders>
            <w:gridSpan w:val="7"/>
            <w:shd w:val="clear" w:color="auto" w:fill="F3F6F7"/>
          </w:tcPr>
          <w:p>
            <w:pPr>
              <w:spacing w:after="0"/>
              <w:rPr>
                <w:sz w:val="20"/>
                <w:szCs w:val="20"/>
                <w:color w:val="auto"/>
              </w:rPr>
            </w:pPr>
            <w:r>
              <w:rPr>
                <w:rFonts w:ascii="Arial" w:cs="Arial" w:eastAsia="Arial" w:hAnsi="Arial"/>
                <w:sz w:val="13"/>
                <w:szCs w:val="13"/>
                <w:color w:val="0000EE"/>
              </w:rPr>
              <w:t>Director Independence</w:t>
            </w:r>
          </w:p>
        </w:tc>
        <w:tc>
          <w:tcPr>
            <w:tcW w:w="2160" w:type="dxa"/>
            <w:vAlign w:val="bottom"/>
            <w:tcBorders>
              <w:top w:val="single" w:sz="8" w:color="F3F6F7"/>
            </w:tcBorders>
            <w:gridSpan w:val="11"/>
            <w:shd w:val="clear" w:color="auto" w:fill="F3F6F7"/>
          </w:tcPr>
          <w:p>
            <w:pPr>
              <w:spacing w:after="0"/>
              <w:rPr>
                <w:sz w:val="23"/>
                <w:szCs w:val="23"/>
                <w:color w:val="auto"/>
              </w:rPr>
            </w:pPr>
          </w:p>
        </w:tc>
        <w:tc>
          <w:tcPr>
            <w:tcW w:w="140" w:type="dxa"/>
            <w:vAlign w:val="bottom"/>
            <w:tcBorders>
              <w:top w:val="single" w:sz="8" w:color="F3F6F7"/>
            </w:tcBorders>
            <w:shd w:val="clear" w:color="auto" w:fill="F3F6F7"/>
          </w:tcPr>
          <w:p>
            <w:pPr>
              <w:spacing w:after="0"/>
              <w:rPr>
                <w:sz w:val="23"/>
                <w:szCs w:val="23"/>
                <w:color w:val="auto"/>
              </w:rPr>
            </w:pPr>
          </w:p>
        </w:tc>
        <w:tc>
          <w:tcPr>
            <w:tcW w:w="240" w:type="dxa"/>
            <w:vAlign w:val="bottom"/>
            <w:tcBorders>
              <w:top w:val="single" w:sz="8" w:color="F3F6F7"/>
            </w:tcBorders>
            <w:shd w:val="clear" w:color="auto" w:fill="F3F6F7"/>
          </w:tcPr>
          <w:p>
            <w:pPr>
              <w:spacing w:after="0"/>
              <w:rPr>
                <w:sz w:val="23"/>
                <w:szCs w:val="23"/>
                <w:color w:val="auto"/>
              </w:rPr>
            </w:pPr>
          </w:p>
        </w:tc>
        <w:tc>
          <w:tcPr>
            <w:tcW w:w="80" w:type="dxa"/>
            <w:vAlign w:val="bottom"/>
            <w:tcBorders>
              <w:top w:val="single" w:sz="8" w:color="F3F6F7"/>
            </w:tcBorders>
            <w:shd w:val="clear" w:color="auto" w:fill="F3F6F7"/>
          </w:tcPr>
          <w:p>
            <w:pPr>
              <w:spacing w:after="0"/>
              <w:rPr>
                <w:sz w:val="23"/>
                <w:szCs w:val="23"/>
                <w:color w:val="auto"/>
              </w:rPr>
            </w:pPr>
          </w:p>
        </w:tc>
        <w:tc>
          <w:tcPr>
            <w:tcW w:w="400" w:type="dxa"/>
            <w:vAlign w:val="bottom"/>
            <w:tcBorders>
              <w:top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8</w:t>
            </w:r>
          </w:p>
        </w:tc>
        <w:tc>
          <w:tcPr>
            <w:tcW w:w="240" w:type="dxa"/>
            <w:vAlign w:val="bottom"/>
            <w:tcBorders>
              <w:top w:val="single" w:sz="8" w:color="F3F6F7"/>
            </w:tcBorders>
            <w:shd w:val="clear" w:color="auto" w:fill="F3F6F7"/>
          </w:tcPr>
          <w:p>
            <w:pPr>
              <w:spacing w:after="0"/>
              <w:rPr>
                <w:sz w:val="23"/>
                <w:szCs w:val="23"/>
                <w:color w:val="auto"/>
              </w:rPr>
            </w:pPr>
          </w:p>
        </w:tc>
        <w:tc>
          <w:tcPr>
            <w:tcW w:w="120" w:type="dxa"/>
            <w:vAlign w:val="bottom"/>
            <w:tcBorders>
              <w:top w:val="single" w:sz="8" w:color="F3F6F7"/>
            </w:tcBorders>
            <w:shd w:val="clear" w:color="auto" w:fill="F3F6F7"/>
          </w:tcPr>
          <w:p>
            <w:pPr>
              <w:spacing w:after="0"/>
              <w:rPr>
                <w:sz w:val="23"/>
                <w:szCs w:val="23"/>
                <w:color w:val="auto"/>
              </w:rPr>
            </w:pPr>
          </w:p>
        </w:tc>
        <w:tc>
          <w:tcPr>
            <w:tcW w:w="660" w:type="dxa"/>
            <w:vAlign w:val="bottom"/>
            <w:tcBorders>
              <w:top w:val="single" w:sz="8" w:color="0000EE"/>
            </w:tcBorders>
            <w:shd w:val="clear" w:color="auto" w:fill="F3F6F7"/>
          </w:tcPr>
          <w:p>
            <w:pPr>
              <w:spacing w:after="0"/>
              <w:rPr>
                <w:sz w:val="23"/>
                <w:szCs w:val="23"/>
                <w:color w:val="auto"/>
              </w:rPr>
            </w:pPr>
          </w:p>
        </w:tc>
        <w:tc>
          <w:tcPr>
            <w:tcW w:w="240" w:type="dxa"/>
            <w:vAlign w:val="bottom"/>
            <w:tcBorders>
              <w:top w:val="single" w:sz="8" w:color="0000EE"/>
            </w:tcBorders>
            <w:shd w:val="clear" w:color="auto" w:fill="F3F6F7"/>
          </w:tcPr>
          <w:p>
            <w:pPr>
              <w:spacing w:after="0"/>
              <w:rPr>
                <w:sz w:val="23"/>
                <w:szCs w:val="23"/>
                <w:color w:val="auto"/>
              </w:rPr>
            </w:pPr>
          </w:p>
        </w:tc>
        <w:tc>
          <w:tcPr>
            <w:tcW w:w="400" w:type="dxa"/>
            <w:vAlign w:val="bottom"/>
            <w:tcBorders>
              <w:top w:val="single" w:sz="8" w:color="0000EE"/>
            </w:tcBorders>
            <w:shd w:val="clear" w:color="auto" w:fill="F3F6F7"/>
          </w:tcPr>
          <w:p>
            <w:pPr>
              <w:spacing w:after="0"/>
              <w:rPr>
                <w:sz w:val="23"/>
                <w:szCs w:val="23"/>
                <w:color w:val="auto"/>
              </w:rPr>
            </w:pPr>
          </w:p>
        </w:tc>
        <w:tc>
          <w:tcPr>
            <w:tcW w:w="180" w:type="dxa"/>
            <w:vAlign w:val="bottom"/>
            <w:tcBorders>
              <w:top w:val="single" w:sz="8" w:color="0000EE"/>
            </w:tcBorders>
            <w:shd w:val="clear" w:color="auto" w:fill="F3F6F7"/>
          </w:tcPr>
          <w:p>
            <w:pPr>
              <w:spacing w:after="0"/>
              <w:rPr>
                <w:sz w:val="23"/>
                <w:szCs w:val="23"/>
                <w:color w:val="auto"/>
              </w:rPr>
            </w:pPr>
          </w:p>
        </w:tc>
        <w:tc>
          <w:tcPr>
            <w:tcW w:w="220" w:type="dxa"/>
            <w:vAlign w:val="bottom"/>
            <w:tcBorders>
              <w:top w:val="single" w:sz="8" w:color="0000EE"/>
            </w:tcBorders>
            <w:shd w:val="clear" w:color="auto" w:fill="F3F6F7"/>
          </w:tcPr>
          <w:p>
            <w:pPr>
              <w:spacing w:after="0"/>
              <w:rPr>
                <w:sz w:val="23"/>
                <w:szCs w:val="23"/>
                <w:color w:val="auto"/>
              </w:rPr>
            </w:pPr>
          </w:p>
        </w:tc>
        <w:tc>
          <w:tcPr>
            <w:tcW w:w="280" w:type="dxa"/>
            <w:vAlign w:val="bottom"/>
            <w:tcBorders>
              <w:top w:val="single" w:sz="8" w:color="F3F6F7"/>
            </w:tcBorders>
            <w:shd w:val="clear" w:color="auto" w:fill="F3F6F7"/>
          </w:tcPr>
          <w:p>
            <w:pPr>
              <w:spacing w:after="0"/>
              <w:rPr>
                <w:sz w:val="23"/>
                <w:szCs w:val="23"/>
                <w:color w:val="auto"/>
              </w:rPr>
            </w:pPr>
          </w:p>
        </w:tc>
        <w:tc>
          <w:tcPr>
            <w:tcW w:w="140" w:type="dxa"/>
            <w:vAlign w:val="bottom"/>
            <w:tcBorders>
              <w:top w:val="single" w:sz="8" w:color="F3F6F7"/>
            </w:tcBorders>
            <w:shd w:val="clear" w:color="auto" w:fill="F3F6F7"/>
          </w:tcPr>
          <w:p>
            <w:pPr>
              <w:spacing w:after="0"/>
              <w:rPr>
                <w:sz w:val="23"/>
                <w:szCs w:val="23"/>
                <w:color w:val="auto"/>
              </w:rPr>
            </w:pPr>
          </w:p>
        </w:tc>
        <w:tc>
          <w:tcPr>
            <w:tcW w:w="140" w:type="dxa"/>
            <w:vAlign w:val="bottom"/>
            <w:tcBorders>
              <w:top w:val="single" w:sz="8" w:color="F3F6F7"/>
            </w:tcBorders>
            <w:shd w:val="clear" w:color="auto" w:fill="F3F6F7"/>
          </w:tcPr>
          <w:p>
            <w:pPr>
              <w:spacing w:after="0"/>
              <w:rPr>
                <w:sz w:val="23"/>
                <w:szCs w:val="23"/>
                <w:color w:val="auto"/>
              </w:rPr>
            </w:pPr>
          </w:p>
        </w:tc>
        <w:tc>
          <w:tcPr>
            <w:tcW w:w="520" w:type="dxa"/>
            <w:vAlign w:val="bottom"/>
            <w:tcBorders>
              <w:top w:val="single" w:sz="8" w:color="F3F6F7"/>
            </w:tcBorders>
            <w:shd w:val="clear" w:color="auto" w:fill="F3F6F7"/>
          </w:tcPr>
          <w:p>
            <w:pPr>
              <w:spacing w:after="0"/>
              <w:rPr>
                <w:sz w:val="23"/>
                <w:szCs w:val="23"/>
                <w:color w:val="auto"/>
              </w:rPr>
            </w:pPr>
          </w:p>
        </w:tc>
        <w:tc>
          <w:tcPr>
            <w:tcW w:w="280" w:type="dxa"/>
            <w:vAlign w:val="bottom"/>
            <w:tcBorders>
              <w:top w:val="single" w:sz="8" w:color="F3F6F7"/>
            </w:tcBorders>
            <w:shd w:val="clear" w:color="auto" w:fill="F3F6F7"/>
          </w:tcPr>
          <w:p>
            <w:pPr>
              <w:spacing w:after="0"/>
              <w:rPr>
                <w:sz w:val="23"/>
                <w:szCs w:val="23"/>
                <w:color w:val="auto"/>
              </w:rPr>
            </w:pPr>
          </w:p>
        </w:tc>
        <w:tc>
          <w:tcPr>
            <w:tcW w:w="100" w:type="dxa"/>
            <w:vAlign w:val="bottom"/>
            <w:tcBorders>
              <w:top w:val="single" w:sz="8" w:color="F3F6F7"/>
            </w:tcBorders>
            <w:shd w:val="clear" w:color="auto" w:fill="F3F6F7"/>
          </w:tcPr>
          <w:p>
            <w:pPr>
              <w:spacing w:after="0"/>
              <w:rPr>
                <w:sz w:val="23"/>
                <w:szCs w:val="23"/>
                <w:color w:val="auto"/>
              </w:rPr>
            </w:pPr>
          </w:p>
        </w:tc>
        <w:tc>
          <w:tcPr>
            <w:tcW w:w="80" w:type="dxa"/>
            <w:vAlign w:val="bottom"/>
            <w:tcBorders>
              <w:top w:val="single" w:sz="8" w:color="F3F6F7"/>
            </w:tcBorders>
            <w:shd w:val="clear" w:color="auto" w:fill="F3F6F7"/>
          </w:tcPr>
          <w:p>
            <w:pPr>
              <w:spacing w:after="0"/>
              <w:rPr>
                <w:sz w:val="23"/>
                <w:szCs w:val="23"/>
                <w:color w:val="auto"/>
              </w:rPr>
            </w:pPr>
          </w:p>
        </w:tc>
        <w:tc>
          <w:tcPr>
            <w:tcW w:w="80" w:type="dxa"/>
            <w:vAlign w:val="bottom"/>
            <w:tcBorders>
              <w:top w:val="single" w:sz="8" w:color="F3F6F7"/>
            </w:tcBorders>
            <w:shd w:val="clear" w:color="auto" w:fill="F3F6F7"/>
          </w:tcPr>
          <w:p>
            <w:pPr>
              <w:spacing w:after="0"/>
              <w:rPr>
                <w:sz w:val="23"/>
                <w:szCs w:val="23"/>
                <w:color w:val="auto"/>
              </w:rPr>
            </w:pPr>
          </w:p>
        </w:tc>
        <w:tc>
          <w:tcPr>
            <w:tcW w:w="180" w:type="dxa"/>
            <w:vAlign w:val="bottom"/>
            <w:tcBorders>
              <w:top w:val="single" w:sz="8" w:color="F3F6F7"/>
            </w:tcBorders>
            <w:shd w:val="clear" w:color="auto" w:fill="F3F6F7"/>
          </w:tcPr>
          <w:p>
            <w:pPr>
              <w:spacing w:after="0"/>
              <w:rPr>
                <w:sz w:val="23"/>
                <w:szCs w:val="23"/>
                <w:color w:val="auto"/>
              </w:rPr>
            </w:pPr>
          </w:p>
        </w:tc>
        <w:tc>
          <w:tcPr>
            <w:tcW w:w="120" w:type="dxa"/>
            <w:vAlign w:val="bottom"/>
            <w:tcBorders>
              <w:top w:val="single" w:sz="8" w:color="F3F6F7"/>
            </w:tcBorders>
            <w:shd w:val="clear" w:color="auto" w:fill="F3F6F7"/>
          </w:tcPr>
          <w:p>
            <w:pPr>
              <w:spacing w:after="0"/>
              <w:rPr>
                <w:sz w:val="23"/>
                <w:szCs w:val="23"/>
                <w:color w:val="auto"/>
              </w:rPr>
            </w:pPr>
          </w:p>
        </w:tc>
        <w:tc>
          <w:tcPr>
            <w:tcW w:w="180" w:type="dxa"/>
            <w:vAlign w:val="bottom"/>
            <w:tcBorders>
              <w:top w:val="single" w:sz="8" w:color="F3F6F7"/>
            </w:tcBorders>
            <w:shd w:val="clear" w:color="auto" w:fill="F3F6F7"/>
          </w:tcPr>
          <w:p>
            <w:pPr>
              <w:spacing w:after="0"/>
              <w:rPr>
                <w:sz w:val="23"/>
                <w:szCs w:val="23"/>
                <w:color w:val="auto"/>
              </w:rPr>
            </w:pPr>
          </w:p>
        </w:tc>
        <w:tc>
          <w:tcPr>
            <w:tcW w:w="160" w:type="dxa"/>
            <w:vAlign w:val="bottom"/>
            <w:tcBorders>
              <w:top w:val="single" w:sz="8" w:color="F3F6F7"/>
            </w:tcBorders>
            <w:shd w:val="clear" w:color="auto" w:fill="F3F6F7"/>
          </w:tcPr>
          <w:p>
            <w:pPr>
              <w:spacing w:after="0"/>
              <w:rPr>
                <w:sz w:val="23"/>
                <w:szCs w:val="23"/>
                <w:color w:val="auto"/>
              </w:rPr>
            </w:pPr>
          </w:p>
        </w:tc>
        <w:tc>
          <w:tcPr>
            <w:tcW w:w="660" w:type="dxa"/>
            <w:vAlign w:val="bottom"/>
            <w:tcBorders>
              <w:top w:val="single" w:sz="8" w:color="F3F6F7"/>
            </w:tcBorders>
            <w:shd w:val="clear" w:color="auto" w:fill="F3F6F7"/>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120" w:type="dxa"/>
            <w:vAlign w:val="bottom"/>
            <w:tcBorders>
              <w:top w:val="single" w:sz="8" w:color="F3F6F7"/>
            </w:tcBorders>
            <w:shd w:val="clear" w:color="auto" w:fill="F3F6F7"/>
          </w:tcPr>
          <w:p>
            <w:pPr>
              <w:spacing w:after="0"/>
              <w:rPr>
                <w:sz w:val="9"/>
                <w:szCs w:val="9"/>
                <w:color w:val="auto"/>
              </w:rPr>
            </w:pPr>
          </w:p>
        </w:tc>
        <w:tc>
          <w:tcPr>
            <w:tcW w:w="940" w:type="dxa"/>
            <w:vAlign w:val="bottom"/>
            <w:tcBorders>
              <w:top w:val="single" w:sz="8" w:color="0000EE"/>
              <w:right w:val="single" w:sz="8" w:color="F3F6F7"/>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26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F3F6F7"/>
              <w:right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6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90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20" w:type="dxa"/>
            <w:vAlign w:val="bottom"/>
            <w:tcBorders>
              <w:top w:val="single" w:sz="8" w:color="F3F6F7"/>
            </w:tcBorders>
            <w:shd w:val="clear" w:color="auto" w:fill="F3F6F7"/>
          </w:tcPr>
          <w:p>
            <w:pPr>
              <w:spacing w:after="0"/>
              <w:rPr>
                <w:sz w:val="9"/>
                <w:szCs w:val="9"/>
                <w:color w:val="auto"/>
              </w:rPr>
            </w:pPr>
          </w:p>
        </w:tc>
        <w:tc>
          <w:tcPr>
            <w:tcW w:w="340" w:type="dxa"/>
            <w:vAlign w:val="bottom"/>
            <w:tcBorders>
              <w:top w:val="single" w:sz="8" w:color="F3F6F7"/>
            </w:tcBorders>
            <w:shd w:val="clear" w:color="auto" w:fill="F3F6F7"/>
          </w:tcPr>
          <w:p>
            <w:pPr>
              <w:spacing w:after="0"/>
              <w:rPr>
                <w:sz w:val="9"/>
                <w:szCs w:val="9"/>
                <w:color w:val="auto"/>
              </w:rPr>
            </w:pPr>
          </w:p>
        </w:tc>
        <w:tc>
          <w:tcPr>
            <w:tcW w:w="14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40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12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40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220" w:type="dxa"/>
            <w:vAlign w:val="bottom"/>
            <w:tcBorders>
              <w:top w:val="single" w:sz="8" w:color="F3F6F7"/>
            </w:tcBorders>
            <w:shd w:val="clear" w:color="auto" w:fill="F3F6F7"/>
          </w:tcPr>
          <w:p>
            <w:pPr>
              <w:spacing w:after="0"/>
              <w:rPr>
                <w:sz w:val="9"/>
                <w:szCs w:val="9"/>
                <w:color w:val="auto"/>
              </w:rPr>
            </w:pPr>
          </w:p>
        </w:tc>
        <w:tc>
          <w:tcPr>
            <w:tcW w:w="280" w:type="dxa"/>
            <w:vAlign w:val="bottom"/>
            <w:tcBorders>
              <w:top w:val="single" w:sz="8" w:color="F3F6F7"/>
            </w:tcBorders>
            <w:shd w:val="clear" w:color="auto" w:fill="F3F6F7"/>
          </w:tcPr>
          <w:p>
            <w:pPr>
              <w:spacing w:after="0"/>
              <w:rPr>
                <w:sz w:val="9"/>
                <w:szCs w:val="9"/>
                <w:color w:val="auto"/>
              </w:rPr>
            </w:pPr>
          </w:p>
        </w:tc>
        <w:tc>
          <w:tcPr>
            <w:tcW w:w="140" w:type="dxa"/>
            <w:vAlign w:val="bottom"/>
            <w:tcBorders>
              <w:top w:val="single" w:sz="8" w:color="F3F6F7"/>
            </w:tcBorders>
            <w:shd w:val="clear" w:color="auto" w:fill="F3F6F7"/>
          </w:tcPr>
          <w:p>
            <w:pPr>
              <w:spacing w:after="0"/>
              <w:rPr>
                <w:sz w:val="9"/>
                <w:szCs w:val="9"/>
                <w:color w:val="auto"/>
              </w:rPr>
            </w:pPr>
          </w:p>
        </w:tc>
        <w:tc>
          <w:tcPr>
            <w:tcW w:w="140" w:type="dxa"/>
            <w:vAlign w:val="bottom"/>
            <w:tcBorders>
              <w:top w:val="single" w:sz="8" w:color="F3F6F7"/>
            </w:tcBorders>
            <w:shd w:val="clear" w:color="auto" w:fill="F3F6F7"/>
          </w:tcPr>
          <w:p>
            <w:pPr>
              <w:spacing w:after="0"/>
              <w:rPr>
                <w:sz w:val="9"/>
                <w:szCs w:val="9"/>
                <w:color w:val="auto"/>
              </w:rPr>
            </w:pPr>
          </w:p>
        </w:tc>
        <w:tc>
          <w:tcPr>
            <w:tcW w:w="520" w:type="dxa"/>
            <w:vAlign w:val="bottom"/>
            <w:tcBorders>
              <w:top w:val="single" w:sz="8" w:color="F3F6F7"/>
            </w:tcBorders>
            <w:shd w:val="clear" w:color="auto" w:fill="F3F6F7"/>
          </w:tcPr>
          <w:p>
            <w:pPr>
              <w:spacing w:after="0"/>
              <w:rPr>
                <w:sz w:val="9"/>
                <w:szCs w:val="9"/>
                <w:color w:val="auto"/>
              </w:rPr>
            </w:pPr>
          </w:p>
        </w:tc>
        <w:tc>
          <w:tcPr>
            <w:tcW w:w="2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12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16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F3F6F7"/>
            </w:tcBorders>
            <w:shd w:val="clear" w:color="auto" w:fill="F3F6F7"/>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4"/>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shd w:val="clear" w:color="auto" w:fill="F3F6F7"/>
          </w:tcPr>
          <w:p>
            <w:pPr>
              <w:spacing w:after="0"/>
              <w:rPr>
                <w:sz w:val="17"/>
                <w:szCs w:val="17"/>
                <w:color w:val="auto"/>
              </w:rPr>
            </w:pPr>
          </w:p>
        </w:tc>
        <w:tc>
          <w:tcPr>
            <w:tcW w:w="9140" w:type="dxa"/>
            <w:vAlign w:val="bottom"/>
            <w:gridSpan w:val="41"/>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PROPOSAL 2 APPROVAL OF THE AMENDMENT TO OUR CERTIFICATE OF INCORPORATION TO</w:t>
            </w:r>
          </w:p>
        </w:tc>
        <w:tc>
          <w:tcPr>
            <w:tcW w:w="660" w:type="dxa"/>
            <w:vAlign w:val="bottom"/>
            <w:vMerge w:val="restart"/>
            <w:shd w:val="clear" w:color="auto" w:fill="F3F6F7"/>
          </w:tcPr>
          <w:p>
            <w:pPr>
              <w:jc w:val="right"/>
              <w:ind w:right="42"/>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180"/>
        </w:trPr>
        <w:tc>
          <w:tcPr>
            <w:tcW w:w="120" w:type="dxa"/>
            <w:vAlign w:val="bottom"/>
            <w:tcBorders>
              <w:top w:val="single" w:sz="8" w:color="F3F6F7"/>
            </w:tcBorders>
            <w:shd w:val="clear" w:color="auto" w:fill="F3F6F7"/>
          </w:tcPr>
          <w:p>
            <w:pPr>
              <w:spacing w:after="0"/>
              <w:rPr>
                <w:sz w:val="15"/>
                <w:szCs w:val="15"/>
                <w:color w:val="auto"/>
              </w:rPr>
            </w:pPr>
          </w:p>
        </w:tc>
        <w:tc>
          <w:tcPr>
            <w:tcW w:w="8420" w:type="dxa"/>
            <w:vAlign w:val="bottom"/>
            <w:tcBorders>
              <w:top w:val="single" w:sz="8" w:color="0000EE"/>
            </w:tcBorders>
            <w:gridSpan w:val="36"/>
            <w:shd w:val="clear" w:color="auto" w:fill="F3F6F7"/>
          </w:tcPr>
          <w:p>
            <w:pPr>
              <w:spacing w:after="0" w:line="180" w:lineRule="exact"/>
              <w:rPr>
                <w:sz w:val="20"/>
                <w:szCs w:val="20"/>
                <w:color w:val="auto"/>
              </w:rPr>
            </w:pPr>
            <w:r>
              <w:rPr>
                <w:rFonts w:ascii="Arial" w:cs="Arial" w:eastAsia="Arial" w:hAnsi="Arial"/>
                <w:sz w:val="18"/>
                <w:szCs w:val="18"/>
                <w:b w:val="1"/>
                <w:bCs w:val="1"/>
                <w:color w:val="0000EE"/>
              </w:rPr>
              <w:t>INCORPORATE DELAWARE LAW PROVISIONS REGARDING OFFICER EXCULPATION</w:t>
            </w:r>
          </w:p>
        </w:tc>
        <w:tc>
          <w:tcPr>
            <w:tcW w:w="80" w:type="dxa"/>
            <w:vAlign w:val="bottom"/>
            <w:tcBorders>
              <w:top w:val="single" w:sz="8" w:color="F3F6F7"/>
            </w:tcBorders>
            <w:shd w:val="clear" w:color="auto" w:fill="F3F6F7"/>
          </w:tcPr>
          <w:p>
            <w:pPr>
              <w:spacing w:after="0"/>
              <w:rPr>
                <w:sz w:val="15"/>
                <w:szCs w:val="15"/>
                <w:color w:val="auto"/>
              </w:rPr>
            </w:pPr>
          </w:p>
        </w:tc>
        <w:tc>
          <w:tcPr>
            <w:tcW w:w="180" w:type="dxa"/>
            <w:vAlign w:val="bottom"/>
            <w:tcBorders>
              <w:top w:val="single" w:sz="8" w:color="F3F6F7"/>
            </w:tcBorders>
            <w:shd w:val="clear" w:color="auto" w:fill="F3F6F7"/>
          </w:tcPr>
          <w:p>
            <w:pPr>
              <w:spacing w:after="0"/>
              <w:rPr>
                <w:sz w:val="15"/>
                <w:szCs w:val="15"/>
                <w:color w:val="auto"/>
              </w:rPr>
            </w:pPr>
          </w:p>
        </w:tc>
        <w:tc>
          <w:tcPr>
            <w:tcW w:w="120" w:type="dxa"/>
            <w:vAlign w:val="bottom"/>
            <w:tcBorders>
              <w:top w:val="single" w:sz="8" w:color="F3F6F7"/>
            </w:tcBorders>
            <w:shd w:val="clear" w:color="auto" w:fill="F3F6F7"/>
          </w:tcPr>
          <w:p>
            <w:pPr>
              <w:spacing w:after="0"/>
              <w:rPr>
                <w:sz w:val="15"/>
                <w:szCs w:val="15"/>
                <w:color w:val="auto"/>
              </w:rPr>
            </w:pPr>
          </w:p>
        </w:tc>
        <w:tc>
          <w:tcPr>
            <w:tcW w:w="180" w:type="dxa"/>
            <w:vAlign w:val="bottom"/>
            <w:tcBorders>
              <w:top w:val="single" w:sz="8" w:color="F3F6F7"/>
            </w:tcBorders>
            <w:shd w:val="clear" w:color="auto" w:fill="F3F6F7"/>
          </w:tcPr>
          <w:p>
            <w:pPr>
              <w:spacing w:after="0"/>
              <w:rPr>
                <w:sz w:val="15"/>
                <w:szCs w:val="15"/>
                <w:color w:val="auto"/>
              </w:rPr>
            </w:pPr>
          </w:p>
        </w:tc>
        <w:tc>
          <w:tcPr>
            <w:tcW w:w="160" w:type="dxa"/>
            <w:vAlign w:val="bottom"/>
            <w:tcBorders>
              <w:top w:val="single" w:sz="8" w:color="F3F6F7"/>
            </w:tcBorders>
            <w:shd w:val="clear" w:color="auto" w:fill="F3F6F7"/>
          </w:tcPr>
          <w:p>
            <w:pPr>
              <w:spacing w:after="0"/>
              <w:rPr>
                <w:sz w:val="15"/>
                <w:szCs w:val="15"/>
                <w:color w:val="auto"/>
              </w:rPr>
            </w:pPr>
          </w:p>
        </w:tc>
        <w:tc>
          <w:tcPr>
            <w:tcW w:w="660" w:type="dxa"/>
            <w:vAlign w:val="bottom"/>
            <w:tcBorders>
              <w:top w:val="single" w:sz="8" w:color="F3F6F7"/>
            </w:tcBorders>
            <w:vMerge w:val="continue"/>
            <w:shd w:val="clear" w:color="auto" w:fill="F3F6F7"/>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120" w:type="dxa"/>
            <w:vAlign w:val="bottom"/>
            <w:tcBorders>
              <w:top w:val="single" w:sz="8" w:color="F3F6F7"/>
              <w:bottom w:val="single" w:sz="8" w:color="F3F6F7"/>
            </w:tcBorders>
            <w:shd w:val="clear" w:color="auto" w:fill="F3F6F7"/>
          </w:tcPr>
          <w:p>
            <w:pPr>
              <w:spacing w:after="0"/>
              <w:rPr>
                <w:sz w:val="24"/>
                <w:szCs w:val="24"/>
                <w:color w:val="auto"/>
              </w:rPr>
            </w:pPr>
          </w:p>
        </w:tc>
        <w:tc>
          <w:tcPr>
            <w:tcW w:w="2520" w:type="dxa"/>
            <w:vAlign w:val="bottom"/>
            <w:tcBorders>
              <w:top w:val="single" w:sz="8" w:color="0000EE"/>
              <w:bottom w:val="single" w:sz="8" w:color="0000EE"/>
            </w:tcBorders>
            <w:gridSpan w:val="14"/>
            <w:shd w:val="clear" w:color="auto" w:fill="F3F6F7"/>
          </w:tcPr>
          <w:p>
            <w:pPr>
              <w:spacing w:after="0"/>
              <w:rPr>
                <w:sz w:val="20"/>
                <w:szCs w:val="20"/>
                <w:color w:val="auto"/>
              </w:rPr>
            </w:pPr>
            <w:r>
              <w:rPr>
                <w:rFonts w:ascii="Arial" w:cs="Arial" w:eastAsia="Arial" w:hAnsi="Arial"/>
                <w:sz w:val="13"/>
                <w:szCs w:val="13"/>
                <w:color w:val="0000EE"/>
              </w:rPr>
              <w:t>Background Of The Proposed Amendment</w:t>
            </w:r>
          </w:p>
        </w:tc>
        <w:tc>
          <w:tcPr>
            <w:tcW w:w="1440" w:type="dxa"/>
            <w:vAlign w:val="bottom"/>
            <w:tcBorders>
              <w:top w:val="single" w:sz="8" w:color="0000EE"/>
              <w:bottom w:val="single" w:sz="8" w:color="F3F6F7"/>
            </w:tcBorders>
            <w:gridSpan w:val="4"/>
            <w:shd w:val="clear" w:color="auto" w:fill="F3F6F7"/>
          </w:tcPr>
          <w:p>
            <w:pPr>
              <w:spacing w:after="0"/>
              <w:rPr>
                <w:sz w:val="24"/>
                <w:szCs w:val="24"/>
                <w:color w:val="auto"/>
              </w:rPr>
            </w:pPr>
          </w:p>
        </w:tc>
        <w:tc>
          <w:tcPr>
            <w:tcW w:w="140" w:type="dxa"/>
            <w:vAlign w:val="bottom"/>
            <w:tcBorders>
              <w:top w:val="single" w:sz="8" w:color="0000EE"/>
              <w:bottom w:val="single" w:sz="8" w:color="F3F6F7"/>
            </w:tcBorders>
            <w:shd w:val="clear" w:color="auto" w:fill="F3F6F7"/>
          </w:tcPr>
          <w:p>
            <w:pPr>
              <w:spacing w:after="0"/>
              <w:rPr>
                <w:sz w:val="24"/>
                <w:szCs w:val="24"/>
                <w:color w:val="auto"/>
              </w:rPr>
            </w:pPr>
          </w:p>
        </w:tc>
        <w:tc>
          <w:tcPr>
            <w:tcW w:w="240" w:type="dxa"/>
            <w:vAlign w:val="bottom"/>
            <w:tcBorders>
              <w:top w:val="single" w:sz="8" w:color="0000EE"/>
              <w:bottom w:val="single" w:sz="8" w:color="F3F6F7"/>
            </w:tcBorders>
            <w:shd w:val="clear" w:color="auto" w:fill="F3F6F7"/>
          </w:tcPr>
          <w:p>
            <w:pPr>
              <w:spacing w:after="0"/>
              <w:rPr>
                <w:sz w:val="24"/>
                <w:szCs w:val="24"/>
                <w:color w:val="auto"/>
              </w:rPr>
            </w:pPr>
          </w:p>
        </w:tc>
        <w:tc>
          <w:tcPr>
            <w:tcW w:w="80" w:type="dxa"/>
            <w:vAlign w:val="bottom"/>
            <w:tcBorders>
              <w:top w:val="single" w:sz="8" w:color="0000EE"/>
              <w:bottom w:val="single" w:sz="8" w:color="F3F6F7"/>
            </w:tcBorders>
            <w:shd w:val="clear" w:color="auto" w:fill="F3F6F7"/>
          </w:tcPr>
          <w:p>
            <w:pPr>
              <w:spacing w:after="0"/>
              <w:rPr>
                <w:sz w:val="24"/>
                <w:szCs w:val="24"/>
                <w:color w:val="auto"/>
              </w:rPr>
            </w:pPr>
          </w:p>
        </w:tc>
        <w:tc>
          <w:tcPr>
            <w:tcW w:w="400" w:type="dxa"/>
            <w:vAlign w:val="bottom"/>
            <w:tcBorders>
              <w:top w:val="single" w:sz="8" w:color="0000EE"/>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17</w:t>
            </w:r>
          </w:p>
        </w:tc>
        <w:tc>
          <w:tcPr>
            <w:tcW w:w="240" w:type="dxa"/>
            <w:vAlign w:val="bottom"/>
            <w:tcBorders>
              <w:top w:val="single" w:sz="8" w:color="0000EE"/>
              <w:bottom w:val="single" w:sz="8" w:color="F3F6F7"/>
            </w:tcBorders>
            <w:shd w:val="clear" w:color="auto" w:fill="F3F6F7"/>
          </w:tcPr>
          <w:p>
            <w:pPr>
              <w:spacing w:after="0"/>
              <w:rPr>
                <w:sz w:val="24"/>
                <w:szCs w:val="24"/>
                <w:color w:val="auto"/>
              </w:rPr>
            </w:pPr>
          </w:p>
        </w:tc>
        <w:tc>
          <w:tcPr>
            <w:tcW w:w="120" w:type="dxa"/>
            <w:vAlign w:val="bottom"/>
            <w:tcBorders>
              <w:top w:val="single" w:sz="8" w:color="0000EE"/>
              <w:bottom w:val="single" w:sz="8" w:color="F3F6F7"/>
            </w:tcBorders>
            <w:shd w:val="clear" w:color="auto" w:fill="F3F6F7"/>
          </w:tcPr>
          <w:p>
            <w:pPr>
              <w:spacing w:after="0"/>
              <w:rPr>
                <w:sz w:val="24"/>
                <w:szCs w:val="24"/>
                <w:color w:val="auto"/>
              </w:rPr>
            </w:pPr>
          </w:p>
        </w:tc>
        <w:tc>
          <w:tcPr>
            <w:tcW w:w="1300" w:type="dxa"/>
            <w:vAlign w:val="bottom"/>
            <w:tcBorders>
              <w:top w:val="single" w:sz="8" w:color="0000EE"/>
              <w:bottom w:val="single" w:sz="8" w:color="0000EE"/>
            </w:tcBorders>
            <w:gridSpan w:val="3"/>
            <w:shd w:val="clear" w:color="auto" w:fill="F3F6F7"/>
          </w:tcPr>
          <w:p>
            <w:pPr>
              <w:spacing w:after="0"/>
              <w:rPr>
                <w:sz w:val="20"/>
                <w:szCs w:val="20"/>
                <w:color w:val="auto"/>
              </w:rPr>
            </w:pPr>
            <w:r>
              <w:rPr>
                <w:rFonts w:ascii="Arial" w:cs="Arial" w:eastAsia="Arial" w:hAnsi="Arial"/>
                <w:sz w:val="13"/>
                <w:szCs w:val="13"/>
                <w:color w:val="0000EE"/>
              </w:rPr>
              <w:t>Additional Information</w:t>
            </w:r>
          </w:p>
        </w:tc>
        <w:tc>
          <w:tcPr>
            <w:tcW w:w="960" w:type="dxa"/>
            <w:vAlign w:val="bottom"/>
            <w:tcBorders>
              <w:top w:val="single" w:sz="8" w:color="0000EE"/>
              <w:bottom w:val="single" w:sz="8" w:color="F3F6F7"/>
            </w:tcBorders>
            <w:gridSpan w:val="5"/>
            <w:shd w:val="clear" w:color="auto" w:fill="F3F6F7"/>
          </w:tcPr>
          <w:p>
            <w:pPr>
              <w:spacing w:after="0"/>
              <w:rPr>
                <w:sz w:val="24"/>
                <w:szCs w:val="24"/>
                <w:color w:val="auto"/>
              </w:rPr>
            </w:pPr>
          </w:p>
        </w:tc>
        <w:tc>
          <w:tcPr>
            <w:tcW w:w="1700" w:type="dxa"/>
            <w:vAlign w:val="bottom"/>
            <w:tcBorders>
              <w:top w:val="single" w:sz="8" w:color="F3F6F7"/>
              <w:bottom w:val="single" w:sz="8" w:color="F3F6F7"/>
            </w:tcBorders>
            <w:gridSpan w:val="9"/>
            <w:shd w:val="clear" w:color="auto" w:fill="F3F6F7"/>
          </w:tcPr>
          <w:p>
            <w:pPr>
              <w:spacing w:after="0"/>
              <w:rPr>
                <w:sz w:val="24"/>
                <w:szCs w:val="24"/>
                <w:color w:val="auto"/>
              </w:rPr>
            </w:pPr>
          </w:p>
        </w:tc>
        <w:tc>
          <w:tcPr>
            <w:tcW w:w="660" w:type="dxa"/>
            <w:vAlign w:val="bottom"/>
            <w:tcBorders>
              <w:top w:val="single" w:sz="8" w:color="F3F6F7"/>
              <w:bottom w:val="single" w:sz="8" w:color="F3F6F7"/>
            </w:tcBorders>
            <w:shd w:val="clear" w:color="auto" w:fill="F3F6F7"/>
          </w:tcPr>
          <w:p>
            <w:pPr>
              <w:jc w:val="right"/>
              <w:ind w:right="42"/>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22"/>
        </w:trPr>
        <w:tc>
          <w:tcPr>
            <w:tcW w:w="120" w:type="dxa"/>
            <w:vAlign w:val="bottom"/>
            <w:shd w:val="clear" w:color="auto" w:fill="F3F6F7"/>
          </w:tcPr>
          <w:p>
            <w:pPr>
              <w:spacing w:after="0"/>
              <w:rPr>
                <w:sz w:val="19"/>
                <w:szCs w:val="19"/>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Rationale For The Proposed Amendment</w:t>
            </w:r>
          </w:p>
        </w:tc>
        <w:tc>
          <w:tcPr>
            <w:tcW w:w="140" w:type="dxa"/>
            <w:vAlign w:val="bottom"/>
            <w:shd w:val="clear" w:color="auto" w:fill="F3F6F7"/>
          </w:tcPr>
          <w:p>
            <w:pPr>
              <w:spacing w:after="0"/>
              <w:rPr>
                <w:sz w:val="19"/>
                <w:szCs w:val="19"/>
                <w:color w:val="auto"/>
              </w:rPr>
            </w:pPr>
          </w:p>
        </w:tc>
        <w:tc>
          <w:tcPr>
            <w:tcW w:w="240" w:type="dxa"/>
            <w:vAlign w:val="bottom"/>
            <w:shd w:val="clear" w:color="auto" w:fill="F3F6F7"/>
          </w:tcPr>
          <w:p>
            <w:pPr>
              <w:spacing w:after="0"/>
              <w:rPr>
                <w:sz w:val="19"/>
                <w:szCs w:val="19"/>
                <w:color w:val="auto"/>
              </w:rPr>
            </w:pPr>
          </w:p>
        </w:tc>
        <w:tc>
          <w:tcPr>
            <w:tcW w:w="80" w:type="dxa"/>
            <w:vAlign w:val="bottom"/>
            <w:shd w:val="clear" w:color="auto" w:fill="F3F6F7"/>
          </w:tcPr>
          <w:p>
            <w:pPr>
              <w:spacing w:after="0"/>
              <w:rPr>
                <w:sz w:val="19"/>
                <w:szCs w:val="19"/>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17</w:t>
            </w:r>
          </w:p>
        </w:tc>
        <w:tc>
          <w:tcPr>
            <w:tcW w:w="240" w:type="dxa"/>
            <w:vAlign w:val="bottom"/>
            <w:shd w:val="clear" w:color="auto" w:fill="F3F6F7"/>
          </w:tcPr>
          <w:p>
            <w:pPr>
              <w:spacing w:after="0"/>
              <w:rPr>
                <w:sz w:val="19"/>
                <w:szCs w:val="19"/>
                <w:color w:val="auto"/>
              </w:rPr>
            </w:pPr>
          </w:p>
        </w:tc>
        <w:tc>
          <w:tcPr>
            <w:tcW w:w="120" w:type="dxa"/>
            <w:vAlign w:val="bottom"/>
            <w:shd w:val="clear" w:color="auto" w:fill="F3F6F7"/>
          </w:tcPr>
          <w:p>
            <w:pPr>
              <w:spacing w:after="0"/>
              <w:rPr>
                <w:sz w:val="19"/>
                <w:szCs w:val="19"/>
                <w:color w:val="auto"/>
              </w:rPr>
            </w:pPr>
          </w:p>
        </w:tc>
        <w:tc>
          <w:tcPr>
            <w:tcW w:w="660" w:type="dxa"/>
            <w:vAlign w:val="bottom"/>
            <w:shd w:val="clear" w:color="auto" w:fill="F3F6F7"/>
          </w:tcPr>
          <w:p>
            <w:pPr>
              <w:spacing w:after="0"/>
              <w:rPr>
                <w:sz w:val="19"/>
                <w:szCs w:val="19"/>
                <w:color w:val="auto"/>
              </w:rPr>
            </w:pPr>
          </w:p>
        </w:tc>
        <w:tc>
          <w:tcPr>
            <w:tcW w:w="240" w:type="dxa"/>
            <w:vAlign w:val="bottom"/>
            <w:shd w:val="clear" w:color="auto" w:fill="F3F6F7"/>
          </w:tcPr>
          <w:p>
            <w:pPr>
              <w:spacing w:after="0"/>
              <w:rPr>
                <w:sz w:val="19"/>
                <w:szCs w:val="19"/>
                <w:color w:val="auto"/>
              </w:rPr>
            </w:pPr>
          </w:p>
        </w:tc>
        <w:tc>
          <w:tcPr>
            <w:tcW w:w="400" w:type="dxa"/>
            <w:vAlign w:val="bottom"/>
            <w:shd w:val="clear" w:color="auto" w:fill="F3F6F7"/>
          </w:tcPr>
          <w:p>
            <w:pPr>
              <w:spacing w:after="0"/>
              <w:rPr>
                <w:sz w:val="19"/>
                <w:szCs w:val="19"/>
                <w:color w:val="auto"/>
              </w:rPr>
            </w:pPr>
          </w:p>
        </w:tc>
        <w:tc>
          <w:tcPr>
            <w:tcW w:w="180" w:type="dxa"/>
            <w:vAlign w:val="bottom"/>
            <w:shd w:val="clear" w:color="auto" w:fill="F3F6F7"/>
          </w:tcPr>
          <w:p>
            <w:pPr>
              <w:spacing w:after="0"/>
              <w:rPr>
                <w:sz w:val="19"/>
                <w:szCs w:val="19"/>
                <w:color w:val="auto"/>
              </w:rPr>
            </w:pPr>
          </w:p>
        </w:tc>
        <w:tc>
          <w:tcPr>
            <w:tcW w:w="220" w:type="dxa"/>
            <w:vAlign w:val="bottom"/>
            <w:shd w:val="clear" w:color="auto" w:fill="F3F6F7"/>
          </w:tcPr>
          <w:p>
            <w:pPr>
              <w:spacing w:after="0"/>
              <w:rPr>
                <w:sz w:val="19"/>
                <w:szCs w:val="19"/>
                <w:color w:val="auto"/>
              </w:rPr>
            </w:pPr>
          </w:p>
        </w:tc>
        <w:tc>
          <w:tcPr>
            <w:tcW w:w="280" w:type="dxa"/>
            <w:vAlign w:val="bottom"/>
            <w:shd w:val="clear" w:color="auto" w:fill="F3F6F7"/>
          </w:tcPr>
          <w:p>
            <w:pPr>
              <w:spacing w:after="0"/>
              <w:rPr>
                <w:sz w:val="19"/>
                <w:szCs w:val="19"/>
                <w:color w:val="auto"/>
              </w:rPr>
            </w:pPr>
          </w:p>
        </w:tc>
        <w:tc>
          <w:tcPr>
            <w:tcW w:w="140" w:type="dxa"/>
            <w:vAlign w:val="bottom"/>
            <w:shd w:val="clear" w:color="auto" w:fill="F3F6F7"/>
          </w:tcPr>
          <w:p>
            <w:pPr>
              <w:spacing w:after="0"/>
              <w:rPr>
                <w:sz w:val="19"/>
                <w:szCs w:val="19"/>
                <w:color w:val="auto"/>
              </w:rPr>
            </w:pPr>
          </w:p>
        </w:tc>
        <w:tc>
          <w:tcPr>
            <w:tcW w:w="140" w:type="dxa"/>
            <w:vAlign w:val="bottom"/>
            <w:shd w:val="clear" w:color="auto" w:fill="F3F6F7"/>
          </w:tcPr>
          <w:p>
            <w:pPr>
              <w:spacing w:after="0"/>
              <w:rPr>
                <w:sz w:val="19"/>
                <w:szCs w:val="19"/>
                <w:color w:val="auto"/>
              </w:rPr>
            </w:pPr>
          </w:p>
        </w:tc>
        <w:tc>
          <w:tcPr>
            <w:tcW w:w="520" w:type="dxa"/>
            <w:vAlign w:val="bottom"/>
            <w:shd w:val="clear" w:color="auto" w:fill="F3F6F7"/>
          </w:tcPr>
          <w:p>
            <w:pPr>
              <w:spacing w:after="0"/>
              <w:rPr>
                <w:sz w:val="19"/>
                <w:szCs w:val="19"/>
                <w:color w:val="auto"/>
              </w:rPr>
            </w:pPr>
          </w:p>
        </w:tc>
        <w:tc>
          <w:tcPr>
            <w:tcW w:w="280" w:type="dxa"/>
            <w:vAlign w:val="bottom"/>
            <w:shd w:val="clear" w:color="auto" w:fill="F3F6F7"/>
          </w:tcPr>
          <w:p>
            <w:pPr>
              <w:spacing w:after="0"/>
              <w:rPr>
                <w:sz w:val="19"/>
                <w:szCs w:val="19"/>
                <w:color w:val="auto"/>
              </w:rPr>
            </w:pPr>
          </w:p>
        </w:tc>
        <w:tc>
          <w:tcPr>
            <w:tcW w:w="100" w:type="dxa"/>
            <w:vAlign w:val="bottom"/>
            <w:shd w:val="clear" w:color="auto" w:fill="F3F6F7"/>
          </w:tcPr>
          <w:p>
            <w:pPr>
              <w:spacing w:after="0"/>
              <w:rPr>
                <w:sz w:val="19"/>
                <w:szCs w:val="19"/>
                <w:color w:val="auto"/>
              </w:rPr>
            </w:pPr>
          </w:p>
        </w:tc>
        <w:tc>
          <w:tcPr>
            <w:tcW w:w="80" w:type="dxa"/>
            <w:vAlign w:val="bottom"/>
            <w:shd w:val="clear" w:color="auto" w:fill="F3F6F7"/>
          </w:tcPr>
          <w:p>
            <w:pPr>
              <w:spacing w:after="0"/>
              <w:rPr>
                <w:sz w:val="19"/>
                <w:szCs w:val="19"/>
                <w:color w:val="auto"/>
              </w:rPr>
            </w:pPr>
          </w:p>
        </w:tc>
        <w:tc>
          <w:tcPr>
            <w:tcW w:w="80" w:type="dxa"/>
            <w:vAlign w:val="bottom"/>
            <w:shd w:val="clear" w:color="auto" w:fill="F3F6F7"/>
          </w:tcPr>
          <w:p>
            <w:pPr>
              <w:spacing w:after="0"/>
              <w:rPr>
                <w:sz w:val="19"/>
                <w:szCs w:val="19"/>
                <w:color w:val="auto"/>
              </w:rPr>
            </w:pPr>
          </w:p>
        </w:tc>
        <w:tc>
          <w:tcPr>
            <w:tcW w:w="180" w:type="dxa"/>
            <w:vAlign w:val="bottom"/>
            <w:shd w:val="clear" w:color="auto" w:fill="F3F6F7"/>
          </w:tcPr>
          <w:p>
            <w:pPr>
              <w:spacing w:after="0"/>
              <w:rPr>
                <w:sz w:val="19"/>
                <w:szCs w:val="19"/>
                <w:color w:val="auto"/>
              </w:rPr>
            </w:pPr>
          </w:p>
        </w:tc>
        <w:tc>
          <w:tcPr>
            <w:tcW w:w="120" w:type="dxa"/>
            <w:vAlign w:val="bottom"/>
            <w:shd w:val="clear" w:color="auto" w:fill="F3F6F7"/>
          </w:tcPr>
          <w:p>
            <w:pPr>
              <w:spacing w:after="0"/>
              <w:rPr>
                <w:sz w:val="19"/>
                <w:szCs w:val="19"/>
                <w:color w:val="auto"/>
              </w:rPr>
            </w:pPr>
          </w:p>
        </w:tc>
        <w:tc>
          <w:tcPr>
            <w:tcW w:w="180" w:type="dxa"/>
            <w:vAlign w:val="bottom"/>
            <w:shd w:val="clear" w:color="auto" w:fill="F3F6F7"/>
          </w:tcPr>
          <w:p>
            <w:pPr>
              <w:spacing w:after="0"/>
              <w:rPr>
                <w:sz w:val="19"/>
                <w:szCs w:val="19"/>
                <w:color w:val="auto"/>
              </w:rPr>
            </w:pPr>
          </w:p>
        </w:tc>
        <w:tc>
          <w:tcPr>
            <w:tcW w:w="160" w:type="dxa"/>
            <w:vAlign w:val="bottom"/>
            <w:shd w:val="clear" w:color="auto" w:fill="F3F6F7"/>
          </w:tcPr>
          <w:p>
            <w:pPr>
              <w:spacing w:after="0"/>
              <w:rPr>
                <w:sz w:val="19"/>
                <w:szCs w:val="19"/>
                <w:color w:val="auto"/>
              </w:rPr>
            </w:pPr>
          </w:p>
        </w:tc>
        <w:tc>
          <w:tcPr>
            <w:tcW w:w="660" w:type="dxa"/>
            <w:vAlign w:val="bottom"/>
            <w:shd w:val="clear" w:color="auto" w:fill="F3F6F7"/>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F3F6F7"/>
            </w:tcBorders>
          </w:tcPr>
          <w:p>
            <w:pPr>
              <w:spacing w:after="0"/>
              <w:rPr>
                <w:sz w:val="11"/>
                <w:szCs w:val="11"/>
                <w:color w:val="auto"/>
              </w:rPr>
            </w:pPr>
          </w:p>
        </w:tc>
        <w:tc>
          <w:tcPr>
            <w:tcW w:w="90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0" w:type="dxa"/>
            <w:vAlign w:val="bottom"/>
            <w:tcBorders>
              <w:top w:val="single" w:sz="8" w:color="F3F6F7"/>
            </w:tcBorders>
          </w:tcPr>
          <w:p>
            <w:pPr>
              <w:spacing w:after="0"/>
              <w:rPr>
                <w:sz w:val="11"/>
                <w:szCs w:val="11"/>
                <w:color w:val="auto"/>
              </w:rPr>
            </w:pPr>
          </w:p>
        </w:tc>
        <w:tc>
          <w:tcPr>
            <w:tcW w:w="480" w:type="dxa"/>
            <w:vAlign w:val="bottom"/>
            <w:tcBorders>
              <w:top w:val="single" w:sz="8" w:color="F3F6F7"/>
            </w:tcBorders>
            <w:gridSpan w:val="2"/>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840" w:type="dxa"/>
            <w:vAlign w:val="bottom"/>
            <w:tcBorders>
              <w:top w:val="single" w:sz="8" w:color="F3F6F7"/>
            </w:tcBorders>
            <w:gridSpan w:val="4"/>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40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5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2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shd w:val="clear" w:color="auto" w:fill="F3F6F7"/>
          </w:tcPr>
          <w:p>
            <w:pPr>
              <w:spacing w:after="0"/>
              <w:rPr>
                <w:sz w:val="17"/>
                <w:szCs w:val="17"/>
                <w:color w:val="auto"/>
              </w:rPr>
            </w:pPr>
          </w:p>
        </w:tc>
        <w:tc>
          <w:tcPr>
            <w:tcW w:w="9140" w:type="dxa"/>
            <w:vAlign w:val="bottom"/>
            <w:gridSpan w:val="41"/>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PROPOSAL 3 ADVISORY VOTE TO APPROVE THE COMPENSATION OF OUR NAMED EXECUTIVE</w:t>
            </w:r>
          </w:p>
        </w:tc>
        <w:tc>
          <w:tcPr>
            <w:tcW w:w="660" w:type="dxa"/>
            <w:vAlign w:val="bottom"/>
            <w:vMerge w:val="restart"/>
            <w:shd w:val="clear" w:color="auto" w:fill="F3F6F7"/>
          </w:tcPr>
          <w:p>
            <w:pPr>
              <w:jc w:val="right"/>
              <w:ind w:right="42"/>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180"/>
        </w:trPr>
        <w:tc>
          <w:tcPr>
            <w:tcW w:w="120" w:type="dxa"/>
            <w:vAlign w:val="bottom"/>
            <w:tcBorders>
              <w:top w:val="single" w:sz="8" w:color="F3F6F7"/>
            </w:tcBorders>
            <w:shd w:val="clear" w:color="auto" w:fill="F3F6F7"/>
          </w:tcPr>
          <w:p>
            <w:pPr>
              <w:spacing w:after="0"/>
              <w:rPr>
                <w:sz w:val="15"/>
                <w:szCs w:val="15"/>
                <w:color w:val="auto"/>
              </w:rPr>
            </w:pPr>
          </w:p>
        </w:tc>
        <w:tc>
          <w:tcPr>
            <w:tcW w:w="4420" w:type="dxa"/>
            <w:vAlign w:val="bottom"/>
            <w:tcBorders>
              <w:top w:val="single" w:sz="8" w:color="0000EE"/>
            </w:tcBorders>
            <w:gridSpan w:val="21"/>
            <w:shd w:val="clear" w:color="auto" w:fill="F3F6F7"/>
          </w:tcPr>
          <w:p>
            <w:pPr>
              <w:spacing w:after="0" w:line="180" w:lineRule="exact"/>
              <w:rPr>
                <w:sz w:val="20"/>
                <w:szCs w:val="20"/>
                <w:color w:val="auto"/>
              </w:rPr>
            </w:pPr>
            <w:r>
              <w:rPr>
                <w:rFonts w:ascii="Arial" w:cs="Arial" w:eastAsia="Arial" w:hAnsi="Arial"/>
                <w:sz w:val="18"/>
                <w:szCs w:val="18"/>
                <w:b w:val="1"/>
                <w:bCs w:val="1"/>
                <w:color w:val="0000EE"/>
              </w:rPr>
              <w:t>OFFICERS</w:t>
            </w:r>
          </w:p>
        </w:tc>
        <w:tc>
          <w:tcPr>
            <w:tcW w:w="400" w:type="dxa"/>
            <w:vAlign w:val="bottom"/>
            <w:tcBorders>
              <w:top w:val="single" w:sz="8" w:color="0000EE"/>
            </w:tcBorders>
            <w:shd w:val="clear" w:color="auto" w:fill="F3F6F7"/>
          </w:tcPr>
          <w:p>
            <w:pPr>
              <w:spacing w:after="0"/>
              <w:rPr>
                <w:sz w:val="15"/>
                <w:szCs w:val="15"/>
                <w:color w:val="auto"/>
              </w:rPr>
            </w:pPr>
          </w:p>
        </w:tc>
        <w:tc>
          <w:tcPr>
            <w:tcW w:w="240" w:type="dxa"/>
            <w:vAlign w:val="bottom"/>
            <w:tcBorders>
              <w:top w:val="single" w:sz="8" w:color="0000EE"/>
            </w:tcBorders>
            <w:shd w:val="clear" w:color="auto" w:fill="F3F6F7"/>
          </w:tcPr>
          <w:p>
            <w:pPr>
              <w:spacing w:after="0"/>
              <w:rPr>
                <w:sz w:val="15"/>
                <w:szCs w:val="15"/>
                <w:color w:val="auto"/>
              </w:rPr>
            </w:pPr>
          </w:p>
        </w:tc>
        <w:tc>
          <w:tcPr>
            <w:tcW w:w="120" w:type="dxa"/>
            <w:vAlign w:val="bottom"/>
            <w:tcBorders>
              <w:top w:val="single" w:sz="8" w:color="0000EE"/>
            </w:tcBorders>
            <w:shd w:val="clear" w:color="auto" w:fill="F3F6F7"/>
          </w:tcPr>
          <w:p>
            <w:pPr>
              <w:spacing w:after="0"/>
              <w:rPr>
                <w:sz w:val="15"/>
                <w:szCs w:val="15"/>
                <w:color w:val="auto"/>
              </w:rPr>
            </w:pPr>
          </w:p>
        </w:tc>
        <w:tc>
          <w:tcPr>
            <w:tcW w:w="660" w:type="dxa"/>
            <w:vAlign w:val="bottom"/>
            <w:tcBorders>
              <w:top w:val="single" w:sz="8" w:color="0000EE"/>
            </w:tcBorders>
            <w:shd w:val="clear" w:color="auto" w:fill="F3F6F7"/>
          </w:tcPr>
          <w:p>
            <w:pPr>
              <w:spacing w:after="0"/>
              <w:rPr>
                <w:sz w:val="15"/>
                <w:szCs w:val="15"/>
                <w:color w:val="auto"/>
              </w:rPr>
            </w:pPr>
          </w:p>
        </w:tc>
        <w:tc>
          <w:tcPr>
            <w:tcW w:w="240" w:type="dxa"/>
            <w:vAlign w:val="bottom"/>
            <w:tcBorders>
              <w:top w:val="single" w:sz="8" w:color="0000EE"/>
            </w:tcBorders>
            <w:shd w:val="clear" w:color="auto" w:fill="F3F6F7"/>
          </w:tcPr>
          <w:p>
            <w:pPr>
              <w:spacing w:after="0"/>
              <w:rPr>
                <w:sz w:val="15"/>
                <w:szCs w:val="15"/>
                <w:color w:val="auto"/>
              </w:rPr>
            </w:pPr>
          </w:p>
        </w:tc>
        <w:tc>
          <w:tcPr>
            <w:tcW w:w="400" w:type="dxa"/>
            <w:vAlign w:val="bottom"/>
            <w:tcBorders>
              <w:top w:val="single" w:sz="8" w:color="0000EE"/>
            </w:tcBorders>
            <w:shd w:val="clear" w:color="auto" w:fill="F3F6F7"/>
          </w:tcPr>
          <w:p>
            <w:pPr>
              <w:spacing w:after="0"/>
              <w:rPr>
                <w:sz w:val="15"/>
                <w:szCs w:val="15"/>
                <w:color w:val="auto"/>
              </w:rPr>
            </w:pPr>
          </w:p>
        </w:tc>
        <w:tc>
          <w:tcPr>
            <w:tcW w:w="180" w:type="dxa"/>
            <w:vAlign w:val="bottom"/>
            <w:tcBorders>
              <w:top w:val="single" w:sz="8" w:color="0000EE"/>
            </w:tcBorders>
            <w:shd w:val="clear" w:color="auto" w:fill="F3F6F7"/>
          </w:tcPr>
          <w:p>
            <w:pPr>
              <w:spacing w:after="0"/>
              <w:rPr>
                <w:sz w:val="15"/>
                <w:szCs w:val="15"/>
                <w:color w:val="auto"/>
              </w:rPr>
            </w:pPr>
          </w:p>
        </w:tc>
        <w:tc>
          <w:tcPr>
            <w:tcW w:w="220" w:type="dxa"/>
            <w:vAlign w:val="bottom"/>
            <w:tcBorders>
              <w:top w:val="single" w:sz="8" w:color="0000EE"/>
            </w:tcBorders>
            <w:shd w:val="clear" w:color="auto" w:fill="F3F6F7"/>
          </w:tcPr>
          <w:p>
            <w:pPr>
              <w:spacing w:after="0"/>
              <w:rPr>
                <w:sz w:val="15"/>
                <w:szCs w:val="15"/>
                <w:color w:val="auto"/>
              </w:rPr>
            </w:pPr>
          </w:p>
        </w:tc>
        <w:tc>
          <w:tcPr>
            <w:tcW w:w="280" w:type="dxa"/>
            <w:vAlign w:val="bottom"/>
            <w:tcBorders>
              <w:top w:val="single" w:sz="8" w:color="0000EE"/>
            </w:tcBorders>
            <w:shd w:val="clear" w:color="auto" w:fill="F3F6F7"/>
          </w:tcPr>
          <w:p>
            <w:pPr>
              <w:spacing w:after="0"/>
              <w:rPr>
                <w:sz w:val="15"/>
                <w:szCs w:val="15"/>
                <w:color w:val="auto"/>
              </w:rPr>
            </w:pPr>
          </w:p>
        </w:tc>
        <w:tc>
          <w:tcPr>
            <w:tcW w:w="140" w:type="dxa"/>
            <w:vAlign w:val="bottom"/>
            <w:tcBorders>
              <w:top w:val="single" w:sz="8" w:color="0000EE"/>
            </w:tcBorders>
            <w:shd w:val="clear" w:color="auto" w:fill="F3F6F7"/>
          </w:tcPr>
          <w:p>
            <w:pPr>
              <w:spacing w:after="0"/>
              <w:rPr>
                <w:sz w:val="15"/>
                <w:szCs w:val="15"/>
                <w:color w:val="auto"/>
              </w:rPr>
            </w:pPr>
          </w:p>
        </w:tc>
        <w:tc>
          <w:tcPr>
            <w:tcW w:w="140" w:type="dxa"/>
            <w:vAlign w:val="bottom"/>
            <w:tcBorders>
              <w:top w:val="single" w:sz="8" w:color="0000EE"/>
            </w:tcBorders>
            <w:shd w:val="clear" w:color="auto" w:fill="F3F6F7"/>
          </w:tcPr>
          <w:p>
            <w:pPr>
              <w:spacing w:after="0"/>
              <w:rPr>
                <w:sz w:val="15"/>
                <w:szCs w:val="15"/>
                <w:color w:val="auto"/>
              </w:rPr>
            </w:pPr>
          </w:p>
        </w:tc>
        <w:tc>
          <w:tcPr>
            <w:tcW w:w="520" w:type="dxa"/>
            <w:vAlign w:val="bottom"/>
            <w:tcBorders>
              <w:top w:val="single" w:sz="8" w:color="0000EE"/>
            </w:tcBorders>
            <w:shd w:val="clear" w:color="auto" w:fill="F3F6F7"/>
          </w:tcPr>
          <w:p>
            <w:pPr>
              <w:spacing w:after="0"/>
              <w:rPr>
                <w:sz w:val="15"/>
                <w:szCs w:val="15"/>
                <w:color w:val="auto"/>
              </w:rPr>
            </w:pPr>
          </w:p>
        </w:tc>
        <w:tc>
          <w:tcPr>
            <w:tcW w:w="280" w:type="dxa"/>
            <w:vAlign w:val="bottom"/>
            <w:tcBorders>
              <w:top w:val="single" w:sz="8" w:color="0000EE"/>
            </w:tcBorders>
            <w:shd w:val="clear" w:color="auto" w:fill="F3F6F7"/>
          </w:tcPr>
          <w:p>
            <w:pPr>
              <w:spacing w:after="0"/>
              <w:rPr>
                <w:sz w:val="15"/>
                <w:szCs w:val="15"/>
                <w:color w:val="auto"/>
              </w:rPr>
            </w:pPr>
          </w:p>
        </w:tc>
        <w:tc>
          <w:tcPr>
            <w:tcW w:w="100" w:type="dxa"/>
            <w:vAlign w:val="bottom"/>
            <w:tcBorders>
              <w:top w:val="single" w:sz="8" w:color="0000EE"/>
            </w:tcBorders>
            <w:shd w:val="clear" w:color="auto" w:fill="F3F6F7"/>
          </w:tcPr>
          <w:p>
            <w:pPr>
              <w:spacing w:after="0"/>
              <w:rPr>
                <w:sz w:val="15"/>
                <w:szCs w:val="15"/>
                <w:color w:val="auto"/>
              </w:rPr>
            </w:pPr>
          </w:p>
        </w:tc>
        <w:tc>
          <w:tcPr>
            <w:tcW w:w="80" w:type="dxa"/>
            <w:vAlign w:val="bottom"/>
            <w:tcBorders>
              <w:top w:val="single" w:sz="8" w:color="0000EE"/>
            </w:tcBorders>
            <w:shd w:val="clear" w:color="auto" w:fill="F3F6F7"/>
          </w:tcPr>
          <w:p>
            <w:pPr>
              <w:spacing w:after="0"/>
              <w:rPr>
                <w:sz w:val="15"/>
                <w:szCs w:val="15"/>
                <w:color w:val="auto"/>
              </w:rPr>
            </w:pPr>
          </w:p>
        </w:tc>
        <w:tc>
          <w:tcPr>
            <w:tcW w:w="80" w:type="dxa"/>
            <w:vAlign w:val="bottom"/>
            <w:tcBorders>
              <w:top w:val="single" w:sz="8" w:color="0000EE"/>
            </w:tcBorders>
            <w:shd w:val="clear" w:color="auto" w:fill="F3F6F7"/>
          </w:tcPr>
          <w:p>
            <w:pPr>
              <w:spacing w:after="0"/>
              <w:rPr>
                <w:sz w:val="15"/>
                <w:szCs w:val="15"/>
                <w:color w:val="auto"/>
              </w:rPr>
            </w:pPr>
          </w:p>
        </w:tc>
        <w:tc>
          <w:tcPr>
            <w:tcW w:w="180" w:type="dxa"/>
            <w:vAlign w:val="bottom"/>
            <w:tcBorders>
              <w:top w:val="single" w:sz="8" w:color="F3F6F7"/>
            </w:tcBorders>
            <w:shd w:val="clear" w:color="auto" w:fill="F3F6F7"/>
          </w:tcPr>
          <w:p>
            <w:pPr>
              <w:spacing w:after="0"/>
              <w:rPr>
                <w:sz w:val="15"/>
                <w:szCs w:val="15"/>
                <w:color w:val="auto"/>
              </w:rPr>
            </w:pPr>
          </w:p>
        </w:tc>
        <w:tc>
          <w:tcPr>
            <w:tcW w:w="120" w:type="dxa"/>
            <w:vAlign w:val="bottom"/>
            <w:tcBorders>
              <w:top w:val="single" w:sz="8" w:color="F3F6F7"/>
            </w:tcBorders>
            <w:shd w:val="clear" w:color="auto" w:fill="F3F6F7"/>
          </w:tcPr>
          <w:p>
            <w:pPr>
              <w:spacing w:after="0"/>
              <w:rPr>
                <w:sz w:val="15"/>
                <w:szCs w:val="15"/>
                <w:color w:val="auto"/>
              </w:rPr>
            </w:pPr>
          </w:p>
        </w:tc>
        <w:tc>
          <w:tcPr>
            <w:tcW w:w="180" w:type="dxa"/>
            <w:vAlign w:val="bottom"/>
            <w:tcBorders>
              <w:top w:val="single" w:sz="8" w:color="F3F6F7"/>
            </w:tcBorders>
            <w:shd w:val="clear" w:color="auto" w:fill="F3F6F7"/>
          </w:tcPr>
          <w:p>
            <w:pPr>
              <w:spacing w:after="0"/>
              <w:rPr>
                <w:sz w:val="15"/>
                <w:szCs w:val="15"/>
                <w:color w:val="auto"/>
              </w:rPr>
            </w:pPr>
          </w:p>
        </w:tc>
        <w:tc>
          <w:tcPr>
            <w:tcW w:w="160" w:type="dxa"/>
            <w:vAlign w:val="bottom"/>
            <w:tcBorders>
              <w:top w:val="single" w:sz="8" w:color="F3F6F7"/>
            </w:tcBorders>
            <w:shd w:val="clear" w:color="auto" w:fill="F3F6F7"/>
          </w:tcPr>
          <w:p>
            <w:pPr>
              <w:spacing w:after="0"/>
              <w:rPr>
                <w:sz w:val="15"/>
                <w:szCs w:val="15"/>
                <w:color w:val="auto"/>
              </w:rPr>
            </w:pPr>
          </w:p>
        </w:tc>
        <w:tc>
          <w:tcPr>
            <w:tcW w:w="660" w:type="dxa"/>
            <w:vAlign w:val="bottom"/>
            <w:tcBorders>
              <w:top w:val="single" w:sz="8" w:color="F3F6F7"/>
            </w:tcBorders>
            <w:vMerge w:val="continue"/>
            <w:shd w:val="clear" w:color="auto" w:fill="F3F6F7"/>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40" w:type="dxa"/>
            <w:vAlign w:val="bottom"/>
            <w:tcBorders>
              <w:right w:val="single" w:sz="8" w:color="F3F6F7"/>
            </w:tcBorders>
            <w:shd w:val="clear" w:color="auto" w:fill="0000EE"/>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260" w:type="dxa"/>
            <w:vAlign w:val="bottom"/>
            <w:shd w:val="clear" w:color="auto" w:fill="F3F6F7"/>
          </w:tcPr>
          <w:p>
            <w:pPr>
              <w:spacing w:after="0" w:line="20" w:lineRule="exact"/>
              <w:rPr>
                <w:sz w:val="1"/>
                <w:szCs w:val="1"/>
                <w:color w:val="auto"/>
              </w:rPr>
            </w:pPr>
          </w:p>
        </w:tc>
        <w:tc>
          <w:tcPr>
            <w:tcW w:w="220" w:type="dxa"/>
            <w:vAlign w:val="bottom"/>
            <w:tcBorders>
              <w:right w:val="single" w:sz="8" w:color="F3F6F7"/>
            </w:tcBorders>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6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90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0" w:type="dxa"/>
            <w:vAlign w:val="bottom"/>
            <w:shd w:val="clear" w:color="auto" w:fill="F3F6F7"/>
          </w:tcPr>
          <w:p>
            <w:pPr>
              <w:spacing w:after="0" w:line="20" w:lineRule="exact"/>
              <w:rPr>
                <w:sz w:val="1"/>
                <w:szCs w:val="1"/>
                <w:color w:val="auto"/>
              </w:rPr>
            </w:pPr>
          </w:p>
        </w:tc>
        <w:tc>
          <w:tcPr>
            <w:tcW w:w="3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40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66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40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220" w:type="dxa"/>
            <w:vAlign w:val="bottom"/>
            <w:shd w:val="clear" w:color="auto" w:fill="F3F6F7"/>
          </w:tcPr>
          <w:p>
            <w:pPr>
              <w:spacing w:after="0" w:line="20" w:lineRule="exact"/>
              <w:rPr>
                <w:sz w:val="1"/>
                <w:szCs w:val="1"/>
                <w:color w:val="auto"/>
              </w:rPr>
            </w:pPr>
          </w:p>
        </w:tc>
        <w:tc>
          <w:tcPr>
            <w:tcW w:w="28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520" w:type="dxa"/>
            <w:vAlign w:val="bottom"/>
            <w:shd w:val="clear" w:color="auto" w:fill="F3F6F7"/>
          </w:tcPr>
          <w:p>
            <w:pPr>
              <w:spacing w:after="0" w:line="20" w:lineRule="exact"/>
              <w:rPr>
                <w:sz w:val="1"/>
                <w:szCs w:val="1"/>
                <w:color w:val="auto"/>
              </w:rPr>
            </w:pPr>
          </w:p>
        </w:tc>
        <w:tc>
          <w:tcPr>
            <w:tcW w:w="2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60" w:type="dxa"/>
            <w:vAlign w:val="bottom"/>
            <w:shd w:val="clear" w:color="auto" w:fill="F3F6F7"/>
          </w:tcPr>
          <w:p>
            <w:pPr>
              <w:spacing w:after="0" w:line="20" w:lineRule="exact"/>
              <w:rPr>
                <w:sz w:val="1"/>
                <w:szCs w:val="1"/>
                <w:color w:val="auto"/>
              </w:rPr>
            </w:pPr>
          </w:p>
        </w:tc>
        <w:tc>
          <w:tcPr>
            <w:tcW w:w="66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120" w:type="dxa"/>
            <w:vAlign w:val="bottom"/>
            <w:tcBorders>
              <w:bottom w:val="single" w:sz="8" w:color="F3F6F7"/>
            </w:tcBorders>
            <w:shd w:val="clear" w:color="auto" w:fill="F3F6F7"/>
          </w:tcPr>
          <w:p>
            <w:pPr>
              <w:spacing w:after="0"/>
              <w:rPr>
                <w:sz w:val="24"/>
                <w:szCs w:val="24"/>
                <w:color w:val="auto"/>
              </w:rPr>
            </w:pPr>
          </w:p>
        </w:tc>
        <w:tc>
          <w:tcPr>
            <w:tcW w:w="1880" w:type="dxa"/>
            <w:vAlign w:val="bottom"/>
            <w:tcBorders>
              <w:bottom w:val="single" w:sz="8" w:color="0000EE"/>
            </w:tcBorders>
            <w:gridSpan w:val="8"/>
            <w:shd w:val="clear" w:color="auto" w:fill="F3F6F7"/>
          </w:tcPr>
          <w:p>
            <w:pPr>
              <w:spacing w:after="0"/>
              <w:rPr>
                <w:sz w:val="20"/>
                <w:szCs w:val="20"/>
                <w:color w:val="auto"/>
              </w:rPr>
            </w:pPr>
            <w:r>
              <w:rPr>
                <w:rFonts w:ascii="Arial" w:cs="Arial" w:eastAsia="Arial" w:hAnsi="Arial"/>
                <w:sz w:val="13"/>
                <w:szCs w:val="13"/>
                <w:b w:val="1"/>
                <w:bCs w:val="1"/>
                <w:color w:val="0000EE"/>
              </w:rPr>
              <w:t>EXECUTIVE COMPENSATION</w:t>
            </w:r>
          </w:p>
        </w:tc>
        <w:tc>
          <w:tcPr>
            <w:tcW w:w="2080" w:type="dxa"/>
            <w:vAlign w:val="bottom"/>
            <w:tcBorders>
              <w:bottom w:val="single" w:sz="8" w:color="F3F6F7"/>
            </w:tcBorders>
            <w:gridSpan w:val="10"/>
            <w:shd w:val="clear" w:color="auto" w:fill="F3F6F7"/>
          </w:tcPr>
          <w:p>
            <w:pPr>
              <w:spacing w:after="0"/>
              <w:rPr>
                <w:sz w:val="24"/>
                <w:szCs w:val="24"/>
                <w:color w:val="auto"/>
              </w:rPr>
            </w:pPr>
          </w:p>
        </w:tc>
        <w:tc>
          <w:tcPr>
            <w:tcW w:w="140" w:type="dxa"/>
            <w:vAlign w:val="bottom"/>
            <w:tcBorders>
              <w:bottom w:val="single" w:sz="8" w:color="F3F6F7"/>
            </w:tcBorders>
            <w:shd w:val="clear" w:color="auto" w:fill="F3F6F7"/>
          </w:tcPr>
          <w:p>
            <w:pPr>
              <w:spacing w:after="0"/>
              <w:rPr>
                <w:sz w:val="24"/>
                <w:szCs w:val="24"/>
                <w:color w:val="auto"/>
              </w:rPr>
            </w:pPr>
          </w:p>
        </w:tc>
        <w:tc>
          <w:tcPr>
            <w:tcW w:w="240" w:type="dxa"/>
            <w:vAlign w:val="bottom"/>
            <w:tcBorders>
              <w:bottom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400" w:type="dxa"/>
            <w:vAlign w:val="bottom"/>
            <w:tcBorders>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20</w:t>
            </w:r>
          </w:p>
        </w:tc>
        <w:tc>
          <w:tcPr>
            <w:tcW w:w="240" w:type="dxa"/>
            <w:vAlign w:val="bottom"/>
            <w:tcBorders>
              <w:bottom w:val="single" w:sz="8" w:color="F3F6F7"/>
            </w:tcBorders>
            <w:shd w:val="clear" w:color="auto" w:fill="F3F6F7"/>
          </w:tcPr>
          <w:p>
            <w:pPr>
              <w:spacing w:after="0"/>
              <w:rPr>
                <w:sz w:val="24"/>
                <w:szCs w:val="24"/>
                <w:color w:val="auto"/>
              </w:rPr>
            </w:pPr>
          </w:p>
        </w:tc>
        <w:tc>
          <w:tcPr>
            <w:tcW w:w="120" w:type="dxa"/>
            <w:vAlign w:val="bottom"/>
            <w:tcBorders>
              <w:bottom w:val="single" w:sz="8" w:color="F3F6F7"/>
            </w:tcBorders>
            <w:shd w:val="clear" w:color="auto" w:fill="F3F6F7"/>
          </w:tcPr>
          <w:p>
            <w:pPr>
              <w:spacing w:after="0"/>
              <w:rPr>
                <w:sz w:val="24"/>
                <w:szCs w:val="24"/>
                <w:color w:val="auto"/>
              </w:rPr>
            </w:pPr>
          </w:p>
        </w:tc>
        <w:tc>
          <w:tcPr>
            <w:tcW w:w="660" w:type="dxa"/>
            <w:vAlign w:val="bottom"/>
            <w:tcBorders>
              <w:bottom w:val="single" w:sz="8" w:color="F3F6F7"/>
            </w:tcBorders>
            <w:shd w:val="clear" w:color="auto" w:fill="F3F6F7"/>
          </w:tcPr>
          <w:p>
            <w:pPr>
              <w:spacing w:after="0"/>
              <w:rPr>
                <w:sz w:val="24"/>
                <w:szCs w:val="24"/>
                <w:color w:val="auto"/>
              </w:rPr>
            </w:pPr>
          </w:p>
        </w:tc>
        <w:tc>
          <w:tcPr>
            <w:tcW w:w="240" w:type="dxa"/>
            <w:vAlign w:val="bottom"/>
            <w:tcBorders>
              <w:bottom w:val="single" w:sz="8" w:color="F3F6F7"/>
            </w:tcBorders>
            <w:shd w:val="clear" w:color="auto" w:fill="F3F6F7"/>
          </w:tcPr>
          <w:p>
            <w:pPr>
              <w:spacing w:after="0"/>
              <w:rPr>
                <w:sz w:val="24"/>
                <w:szCs w:val="24"/>
                <w:color w:val="auto"/>
              </w:rPr>
            </w:pPr>
          </w:p>
        </w:tc>
        <w:tc>
          <w:tcPr>
            <w:tcW w:w="400" w:type="dxa"/>
            <w:vAlign w:val="bottom"/>
            <w:tcBorders>
              <w:bottom w:val="single" w:sz="8" w:color="F3F6F7"/>
            </w:tcBorders>
            <w:shd w:val="clear" w:color="auto" w:fill="F3F6F7"/>
          </w:tcPr>
          <w:p>
            <w:pPr>
              <w:spacing w:after="0"/>
              <w:rPr>
                <w:sz w:val="24"/>
                <w:szCs w:val="24"/>
                <w:color w:val="auto"/>
              </w:rPr>
            </w:pPr>
          </w:p>
        </w:tc>
        <w:tc>
          <w:tcPr>
            <w:tcW w:w="180" w:type="dxa"/>
            <w:vAlign w:val="bottom"/>
            <w:tcBorders>
              <w:bottom w:val="single" w:sz="8" w:color="F3F6F7"/>
            </w:tcBorders>
            <w:shd w:val="clear" w:color="auto" w:fill="F3F6F7"/>
          </w:tcPr>
          <w:p>
            <w:pPr>
              <w:spacing w:after="0"/>
              <w:rPr>
                <w:sz w:val="24"/>
                <w:szCs w:val="24"/>
                <w:color w:val="auto"/>
              </w:rPr>
            </w:pPr>
          </w:p>
        </w:tc>
        <w:tc>
          <w:tcPr>
            <w:tcW w:w="220" w:type="dxa"/>
            <w:vAlign w:val="bottom"/>
            <w:tcBorders>
              <w:bottom w:val="single" w:sz="8" w:color="F3F6F7"/>
            </w:tcBorders>
            <w:shd w:val="clear" w:color="auto" w:fill="F3F6F7"/>
          </w:tcPr>
          <w:p>
            <w:pPr>
              <w:spacing w:after="0"/>
              <w:rPr>
                <w:sz w:val="24"/>
                <w:szCs w:val="24"/>
                <w:color w:val="auto"/>
              </w:rPr>
            </w:pPr>
          </w:p>
        </w:tc>
        <w:tc>
          <w:tcPr>
            <w:tcW w:w="280" w:type="dxa"/>
            <w:vAlign w:val="bottom"/>
            <w:tcBorders>
              <w:bottom w:val="single" w:sz="8" w:color="F3F6F7"/>
            </w:tcBorders>
            <w:shd w:val="clear" w:color="auto" w:fill="F3F6F7"/>
          </w:tcPr>
          <w:p>
            <w:pPr>
              <w:spacing w:after="0"/>
              <w:rPr>
                <w:sz w:val="24"/>
                <w:szCs w:val="24"/>
                <w:color w:val="auto"/>
              </w:rPr>
            </w:pPr>
          </w:p>
        </w:tc>
        <w:tc>
          <w:tcPr>
            <w:tcW w:w="140" w:type="dxa"/>
            <w:vAlign w:val="bottom"/>
            <w:tcBorders>
              <w:bottom w:val="single" w:sz="8" w:color="F3F6F7"/>
            </w:tcBorders>
            <w:shd w:val="clear" w:color="auto" w:fill="F3F6F7"/>
          </w:tcPr>
          <w:p>
            <w:pPr>
              <w:spacing w:after="0"/>
              <w:rPr>
                <w:sz w:val="24"/>
                <w:szCs w:val="24"/>
                <w:color w:val="auto"/>
              </w:rPr>
            </w:pPr>
          </w:p>
        </w:tc>
        <w:tc>
          <w:tcPr>
            <w:tcW w:w="140" w:type="dxa"/>
            <w:vAlign w:val="bottom"/>
            <w:tcBorders>
              <w:bottom w:val="single" w:sz="8" w:color="F3F6F7"/>
            </w:tcBorders>
            <w:shd w:val="clear" w:color="auto" w:fill="F3F6F7"/>
          </w:tcPr>
          <w:p>
            <w:pPr>
              <w:spacing w:after="0"/>
              <w:rPr>
                <w:sz w:val="24"/>
                <w:szCs w:val="24"/>
                <w:color w:val="auto"/>
              </w:rPr>
            </w:pPr>
          </w:p>
        </w:tc>
        <w:tc>
          <w:tcPr>
            <w:tcW w:w="520" w:type="dxa"/>
            <w:vAlign w:val="bottom"/>
            <w:tcBorders>
              <w:bottom w:val="single" w:sz="8" w:color="F3F6F7"/>
            </w:tcBorders>
            <w:shd w:val="clear" w:color="auto" w:fill="F3F6F7"/>
          </w:tcPr>
          <w:p>
            <w:pPr>
              <w:spacing w:after="0"/>
              <w:rPr>
                <w:sz w:val="24"/>
                <w:szCs w:val="24"/>
                <w:color w:val="auto"/>
              </w:rPr>
            </w:pPr>
          </w:p>
        </w:tc>
        <w:tc>
          <w:tcPr>
            <w:tcW w:w="280" w:type="dxa"/>
            <w:vAlign w:val="bottom"/>
            <w:tcBorders>
              <w:bottom w:val="single" w:sz="8" w:color="F3F6F7"/>
            </w:tcBorders>
            <w:shd w:val="clear" w:color="auto" w:fill="F3F6F7"/>
          </w:tcPr>
          <w:p>
            <w:pPr>
              <w:spacing w:after="0"/>
              <w:rPr>
                <w:sz w:val="24"/>
                <w:szCs w:val="24"/>
                <w:color w:val="auto"/>
              </w:rPr>
            </w:pPr>
          </w:p>
        </w:tc>
        <w:tc>
          <w:tcPr>
            <w:tcW w:w="100" w:type="dxa"/>
            <w:vAlign w:val="bottom"/>
            <w:tcBorders>
              <w:bottom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180" w:type="dxa"/>
            <w:vAlign w:val="bottom"/>
            <w:tcBorders>
              <w:bottom w:val="single" w:sz="8" w:color="F3F6F7"/>
            </w:tcBorders>
            <w:shd w:val="clear" w:color="auto" w:fill="F3F6F7"/>
          </w:tcPr>
          <w:p>
            <w:pPr>
              <w:spacing w:after="0"/>
              <w:rPr>
                <w:sz w:val="24"/>
                <w:szCs w:val="24"/>
                <w:color w:val="auto"/>
              </w:rPr>
            </w:pPr>
          </w:p>
        </w:tc>
        <w:tc>
          <w:tcPr>
            <w:tcW w:w="120" w:type="dxa"/>
            <w:vAlign w:val="bottom"/>
            <w:tcBorders>
              <w:bottom w:val="single" w:sz="8" w:color="F3F6F7"/>
            </w:tcBorders>
            <w:shd w:val="clear" w:color="auto" w:fill="F3F6F7"/>
          </w:tcPr>
          <w:p>
            <w:pPr>
              <w:spacing w:after="0"/>
              <w:rPr>
                <w:sz w:val="24"/>
                <w:szCs w:val="24"/>
                <w:color w:val="auto"/>
              </w:rPr>
            </w:pPr>
          </w:p>
        </w:tc>
        <w:tc>
          <w:tcPr>
            <w:tcW w:w="180" w:type="dxa"/>
            <w:vAlign w:val="bottom"/>
            <w:tcBorders>
              <w:bottom w:val="single" w:sz="8" w:color="F3F6F7"/>
            </w:tcBorders>
            <w:shd w:val="clear" w:color="auto" w:fill="F3F6F7"/>
          </w:tcPr>
          <w:p>
            <w:pPr>
              <w:spacing w:after="0"/>
              <w:rPr>
                <w:sz w:val="24"/>
                <w:szCs w:val="24"/>
                <w:color w:val="auto"/>
              </w:rPr>
            </w:pPr>
          </w:p>
        </w:tc>
        <w:tc>
          <w:tcPr>
            <w:tcW w:w="160" w:type="dxa"/>
            <w:vAlign w:val="bottom"/>
            <w:tcBorders>
              <w:bottom w:val="single" w:sz="8" w:color="F3F6F7"/>
            </w:tcBorders>
            <w:shd w:val="clear" w:color="auto" w:fill="F3F6F7"/>
          </w:tcPr>
          <w:p>
            <w:pPr>
              <w:spacing w:after="0"/>
              <w:rPr>
                <w:sz w:val="24"/>
                <w:szCs w:val="24"/>
                <w:color w:val="auto"/>
              </w:rPr>
            </w:pPr>
          </w:p>
        </w:tc>
        <w:tc>
          <w:tcPr>
            <w:tcW w:w="660" w:type="dxa"/>
            <w:vAlign w:val="bottom"/>
            <w:tcBorders>
              <w:bottom w:val="single" w:sz="8" w:color="F3F6F7"/>
            </w:tcBorders>
            <w:shd w:val="clear" w:color="auto" w:fill="F3F6F7"/>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20" w:type="dxa"/>
            <w:vAlign w:val="bottom"/>
            <w:tcBorders>
              <w:bottom w:val="single" w:sz="8" w:color="F3F6F7"/>
            </w:tcBorders>
            <w:shd w:val="clear" w:color="auto" w:fill="F3F6F7"/>
          </w:tcPr>
          <w:p>
            <w:pPr>
              <w:spacing w:after="0"/>
              <w:rPr>
                <w:sz w:val="23"/>
                <w:szCs w:val="23"/>
                <w:color w:val="auto"/>
              </w:rPr>
            </w:pPr>
          </w:p>
        </w:tc>
        <w:tc>
          <w:tcPr>
            <w:tcW w:w="2340" w:type="dxa"/>
            <w:vAlign w:val="bottom"/>
            <w:tcBorders>
              <w:bottom w:val="single" w:sz="8" w:color="0000EE"/>
            </w:tcBorders>
            <w:gridSpan w:val="12"/>
            <w:shd w:val="clear" w:color="auto" w:fill="F3F6F7"/>
          </w:tcPr>
          <w:p>
            <w:pPr>
              <w:spacing w:after="0"/>
              <w:rPr>
                <w:sz w:val="20"/>
                <w:szCs w:val="20"/>
                <w:color w:val="auto"/>
              </w:rPr>
            </w:pPr>
            <w:r>
              <w:rPr>
                <w:rFonts w:ascii="Arial" w:cs="Arial" w:eastAsia="Arial" w:hAnsi="Arial"/>
                <w:sz w:val="13"/>
                <w:szCs w:val="13"/>
                <w:color w:val="0000EE"/>
              </w:rPr>
              <w:t>Compensation Discussion and Analysis</w:t>
            </w:r>
          </w:p>
        </w:tc>
        <w:tc>
          <w:tcPr>
            <w:tcW w:w="1620" w:type="dxa"/>
            <w:vAlign w:val="bottom"/>
            <w:tcBorders>
              <w:bottom w:val="single" w:sz="8" w:color="F3F6F7"/>
            </w:tcBorders>
            <w:gridSpan w:val="6"/>
            <w:shd w:val="clear" w:color="auto" w:fill="F3F6F7"/>
          </w:tcPr>
          <w:p>
            <w:pPr>
              <w:spacing w:after="0"/>
              <w:rPr>
                <w:sz w:val="23"/>
                <w:szCs w:val="23"/>
                <w:color w:val="auto"/>
              </w:rPr>
            </w:pPr>
          </w:p>
        </w:tc>
        <w:tc>
          <w:tcPr>
            <w:tcW w:w="140" w:type="dxa"/>
            <w:vAlign w:val="bottom"/>
            <w:tcBorders>
              <w:bottom w:val="single" w:sz="8" w:color="F3F6F7"/>
            </w:tcBorders>
            <w:shd w:val="clear" w:color="auto" w:fill="F3F6F7"/>
          </w:tcPr>
          <w:p>
            <w:pPr>
              <w:spacing w:after="0"/>
              <w:rPr>
                <w:sz w:val="23"/>
                <w:szCs w:val="23"/>
                <w:color w:val="auto"/>
              </w:rPr>
            </w:pPr>
          </w:p>
        </w:tc>
        <w:tc>
          <w:tcPr>
            <w:tcW w:w="240" w:type="dxa"/>
            <w:vAlign w:val="bottom"/>
            <w:tcBorders>
              <w:bottom w:val="single" w:sz="8" w:color="F3F6F7"/>
            </w:tcBorders>
            <w:shd w:val="clear" w:color="auto" w:fill="F3F6F7"/>
          </w:tcPr>
          <w:p>
            <w:pPr>
              <w:spacing w:after="0"/>
              <w:rPr>
                <w:sz w:val="23"/>
                <w:szCs w:val="23"/>
                <w:color w:val="auto"/>
              </w:rPr>
            </w:pPr>
          </w:p>
        </w:tc>
        <w:tc>
          <w:tcPr>
            <w:tcW w:w="80" w:type="dxa"/>
            <w:vAlign w:val="bottom"/>
            <w:tcBorders>
              <w:bottom w:val="single" w:sz="8" w:color="F3F6F7"/>
            </w:tcBorders>
            <w:shd w:val="clear" w:color="auto" w:fill="F3F6F7"/>
          </w:tcPr>
          <w:p>
            <w:pPr>
              <w:spacing w:after="0"/>
              <w:rPr>
                <w:sz w:val="23"/>
                <w:szCs w:val="23"/>
                <w:color w:val="auto"/>
              </w:rPr>
            </w:pPr>
          </w:p>
        </w:tc>
        <w:tc>
          <w:tcPr>
            <w:tcW w:w="400" w:type="dxa"/>
            <w:vAlign w:val="bottom"/>
            <w:tcBorders>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20</w:t>
            </w:r>
          </w:p>
        </w:tc>
        <w:tc>
          <w:tcPr>
            <w:tcW w:w="240" w:type="dxa"/>
            <w:vAlign w:val="bottom"/>
            <w:tcBorders>
              <w:bottom w:val="single" w:sz="8" w:color="F3F6F7"/>
            </w:tcBorders>
            <w:shd w:val="clear" w:color="auto" w:fill="F3F6F7"/>
          </w:tcPr>
          <w:p>
            <w:pPr>
              <w:spacing w:after="0"/>
              <w:rPr>
                <w:sz w:val="23"/>
                <w:szCs w:val="23"/>
                <w:color w:val="auto"/>
              </w:rPr>
            </w:pPr>
          </w:p>
        </w:tc>
        <w:tc>
          <w:tcPr>
            <w:tcW w:w="120" w:type="dxa"/>
            <w:vAlign w:val="bottom"/>
            <w:tcBorders>
              <w:bottom w:val="single" w:sz="8" w:color="F3F6F7"/>
            </w:tcBorders>
            <w:shd w:val="clear" w:color="auto" w:fill="F3F6F7"/>
          </w:tcPr>
          <w:p>
            <w:pPr>
              <w:spacing w:after="0"/>
              <w:rPr>
                <w:sz w:val="23"/>
                <w:szCs w:val="23"/>
                <w:color w:val="auto"/>
              </w:rPr>
            </w:pPr>
          </w:p>
        </w:tc>
        <w:tc>
          <w:tcPr>
            <w:tcW w:w="2780" w:type="dxa"/>
            <w:vAlign w:val="bottom"/>
            <w:tcBorders>
              <w:bottom w:val="single" w:sz="8" w:color="0000EE"/>
            </w:tcBorders>
            <w:gridSpan w:val="9"/>
            <w:shd w:val="clear" w:color="auto" w:fill="F3F6F7"/>
          </w:tcPr>
          <w:p>
            <w:pPr>
              <w:spacing w:after="0"/>
              <w:rPr>
                <w:sz w:val="20"/>
                <w:szCs w:val="20"/>
                <w:color w:val="auto"/>
              </w:rPr>
            </w:pPr>
            <w:r>
              <w:rPr>
                <w:rFonts w:ascii="Arial" w:cs="Arial" w:eastAsia="Arial" w:hAnsi="Arial"/>
                <w:sz w:val="13"/>
                <w:szCs w:val="13"/>
                <w:color w:val="0000EE"/>
              </w:rPr>
              <w:t>2023 Option Exercises and Stock Vested Table</w:t>
            </w:r>
          </w:p>
        </w:tc>
        <w:tc>
          <w:tcPr>
            <w:tcW w:w="1180" w:type="dxa"/>
            <w:vAlign w:val="bottom"/>
            <w:tcBorders>
              <w:bottom w:val="single" w:sz="8" w:color="F3F6F7"/>
            </w:tcBorders>
            <w:gridSpan w:val="8"/>
            <w:shd w:val="clear" w:color="auto" w:fill="F3F6F7"/>
          </w:tcPr>
          <w:p>
            <w:pPr>
              <w:spacing w:after="0"/>
              <w:rPr>
                <w:sz w:val="23"/>
                <w:szCs w:val="23"/>
                <w:color w:val="auto"/>
              </w:rPr>
            </w:pPr>
          </w:p>
        </w:tc>
        <w:tc>
          <w:tcPr>
            <w:tcW w:w="660" w:type="dxa"/>
            <w:vAlign w:val="bottom"/>
            <w:tcBorders>
              <w:bottom w:val="single" w:sz="8" w:color="F3F6F7"/>
            </w:tcBorders>
            <w:shd w:val="clear" w:color="auto" w:fill="F3F6F7"/>
          </w:tcPr>
          <w:p>
            <w:pPr>
              <w:jc w:val="right"/>
              <w:ind w:right="42"/>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1980" w:type="dxa"/>
            <w:vAlign w:val="bottom"/>
            <w:gridSpan w:val="9"/>
            <w:shd w:val="clear" w:color="auto" w:fill="F3F6F7"/>
          </w:tcPr>
          <w:p>
            <w:pPr>
              <w:spacing w:after="0"/>
              <w:rPr>
                <w:sz w:val="20"/>
                <w:szCs w:val="20"/>
                <w:color w:val="auto"/>
              </w:rPr>
            </w:pPr>
            <w:r>
              <w:rPr>
                <w:rFonts w:ascii="Arial" w:cs="Arial" w:eastAsia="Arial" w:hAnsi="Arial"/>
                <w:sz w:val="13"/>
                <w:szCs w:val="13"/>
                <w:color w:val="0000EE"/>
              </w:rPr>
              <w:t>Compensation Committee Report</w:t>
            </w:r>
          </w:p>
        </w:tc>
        <w:tc>
          <w:tcPr>
            <w:tcW w:w="1980" w:type="dxa"/>
            <w:vAlign w:val="bottom"/>
            <w:gridSpan w:val="9"/>
            <w:shd w:val="clear" w:color="auto" w:fill="F3F6F7"/>
          </w:tcPr>
          <w:p>
            <w:pPr>
              <w:spacing w:after="0"/>
              <w:rPr>
                <w:sz w:val="23"/>
                <w:szCs w:val="23"/>
                <w:color w:val="auto"/>
              </w:rPr>
            </w:pPr>
          </w:p>
        </w:tc>
        <w:tc>
          <w:tcPr>
            <w:tcW w:w="140" w:type="dxa"/>
            <w:vAlign w:val="bottom"/>
            <w:shd w:val="clear" w:color="auto" w:fill="F3F6F7"/>
          </w:tcPr>
          <w:p>
            <w:pPr>
              <w:spacing w:after="0"/>
              <w:rPr>
                <w:sz w:val="23"/>
                <w:szCs w:val="23"/>
                <w:color w:val="auto"/>
              </w:rPr>
            </w:pPr>
          </w:p>
        </w:tc>
        <w:tc>
          <w:tcPr>
            <w:tcW w:w="24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33</w:t>
            </w:r>
          </w:p>
        </w:tc>
        <w:tc>
          <w:tcPr>
            <w:tcW w:w="240" w:type="dxa"/>
            <w:vAlign w:val="bottom"/>
            <w:shd w:val="clear" w:color="auto" w:fill="F3F6F7"/>
          </w:tcPr>
          <w:p>
            <w:pPr>
              <w:spacing w:after="0"/>
              <w:rPr>
                <w:sz w:val="23"/>
                <w:szCs w:val="23"/>
                <w:color w:val="auto"/>
              </w:rPr>
            </w:pPr>
          </w:p>
        </w:tc>
        <w:tc>
          <w:tcPr>
            <w:tcW w:w="120" w:type="dxa"/>
            <w:vAlign w:val="bottom"/>
            <w:shd w:val="clear" w:color="auto" w:fill="F3F6F7"/>
          </w:tcPr>
          <w:p>
            <w:pPr>
              <w:spacing w:after="0"/>
              <w:rPr>
                <w:sz w:val="23"/>
                <w:szCs w:val="23"/>
                <w:color w:val="auto"/>
              </w:rPr>
            </w:pPr>
          </w:p>
        </w:tc>
        <w:tc>
          <w:tcPr>
            <w:tcW w:w="3960" w:type="dxa"/>
            <w:vAlign w:val="bottom"/>
            <w:gridSpan w:val="17"/>
            <w:shd w:val="clear" w:color="auto" w:fill="F3F6F7"/>
          </w:tcPr>
          <w:p>
            <w:pPr>
              <w:spacing w:after="0"/>
              <w:rPr>
                <w:sz w:val="20"/>
                <w:szCs w:val="20"/>
                <w:color w:val="auto"/>
              </w:rPr>
            </w:pPr>
            <w:r>
              <w:rPr>
                <w:rFonts w:ascii="Arial" w:cs="Arial" w:eastAsia="Arial" w:hAnsi="Arial"/>
                <w:sz w:val="13"/>
                <w:szCs w:val="13"/>
                <w:color w:val="0000EE"/>
              </w:rPr>
              <w:t>Potential Payments Upon Termination or Change in Control</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260" w:type="dxa"/>
            <w:vAlign w:val="bottom"/>
            <w:gridSpan w:val="4"/>
            <w:shd w:val="clear" w:color="auto" w:fill="F3F6F7"/>
          </w:tcPr>
          <w:p>
            <w:pPr>
              <w:spacing w:after="0" w:line="20" w:lineRule="exact"/>
              <w:rPr>
                <w:sz w:val="1"/>
                <w:szCs w:val="1"/>
                <w:color w:val="auto"/>
              </w:rPr>
            </w:pPr>
          </w:p>
        </w:tc>
        <w:tc>
          <w:tcPr>
            <w:tcW w:w="200" w:type="dxa"/>
            <w:vAlign w:val="bottom"/>
            <w:gridSpan w:val="2"/>
            <w:shd w:val="clear" w:color="auto" w:fill="F3F6F7"/>
          </w:tcPr>
          <w:p>
            <w:pPr>
              <w:spacing w:after="0" w:line="20" w:lineRule="exact"/>
              <w:rPr>
                <w:sz w:val="1"/>
                <w:szCs w:val="1"/>
                <w:color w:val="auto"/>
              </w:rPr>
            </w:pPr>
          </w:p>
        </w:tc>
        <w:tc>
          <w:tcPr>
            <w:tcW w:w="3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40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60" w:type="dxa"/>
            <w:vAlign w:val="bottom"/>
            <w:shd w:val="clear" w:color="auto" w:fill="F3F6F7"/>
          </w:tcPr>
          <w:p>
            <w:pPr>
              <w:spacing w:after="0" w:line="20" w:lineRule="exact"/>
              <w:rPr>
                <w:sz w:val="1"/>
                <w:szCs w:val="1"/>
                <w:color w:val="auto"/>
              </w:rPr>
            </w:pPr>
          </w:p>
        </w:tc>
        <w:tc>
          <w:tcPr>
            <w:tcW w:w="66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20" w:type="dxa"/>
            <w:vAlign w:val="bottom"/>
            <w:tcBorders>
              <w:bottom w:val="single" w:sz="8" w:color="F3F6F7"/>
            </w:tcBorders>
            <w:shd w:val="clear" w:color="auto" w:fill="F3F6F7"/>
          </w:tcPr>
          <w:p>
            <w:pPr>
              <w:spacing w:after="0"/>
              <w:rPr>
                <w:sz w:val="23"/>
                <w:szCs w:val="23"/>
                <w:color w:val="auto"/>
              </w:rPr>
            </w:pPr>
          </w:p>
        </w:tc>
        <w:tc>
          <w:tcPr>
            <w:tcW w:w="2160" w:type="dxa"/>
            <w:vAlign w:val="bottom"/>
            <w:tcBorders>
              <w:bottom w:val="single" w:sz="8" w:color="0000EE"/>
            </w:tcBorders>
            <w:gridSpan w:val="11"/>
            <w:shd w:val="clear" w:color="auto" w:fill="F3F6F7"/>
          </w:tcPr>
          <w:p>
            <w:pPr>
              <w:spacing w:after="0"/>
              <w:rPr>
                <w:sz w:val="20"/>
                <w:szCs w:val="20"/>
                <w:color w:val="auto"/>
              </w:rPr>
            </w:pPr>
            <w:r>
              <w:rPr>
                <w:rFonts w:ascii="Arial" w:cs="Arial" w:eastAsia="Arial" w:hAnsi="Arial"/>
                <w:sz w:val="13"/>
                <w:szCs w:val="13"/>
                <w:color w:val="0000EE"/>
              </w:rPr>
              <w:t>2023 Summary Compensation Table</w:t>
            </w:r>
          </w:p>
        </w:tc>
        <w:tc>
          <w:tcPr>
            <w:tcW w:w="1800" w:type="dxa"/>
            <w:vAlign w:val="bottom"/>
            <w:tcBorders>
              <w:bottom w:val="single" w:sz="8" w:color="F3F6F7"/>
            </w:tcBorders>
            <w:gridSpan w:val="7"/>
            <w:shd w:val="clear" w:color="auto" w:fill="F3F6F7"/>
          </w:tcPr>
          <w:p>
            <w:pPr>
              <w:spacing w:after="0"/>
              <w:rPr>
                <w:sz w:val="23"/>
                <w:szCs w:val="23"/>
                <w:color w:val="auto"/>
              </w:rPr>
            </w:pPr>
          </w:p>
        </w:tc>
        <w:tc>
          <w:tcPr>
            <w:tcW w:w="140" w:type="dxa"/>
            <w:vAlign w:val="bottom"/>
            <w:tcBorders>
              <w:bottom w:val="single" w:sz="8" w:color="F3F6F7"/>
            </w:tcBorders>
            <w:shd w:val="clear" w:color="auto" w:fill="F3F6F7"/>
          </w:tcPr>
          <w:p>
            <w:pPr>
              <w:spacing w:after="0"/>
              <w:rPr>
                <w:sz w:val="23"/>
                <w:szCs w:val="23"/>
                <w:color w:val="auto"/>
              </w:rPr>
            </w:pPr>
          </w:p>
        </w:tc>
        <w:tc>
          <w:tcPr>
            <w:tcW w:w="240" w:type="dxa"/>
            <w:vAlign w:val="bottom"/>
            <w:tcBorders>
              <w:bottom w:val="single" w:sz="8" w:color="F3F6F7"/>
            </w:tcBorders>
            <w:shd w:val="clear" w:color="auto" w:fill="F3F6F7"/>
          </w:tcPr>
          <w:p>
            <w:pPr>
              <w:spacing w:after="0"/>
              <w:rPr>
                <w:sz w:val="23"/>
                <w:szCs w:val="23"/>
                <w:color w:val="auto"/>
              </w:rPr>
            </w:pPr>
          </w:p>
        </w:tc>
        <w:tc>
          <w:tcPr>
            <w:tcW w:w="80" w:type="dxa"/>
            <w:vAlign w:val="bottom"/>
            <w:tcBorders>
              <w:bottom w:val="single" w:sz="8" w:color="F3F6F7"/>
            </w:tcBorders>
            <w:shd w:val="clear" w:color="auto" w:fill="F3F6F7"/>
          </w:tcPr>
          <w:p>
            <w:pPr>
              <w:spacing w:after="0"/>
              <w:rPr>
                <w:sz w:val="23"/>
                <w:szCs w:val="23"/>
                <w:color w:val="auto"/>
              </w:rPr>
            </w:pPr>
          </w:p>
        </w:tc>
        <w:tc>
          <w:tcPr>
            <w:tcW w:w="400" w:type="dxa"/>
            <w:vAlign w:val="bottom"/>
            <w:tcBorders>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33</w:t>
            </w:r>
          </w:p>
        </w:tc>
        <w:tc>
          <w:tcPr>
            <w:tcW w:w="240" w:type="dxa"/>
            <w:vAlign w:val="bottom"/>
            <w:tcBorders>
              <w:bottom w:val="single" w:sz="8" w:color="F3F6F7"/>
            </w:tcBorders>
            <w:shd w:val="clear" w:color="auto" w:fill="F3F6F7"/>
          </w:tcPr>
          <w:p>
            <w:pPr>
              <w:spacing w:after="0"/>
              <w:rPr>
                <w:sz w:val="23"/>
                <w:szCs w:val="23"/>
                <w:color w:val="auto"/>
              </w:rPr>
            </w:pPr>
          </w:p>
        </w:tc>
        <w:tc>
          <w:tcPr>
            <w:tcW w:w="120" w:type="dxa"/>
            <w:vAlign w:val="bottom"/>
            <w:tcBorders>
              <w:bottom w:val="single" w:sz="8" w:color="F3F6F7"/>
            </w:tcBorders>
            <w:shd w:val="clear" w:color="auto" w:fill="F3F6F7"/>
          </w:tcPr>
          <w:p>
            <w:pPr>
              <w:spacing w:after="0"/>
              <w:rPr>
                <w:sz w:val="23"/>
                <w:szCs w:val="23"/>
                <w:color w:val="auto"/>
              </w:rPr>
            </w:pPr>
          </w:p>
        </w:tc>
        <w:tc>
          <w:tcPr>
            <w:tcW w:w="1980" w:type="dxa"/>
            <w:vAlign w:val="bottom"/>
            <w:tcBorders>
              <w:bottom w:val="single" w:sz="8" w:color="0000EE"/>
            </w:tcBorders>
            <w:gridSpan w:val="6"/>
            <w:shd w:val="clear" w:color="auto" w:fill="F3F6F7"/>
          </w:tcPr>
          <w:p>
            <w:pPr>
              <w:spacing w:after="0"/>
              <w:rPr>
                <w:sz w:val="20"/>
                <w:szCs w:val="20"/>
                <w:color w:val="auto"/>
              </w:rPr>
            </w:pPr>
            <w:r>
              <w:rPr>
                <w:rFonts w:ascii="Arial" w:cs="Arial" w:eastAsia="Arial" w:hAnsi="Arial"/>
                <w:sz w:val="13"/>
                <w:szCs w:val="13"/>
                <w:color w:val="0000EE"/>
              </w:rPr>
              <w:t>Chief Executive Officer Pay Ratio</w:t>
            </w:r>
          </w:p>
        </w:tc>
        <w:tc>
          <w:tcPr>
            <w:tcW w:w="1980" w:type="dxa"/>
            <w:vAlign w:val="bottom"/>
            <w:tcBorders>
              <w:bottom w:val="single" w:sz="8" w:color="F3F6F7"/>
            </w:tcBorders>
            <w:gridSpan w:val="11"/>
            <w:shd w:val="clear" w:color="auto" w:fill="F3F6F7"/>
          </w:tcPr>
          <w:p>
            <w:pPr>
              <w:spacing w:after="0"/>
              <w:rPr>
                <w:sz w:val="23"/>
                <w:szCs w:val="23"/>
                <w:color w:val="auto"/>
              </w:rPr>
            </w:pPr>
          </w:p>
        </w:tc>
        <w:tc>
          <w:tcPr>
            <w:tcW w:w="660" w:type="dxa"/>
            <w:vAlign w:val="bottom"/>
            <w:tcBorders>
              <w:bottom w:val="single" w:sz="8" w:color="F3F6F7"/>
            </w:tcBorders>
            <w:shd w:val="clear" w:color="auto" w:fill="F3F6F7"/>
          </w:tcPr>
          <w:p>
            <w:pPr>
              <w:jc w:val="right"/>
              <w:ind w:right="42"/>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2023 Grants of Plan-Based Awards</w:t>
            </w:r>
          </w:p>
        </w:tc>
        <w:tc>
          <w:tcPr>
            <w:tcW w:w="140" w:type="dxa"/>
            <w:vAlign w:val="bottom"/>
            <w:shd w:val="clear" w:color="auto" w:fill="F3F6F7"/>
          </w:tcPr>
          <w:p>
            <w:pPr>
              <w:spacing w:after="0"/>
              <w:rPr>
                <w:sz w:val="23"/>
                <w:szCs w:val="23"/>
                <w:color w:val="auto"/>
              </w:rPr>
            </w:pPr>
          </w:p>
        </w:tc>
        <w:tc>
          <w:tcPr>
            <w:tcW w:w="24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34</w:t>
            </w:r>
          </w:p>
        </w:tc>
        <w:tc>
          <w:tcPr>
            <w:tcW w:w="240" w:type="dxa"/>
            <w:vAlign w:val="bottom"/>
            <w:shd w:val="clear" w:color="auto" w:fill="F3F6F7"/>
          </w:tcPr>
          <w:p>
            <w:pPr>
              <w:spacing w:after="0"/>
              <w:rPr>
                <w:sz w:val="23"/>
                <w:szCs w:val="23"/>
                <w:color w:val="auto"/>
              </w:rPr>
            </w:pPr>
          </w:p>
        </w:tc>
        <w:tc>
          <w:tcPr>
            <w:tcW w:w="4080" w:type="dxa"/>
            <w:vAlign w:val="bottom"/>
            <w:gridSpan w:val="18"/>
            <w:shd w:val="clear" w:color="auto" w:fill="F3F6F7"/>
          </w:tcPr>
          <w:p>
            <w:pPr>
              <w:ind w:left="120"/>
              <w:spacing w:after="0"/>
              <w:rPr>
                <w:sz w:val="20"/>
                <w:szCs w:val="20"/>
                <w:color w:val="auto"/>
              </w:rPr>
            </w:pPr>
            <w:r>
              <w:rPr>
                <w:rFonts w:ascii="Arial" w:cs="Arial" w:eastAsia="Arial" w:hAnsi="Arial"/>
                <w:sz w:val="13"/>
                <w:szCs w:val="13"/>
                <w:color w:val="0000EE"/>
              </w:rPr>
              <w:t>Pay Versus Performance</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20"/>
        </w:trPr>
        <w:tc>
          <w:tcPr>
            <w:tcW w:w="120" w:type="dxa"/>
            <w:vAlign w:val="bottom"/>
            <w:shd w:val="clear" w:color="auto" w:fill="F3F6F7"/>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5"/>
            <w:shd w:val="clear" w:color="auto" w:fill="F3F6F7"/>
          </w:tcPr>
          <w:p>
            <w:pPr>
              <w:spacing w:after="0" w:line="20" w:lineRule="exact"/>
              <w:rPr>
                <w:sz w:val="1"/>
                <w:szCs w:val="1"/>
                <w:color w:val="auto"/>
              </w:rPr>
            </w:pPr>
          </w:p>
        </w:tc>
        <w:tc>
          <w:tcPr>
            <w:tcW w:w="200" w:type="dxa"/>
            <w:vAlign w:val="bottom"/>
            <w:gridSpan w:val="2"/>
            <w:shd w:val="clear" w:color="auto" w:fill="F3F6F7"/>
          </w:tcPr>
          <w:p>
            <w:pPr>
              <w:spacing w:after="0" w:line="20" w:lineRule="exact"/>
              <w:rPr>
                <w:sz w:val="1"/>
                <w:szCs w:val="1"/>
                <w:color w:val="auto"/>
              </w:rPr>
            </w:pPr>
          </w:p>
        </w:tc>
        <w:tc>
          <w:tcPr>
            <w:tcW w:w="3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400" w:type="dxa"/>
            <w:vAlign w:val="bottom"/>
            <w:shd w:val="clear" w:color="auto" w:fill="F3F6F7"/>
          </w:tcPr>
          <w:p>
            <w:pPr>
              <w:spacing w:after="0" w:line="20" w:lineRule="exact"/>
              <w:rPr>
                <w:sz w:val="1"/>
                <w:szCs w:val="1"/>
                <w:color w:val="auto"/>
              </w:rPr>
            </w:pPr>
          </w:p>
        </w:tc>
        <w:tc>
          <w:tcPr>
            <w:tcW w:w="24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F3F6F7"/>
          </w:tcPr>
          <w:p>
            <w:pPr>
              <w:spacing w:after="0" w:line="20" w:lineRule="exact"/>
              <w:rPr>
                <w:sz w:val="1"/>
                <w:szCs w:val="1"/>
                <w:color w:val="auto"/>
              </w:rPr>
            </w:pPr>
          </w:p>
        </w:tc>
        <w:tc>
          <w:tcPr>
            <w:tcW w:w="28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140" w:type="dxa"/>
            <w:vAlign w:val="bottom"/>
            <w:shd w:val="clear" w:color="auto" w:fill="F3F6F7"/>
          </w:tcPr>
          <w:p>
            <w:pPr>
              <w:spacing w:after="0" w:line="20" w:lineRule="exact"/>
              <w:rPr>
                <w:sz w:val="1"/>
                <w:szCs w:val="1"/>
                <w:color w:val="auto"/>
              </w:rPr>
            </w:pPr>
          </w:p>
        </w:tc>
        <w:tc>
          <w:tcPr>
            <w:tcW w:w="520" w:type="dxa"/>
            <w:vAlign w:val="bottom"/>
            <w:shd w:val="clear" w:color="auto" w:fill="F3F6F7"/>
          </w:tcPr>
          <w:p>
            <w:pPr>
              <w:spacing w:after="0" w:line="20" w:lineRule="exact"/>
              <w:rPr>
                <w:sz w:val="1"/>
                <w:szCs w:val="1"/>
                <w:color w:val="auto"/>
              </w:rPr>
            </w:pPr>
          </w:p>
        </w:tc>
        <w:tc>
          <w:tcPr>
            <w:tcW w:w="280" w:type="dxa"/>
            <w:vAlign w:val="bottom"/>
            <w:shd w:val="clear" w:color="auto" w:fill="F3F6F7"/>
          </w:tcPr>
          <w:p>
            <w:pPr>
              <w:spacing w:after="0" w:line="20" w:lineRule="exact"/>
              <w:rPr>
                <w:sz w:val="1"/>
                <w:szCs w:val="1"/>
                <w:color w:val="auto"/>
              </w:rPr>
            </w:pPr>
          </w:p>
        </w:tc>
        <w:tc>
          <w:tcPr>
            <w:tcW w:w="10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8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20" w:type="dxa"/>
            <w:vAlign w:val="bottom"/>
            <w:shd w:val="clear" w:color="auto" w:fill="F3F6F7"/>
          </w:tcPr>
          <w:p>
            <w:pPr>
              <w:spacing w:after="0" w:line="20" w:lineRule="exact"/>
              <w:rPr>
                <w:sz w:val="1"/>
                <w:szCs w:val="1"/>
                <w:color w:val="auto"/>
              </w:rPr>
            </w:pPr>
          </w:p>
        </w:tc>
        <w:tc>
          <w:tcPr>
            <w:tcW w:w="180" w:type="dxa"/>
            <w:vAlign w:val="bottom"/>
            <w:shd w:val="clear" w:color="auto" w:fill="F3F6F7"/>
          </w:tcPr>
          <w:p>
            <w:pPr>
              <w:spacing w:after="0" w:line="20" w:lineRule="exact"/>
              <w:rPr>
                <w:sz w:val="1"/>
                <w:szCs w:val="1"/>
                <w:color w:val="auto"/>
              </w:rPr>
            </w:pPr>
          </w:p>
        </w:tc>
        <w:tc>
          <w:tcPr>
            <w:tcW w:w="160" w:type="dxa"/>
            <w:vAlign w:val="bottom"/>
            <w:shd w:val="clear" w:color="auto" w:fill="F3F6F7"/>
          </w:tcPr>
          <w:p>
            <w:pPr>
              <w:spacing w:after="0" w:line="20" w:lineRule="exact"/>
              <w:rPr>
                <w:sz w:val="1"/>
                <w:szCs w:val="1"/>
                <w:color w:val="auto"/>
              </w:rPr>
            </w:pPr>
          </w:p>
        </w:tc>
        <w:tc>
          <w:tcPr>
            <w:tcW w:w="660" w:type="dxa"/>
            <w:vAlign w:val="bottom"/>
            <w:shd w:val="clear" w:color="auto" w:fill="F3F6F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120" w:type="dxa"/>
            <w:vAlign w:val="bottom"/>
            <w:shd w:val="clear" w:color="auto" w:fill="F3F6F7"/>
          </w:tcPr>
          <w:p>
            <w:pPr>
              <w:spacing w:after="0"/>
              <w:rPr>
                <w:sz w:val="24"/>
                <w:szCs w:val="24"/>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2023 Outstanding Equity Awards at Fiscal Year-End Table</w:t>
            </w:r>
          </w:p>
        </w:tc>
        <w:tc>
          <w:tcPr>
            <w:tcW w:w="140" w:type="dxa"/>
            <w:vAlign w:val="bottom"/>
            <w:shd w:val="clear" w:color="auto" w:fill="F3F6F7"/>
          </w:tcPr>
          <w:p>
            <w:pPr>
              <w:spacing w:after="0"/>
              <w:rPr>
                <w:sz w:val="24"/>
                <w:szCs w:val="24"/>
                <w:color w:val="auto"/>
              </w:rPr>
            </w:pPr>
          </w:p>
        </w:tc>
        <w:tc>
          <w:tcPr>
            <w:tcW w:w="240" w:type="dxa"/>
            <w:vAlign w:val="bottom"/>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35</w:t>
            </w:r>
          </w:p>
        </w:tc>
        <w:tc>
          <w:tcPr>
            <w:tcW w:w="240" w:type="dxa"/>
            <w:vAlign w:val="bottom"/>
            <w:shd w:val="clear" w:color="auto" w:fill="F3F6F7"/>
          </w:tcPr>
          <w:p>
            <w:pPr>
              <w:spacing w:after="0"/>
              <w:rPr>
                <w:sz w:val="24"/>
                <w:szCs w:val="24"/>
                <w:color w:val="auto"/>
              </w:rPr>
            </w:pPr>
          </w:p>
        </w:tc>
        <w:tc>
          <w:tcPr>
            <w:tcW w:w="120" w:type="dxa"/>
            <w:vAlign w:val="bottom"/>
            <w:shd w:val="clear" w:color="auto" w:fill="F3F6F7"/>
          </w:tcPr>
          <w:p>
            <w:pPr>
              <w:spacing w:after="0"/>
              <w:rPr>
                <w:sz w:val="24"/>
                <w:szCs w:val="24"/>
                <w:color w:val="auto"/>
              </w:rPr>
            </w:pPr>
          </w:p>
        </w:tc>
        <w:tc>
          <w:tcPr>
            <w:tcW w:w="660" w:type="dxa"/>
            <w:vAlign w:val="bottom"/>
            <w:shd w:val="clear" w:color="auto" w:fill="F3F6F7"/>
          </w:tcPr>
          <w:p>
            <w:pPr>
              <w:spacing w:after="0"/>
              <w:rPr>
                <w:sz w:val="24"/>
                <w:szCs w:val="24"/>
                <w:color w:val="auto"/>
              </w:rPr>
            </w:pPr>
          </w:p>
        </w:tc>
        <w:tc>
          <w:tcPr>
            <w:tcW w:w="240" w:type="dxa"/>
            <w:vAlign w:val="bottom"/>
            <w:shd w:val="clear" w:color="auto" w:fill="F3F6F7"/>
          </w:tcPr>
          <w:p>
            <w:pPr>
              <w:spacing w:after="0"/>
              <w:rPr>
                <w:sz w:val="24"/>
                <w:szCs w:val="24"/>
                <w:color w:val="auto"/>
              </w:rPr>
            </w:pPr>
          </w:p>
        </w:tc>
        <w:tc>
          <w:tcPr>
            <w:tcW w:w="400" w:type="dxa"/>
            <w:vAlign w:val="bottom"/>
            <w:shd w:val="clear" w:color="auto" w:fill="F3F6F7"/>
          </w:tcPr>
          <w:p>
            <w:pPr>
              <w:spacing w:after="0"/>
              <w:rPr>
                <w:sz w:val="24"/>
                <w:szCs w:val="24"/>
                <w:color w:val="auto"/>
              </w:rPr>
            </w:pPr>
          </w:p>
        </w:tc>
        <w:tc>
          <w:tcPr>
            <w:tcW w:w="180" w:type="dxa"/>
            <w:vAlign w:val="bottom"/>
            <w:shd w:val="clear" w:color="auto" w:fill="F3F6F7"/>
          </w:tcPr>
          <w:p>
            <w:pPr>
              <w:spacing w:after="0"/>
              <w:rPr>
                <w:sz w:val="24"/>
                <w:szCs w:val="24"/>
                <w:color w:val="auto"/>
              </w:rPr>
            </w:pPr>
          </w:p>
        </w:tc>
        <w:tc>
          <w:tcPr>
            <w:tcW w:w="220" w:type="dxa"/>
            <w:vAlign w:val="bottom"/>
            <w:shd w:val="clear" w:color="auto" w:fill="F3F6F7"/>
          </w:tcPr>
          <w:p>
            <w:pPr>
              <w:spacing w:after="0"/>
              <w:rPr>
                <w:sz w:val="24"/>
                <w:szCs w:val="24"/>
                <w:color w:val="auto"/>
              </w:rPr>
            </w:pPr>
          </w:p>
        </w:tc>
        <w:tc>
          <w:tcPr>
            <w:tcW w:w="280" w:type="dxa"/>
            <w:vAlign w:val="bottom"/>
            <w:shd w:val="clear" w:color="auto" w:fill="F3F6F7"/>
          </w:tcPr>
          <w:p>
            <w:pPr>
              <w:spacing w:after="0"/>
              <w:rPr>
                <w:sz w:val="24"/>
                <w:szCs w:val="24"/>
                <w:color w:val="auto"/>
              </w:rPr>
            </w:pPr>
          </w:p>
        </w:tc>
        <w:tc>
          <w:tcPr>
            <w:tcW w:w="140" w:type="dxa"/>
            <w:vAlign w:val="bottom"/>
            <w:shd w:val="clear" w:color="auto" w:fill="F3F6F7"/>
          </w:tcPr>
          <w:p>
            <w:pPr>
              <w:spacing w:after="0"/>
              <w:rPr>
                <w:sz w:val="24"/>
                <w:szCs w:val="24"/>
                <w:color w:val="auto"/>
              </w:rPr>
            </w:pPr>
          </w:p>
        </w:tc>
        <w:tc>
          <w:tcPr>
            <w:tcW w:w="140" w:type="dxa"/>
            <w:vAlign w:val="bottom"/>
            <w:shd w:val="clear" w:color="auto" w:fill="F3F6F7"/>
          </w:tcPr>
          <w:p>
            <w:pPr>
              <w:spacing w:after="0"/>
              <w:rPr>
                <w:sz w:val="24"/>
                <w:szCs w:val="24"/>
                <w:color w:val="auto"/>
              </w:rPr>
            </w:pPr>
          </w:p>
        </w:tc>
        <w:tc>
          <w:tcPr>
            <w:tcW w:w="520" w:type="dxa"/>
            <w:vAlign w:val="bottom"/>
            <w:shd w:val="clear" w:color="auto" w:fill="F3F6F7"/>
          </w:tcPr>
          <w:p>
            <w:pPr>
              <w:spacing w:after="0"/>
              <w:rPr>
                <w:sz w:val="24"/>
                <w:szCs w:val="24"/>
                <w:color w:val="auto"/>
              </w:rPr>
            </w:pPr>
          </w:p>
        </w:tc>
        <w:tc>
          <w:tcPr>
            <w:tcW w:w="280" w:type="dxa"/>
            <w:vAlign w:val="bottom"/>
            <w:shd w:val="clear" w:color="auto" w:fill="F3F6F7"/>
          </w:tcPr>
          <w:p>
            <w:pPr>
              <w:spacing w:after="0"/>
              <w:rPr>
                <w:sz w:val="24"/>
                <w:szCs w:val="24"/>
                <w:color w:val="auto"/>
              </w:rPr>
            </w:pPr>
          </w:p>
        </w:tc>
        <w:tc>
          <w:tcPr>
            <w:tcW w:w="100" w:type="dxa"/>
            <w:vAlign w:val="bottom"/>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80" w:type="dxa"/>
            <w:vAlign w:val="bottom"/>
            <w:shd w:val="clear" w:color="auto" w:fill="F3F6F7"/>
          </w:tcPr>
          <w:p>
            <w:pPr>
              <w:spacing w:after="0"/>
              <w:rPr>
                <w:sz w:val="24"/>
                <w:szCs w:val="24"/>
                <w:color w:val="auto"/>
              </w:rPr>
            </w:pPr>
          </w:p>
        </w:tc>
        <w:tc>
          <w:tcPr>
            <w:tcW w:w="180" w:type="dxa"/>
            <w:vAlign w:val="bottom"/>
            <w:shd w:val="clear" w:color="auto" w:fill="F3F6F7"/>
          </w:tcPr>
          <w:p>
            <w:pPr>
              <w:spacing w:after="0"/>
              <w:rPr>
                <w:sz w:val="24"/>
                <w:szCs w:val="24"/>
                <w:color w:val="auto"/>
              </w:rPr>
            </w:pPr>
          </w:p>
        </w:tc>
        <w:tc>
          <w:tcPr>
            <w:tcW w:w="120" w:type="dxa"/>
            <w:vAlign w:val="bottom"/>
            <w:shd w:val="clear" w:color="auto" w:fill="F3F6F7"/>
          </w:tcPr>
          <w:p>
            <w:pPr>
              <w:spacing w:after="0"/>
              <w:rPr>
                <w:sz w:val="24"/>
                <w:szCs w:val="24"/>
                <w:color w:val="auto"/>
              </w:rPr>
            </w:pPr>
          </w:p>
        </w:tc>
        <w:tc>
          <w:tcPr>
            <w:tcW w:w="180" w:type="dxa"/>
            <w:vAlign w:val="bottom"/>
            <w:shd w:val="clear" w:color="auto" w:fill="F3F6F7"/>
          </w:tcPr>
          <w:p>
            <w:pPr>
              <w:spacing w:after="0"/>
              <w:rPr>
                <w:sz w:val="24"/>
                <w:szCs w:val="24"/>
                <w:color w:val="auto"/>
              </w:rPr>
            </w:pPr>
          </w:p>
        </w:tc>
        <w:tc>
          <w:tcPr>
            <w:tcW w:w="160" w:type="dxa"/>
            <w:vAlign w:val="bottom"/>
            <w:shd w:val="clear" w:color="auto" w:fill="F3F6F7"/>
          </w:tcPr>
          <w:p>
            <w:pPr>
              <w:spacing w:after="0"/>
              <w:rPr>
                <w:sz w:val="24"/>
                <w:szCs w:val="24"/>
                <w:color w:val="auto"/>
              </w:rPr>
            </w:pPr>
          </w:p>
        </w:tc>
        <w:tc>
          <w:tcPr>
            <w:tcW w:w="660" w:type="dxa"/>
            <w:vAlign w:val="bottom"/>
            <w:shd w:val="clear" w:color="auto" w:fill="F3F6F7"/>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0" w:type="dxa"/>
            <w:vAlign w:val="bottom"/>
            <w:tcBorders>
              <w:top w:val="single" w:sz="8" w:color="F3F6F7"/>
            </w:tcBorders>
          </w:tcPr>
          <w:p>
            <w:pPr>
              <w:spacing w:after="0"/>
              <w:rPr>
                <w:sz w:val="11"/>
                <w:szCs w:val="11"/>
                <w:color w:val="auto"/>
              </w:rPr>
            </w:pPr>
          </w:p>
        </w:tc>
        <w:tc>
          <w:tcPr>
            <w:tcW w:w="480" w:type="dxa"/>
            <w:vAlign w:val="bottom"/>
            <w:tcBorders>
              <w:top w:val="single" w:sz="8" w:color="F3F6F7"/>
            </w:tcBorders>
            <w:gridSpan w:val="2"/>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840" w:type="dxa"/>
            <w:vAlign w:val="bottom"/>
            <w:tcBorders>
              <w:top w:val="single" w:sz="8" w:color="F3F6F7"/>
            </w:tcBorders>
            <w:gridSpan w:val="4"/>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40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5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2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shd w:val="clear" w:color="auto" w:fill="F3F6F7"/>
          </w:tcPr>
          <w:p>
            <w:pPr>
              <w:spacing w:after="0"/>
              <w:rPr>
                <w:sz w:val="17"/>
                <w:szCs w:val="17"/>
                <w:color w:val="auto"/>
              </w:rPr>
            </w:pPr>
          </w:p>
        </w:tc>
        <w:tc>
          <w:tcPr>
            <w:tcW w:w="9140" w:type="dxa"/>
            <w:vAlign w:val="bottom"/>
            <w:gridSpan w:val="41"/>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PROPOSAL 4 RATIFICATION OF THE APPOINTMENT OF INDEPENDENT REGISTERED PUBLIC</w:t>
            </w:r>
          </w:p>
        </w:tc>
        <w:tc>
          <w:tcPr>
            <w:tcW w:w="660" w:type="dxa"/>
            <w:vAlign w:val="bottom"/>
            <w:vMerge w:val="restart"/>
            <w:shd w:val="clear" w:color="auto" w:fill="F3F6F7"/>
          </w:tcPr>
          <w:p>
            <w:pPr>
              <w:jc w:val="right"/>
              <w:ind w:right="42"/>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180"/>
        </w:trPr>
        <w:tc>
          <w:tcPr>
            <w:tcW w:w="120" w:type="dxa"/>
            <w:vAlign w:val="bottom"/>
            <w:tcBorders>
              <w:top w:val="single" w:sz="8" w:color="F3F6F7"/>
            </w:tcBorders>
            <w:shd w:val="clear" w:color="auto" w:fill="F3F6F7"/>
          </w:tcPr>
          <w:p>
            <w:pPr>
              <w:spacing w:after="0"/>
              <w:rPr>
                <w:sz w:val="15"/>
                <w:szCs w:val="15"/>
                <w:color w:val="auto"/>
              </w:rPr>
            </w:pPr>
          </w:p>
        </w:tc>
        <w:tc>
          <w:tcPr>
            <w:tcW w:w="4420" w:type="dxa"/>
            <w:vAlign w:val="bottom"/>
            <w:tcBorders>
              <w:top w:val="single" w:sz="8" w:color="0000EE"/>
            </w:tcBorders>
            <w:gridSpan w:val="21"/>
            <w:shd w:val="clear" w:color="auto" w:fill="F3F6F7"/>
          </w:tcPr>
          <w:p>
            <w:pPr>
              <w:spacing w:after="0" w:line="180" w:lineRule="exact"/>
              <w:rPr>
                <w:sz w:val="20"/>
                <w:szCs w:val="20"/>
                <w:color w:val="auto"/>
              </w:rPr>
            </w:pPr>
            <w:r>
              <w:rPr>
                <w:rFonts w:ascii="Arial" w:cs="Arial" w:eastAsia="Arial" w:hAnsi="Arial"/>
                <w:sz w:val="18"/>
                <w:szCs w:val="18"/>
                <w:b w:val="1"/>
                <w:bCs w:val="1"/>
                <w:color w:val="0000EE"/>
              </w:rPr>
              <w:t>ACCOUNTING FIRM</w:t>
            </w:r>
          </w:p>
        </w:tc>
        <w:tc>
          <w:tcPr>
            <w:tcW w:w="400" w:type="dxa"/>
            <w:vAlign w:val="bottom"/>
            <w:tcBorders>
              <w:top w:val="single" w:sz="8" w:color="0000EE"/>
            </w:tcBorders>
            <w:shd w:val="clear" w:color="auto" w:fill="F3F6F7"/>
          </w:tcPr>
          <w:p>
            <w:pPr>
              <w:spacing w:after="0"/>
              <w:rPr>
                <w:sz w:val="15"/>
                <w:szCs w:val="15"/>
                <w:color w:val="auto"/>
              </w:rPr>
            </w:pPr>
          </w:p>
        </w:tc>
        <w:tc>
          <w:tcPr>
            <w:tcW w:w="240" w:type="dxa"/>
            <w:vAlign w:val="bottom"/>
            <w:tcBorders>
              <w:top w:val="single" w:sz="8" w:color="0000EE"/>
            </w:tcBorders>
            <w:shd w:val="clear" w:color="auto" w:fill="F3F6F7"/>
          </w:tcPr>
          <w:p>
            <w:pPr>
              <w:spacing w:after="0"/>
              <w:rPr>
                <w:sz w:val="15"/>
                <w:szCs w:val="15"/>
                <w:color w:val="auto"/>
              </w:rPr>
            </w:pPr>
          </w:p>
        </w:tc>
        <w:tc>
          <w:tcPr>
            <w:tcW w:w="120" w:type="dxa"/>
            <w:vAlign w:val="bottom"/>
            <w:tcBorders>
              <w:top w:val="single" w:sz="8" w:color="0000EE"/>
            </w:tcBorders>
            <w:shd w:val="clear" w:color="auto" w:fill="F3F6F7"/>
          </w:tcPr>
          <w:p>
            <w:pPr>
              <w:spacing w:after="0"/>
              <w:rPr>
                <w:sz w:val="15"/>
                <w:szCs w:val="15"/>
                <w:color w:val="auto"/>
              </w:rPr>
            </w:pPr>
          </w:p>
        </w:tc>
        <w:tc>
          <w:tcPr>
            <w:tcW w:w="660" w:type="dxa"/>
            <w:vAlign w:val="bottom"/>
            <w:tcBorders>
              <w:top w:val="single" w:sz="8" w:color="0000EE"/>
            </w:tcBorders>
            <w:shd w:val="clear" w:color="auto" w:fill="F3F6F7"/>
          </w:tcPr>
          <w:p>
            <w:pPr>
              <w:spacing w:after="0"/>
              <w:rPr>
                <w:sz w:val="15"/>
                <w:szCs w:val="15"/>
                <w:color w:val="auto"/>
              </w:rPr>
            </w:pPr>
          </w:p>
        </w:tc>
        <w:tc>
          <w:tcPr>
            <w:tcW w:w="240" w:type="dxa"/>
            <w:vAlign w:val="bottom"/>
            <w:tcBorders>
              <w:top w:val="single" w:sz="8" w:color="0000EE"/>
            </w:tcBorders>
            <w:shd w:val="clear" w:color="auto" w:fill="F3F6F7"/>
          </w:tcPr>
          <w:p>
            <w:pPr>
              <w:spacing w:after="0"/>
              <w:rPr>
                <w:sz w:val="15"/>
                <w:szCs w:val="15"/>
                <w:color w:val="auto"/>
              </w:rPr>
            </w:pPr>
          </w:p>
        </w:tc>
        <w:tc>
          <w:tcPr>
            <w:tcW w:w="400" w:type="dxa"/>
            <w:vAlign w:val="bottom"/>
            <w:tcBorders>
              <w:top w:val="single" w:sz="8" w:color="0000EE"/>
            </w:tcBorders>
            <w:shd w:val="clear" w:color="auto" w:fill="F3F6F7"/>
          </w:tcPr>
          <w:p>
            <w:pPr>
              <w:spacing w:after="0"/>
              <w:rPr>
                <w:sz w:val="15"/>
                <w:szCs w:val="15"/>
                <w:color w:val="auto"/>
              </w:rPr>
            </w:pPr>
          </w:p>
        </w:tc>
        <w:tc>
          <w:tcPr>
            <w:tcW w:w="180" w:type="dxa"/>
            <w:vAlign w:val="bottom"/>
            <w:tcBorders>
              <w:top w:val="single" w:sz="8" w:color="0000EE"/>
            </w:tcBorders>
            <w:shd w:val="clear" w:color="auto" w:fill="F3F6F7"/>
          </w:tcPr>
          <w:p>
            <w:pPr>
              <w:spacing w:after="0"/>
              <w:rPr>
                <w:sz w:val="15"/>
                <w:szCs w:val="15"/>
                <w:color w:val="auto"/>
              </w:rPr>
            </w:pPr>
          </w:p>
        </w:tc>
        <w:tc>
          <w:tcPr>
            <w:tcW w:w="220" w:type="dxa"/>
            <w:vAlign w:val="bottom"/>
            <w:tcBorders>
              <w:top w:val="single" w:sz="8" w:color="0000EE"/>
            </w:tcBorders>
            <w:shd w:val="clear" w:color="auto" w:fill="F3F6F7"/>
          </w:tcPr>
          <w:p>
            <w:pPr>
              <w:spacing w:after="0"/>
              <w:rPr>
                <w:sz w:val="15"/>
                <w:szCs w:val="15"/>
                <w:color w:val="auto"/>
              </w:rPr>
            </w:pPr>
          </w:p>
        </w:tc>
        <w:tc>
          <w:tcPr>
            <w:tcW w:w="280" w:type="dxa"/>
            <w:vAlign w:val="bottom"/>
            <w:tcBorders>
              <w:top w:val="single" w:sz="8" w:color="0000EE"/>
            </w:tcBorders>
            <w:shd w:val="clear" w:color="auto" w:fill="F3F6F7"/>
          </w:tcPr>
          <w:p>
            <w:pPr>
              <w:spacing w:after="0"/>
              <w:rPr>
                <w:sz w:val="15"/>
                <w:szCs w:val="15"/>
                <w:color w:val="auto"/>
              </w:rPr>
            </w:pPr>
          </w:p>
        </w:tc>
        <w:tc>
          <w:tcPr>
            <w:tcW w:w="140" w:type="dxa"/>
            <w:vAlign w:val="bottom"/>
            <w:tcBorders>
              <w:top w:val="single" w:sz="8" w:color="0000EE"/>
            </w:tcBorders>
            <w:shd w:val="clear" w:color="auto" w:fill="F3F6F7"/>
          </w:tcPr>
          <w:p>
            <w:pPr>
              <w:spacing w:after="0"/>
              <w:rPr>
                <w:sz w:val="15"/>
                <w:szCs w:val="15"/>
                <w:color w:val="auto"/>
              </w:rPr>
            </w:pPr>
          </w:p>
        </w:tc>
        <w:tc>
          <w:tcPr>
            <w:tcW w:w="140" w:type="dxa"/>
            <w:vAlign w:val="bottom"/>
            <w:tcBorders>
              <w:top w:val="single" w:sz="8" w:color="0000EE"/>
            </w:tcBorders>
            <w:shd w:val="clear" w:color="auto" w:fill="F3F6F7"/>
          </w:tcPr>
          <w:p>
            <w:pPr>
              <w:spacing w:after="0"/>
              <w:rPr>
                <w:sz w:val="15"/>
                <w:szCs w:val="15"/>
                <w:color w:val="auto"/>
              </w:rPr>
            </w:pPr>
          </w:p>
        </w:tc>
        <w:tc>
          <w:tcPr>
            <w:tcW w:w="520" w:type="dxa"/>
            <w:vAlign w:val="bottom"/>
            <w:tcBorders>
              <w:top w:val="single" w:sz="8" w:color="0000EE"/>
            </w:tcBorders>
            <w:shd w:val="clear" w:color="auto" w:fill="F3F6F7"/>
          </w:tcPr>
          <w:p>
            <w:pPr>
              <w:spacing w:after="0"/>
              <w:rPr>
                <w:sz w:val="15"/>
                <w:szCs w:val="15"/>
                <w:color w:val="auto"/>
              </w:rPr>
            </w:pPr>
          </w:p>
        </w:tc>
        <w:tc>
          <w:tcPr>
            <w:tcW w:w="280" w:type="dxa"/>
            <w:vAlign w:val="bottom"/>
            <w:tcBorders>
              <w:top w:val="single" w:sz="8" w:color="0000EE"/>
            </w:tcBorders>
            <w:shd w:val="clear" w:color="auto" w:fill="F3F6F7"/>
          </w:tcPr>
          <w:p>
            <w:pPr>
              <w:spacing w:after="0"/>
              <w:rPr>
                <w:sz w:val="15"/>
                <w:szCs w:val="15"/>
                <w:color w:val="auto"/>
              </w:rPr>
            </w:pPr>
          </w:p>
        </w:tc>
        <w:tc>
          <w:tcPr>
            <w:tcW w:w="100" w:type="dxa"/>
            <w:vAlign w:val="bottom"/>
            <w:tcBorders>
              <w:top w:val="single" w:sz="8" w:color="F3F6F7"/>
            </w:tcBorders>
            <w:shd w:val="clear" w:color="auto" w:fill="F3F6F7"/>
          </w:tcPr>
          <w:p>
            <w:pPr>
              <w:spacing w:after="0"/>
              <w:rPr>
                <w:sz w:val="15"/>
                <w:szCs w:val="15"/>
                <w:color w:val="auto"/>
              </w:rPr>
            </w:pPr>
          </w:p>
        </w:tc>
        <w:tc>
          <w:tcPr>
            <w:tcW w:w="80" w:type="dxa"/>
            <w:vAlign w:val="bottom"/>
            <w:tcBorders>
              <w:top w:val="single" w:sz="8" w:color="F3F6F7"/>
            </w:tcBorders>
            <w:shd w:val="clear" w:color="auto" w:fill="F3F6F7"/>
          </w:tcPr>
          <w:p>
            <w:pPr>
              <w:spacing w:after="0"/>
              <w:rPr>
                <w:sz w:val="15"/>
                <w:szCs w:val="15"/>
                <w:color w:val="auto"/>
              </w:rPr>
            </w:pPr>
          </w:p>
        </w:tc>
        <w:tc>
          <w:tcPr>
            <w:tcW w:w="80" w:type="dxa"/>
            <w:vAlign w:val="bottom"/>
            <w:tcBorders>
              <w:top w:val="single" w:sz="8" w:color="F3F6F7"/>
            </w:tcBorders>
            <w:shd w:val="clear" w:color="auto" w:fill="F3F6F7"/>
          </w:tcPr>
          <w:p>
            <w:pPr>
              <w:spacing w:after="0"/>
              <w:rPr>
                <w:sz w:val="15"/>
                <w:szCs w:val="15"/>
                <w:color w:val="auto"/>
              </w:rPr>
            </w:pPr>
          </w:p>
        </w:tc>
        <w:tc>
          <w:tcPr>
            <w:tcW w:w="180" w:type="dxa"/>
            <w:vAlign w:val="bottom"/>
            <w:tcBorders>
              <w:top w:val="single" w:sz="8" w:color="F3F6F7"/>
            </w:tcBorders>
            <w:shd w:val="clear" w:color="auto" w:fill="F3F6F7"/>
          </w:tcPr>
          <w:p>
            <w:pPr>
              <w:spacing w:after="0"/>
              <w:rPr>
                <w:sz w:val="15"/>
                <w:szCs w:val="15"/>
                <w:color w:val="auto"/>
              </w:rPr>
            </w:pPr>
          </w:p>
        </w:tc>
        <w:tc>
          <w:tcPr>
            <w:tcW w:w="120" w:type="dxa"/>
            <w:vAlign w:val="bottom"/>
            <w:tcBorders>
              <w:top w:val="single" w:sz="8" w:color="F3F6F7"/>
            </w:tcBorders>
            <w:shd w:val="clear" w:color="auto" w:fill="F3F6F7"/>
          </w:tcPr>
          <w:p>
            <w:pPr>
              <w:spacing w:after="0"/>
              <w:rPr>
                <w:sz w:val="15"/>
                <w:szCs w:val="15"/>
                <w:color w:val="auto"/>
              </w:rPr>
            </w:pPr>
          </w:p>
        </w:tc>
        <w:tc>
          <w:tcPr>
            <w:tcW w:w="180" w:type="dxa"/>
            <w:vAlign w:val="bottom"/>
            <w:tcBorders>
              <w:top w:val="single" w:sz="8" w:color="F3F6F7"/>
            </w:tcBorders>
            <w:shd w:val="clear" w:color="auto" w:fill="F3F6F7"/>
          </w:tcPr>
          <w:p>
            <w:pPr>
              <w:spacing w:after="0"/>
              <w:rPr>
                <w:sz w:val="15"/>
                <w:szCs w:val="15"/>
                <w:color w:val="auto"/>
              </w:rPr>
            </w:pPr>
          </w:p>
        </w:tc>
        <w:tc>
          <w:tcPr>
            <w:tcW w:w="160" w:type="dxa"/>
            <w:vAlign w:val="bottom"/>
            <w:tcBorders>
              <w:top w:val="single" w:sz="8" w:color="F3F6F7"/>
            </w:tcBorders>
            <w:shd w:val="clear" w:color="auto" w:fill="F3F6F7"/>
          </w:tcPr>
          <w:p>
            <w:pPr>
              <w:spacing w:after="0"/>
              <w:rPr>
                <w:sz w:val="15"/>
                <w:szCs w:val="15"/>
                <w:color w:val="auto"/>
              </w:rPr>
            </w:pPr>
          </w:p>
        </w:tc>
        <w:tc>
          <w:tcPr>
            <w:tcW w:w="660" w:type="dxa"/>
            <w:vAlign w:val="bottom"/>
            <w:tcBorders>
              <w:top w:val="single" w:sz="8" w:color="F3F6F7"/>
            </w:tcBorders>
            <w:vMerge w:val="continue"/>
            <w:shd w:val="clear" w:color="auto" w:fill="F3F6F7"/>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120" w:type="dxa"/>
            <w:vAlign w:val="bottom"/>
            <w:tcBorders>
              <w:top w:val="single" w:sz="8" w:color="F3F6F7"/>
              <w:bottom w:val="single" w:sz="8" w:color="F3F6F7"/>
            </w:tcBorders>
            <w:shd w:val="clear" w:color="auto" w:fill="F3F6F7"/>
          </w:tcPr>
          <w:p>
            <w:pPr>
              <w:spacing w:after="0"/>
              <w:rPr>
                <w:sz w:val="24"/>
                <w:szCs w:val="24"/>
                <w:color w:val="auto"/>
              </w:rPr>
            </w:pPr>
          </w:p>
        </w:tc>
        <w:tc>
          <w:tcPr>
            <w:tcW w:w="1080" w:type="dxa"/>
            <w:vAlign w:val="bottom"/>
            <w:tcBorders>
              <w:top w:val="single" w:sz="8" w:color="0000EE"/>
              <w:bottom w:val="single" w:sz="8" w:color="0000EE"/>
            </w:tcBorders>
            <w:gridSpan w:val="2"/>
            <w:shd w:val="clear" w:color="auto" w:fill="F3F6F7"/>
          </w:tcPr>
          <w:p>
            <w:pPr>
              <w:spacing w:after="0"/>
              <w:rPr>
                <w:sz w:val="20"/>
                <w:szCs w:val="20"/>
                <w:color w:val="auto"/>
              </w:rPr>
            </w:pPr>
            <w:r>
              <w:rPr>
                <w:rFonts w:ascii="Arial" w:cs="Arial" w:eastAsia="Arial" w:hAnsi="Arial"/>
                <w:sz w:val="13"/>
                <w:szCs w:val="13"/>
                <w:b w:val="1"/>
                <w:bCs w:val="1"/>
                <w:color w:val="0000EE"/>
                <w:w w:val="99"/>
              </w:rPr>
              <w:t>AUDIT MATTERS</w:t>
            </w:r>
          </w:p>
        </w:tc>
        <w:tc>
          <w:tcPr>
            <w:tcW w:w="660" w:type="dxa"/>
            <w:vAlign w:val="bottom"/>
            <w:tcBorders>
              <w:top w:val="single" w:sz="8" w:color="0000EE"/>
              <w:bottom w:val="single" w:sz="8" w:color="F3F6F7"/>
            </w:tcBorders>
            <w:gridSpan w:val="4"/>
            <w:shd w:val="clear" w:color="auto" w:fill="F3F6F7"/>
          </w:tcPr>
          <w:p>
            <w:pPr>
              <w:spacing w:after="0"/>
              <w:rPr>
                <w:sz w:val="24"/>
                <w:szCs w:val="24"/>
                <w:color w:val="auto"/>
              </w:rPr>
            </w:pPr>
          </w:p>
        </w:tc>
        <w:tc>
          <w:tcPr>
            <w:tcW w:w="2220" w:type="dxa"/>
            <w:vAlign w:val="bottom"/>
            <w:tcBorders>
              <w:top w:val="single" w:sz="8" w:color="F3F6F7"/>
              <w:bottom w:val="single" w:sz="8" w:color="F3F6F7"/>
            </w:tcBorders>
            <w:gridSpan w:val="12"/>
            <w:shd w:val="clear" w:color="auto" w:fill="F3F6F7"/>
          </w:tcPr>
          <w:p>
            <w:pPr>
              <w:spacing w:after="0"/>
              <w:rPr>
                <w:sz w:val="24"/>
                <w:szCs w:val="24"/>
                <w:color w:val="auto"/>
              </w:rPr>
            </w:pPr>
          </w:p>
        </w:tc>
        <w:tc>
          <w:tcPr>
            <w:tcW w:w="140" w:type="dxa"/>
            <w:vAlign w:val="bottom"/>
            <w:tcBorders>
              <w:top w:val="single" w:sz="8" w:color="F3F6F7"/>
              <w:bottom w:val="single" w:sz="8" w:color="F3F6F7"/>
            </w:tcBorders>
            <w:shd w:val="clear" w:color="auto" w:fill="F3F6F7"/>
          </w:tcPr>
          <w:p>
            <w:pPr>
              <w:spacing w:after="0"/>
              <w:rPr>
                <w:sz w:val="24"/>
                <w:szCs w:val="24"/>
                <w:color w:val="auto"/>
              </w:rPr>
            </w:pPr>
          </w:p>
        </w:tc>
        <w:tc>
          <w:tcPr>
            <w:tcW w:w="240" w:type="dxa"/>
            <w:vAlign w:val="bottom"/>
            <w:tcBorders>
              <w:top w:val="single" w:sz="8" w:color="F3F6F7"/>
              <w:bottom w:val="single" w:sz="8" w:color="F3F6F7"/>
            </w:tcBorders>
            <w:shd w:val="clear" w:color="auto" w:fill="F3F6F7"/>
          </w:tcPr>
          <w:p>
            <w:pPr>
              <w:spacing w:after="0"/>
              <w:rPr>
                <w:sz w:val="24"/>
                <w:szCs w:val="24"/>
                <w:color w:val="auto"/>
              </w:rPr>
            </w:pPr>
          </w:p>
        </w:tc>
        <w:tc>
          <w:tcPr>
            <w:tcW w:w="80" w:type="dxa"/>
            <w:vAlign w:val="bottom"/>
            <w:tcBorders>
              <w:top w:val="single" w:sz="8" w:color="F3F6F7"/>
              <w:bottom w:val="single" w:sz="8" w:color="F3F6F7"/>
            </w:tcBorders>
            <w:shd w:val="clear" w:color="auto" w:fill="F3F6F7"/>
          </w:tcPr>
          <w:p>
            <w:pPr>
              <w:spacing w:after="0"/>
              <w:rPr>
                <w:sz w:val="24"/>
                <w:szCs w:val="24"/>
                <w:color w:val="auto"/>
              </w:rPr>
            </w:pPr>
          </w:p>
        </w:tc>
        <w:tc>
          <w:tcPr>
            <w:tcW w:w="400" w:type="dxa"/>
            <w:vAlign w:val="bottom"/>
            <w:tcBorders>
              <w:top w:val="single" w:sz="8" w:color="F3F6F7"/>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43</w:t>
            </w:r>
          </w:p>
        </w:tc>
        <w:tc>
          <w:tcPr>
            <w:tcW w:w="240" w:type="dxa"/>
            <w:vAlign w:val="bottom"/>
            <w:tcBorders>
              <w:top w:val="single" w:sz="8" w:color="F3F6F7"/>
              <w:bottom w:val="single" w:sz="8" w:color="F3F6F7"/>
            </w:tcBorders>
            <w:shd w:val="clear" w:color="auto" w:fill="F3F6F7"/>
          </w:tcPr>
          <w:p>
            <w:pPr>
              <w:spacing w:after="0"/>
              <w:rPr>
                <w:sz w:val="24"/>
                <w:szCs w:val="24"/>
                <w:color w:val="auto"/>
              </w:rPr>
            </w:pPr>
          </w:p>
        </w:tc>
        <w:tc>
          <w:tcPr>
            <w:tcW w:w="120" w:type="dxa"/>
            <w:vAlign w:val="bottom"/>
            <w:tcBorders>
              <w:top w:val="single" w:sz="8" w:color="F3F6F7"/>
              <w:bottom w:val="single" w:sz="8" w:color="F3F6F7"/>
            </w:tcBorders>
            <w:shd w:val="clear" w:color="auto" w:fill="F3F6F7"/>
          </w:tcPr>
          <w:p>
            <w:pPr>
              <w:spacing w:after="0"/>
              <w:rPr>
                <w:sz w:val="24"/>
                <w:szCs w:val="24"/>
                <w:color w:val="auto"/>
              </w:rPr>
            </w:pPr>
          </w:p>
        </w:tc>
        <w:tc>
          <w:tcPr>
            <w:tcW w:w="660" w:type="dxa"/>
            <w:vAlign w:val="bottom"/>
            <w:tcBorders>
              <w:top w:val="single" w:sz="8" w:color="F3F6F7"/>
              <w:bottom w:val="single" w:sz="8" w:color="F3F6F7"/>
            </w:tcBorders>
            <w:shd w:val="clear" w:color="auto" w:fill="F3F6F7"/>
          </w:tcPr>
          <w:p>
            <w:pPr>
              <w:spacing w:after="0"/>
              <w:rPr>
                <w:sz w:val="24"/>
                <w:szCs w:val="24"/>
                <w:color w:val="auto"/>
              </w:rPr>
            </w:pPr>
          </w:p>
        </w:tc>
        <w:tc>
          <w:tcPr>
            <w:tcW w:w="240" w:type="dxa"/>
            <w:vAlign w:val="bottom"/>
            <w:tcBorders>
              <w:top w:val="single" w:sz="8" w:color="F3F6F7"/>
              <w:bottom w:val="single" w:sz="8" w:color="F3F6F7"/>
            </w:tcBorders>
            <w:shd w:val="clear" w:color="auto" w:fill="F3F6F7"/>
          </w:tcPr>
          <w:p>
            <w:pPr>
              <w:spacing w:after="0"/>
              <w:rPr>
                <w:sz w:val="24"/>
                <w:szCs w:val="24"/>
                <w:color w:val="auto"/>
              </w:rPr>
            </w:pPr>
          </w:p>
        </w:tc>
        <w:tc>
          <w:tcPr>
            <w:tcW w:w="400" w:type="dxa"/>
            <w:vAlign w:val="bottom"/>
            <w:tcBorders>
              <w:top w:val="single" w:sz="8" w:color="F3F6F7"/>
              <w:bottom w:val="single" w:sz="8" w:color="F3F6F7"/>
            </w:tcBorders>
            <w:shd w:val="clear" w:color="auto" w:fill="F3F6F7"/>
          </w:tcPr>
          <w:p>
            <w:pPr>
              <w:spacing w:after="0"/>
              <w:rPr>
                <w:sz w:val="24"/>
                <w:szCs w:val="24"/>
                <w:color w:val="auto"/>
              </w:rPr>
            </w:pPr>
          </w:p>
        </w:tc>
        <w:tc>
          <w:tcPr>
            <w:tcW w:w="180" w:type="dxa"/>
            <w:vAlign w:val="bottom"/>
            <w:tcBorders>
              <w:top w:val="single" w:sz="8" w:color="F3F6F7"/>
              <w:bottom w:val="single" w:sz="8" w:color="F3F6F7"/>
            </w:tcBorders>
            <w:shd w:val="clear" w:color="auto" w:fill="F3F6F7"/>
          </w:tcPr>
          <w:p>
            <w:pPr>
              <w:spacing w:after="0"/>
              <w:rPr>
                <w:sz w:val="24"/>
                <w:szCs w:val="24"/>
                <w:color w:val="auto"/>
              </w:rPr>
            </w:pPr>
          </w:p>
        </w:tc>
        <w:tc>
          <w:tcPr>
            <w:tcW w:w="220" w:type="dxa"/>
            <w:vAlign w:val="bottom"/>
            <w:tcBorders>
              <w:top w:val="single" w:sz="8" w:color="F3F6F7"/>
              <w:bottom w:val="single" w:sz="8" w:color="F3F6F7"/>
            </w:tcBorders>
            <w:shd w:val="clear" w:color="auto" w:fill="F3F6F7"/>
          </w:tcPr>
          <w:p>
            <w:pPr>
              <w:spacing w:after="0"/>
              <w:rPr>
                <w:sz w:val="24"/>
                <w:szCs w:val="24"/>
                <w:color w:val="auto"/>
              </w:rPr>
            </w:pPr>
          </w:p>
        </w:tc>
        <w:tc>
          <w:tcPr>
            <w:tcW w:w="280" w:type="dxa"/>
            <w:vAlign w:val="bottom"/>
            <w:tcBorders>
              <w:top w:val="single" w:sz="8" w:color="F3F6F7"/>
              <w:bottom w:val="single" w:sz="8" w:color="F3F6F7"/>
            </w:tcBorders>
            <w:shd w:val="clear" w:color="auto" w:fill="F3F6F7"/>
          </w:tcPr>
          <w:p>
            <w:pPr>
              <w:spacing w:after="0"/>
              <w:rPr>
                <w:sz w:val="24"/>
                <w:szCs w:val="24"/>
                <w:color w:val="auto"/>
              </w:rPr>
            </w:pPr>
          </w:p>
        </w:tc>
        <w:tc>
          <w:tcPr>
            <w:tcW w:w="140" w:type="dxa"/>
            <w:vAlign w:val="bottom"/>
            <w:tcBorders>
              <w:top w:val="single" w:sz="8" w:color="F3F6F7"/>
              <w:bottom w:val="single" w:sz="8" w:color="F3F6F7"/>
            </w:tcBorders>
            <w:shd w:val="clear" w:color="auto" w:fill="F3F6F7"/>
          </w:tcPr>
          <w:p>
            <w:pPr>
              <w:spacing w:after="0"/>
              <w:rPr>
                <w:sz w:val="24"/>
                <w:szCs w:val="24"/>
                <w:color w:val="auto"/>
              </w:rPr>
            </w:pPr>
          </w:p>
        </w:tc>
        <w:tc>
          <w:tcPr>
            <w:tcW w:w="140" w:type="dxa"/>
            <w:vAlign w:val="bottom"/>
            <w:tcBorders>
              <w:top w:val="single" w:sz="8" w:color="F3F6F7"/>
              <w:bottom w:val="single" w:sz="8" w:color="F3F6F7"/>
            </w:tcBorders>
            <w:shd w:val="clear" w:color="auto" w:fill="F3F6F7"/>
          </w:tcPr>
          <w:p>
            <w:pPr>
              <w:spacing w:after="0"/>
              <w:rPr>
                <w:sz w:val="24"/>
                <w:szCs w:val="24"/>
                <w:color w:val="auto"/>
              </w:rPr>
            </w:pPr>
          </w:p>
        </w:tc>
        <w:tc>
          <w:tcPr>
            <w:tcW w:w="520" w:type="dxa"/>
            <w:vAlign w:val="bottom"/>
            <w:tcBorders>
              <w:top w:val="single" w:sz="8" w:color="F3F6F7"/>
              <w:bottom w:val="single" w:sz="8" w:color="F3F6F7"/>
            </w:tcBorders>
            <w:shd w:val="clear" w:color="auto" w:fill="F3F6F7"/>
          </w:tcPr>
          <w:p>
            <w:pPr>
              <w:spacing w:after="0"/>
              <w:rPr>
                <w:sz w:val="24"/>
                <w:szCs w:val="24"/>
                <w:color w:val="auto"/>
              </w:rPr>
            </w:pPr>
          </w:p>
        </w:tc>
        <w:tc>
          <w:tcPr>
            <w:tcW w:w="280" w:type="dxa"/>
            <w:vAlign w:val="bottom"/>
            <w:tcBorders>
              <w:top w:val="single" w:sz="8" w:color="F3F6F7"/>
              <w:bottom w:val="single" w:sz="8" w:color="F3F6F7"/>
            </w:tcBorders>
            <w:shd w:val="clear" w:color="auto" w:fill="F3F6F7"/>
          </w:tcPr>
          <w:p>
            <w:pPr>
              <w:spacing w:after="0"/>
              <w:rPr>
                <w:sz w:val="24"/>
                <w:szCs w:val="24"/>
                <w:color w:val="auto"/>
              </w:rPr>
            </w:pPr>
          </w:p>
        </w:tc>
        <w:tc>
          <w:tcPr>
            <w:tcW w:w="100" w:type="dxa"/>
            <w:vAlign w:val="bottom"/>
            <w:tcBorders>
              <w:top w:val="single" w:sz="8" w:color="F3F6F7"/>
              <w:bottom w:val="single" w:sz="8" w:color="F3F6F7"/>
            </w:tcBorders>
            <w:shd w:val="clear" w:color="auto" w:fill="F3F6F7"/>
          </w:tcPr>
          <w:p>
            <w:pPr>
              <w:spacing w:after="0"/>
              <w:rPr>
                <w:sz w:val="24"/>
                <w:szCs w:val="24"/>
                <w:color w:val="auto"/>
              </w:rPr>
            </w:pPr>
          </w:p>
        </w:tc>
        <w:tc>
          <w:tcPr>
            <w:tcW w:w="80" w:type="dxa"/>
            <w:vAlign w:val="bottom"/>
            <w:tcBorders>
              <w:top w:val="single" w:sz="8" w:color="F3F6F7"/>
              <w:bottom w:val="single" w:sz="8" w:color="F3F6F7"/>
            </w:tcBorders>
            <w:shd w:val="clear" w:color="auto" w:fill="F3F6F7"/>
          </w:tcPr>
          <w:p>
            <w:pPr>
              <w:spacing w:after="0"/>
              <w:rPr>
                <w:sz w:val="24"/>
                <w:szCs w:val="24"/>
                <w:color w:val="auto"/>
              </w:rPr>
            </w:pPr>
          </w:p>
        </w:tc>
        <w:tc>
          <w:tcPr>
            <w:tcW w:w="80" w:type="dxa"/>
            <w:vAlign w:val="bottom"/>
            <w:tcBorders>
              <w:top w:val="single" w:sz="8" w:color="F3F6F7"/>
              <w:bottom w:val="single" w:sz="8" w:color="F3F6F7"/>
            </w:tcBorders>
            <w:shd w:val="clear" w:color="auto" w:fill="F3F6F7"/>
          </w:tcPr>
          <w:p>
            <w:pPr>
              <w:spacing w:after="0"/>
              <w:rPr>
                <w:sz w:val="24"/>
                <w:szCs w:val="24"/>
                <w:color w:val="auto"/>
              </w:rPr>
            </w:pPr>
          </w:p>
        </w:tc>
        <w:tc>
          <w:tcPr>
            <w:tcW w:w="180" w:type="dxa"/>
            <w:vAlign w:val="bottom"/>
            <w:tcBorders>
              <w:top w:val="single" w:sz="8" w:color="F3F6F7"/>
              <w:bottom w:val="single" w:sz="8" w:color="F3F6F7"/>
            </w:tcBorders>
            <w:shd w:val="clear" w:color="auto" w:fill="F3F6F7"/>
          </w:tcPr>
          <w:p>
            <w:pPr>
              <w:spacing w:after="0"/>
              <w:rPr>
                <w:sz w:val="24"/>
                <w:szCs w:val="24"/>
                <w:color w:val="auto"/>
              </w:rPr>
            </w:pPr>
          </w:p>
        </w:tc>
        <w:tc>
          <w:tcPr>
            <w:tcW w:w="120" w:type="dxa"/>
            <w:vAlign w:val="bottom"/>
            <w:tcBorders>
              <w:top w:val="single" w:sz="8" w:color="F3F6F7"/>
              <w:bottom w:val="single" w:sz="8" w:color="F3F6F7"/>
            </w:tcBorders>
            <w:shd w:val="clear" w:color="auto" w:fill="F3F6F7"/>
          </w:tcPr>
          <w:p>
            <w:pPr>
              <w:spacing w:after="0"/>
              <w:rPr>
                <w:sz w:val="24"/>
                <w:szCs w:val="24"/>
                <w:color w:val="auto"/>
              </w:rPr>
            </w:pPr>
          </w:p>
        </w:tc>
        <w:tc>
          <w:tcPr>
            <w:tcW w:w="180" w:type="dxa"/>
            <w:vAlign w:val="bottom"/>
            <w:tcBorders>
              <w:top w:val="single" w:sz="8" w:color="F3F6F7"/>
              <w:bottom w:val="single" w:sz="8" w:color="F3F6F7"/>
            </w:tcBorders>
            <w:shd w:val="clear" w:color="auto" w:fill="F3F6F7"/>
          </w:tcPr>
          <w:p>
            <w:pPr>
              <w:spacing w:after="0"/>
              <w:rPr>
                <w:sz w:val="24"/>
                <w:szCs w:val="24"/>
                <w:color w:val="auto"/>
              </w:rPr>
            </w:pPr>
          </w:p>
        </w:tc>
        <w:tc>
          <w:tcPr>
            <w:tcW w:w="160" w:type="dxa"/>
            <w:vAlign w:val="bottom"/>
            <w:tcBorders>
              <w:top w:val="single" w:sz="8" w:color="F3F6F7"/>
              <w:bottom w:val="single" w:sz="8" w:color="F3F6F7"/>
            </w:tcBorders>
            <w:shd w:val="clear" w:color="auto" w:fill="F3F6F7"/>
          </w:tcPr>
          <w:p>
            <w:pPr>
              <w:spacing w:after="0"/>
              <w:rPr>
                <w:sz w:val="24"/>
                <w:szCs w:val="24"/>
                <w:color w:val="auto"/>
              </w:rPr>
            </w:pPr>
          </w:p>
        </w:tc>
        <w:tc>
          <w:tcPr>
            <w:tcW w:w="660" w:type="dxa"/>
            <w:vAlign w:val="bottom"/>
            <w:tcBorders>
              <w:top w:val="single" w:sz="8" w:color="F3F6F7"/>
              <w:bottom w:val="single" w:sz="8" w:color="F3F6F7"/>
            </w:tcBorders>
            <w:shd w:val="clear" w:color="auto" w:fill="F3F6F7"/>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Audit Committee Report</w:t>
            </w:r>
          </w:p>
        </w:tc>
        <w:tc>
          <w:tcPr>
            <w:tcW w:w="140" w:type="dxa"/>
            <w:vAlign w:val="bottom"/>
            <w:shd w:val="clear" w:color="auto" w:fill="F3F6F7"/>
          </w:tcPr>
          <w:p>
            <w:pPr>
              <w:spacing w:after="0"/>
              <w:rPr>
                <w:sz w:val="23"/>
                <w:szCs w:val="23"/>
                <w:color w:val="auto"/>
              </w:rPr>
            </w:pPr>
          </w:p>
        </w:tc>
        <w:tc>
          <w:tcPr>
            <w:tcW w:w="24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43</w:t>
            </w:r>
          </w:p>
        </w:tc>
        <w:tc>
          <w:tcPr>
            <w:tcW w:w="240" w:type="dxa"/>
            <w:vAlign w:val="bottom"/>
            <w:shd w:val="clear" w:color="auto" w:fill="F3F6F7"/>
          </w:tcPr>
          <w:p>
            <w:pPr>
              <w:spacing w:after="0"/>
              <w:rPr>
                <w:sz w:val="23"/>
                <w:szCs w:val="23"/>
                <w:color w:val="auto"/>
              </w:rPr>
            </w:pPr>
          </w:p>
        </w:tc>
        <w:tc>
          <w:tcPr>
            <w:tcW w:w="4080" w:type="dxa"/>
            <w:vAlign w:val="bottom"/>
            <w:gridSpan w:val="18"/>
            <w:shd w:val="clear" w:color="auto" w:fill="F3F6F7"/>
          </w:tcPr>
          <w:p>
            <w:pPr>
              <w:ind w:left="120"/>
              <w:spacing w:after="0"/>
              <w:rPr>
                <w:sz w:val="20"/>
                <w:szCs w:val="20"/>
                <w:color w:val="auto"/>
              </w:rPr>
            </w:pPr>
            <w:r>
              <w:rPr>
                <w:rFonts w:ascii="Arial" w:cs="Arial" w:eastAsia="Arial" w:hAnsi="Arial"/>
                <w:sz w:val="13"/>
                <w:szCs w:val="13"/>
                <w:color w:val="0000EE"/>
              </w:rPr>
              <w:t>Independent Registered Public Accounting Firm Fees</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05"/>
        </w:trPr>
        <w:tc>
          <w:tcPr>
            <w:tcW w:w="120" w:type="dxa"/>
            <w:vAlign w:val="bottom"/>
            <w:tcBorders>
              <w:top w:val="single" w:sz="8" w:color="F3F6F7"/>
            </w:tcBorders>
            <w:shd w:val="clear" w:color="auto" w:fill="F3F6F7"/>
          </w:tcPr>
          <w:p>
            <w:pPr>
              <w:spacing w:after="0"/>
              <w:rPr>
                <w:sz w:val="9"/>
                <w:szCs w:val="9"/>
                <w:color w:val="auto"/>
              </w:rPr>
            </w:pPr>
          </w:p>
        </w:tc>
        <w:tc>
          <w:tcPr>
            <w:tcW w:w="940" w:type="dxa"/>
            <w:vAlign w:val="bottom"/>
            <w:tcBorders>
              <w:top w:val="single" w:sz="8" w:color="0000EE"/>
              <w:right w:val="single" w:sz="8" w:color="F3F6F7"/>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26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0000EE"/>
              <w:right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6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90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20" w:type="dxa"/>
            <w:vAlign w:val="bottom"/>
            <w:tcBorders>
              <w:top w:val="single" w:sz="8" w:color="F3F6F7"/>
            </w:tcBorders>
            <w:shd w:val="clear" w:color="auto" w:fill="F3F6F7"/>
          </w:tcPr>
          <w:p>
            <w:pPr>
              <w:spacing w:after="0"/>
              <w:rPr>
                <w:sz w:val="9"/>
                <w:szCs w:val="9"/>
                <w:color w:val="auto"/>
              </w:rPr>
            </w:pPr>
          </w:p>
        </w:tc>
        <w:tc>
          <w:tcPr>
            <w:tcW w:w="340" w:type="dxa"/>
            <w:vAlign w:val="bottom"/>
            <w:tcBorders>
              <w:top w:val="single" w:sz="8" w:color="F3F6F7"/>
            </w:tcBorders>
            <w:shd w:val="clear" w:color="auto" w:fill="F3F6F7"/>
          </w:tcPr>
          <w:p>
            <w:pPr>
              <w:spacing w:after="0"/>
              <w:rPr>
                <w:sz w:val="9"/>
                <w:szCs w:val="9"/>
                <w:color w:val="auto"/>
              </w:rPr>
            </w:pPr>
          </w:p>
        </w:tc>
        <w:tc>
          <w:tcPr>
            <w:tcW w:w="14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40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12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0000EE"/>
            </w:tcBorders>
            <w:shd w:val="clear" w:color="auto" w:fill="F3F6F7"/>
          </w:tcPr>
          <w:p>
            <w:pPr>
              <w:spacing w:after="0"/>
              <w:rPr>
                <w:sz w:val="9"/>
                <w:szCs w:val="9"/>
                <w:color w:val="auto"/>
              </w:rPr>
            </w:pPr>
          </w:p>
        </w:tc>
        <w:tc>
          <w:tcPr>
            <w:tcW w:w="240" w:type="dxa"/>
            <w:vAlign w:val="bottom"/>
            <w:tcBorders>
              <w:top w:val="single" w:sz="8" w:color="0000EE"/>
            </w:tcBorders>
            <w:shd w:val="clear" w:color="auto" w:fill="F3F6F7"/>
          </w:tcPr>
          <w:p>
            <w:pPr>
              <w:spacing w:after="0"/>
              <w:rPr>
                <w:sz w:val="9"/>
                <w:szCs w:val="9"/>
                <w:color w:val="auto"/>
              </w:rPr>
            </w:pPr>
          </w:p>
        </w:tc>
        <w:tc>
          <w:tcPr>
            <w:tcW w:w="400" w:type="dxa"/>
            <w:vAlign w:val="bottom"/>
            <w:tcBorders>
              <w:top w:val="single" w:sz="8" w:color="0000EE"/>
            </w:tcBorders>
            <w:shd w:val="clear" w:color="auto" w:fill="F3F6F7"/>
          </w:tcPr>
          <w:p>
            <w:pPr>
              <w:spacing w:after="0"/>
              <w:rPr>
                <w:sz w:val="9"/>
                <w:szCs w:val="9"/>
                <w:color w:val="auto"/>
              </w:rPr>
            </w:pPr>
          </w:p>
        </w:tc>
        <w:tc>
          <w:tcPr>
            <w:tcW w:w="18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0000EE"/>
            </w:tcBorders>
            <w:shd w:val="clear" w:color="auto" w:fill="F3F6F7"/>
          </w:tcPr>
          <w:p>
            <w:pPr>
              <w:spacing w:after="0"/>
              <w:rPr>
                <w:sz w:val="9"/>
                <w:szCs w:val="9"/>
                <w:color w:val="auto"/>
              </w:rPr>
            </w:pPr>
          </w:p>
        </w:tc>
        <w:tc>
          <w:tcPr>
            <w:tcW w:w="280" w:type="dxa"/>
            <w:vAlign w:val="bottom"/>
            <w:tcBorders>
              <w:top w:val="single" w:sz="8" w:color="0000EE"/>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520" w:type="dxa"/>
            <w:vAlign w:val="bottom"/>
            <w:tcBorders>
              <w:top w:val="single" w:sz="8" w:color="0000EE"/>
            </w:tcBorders>
            <w:shd w:val="clear" w:color="auto" w:fill="F3F6F7"/>
          </w:tcPr>
          <w:p>
            <w:pPr>
              <w:spacing w:after="0"/>
              <w:rPr>
                <w:sz w:val="9"/>
                <w:szCs w:val="9"/>
                <w:color w:val="auto"/>
              </w:rPr>
            </w:pPr>
          </w:p>
        </w:tc>
        <w:tc>
          <w:tcPr>
            <w:tcW w:w="280" w:type="dxa"/>
            <w:vAlign w:val="bottom"/>
            <w:tcBorders>
              <w:top w:val="single" w:sz="8" w:color="0000EE"/>
            </w:tcBorders>
            <w:shd w:val="clear" w:color="auto" w:fill="F3F6F7"/>
          </w:tcPr>
          <w:p>
            <w:pPr>
              <w:spacing w:after="0"/>
              <w:rPr>
                <w:sz w:val="9"/>
                <w:szCs w:val="9"/>
                <w:color w:val="auto"/>
              </w:rPr>
            </w:pPr>
          </w:p>
        </w:tc>
        <w:tc>
          <w:tcPr>
            <w:tcW w:w="100" w:type="dxa"/>
            <w:vAlign w:val="bottom"/>
            <w:tcBorders>
              <w:top w:val="single" w:sz="8" w:color="0000EE"/>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12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16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F3F6F7"/>
            </w:tcBorders>
            <w:shd w:val="clear" w:color="auto" w:fill="F3F6F7"/>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tcBorders>
              <w:bottom w:val="single" w:sz="8" w:color="F3F6F7"/>
            </w:tcBorders>
            <w:shd w:val="clear" w:color="auto" w:fill="F3F6F7"/>
          </w:tcPr>
          <w:p>
            <w:pPr>
              <w:spacing w:after="0"/>
              <w:rPr>
                <w:sz w:val="17"/>
                <w:szCs w:val="17"/>
                <w:color w:val="auto"/>
              </w:rPr>
            </w:pPr>
          </w:p>
        </w:tc>
        <w:tc>
          <w:tcPr>
            <w:tcW w:w="1980" w:type="dxa"/>
            <w:vAlign w:val="bottom"/>
            <w:tcBorders>
              <w:bottom w:val="single" w:sz="8" w:color="0000EE"/>
            </w:tcBorders>
            <w:gridSpan w:val="9"/>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OTHER INFORMATION</w:t>
            </w:r>
          </w:p>
        </w:tc>
        <w:tc>
          <w:tcPr>
            <w:tcW w:w="1980" w:type="dxa"/>
            <w:vAlign w:val="bottom"/>
            <w:tcBorders>
              <w:bottom w:val="single" w:sz="8" w:color="F3F6F7"/>
            </w:tcBorders>
            <w:gridSpan w:val="9"/>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40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12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40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220" w:type="dxa"/>
            <w:vAlign w:val="bottom"/>
            <w:tcBorders>
              <w:bottom w:val="single" w:sz="8" w:color="F3F6F7"/>
            </w:tcBorders>
            <w:shd w:val="clear" w:color="auto" w:fill="F3F6F7"/>
          </w:tcPr>
          <w:p>
            <w:pPr>
              <w:spacing w:after="0"/>
              <w:rPr>
                <w:sz w:val="17"/>
                <w:szCs w:val="17"/>
                <w:color w:val="auto"/>
              </w:rPr>
            </w:pPr>
          </w:p>
        </w:tc>
        <w:tc>
          <w:tcPr>
            <w:tcW w:w="280" w:type="dxa"/>
            <w:vAlign w:val="bottom"/>
            <w:tcBorders>
              <w:bottom w:val="single" w:sz="8" w:color="F3F6F7"/>
            </w:tcBorders>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520" w:type="dxa"/>
            <w:vAlign w:val="bottom"/>
            <w:tcBorders>
              <w:bottom w:val="single" w:sz="8" w:color="F3F6F7"/>
            </w:tcBorders>
            <w:shd w:val="clear" w:color="auto" w:fill="F3F6F7"/>
          </w:tcPr>
          <w:p>
            <w:pPr>
              <w:spacing w:after="0"/>
              <w:rPr>
                <w:sz w:val="17"/>
                <w:szCs w:val="17"/>
                <w:color w:val="auto"/>
              </w:rPr>
            </w:pPr>
          </w:p>
        </w:tc>
        <w:tc>
          <w:tcPr>
            <w:tcW w:w="280" w:type="dxa"/>
            <w:vAlign w:val="bottom"/>
            <w:tcBorders>
              <w:bottom w:val="single" w:sz="8" w:color="F3F6F7"/>
            </w:tcBorders>
            <w:shd w:val="clear" w:color="auto" w:fill="F3F6F7"/>
          </w:tcPr>
          <w:p>
            <w:pPr>
              <w:spacing w:after="0"/>
              <w:rPr>
                <w:sz w:val="17"/>
                <w:szCs w:val="17"/>
                <w:color w:val="auto"/>
              </w:rPr>
            </w:pPr>
          </w:p>
        </w:tc>
        <w:tc>
          <w:tcPr>
            <w:tcW w:w="10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12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16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jc w:val="right"/>
              <w:ind w:right="42"/>
              <w:spacing w:after="0" w:line="200" w:lineRule="exact"/>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80"/>
        </w:trPr>
        <w:tc>
          <w:tcPr>
            <w:tcW w:w="120" w:type="dxa"/>
            <w:vAlign w:val="bottom"/>
            <w:tcBorders>
              <w:bottom w:val="single" w:sz="8" w:color="F3F6F7"/>
            </w:tcBorders>
            <w:shd w:val="clear" w:color="auto" w:fill="F3F6F7"/>
          </w:tcPr>
          <w:p>
            <w:pPr>
              <w:spacing w:after="0"/>
              <w:rPr>
                <w:sz w:val="24"/>
                <w:szCs w:val="24"/>
                <w:color w:val="auto"/>
              </w:rPr>
            </w:pPr>
          </w:p>
        </w:tc>
        <w:tc>
          <w:tcPr>
            <w:tcW w:w="1560" w:type="dxa"/>
            <w:vAlign w:val="bottom"/>
            <w:tcBorders>
              <w:bottom w:val="single" w:sz="8" w:color="0000EE"/>
              <w:right w:val="single" w:sz="8" w:color="F3F6F7"/>
            </w:tcBorders>
            <w:gridSpan w:val="4"/>
            <w:shd w:val="clear" w:color="auto" w:fill="F3F6F7"/>
          </w:tcPr>
          <w:p>
            <w:pPr>
              <w:spacing w:after="0"/>
              <w:rPr>
                <w:sz w:val="20"/>
                <w:szCs w:val="20"/>
                <w:color w:val="auto"/>
              </w:rPr>
            </w:pPr>
            <w:r>
              <w:rPr>
                <w:rFonts w:ascii="Arial" w:cs="Arial" w:eastAsia="Arial" w:hAnsi="Arial"/>
                <w:sz w:val="13"/>
                <w:szCs w:val="13"/>
                <w:color w:val="0000EE"/>
              </w:rPr>
              <w:t>Management Ownership</w:t>
            </w:r>
          </w:p>
        </w:tc>
        <w:tc>
          <w:tcPr>
            <w:tcW w:w="2400" w:type="dxa"/>
            <w:vAlign w:val="bottom"/>
            <w:tcBorders>
              <w:bottom w:val="single" w:sz="8" w:color="F3F6F7"/>
            </w:tcBorders>
            <w:gridSpan w:val="14"/>
            <w:shd w:val="clear" w:color="auto" w:fill="F3F6F7"/>
          </w:tcPr>
          <w:p>
            <w:pPr>
              <w:spacing w:after="0"/>
              <w:rPr>
                <w:sz w:val="24"/>
                <w:szCs w:val="24"/>
                <w:color w:val="auto"/>
              </w:rPr>
            </w:pPr>
          </w:p>
        </w:tc>
        <w:tc>
          <w:tcPr>
            <w:tcW w:w="140" w:type="dxa"/>
            <w:vAlign w:val="bottom"/>
            <w:tcBorders>
              <w:bottom w:val="single" w:sz="8" w:color="F3F6F7"/>
            </w:tcBorders>
            <w:shd w:val="clear" w:color="auto" w:fill="F3F6F7"/>
          </w:tcPr>
          <w:p>
            <w:pPr>
              <w:spacing w:after="0"/>
              <w:rPr>
                <w:sz w:val="24"/>
                <w:szCs w:val="24"/>
                <w:color w:val="auto"/>
              </w:rPr>
            </w:pPr>
          </w:p>
        </w:tc>
        <w:tc>
          <w:tcPr>
            <w:tcW w:w="240" w:type="dxa"/>
            <w:vAlign w:val="bottom"/>
            <w:tcBorders>
              <w:bottom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400" w:type="dxa"/>
            <w:vAlign w:val="bottom"/>
            <w:tcBorders>
              <w:bottom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44</w:t>
            </w:r>
          </w:p>
        </w:tc>
        <w:tc>
          <w:tcPr>
            <w:tcW w:w="240" w:type="dxa"/>
            <w:vAlign w:val="bottom"/>
            <w:tcBorders>
              <w:bottom w:val="single" w:sz="8" w:color="F3F6F7"/>
            </w:tcBorders>
            <w:shd w:val="clear" w:color="auto" w:fill="F3F6F7"/>
          </w:tcPr>
          <w:p>
            <w:pPr>
              <w:spacing w:after="0"/>
              <w:rPr>
                <w:sz w:val="24"/>
                <w:szCs w:val="24"/>
                <w:color w:val="auto"/>
              </w:rPr>
            </w:pPr>
          </w:p>
        </w:tc>
        <w:tc>
          <w:tcPr>
            <w:tcW w:w="120" w:type="dxa"/>
            <w:vAlign w:val="bottom"/>
            <w:tcBorders>
              <w:bottom w:val="single" w:sz="8" w:color="F3F6F7"/>
            </w:tcBorders>
            <w:shd w:val="clear" w:color="auto" w:fill="F3F6F7"/>
          </w:tcPr>
          <w:p>
            <w:pPr>
              <w:spacing w:after="0"/>
              <w:rPr>
                <w:sz w:val="24"/>
                <w:szCs w:val="24"/>
                <w:color w:val="auto"/>
              </w:rPr>
            </w:pPr>
          </w:p>
        </w:tc>
        <w:tc>
          <w:tcPr>
            <w:tcW w:w="660" w:type="dxa"/>
            <w:vAlign w:val="bottom"/>
            <w:tcBorders>
              <w:bottom w:val="single" w:sz="8" w:color="F3F6F7"/>
            </w:tcBorders>
            <w:shd w:val="clear" w:color="auto" w:fill="F3F6F7"/>
          </w:tcPr>
          <w:p>
            <w:pPr>
              <w:spacing w:after="0"/>
              <w:rPr>
                <w:sz w:val="24"/>
                <w:szCs w:val="24"/>
                <w:color w:val="auto"/>
              </w:rPr>
            </w:pPr>
          </w:p>
        </w:tc>
        <w:tc>
          <w:tcPr>
            <w:tcW w:w="240" w:type="dxa"/>
            <w:vAlign w:val="bottom"/>
            <w:tcBorders>
              <w:bottom w:val="single" w:sz="8" w:color="F3F6F7"/>
            </w:tcBorders>
            <w:shd w:val="clear" w:color="auto" w:fill="F3F6F7"/>
          </w:tcPr>
          <w:p>
            <w:pPr>
              <w:spacing w:after="0"/>
              <w:rPr>
                <w:sz w:val="24"/>
                <w:szCs w:val="24"/>
                <w:color w:val="auto"/>
              </w:rPr>
            </w:pPr>
          </w:p>
        </w:tc>
        <w:tc>
          <w:tcPr>
            <w:tcW w:w="400" w:type="dxa"/>
            <w:vAlign w:val="bottom"/>
            <w:tcBorders>
              <w:bottom w:val="single" w:sz="8" w:color="F3F6F7"/>
            </w:tcBorders>
            <w:shd w:val="clear" w:color="auto" w:fill="F3F6F7"/>
          </w:tcPr>
          <w:p>
            <w:pPr>
              <w:spacing w:after="0"/>
              <w:rPr>
                <w:sz w:val="24"/>
                <w:szCs w:val="24"/>
                <w:color w:val="auto"/>
              </w:rPr>
            </w:pPr>
          </w:p>
        </w:tc>
        <w:tc>
          <w:tcPr>
            <w:tcW w:w="180" w:type="dxa"/>
            <w:vAlign w:val="bottom"/>
            <w:tcBorders>
              <w:bottom w:val="single" w:sz="8" w:color="F3F6F7"/>
            </w:tcBorders>
            <w:shd w:val="clear" w:color="auto" w:fill="F3F6F7"/>
          </w:tcPr>
          <w:p>
            <w:pPr>
              <w:spacing w:after="0"/>
              <w:rPr>
                <w:sz w:val="24"/>
                <w:szCs w:val="24"/>
                <w:color w:val="auto"/>
              </w:rPr>
            </w:pPr>
          </w:p>
        </w:tc>
        <w:tc>
          <w:tcPr>
            <w:tcW w:w="220" w:type="dxa"/>
            <w:vAlign w:val="bottom"/>
            <w:tcBorders>
              <w:bottom w:val="single" w:sz="8" w:color="F3F6F7"/>
            </w:tcBorders>
            <w:shd w:val="clear" w:color="auto" w:fill="F3F6F7"/>
          </w:tcPr>
          <w:p>
            <w:pPr>
              <w:spacing w:after="0"/>
              <w:rPr>
                <w:sz w:val="24"/>
                <w:szCs w:val="24"/>
                <w:color w:val="auto"/>
              </w:rPr>
            </w:pPr>
          </w:p>
        </w:tc>
        <w:tc>
          <w:tcPr>
            <w:tcW w:w="280" w:type="dxa"/>
            <w:vAlign w:val="bottom"/>
            <w:tcBorders>
              <w:bottom w:val="single" w:sz="8" w:color="F3F6F7"/>
            </w:tcBorders>
            <w:shd w:val="clear" w:color="auto" w:fill="F3F6F7"/>
          </w:tcPr>
          <w:p>
            <w:pPr>
              <w:spacing w:after="0"/>
              <w:rPr>
                <w:sz w:val="24"/>
                <w:szCs w:val="24"/>
                <w:color w:val="auto"/>
              </w:rPr>
            </w:pPr>
          </w:p>
        </w:tc>
        <w:tc>
          <w:tcPr>
            <w:tcW w:w="140" w:type="dxa"/>
            <w:vAlign w:val="bottom"/>
            <w:tcBorders>
              <w:bottom w:val="single" w:sz="8" w:color="F3F6F7"/>
            </w:tcBorders>
            <w:shd w:val="clear" w:color="auto" w:fill="F3F6F7"/>
          </w:tcPr>
          <w:p>
            <w:pPr>
              <w:spacing w:after="0"/>
              <w:rPr>
                <w:sz w:val="24"/>
                <w:szCs w:val="24"/>
                <w:color w:val="auto"/>
              </w:rPr>
            </w:pPr>
          </w:p>
        </w:tc>
        <w:tc>
          <w:tcPr>
            <w:tcW w:w="140" w:type="dxa"/>
            <w:vAlign w:val="bottom"/>
            <w:tcBorders>
              <w:bottom w:val="single" w:sz="8" w:color="F3F6F7"/>
            </w:tcBorders>
            <w:shd w:val="clear" w:color="auto" w:fill="F3F6F7"/>
          </w:tcPr>
          <w:p>
            <w:pPr>
              <w:spacing w:after="0"/>
              <w:rPr>
                <w:sz w:val="24"/>
                <w:szCs w:val="24"/>
                <w:color w:val="auto"/>
              </w:rPr>
            </w:pPr>
          </w:p>
        </w:tc>
        <w:tc>
          <w:tcPr>
            <w:tcW w:w="520" w:type="dxa"/>
            <w:vAlign w:val="bottom"/>
            <w:tcBorders>
              <w:bottom w:val="single" w:sz="8" w:color="F3F6F7"/>
            </w:tcBorders>
            <w:shd w:val="clear" w:color="auto" w:fill="F3F6F7"/>
          </w:tcPr>
          <w:p>
            <w:pPr>
              <w:spacing w:after="0"/>
              <w:rPr>
                <w:sz w:val="24"/>
                <w:szCs w:val="24"/>
                <w:color w:val="auto"/>
              </w:rPr>
            </w:pPr>
          </w:p>
        </w:tc>
        <w:tc>
          <w:tcPr>
            <w:tcW w:w="280" w:type="dxa"/>
            <w:vAlign w:val="bottom"/>
            <w:tcBorders>
              <w:bottom w:val="single" w:sz="8" w:color="F3F6F7"/>
            </w:tcBorders>
            <w:shd w:val="clear" w:color="auto" w:fill="F3F6F7"/>
          </w:tcPr>
          <w:p>
            <w:pPr>
              <w:spacing w:after="0"/>
              <w:rPr>
                <w:sz w:val="24"/>
                <w:szCs w:val="24"/>
                <w:color w:val="auto"/>
              </w:rPr>
            </w:pPr>
          </w:p>
        </w:tc>
        <w:tc>
          <w:tcPr>
            <w:tcW w:w="100" w:type="dxa"/>
            <w:vAlign w:val="bottom"/>
            <w:tcBorders>
              <w:bottom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80" w:type="dxa"/>
            <w:vAlign w:val="bottom"/>
            <w:tcBorders>
              <w:bottom w:val="single" w:sz="8" w:color="F3F6F7"/>
            </w:tcBorders>
            <w:shd w:val="clear" w:color="auto" w:fill="F3F6F7"/>
          </w:tcPr>
          <w:p>
            <w:pPr>
              <w:spacing w:after="0"/>
              <w:rPr>
                <w:sz w:val="24"/>
                <w:szCs w:val="24"/>
                <w:color w:val="auto"/>
              </w:rPr>
            </w:pPr>
          </w:p>
        </w:tc>
        <w:tc>
          <w:tcPr>
            <w:tcW w:w="180" w:type="dxa"/>
            <w:vAlign w:val="bottom"/>
            <w:tcBorders>
              <w:bottom w:val="single" w:sz="8" w:color="F3F6F7"/>
            </w:tcBorders>
            <w:shd w:val="clear" w:color="auto" w:fill="F3F6F7"/>
          </w:tcPr>
          <w:p>
            <w:pPr>
              <w:spacing w:after="0"/>
              <w:rPr>
                <w:sz w:val="24"/>
                <w:szCs w:val="24"/>
                <w:color w:val="auto"/>
              </w:rPr>
            </w:pPr>
          </w:p>
        </w:tc>
        <w:tc>
          <w:tcPr>
            <w:tcW w:w="120" w:type="dxa"/>
            <w:vAlign w:val="bottom"/>
            <w:tcBorders>
              <w:bottom w:val="single" w:sz="8" w:color="F3F6F7"/>
            </w:tcBorders>
            <w:shd w:val="clear" w:color="auto" w:fill="F3F6F7"/>
          </w:tcPr>
          <w:p>
            <w:pPr>
              <w:spacing w:after="0"/>
              <w:rPr>
                <w:sz w:val="24"/>
                <w:szCs w:val="24"/>
                <w:color w:val="auto"/>
              </w:rPr>
            </w:pPr>
          </w:p>
        </w:tc>
        <w:tc>
          <w:tcPr>
            <w:tcW w:w="180" w:type="dxa"/>
            <w:vAlign w:val="bottom"/>
            <w:tcBorders>
              <w:bottom w:val="single" w:sz="8" w:color="F3F6F7"/>
            </w:tcBorders>
            <w:shd w:val="clear" w:color="auto" w:fill="F3F6F7"/>
          </w:tcPr>
          <w:p>
            <w:pPr>
              <w:spacing w:after="0"/>
              <w:rPr>
                <w:sz w:val="24"/>
                <w:szCs w:val="24"/>
                <w:color w:val="auto"/>
              </w:rPr>
            </w:pPr>
          </w:p>
        </w:tc>
        <w:tc>
          <w:tcPr>
            <w:tcW w:w="160" w:type="dxa"/>
            <w:vAlign w:val="bottom"/>
            <w:tcBorders>
              <w:bottom w:val="single" w:sz="8" w:color="F3F6F7"/>
            </w:tcBorders>
            <w:shd w:val="clear" w:color="auto" w:fill="F3F6F7"/>
          </w:tcPr>
          <w:p>
            <w:pPr>
              <w:spacing w:after="0"/>
              <w:rPr>
                <w:sz w:val="24"/>
                <w:szCs w:val="24"/>
                <w:color w:val="auto"/>
              </w:rPr>
            </w:pPr>
          </w:p>
        </w:tc>
        <w:tc>
          <w:tcPr>
            <w:tcW w:w="660" w:type="dxa"/>
            <w:vAlign w:val="bottom"/>
            <w:tcBorders>
              <w:bottom w:val="single" w:sz="8" w:color="F3F6F7"/>
            </w:tcBorders>
            <w:shd w:val="clear" w:color="auto" w:fill="F3F6F7"/>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20" w:type="dxa"/>
            <w:vAlign w:val="bottom"/>
            <w:shd w:val="clear" w:color="auto" w:fill="F3F6F7"/>
          </w:tcPr>
          <w:p>
            <w:pPr>
              <w:spacing w:after="0"/>
              <w:rPr>
                <w:sz w:val="23"/>
                <w:szCs w:val="23"/>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Other Security Ownership</w:t>
            </w:r>
          </w:p>
        </w:tc>
        <w:tc>
          <w:tcPr>
            <w:tcW w:w="140" w:type="dxa"/>
            <w:vAlign w:val="bottom"/>
            <w:shd w:val="clear" w:color="auto" w:fill="F3F6F7"/>
          </w:tcPr>
          <w:p>
            <w:pPr>
              <w:spacing w:after="0"/>
              <w:rPr>
                <w:sz w:val="23"/>
                <w:szCs w:val="23"/>
                <w:color w:val="auto"/>
              </w:rPr>
            </w:pPr>
          </w:p>
        </w:tc>
        <w:tc>
          <w:tcPr>
            <w:tcW w:w="240" w:type="dxa"/>
            <w:vAlign w:val="bottom"/>
            <w:shd w:val="clear" w:color="auto" w:fill="F3F6F7"/>
          </w:tcPr>
          <w:p>
            <w:pPr>
              <w:spacing w:after="0"/>
              <w:rPr>
                <w:sz w:val="23"/>
                <w:szCs w:val="23"/>
                <w:color w:val="auto"/>
              </w:rPr>
            </w:pPr>
          </w:p>
        </w:tc>
        <w:tc>
          <w:tcPr>
            <w:tcW w:w="80" w:type="dxa"/>
            <w:vAlign w:val="bottom"/>
            <w:shd w:val="clear" w:color="auto" w:fill="F3F6F7"/>
          </w:tcPr>
          <w:p>
            <w:pPr>
              <w:spacing w:after="0"/>
              <w:rPr>
                <w:sz w:val="23"/>
                <w:szCs w:val="23"/>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45</w:t>
            </w:r>
          </w:p>
        </w:tc>
        <w:tc>
          <w:tcPr>
            <w:tcW w:w="240" w:type="dxa"/>
            <w:vAlign w:val="bottom"/>
            <w:shd w:val="clear" w:color="auto" w:fill="F3F6F7"/>
          </w:tcPr>
          <w:p>
            <w:pPr>
              <w:spacing w:after="0"/>
              <w:rPr>
                <w:sz w:val="23"/>
                <w:szCs w:val="23"/>
                <w:color w:val="auto"/>
              </w:rPr>
            </w:pPr>
          </w:p>
        </w:tc>
        <w:tc>
          <w:tcPr>
            <w:tcW w:w="4080" w:type="dxa"/>
            <w:vAlign w:val="bottom"/>
            <w:gridSpan w:val="18"/>
            <w:shd w:val="clear" w:color="auto" w:fill="F3F6F7"/>
          </w:tcPr>
          <w:p>
            <w:pPr>
              <w:ind w:left="120"/>
              <w:spacing w:after="0"/>
              <w:rPr>
                <w:sz w:val="20"/>
                <w:szCs w:val="20"/>
                <w:color w:val="auto"/>
              </w:rPr>
            </w:pPr>
            <w:r>
              <w:rPr>
                <w:rFonts w:ascii="Arial" w:cs="Arial" w:eastAsia="Arial" w:hAnsi="Arial"/>
                <w:sz w:val="13"/>
                <w:szCs w:val="13"/>
                <w:color w:val="0000EE"/>
              </w:rPr>
              <w:t>Compensation Committee Interlocks and Insider Participation</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05"/>
        </w:trPr>
        <w:tc>
          <w:tcPr>
            <w:tcW w:w="120" w:type="dxa"/>
            <w:vAlign w:val="bottom"/>
            <w:tcBorders>
              <w:top w:val="single" w:sz="8" w:color="F3F6F7"/>
            </w:tcBorders>
            <w:shd w:val="clear" w:color="auto" w:fill="F3F6F7"/>
          </w:tcPr>
          <w:p>
            <w:pPr>
              <w:spacing w:after="0"/>
              <w:rPr>
                <w:sz w:val="9"/>
                <w:szCs w:val="9"/>
                <w:color w:val="auto"/>
              </w:rPr>
            </w:pPr>
          </w:p>
        </w:tc>
        <w:tc>
          <w:tcPr>
            <w:tcW w:w="940" w:type="dxa"/>
            <w:vAlign w:val="bottom"/>
            <w:tcBorders>
              <w:top w:val="single" w:sz="8" w:color="0000EE"/>
              <w:right w:val="single" w:sz="8" w:color="F3F6F7"/>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26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0000EE"/>
              <w:right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6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100" w:type="dxa"/>
            <w:vAlign w:val="bottom"/>
            <w:tcBorders>
              <w:top w:val="single" w:sz="8" w:color="F3F6F7"/>
            </w:tcBorders>
            <w:shd w:val="clear" w:color="auto" w:fill="F3F6F7"/>
          </w:tcPr>
          <w:p>
            <w:pPr>
              <w:spacing w:after="0"/>
              <w:rPr>
                <w:sz w:val="9"/>
                <w:szCs w:val="9"/>
                <w:color w:val="auto"/>
              </w:rPr>
            </w:pPr>
          </w:p>
        </w:tc>
        <w:tc>
          <w:tcPr>
            <w:tcW w:w="900" w:type="dxa"/>
            <w:vAlign w:val="bottom"/>
            <w:tcBorders>
              <w:top w:val="single" w:sz="8" w:color="F3F6F7"/>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20" w:type="dxa"/>
            <w:vAlign w:val="bottom"/>
            <w:tcBorders>
              <w:top w:val="single" w:sz="8" w:color="F3F6F7"/>
            </w:tcBorders>
            <w:shd w:val="clear" w:color="auto" w:fill="F3F6F7"/>
          </w:tcPr>
          <w:p>
            <w:pPr>
              <w:spacing w:after="0"/>
              <w:rPr>
                <w:sz w:val="9"/>
                <w:szCs w:val="9"/>
                <w:color w:val="auto"/>
              </w:rPr>
            </w:pPr>
          </w:p>
        </w:tc>
        <w:tc>
          <w:tcPr>
            <w:tcW w:w="340" w:type="dxa"/>
            <w:vAlign w:val="bottom"/>
            <w:tcBorders>
              <w:top w:val="single" w:sz="8" w:color="F3F6F7"/>
            </w:tcBorders>
            <w:shd w:val="clear" w:color="auto" w:fill="F3F6F7"/>
          </w:tcPr>
          <w:p>
            <w:pPr>
              <w:spacing w:after="0"/>
              <w:rPr>
                <w:sz w:val="9"/>
                <w:szCs w:val="9"/>
                <w:color w:val="auto"/>
              </w:rPr>
            </w:pPr>
          </w:p>
        </w:tc>
        <w:tc>
          <w:tcPr>
            <w:tcW w:w="14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80" w:type="dxa"/>
            <w:vAlign w:val="bottom"/>
            <w:tcBorders>
              <w:top w:val="single" w:sz="8" w:color="F3F6F7"/>
            </w:tcBorders>
            <w:shd w:val="clear" w:color="auto" w:fill="F3F6F7"/>
          </w:tcPr>
          <w:p>
            <w:pPr>
              <w:spacing w:after="0"/>
              <w:rPr>
                <w:sz w:val="9"/>
                <w:szCs w:val="9"/>
                <w:color w:val="auto"/>
              </w:rPr>
            </w:pPr>
          </w:p>
        </w:tc>
        <w:tc>
          <w:tcPr>
            <w:tcW w:w="400" w:type="dxa"/>
            <w:vAlign w:val="bottom"/>
            <w:tcBorders>
              <w:top w:val="single" w:sz="8" w:color="F3F6F7"/>
            </w:tcBorders>
            <w:shd w:val="clear" w:color="auto" w:fill="F3F6F7"/>
          </w:tcPr>
          <w:p>
            <w:pPr>
              <w:spacing w:after="0"/>
              <w:rPr>
                <w:sz w:val="9"/>
                <w:szCs w:val="9"/>
                <w:color w:val="auto"/>
              </w:rPr>
            </w:pPr>
          </w:p>
        </w:tc>
        <w:tc>
          <w:tcPr>
            <w:tcW w:w="240" w:type="dxa"/>
            <w:vAlign w:val="bottom"/>
            <w:tcBorders>
              <w:top w:val="single" w:sz="8" w:color="F3F6F7"/>
            </w:tcBorders>
            <w:shd w:val="clear" w:color="auto" w:fill="F3F6F7"/>
          </w:tcPr>
          <w:p>
            <w:pPr>
              <w:spacing w:after="0"/>
              <w:rPr>
                <w:sz w:val="9"/>
                <w:szCs w:val="9"/>
                <w:color w:val="auto"/>
              </w:rPr>
            </w:pPr>
          </w:p>
        </w:tc>
        <w:tc>
          <w:tcPr>
            <w:tcW w:w="12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0000EE"/>
            </w:tcBorders>
            <w:shd w:val="clear" w:color="auto" w:fill="F3F6F7"/>
          </w:tcPr>
          <w:p>
            <w:pPr>
              <w:spacing w:after="0"/>
              <w:rPr>
                <w:sz w:val="9"/>
                <w:szCs w:val="9"/>
                <w:color w:val="auto"/>
              </w:rPr>
            </w:pPr>
          </w:p>
        </w:tc>
        <w:tc>
          <w:tcPr>
            <w:tcW w:w="240" w:type="dxa"/>
            <w:vAlign w:val="bottom"/>
            <w:tcBorders>
              <w:top w:val="single" w:sz="8" w:color="0000EE"/>
            </w:tcBorders>
            <w:shd w:val="clear" w:color="auto" w:fill="F3F6F7"/>
          </w:tcPr>
          <w:p>
            <w:pPr>
              <w:spacing w:after="0"/>
              <w:rPr>
                <w:sz w:val="9"/>
                <w:szCs w:val="9"/>
                <w:color w:val="auto"/>
              </w:rPr>
            </w:pPr>
          </w:p>
        </w:tc>
        <w:tc>
          <w:tcPr>
            <w:tcW w:w="400" w:type="dxa"/>
            <w:vAlign w:val="bottom"/>
            <w:tcBorders>
              <w:top w:val="single" w:sz="8" w:color="0000EE"/>
            </w:tcBorders>
            <w:shd w:val="clear" w:color="auto" w:fill="F3F6F7"/>
          </w:tcPr>
          <w:p>
            <w:pPr>
              <w:spacing w:after="0"/>
              <w:rPr>
                <w:sz w:val="9"/>
                <w:szCs w:val="9"/>
                <w:color w:val="auto"/>
              </w:rPr>
            </w:pPr>
          </w:p>
        </w:tc>
        <w:tc>
          <w:tcPr>
            <w:tcW w:w="180" w:type="dxa"/>
            <w:vAlign w:val="bottom"/>
            <w:tcBorders>
              <w:top w:val="single" w:sz="8" w:color="0000EE"/>
            </w:tcBorders>
            <w:shd w:val="clear" w:color="auto" w:fill="F3F6F7"/>
          </w:tcPr>
          <w:p>
            <w:pPr>
              <w:spacing w:after="0"/>
              <w:rPr>
                <w:sz w:val="9"/>
                <w:szCs w:val="9"/>
                <w:color w:val="auto"/>
              </w:rPr>
            </w:pPr>
          </w:p>
        </w:tc>
        <w:tc>
          <w:tcPr>
            <w:tcW w:w="220" w:type="dxa"/>
            <w:vAlign w:val="bottom"/>
            <w:tcBorders>
              <w:top w:val="single" w:sz="8" w:color="0000EE"/>
            </w:tcBorders>
            <w:shd w:val="clear" w:color="auto" w:fill="F3F6F7"/>
          </w:tcPr>
          <w:p>
            <w:pPr>
              <w:spacing w:after="0"/>
              <w:rPr>
                <w:sz w:val="9"/>
                <w:szCs w:val="9"/>
                <w:color w:val="auto"/>
              </w:rPr>
            </w:pPr>
          </w:p>
        </w:tc>
        <w:tc>
          <w:tcPr>
            <w:tcW w:w="280" w:type="dxa"/>
            <w:vAlign w:val="bottom"/>
            <w:tcBorders>
              <w:top w:val="single" w:sz="8" w:color="0000EE"/>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140" w:type="dxa"/>
            <w:vAlign w:val="bottom"/>
            <w:tcBorders>
              <w:top w:val="single" w:sz="8" w:color="0000EE"/>
            </w:tcBorders>
            <w:shd w:val="clear" w:color="auto" w:fill="F3F6F7"/>
          </w:tcPr>
          <w:p>
            <w:pPr>
              <w:spacing w:after="0"/>
              <w:rPr>
                <w:sz w:val="9"/>
                <w:szCs w:val="9"/>
                <w:color w:val="auto"/>
              </w:rPr>
            </w:pPr>
          </w:p>
        </w:tc>
        <w:tc>
          <w:tcPr>
            <w:tcW w:w="520" w:type="dxa"/>
            <w:vAlign w:val="bottom"/>
            <w:tcBorders>
              <w:top w:val="single" w:sz="8" w:color="0000EE"/>
            </w:tcBorders>
            <w:shd w:val="clear" w:color="auto" w:fill="F3F6F7"/>
          </w:tcPr>
          <w:p>
            <w:pPr>
              <w:spacing w:after="0"/>
              <w:rPr>
                <w:sz w:val="9"/>
                <w:szCs w:val="9"/>
                <w:color w:val="auto"/>
              </w:rPr>
            </w:pPr>
          </w:p>
        </w:tc>
        <w:tc>
          <w:tcPr>
            <w:tcW w:w="280" w:type="dxa"/>
            <w:vAlign w:val="bottom"/>
            <w:tcBorders>
              <w:top w:val="single" w:sz="8" w:color="0000EE"/>
            </w:tcBorders>
            <w:shd w:val="clear" w:color="auto" w:fill="F3F6F7"/>
          </w:tcPr>
          <w:p>
            <w:pPr>
              <w:spacing w:after="0"/>
              <w:rPr>
                <w:sz w:val="9"/>
                <w:szCs w:val="9"/>
                <w:color w:val="auto"/>
              </w:rPr>
            </w:pPr>
          </w:p>
        </w:tc>
        <w:tc>
          <w:tcPr>
            <w:tcW w:w="100" w:type="dxa"/>
            <w:vAlign w:val="bottom"/>
            <w:tcBorders>
              <w:top w:val="single" w:sz="8" w:color="0000EE"/>
            </w:tcBorders>
            <w:shd w:val="clear" w:color="auto" w:fill="F3F6F7"/>
          </w:tcPr>
          <w:p>
            <w:pPr>
              <w:spacing w:after="0"/>
              <w:rPr>
                <w:sz w:val="9"/>
                <w:szCs w:val="9"/>
                <w:color w:val="auto"/>
              </w:rPr>
            </w:pPr>
          </w:p>
        </w:tc>
        <w:tc>
          <w:tcPr>
            <w:tcW w:w="80" w:type="dxa"/>
            <w:vAlign w:val="bottom"/>
            <w:tcBorders>
              <w:top w:val="single" w:sz="8" w:color="0000EE"/>
            </w:tcBorders>
            <w:shd w:val="clear" w:color="auto" w:fill="F3F6F7"/>
          </w:tcPr>
          <w:p>
            <w:pPr>
              <w:spacing w:after="0"/>
              <w:rPr>
                <w:sz w:val="9"/>
                <w:szCs w:val="9"/>
                <w:color w:val="auto"/>
              </w:rPr>
            </w:pPr>
          </w:p>
        </w:tc>
        <w:tc>
          <w:tcPr>
            <w:tcW w:w="80" w:type="dxa"/>
            <w:vAlign w:val="bottom"/>
            <w:tcBorders>
              <w:top w:val="single" w:sz="8" w:color="0000EE"/>
            </w:tcBorders>
            <w:shd w:val="clear" w:color="auto" w:fill="F3F6F7"/>
          </w:tcPr>
          <w:p>
            <w:pPr>
              <w:spacing w:after="0"/>
              <w:rPr>
                <w:sz w:val="9"/>
                <w:szCs w:val="9"/>
                <w:color w:val="auto"/>
              </w:rPr>
            </w:pPr>
          </w:p>
        </w:tc>
        <w:tc>
          <w:tcPr>
            <w:tcW w:w="180" w:type="dxa"/>
            <w:vAlign w:val="bottom"/>
            <w:tcBorders>
              <w:top w:val="single" w:sz="8" w:color="0000EE"/>
            </w:tcBorders>
            <w:shd w:val="clear" w:color="auto" w:fill="F3F6F7"/>
          </w:tcPr>
          <w:p>
            <w:pPr>
              <w:spacing w:after="0"/>
              <w:rPr>
                <w:sz w:val="9"/>
                <w:szCs w:val="9"/>
                <w:color w:val="auto"/>
              </w:rPr>
            </w:pPr>
          </w:p>
        </w:tc>
        <w:tc>
          <w:tcPr>
            <w:tcW w:w="120" w:type="dxa"/>
            <w:vAlign w:val="bottom"/>
            <w:tcBorders>
              <w:top w:val="single" w:sz="8" w:color="0000EE"/>
            </w:tcBorders>
            <w:shd w:val="clear" w:color="auto" w:fill="F3F6F7"/>
          </w:tcPr>
          <w:p>
            <w:pPr>
              <w:spacing w:after="0"/>
              <w:rPr>
                <w:sz w:val="9"/>
                <w:szCs w:val="9"/>
                <w:color w:val="auto"/>
              </w:rPr>
            </w:pPr>
          </w:p>
        </w:tc>
        <w:tc>
          <w:tcPr>
            <w:tcW w:w="180" w:type="dxa"/>
            <w:vAlign w:val="bottom"/>
            <w:tcBorders>
              <w:top w:val="single" w:sz="8" w:color="F3F6F7"/>
            </w:tcBorders>
            <w:shd w:val="clear" w:color="auto" w:fill="F3F6F7"/>
          </w:tcPr>
          <w:p>
            <w:pPr>
              <w:spacing w:after="0"/>
              <w:rPr>
                <w:sz w:val="9"/>
                <w:szCs w:val="9"/>
                <w:color w:val="auto"/>
              </w:rPr>
            </w:pPr>
          </w:p>
        </w:tc>
        <w:tc>
          <w:tcPr>
            <w:tcW w:w="160" w:type="dxa"/>
            <w:vAlign w:val="bottom"/>
            <w:tcBorders>
              <w:top w:val="single" w:sz="8" w:color="F3F6F7"/>
            </w:tcBorders>
            <w:shd w:val="clear" w:color="auto" w:fill="F3F6F7"/>
          </w:tcPr>
          <w:p>
            <w:pPr>
              <w:spacing w:after="0"/>
              <w:rPr>
                <w:sz w:val="9"/>
                <w:szCs w:val="9"/>
                <w:color w:val="auto"/>
              </w:rPr>
            </w:pPr>
          </w:p>
        </w:tc>
        <w:tc>
          <w:tcPr>
            <w:tcW w:w="660" w:type="dxa"/>
            <w:vAlign w:val="bottom"/>
            <w:tcBorders>
              <w:top w:val="single" w:sz="8" w:color="F3F6F7"/>
            </w:tcBorders>
            <w:shd w:val="clear" w:color="auto" w:fill="F3F6F7"/>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120" w:type="dxa"/>
            <w:vAlign w:val="bottom"/>
            <w:shd w:val="clear" w:color="auto" w:fill="F3F6F7"/>
          </w:tcPr>
          <w:p>
            <w:pPr>
              <w:spacing w:after="0"/>
              <w:rPr>
                <w:sz w:val="21"/>
                <w:szCs w:val="21"/>
                <w:color w:val="auto"/>
              </w:rPr>
            </w:pPr>
          </w:p>
        </w:tc>
        <w:tc>
          <w:tcPr>
            <w:tcW w:w="4420" w:type="dxa"/>
            <w:vAlign w:val="bottom"/>
            <w:gridSpan w:val="21"/>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INFORMATION FOR OUR 2025 ANNUAL MEETING</w:t>
            </w:r>
          </w:p>
        </w:tc>
        <w:tc>
          <w:tcPr>
            <w:tcW w:w="400" w:type="dxa"/>
            <w:vAlign w:val="bottom"/>
            <w:shd w:val="clear" w:color="auto" w:fill="F3F6F7"/>
          </w:tcPr>
          <w:p>
            <w:pPr>
              <w:spacing w:after="0"/>
              <w:rPr>
                <w:sz w:val="21"/>
                <w:szCs w:val="21"/>
                <w:color w:val="auto"/>
              </w:rPr>
            </w:pPr>
          </w:p>
        </w:tc>
        <w:tc>
          <w:tcPr>
            <w:tcW w:w="240" w:type="dxa"/>
            <w:vAlign w:val="bottom"/>
            <w:shd w:val="clear" w:color="auto" w:fill="F3F6F7"/>
          </w:tcPr>
          <w:p>
            <w:pPr>
              <w:spacing w:after="0"/>
              <w:rPr>
                <w:sz w:val="21"/>
                <w:szCs w:val="21"/>
                <w:color w:val="auto"/>
              </w:rPr>
            </w:pPr>
          </w:p>
        </w:tc>
        <w:tc>
          <w:tcPr>
            <w:tcW w:w="120" w:type="dxa"/>
            <w:vAlign w:val="bottom"/>
            <w:shd w:val="clear" w:color="auto" w:fill="F3F6F7"/>
          </w:tcPr>
          <w:p>
            <w:pPr>
              <w:spacing w:after="0"/>
              <w:rPr>
                <w:sz w:val="21"/>
                <w:szCs w:val="21"/>
                <w:color w:val="auto"/>
              </w:rPr>
            </w:pPr>
          </w:p>
        </w:tc>
        <w:tc>
          <w:tcPr>
            <w:tcW w:w="660" w:type="dxa"/>
            <w:vAlign w:val="bottom"/>
            <w:shd w:val="clear" w:color="auto" w:fill="F3F6F7"/>
          </w:tcPr>
          <w:p>
            <w:pPr>
              <w:spacing w:after="0"/>
              <w:rPr>
                <w:sz w:val="21"/>
                <w:szCs w:val="21"/>
                <w:color w:val="auto"/>
              </w:rPr>
            </w:pPr>
          </w:p>
        </w:tc>
        <w:tc>
          <w:tcPr>
            <w:tcW w:w="240" w:type="dxa"/>
            <w:vAlign w:val="bottom"/>
            <w:shd w:val="clear" w:color="auto" w:fill="F3F6F7"/>
          </w:tcPr>
          <w:p>
            <w:pPr>
              <w:spacing w:after="0"/>
              <w:rPr>
                <w:sz w:val="21"/>
                <w:szCs w:val="21"/>
                <w:color w:val="auto"/>
              </w:rPr>
            </w:pPr>
          </w:p>
        </w:tc>
        <w:tc>
          <w:tcPr>
            <w:tcW w:w="400" w:type="dxa"/>
            <w:vAlign w:val="bottom"/>
            <w:shd w:val="clear" w:color="auto" w:fill="F3F6F7"/>
          </w:tcPr>
          <w:p>
            <w:pPr>
              <w:spacing w:after="0"/>
              <w:rPr>
                <w:sz w:val="21"/>
                <w:szCs w:val="21"/>
                <w:color w:val="auto"/>
              </w:rPr>
            </w:pPr>
          </w:p>
        </w:tc>
        <w:tc>
          <w:tcPr>
            <w:tcW w:w="180" w:type="dxa"/>
            <w:vAlign w:val="bottom"/>
            <w:shd w:val="clear" w:color="auto" w:fill="F3F6F7"/>
          </w:tcPr>
          <w:p>
            <w:pPr>
              <w:spacing w:after="0"/>
              <w:rPr>
                <w:sz w:val="21"/>
                <w:szCs w:val="21"/>
                <w:color w:val="auto"/>
              </w:rPr>
            </w:pPr>
          </w:p>
        </w:tc>
        <w:tc>
          <w:tcPr>
            <w:tcW w:w="220" w:type="dxa"/>
            <w:vAlign w:val="bottom"/>
            <w:shd w:val="clear" w:color="auto" w:fill="F3F6F7"/>
          </w:tcPr>
          <w:p>
            <w:pPr>
              <w:spacing w:after="0"/>
              <w:rPr>
                <w:sz w:val="21"/>
                <w:szCs w:val="21"/>
                <w:color w:val="auto"/>
              </w:rPr>
            </w:pPr>
          </w:p>
        </w:tc>
        <w:tc>
          <w:tcPr>
            <w:tcW w:w="280" w:type="dxa"/>
            <w:vAlign w:val="bottom"/>
            <w:shd w:val="clear" w:color="auto" w:fill="F3F6F7"/>
          </w:tcPr>
          <w:p>
            <w:pPr>
              <w:spacing w:after="0"/>
              <w:rPr>
                <w:sz w:val="21"/>
                <w:szCs w:val="21"/>
                <w:color w:val="auto"/>
              </w:rPr>
            </w:pPr>
          </w:p>
        </w:tc>
        <w:tc>
          <w:tcPr>
            <w:tcW w:w="140" w:type="dxa"/>
            <w:vAlign w:val="bottom"/>
            <w:shd w:val="clear" w:color="auto" w:fill="F3F6F7"/>
          </w:tcPr>
          <w:p>
            <w:pPr>
              <w:spacing w:after="0"/>
              <w:rPr>
                <w:sz w:val="21"/>
                <w:szCs w:val="21"/>
                <w:color w:val="auto"/>
              </w:rPr>
            </w:pPr>
          </w:p>
        </w:tc>
        <w:tc>
          <w:tcPr>
            <w:tcW w:w="140" w:type="dxa"/>
            <w:vAlign w:val="bottom"/>
            <w:shd w:val="clear" w:color="auto" w:fill="F3F6F7"/>
          </w:tcPr>
          <w:p>
            <w:pPr>
              <w:spacing w:after="0"/>
              <w:rPr>
                <w:sz w:val="21"/>
                <w:szCs w:val="21"/>
                <w:color w:val="auto"/>
              </w:rPr>
            </w:pPr>
          </w:p>
        </w:tc>
        <w:tc>
          <w:tcPr>
            <w:tcW w:w="520" w:type="dxa"/>
            <w:vAlign w:val="bottom"/>
            <w:shd w:val="clear" w:color="auto" w:fill="F3F6F7"/>
          </w:tcPr>
          <w:p>
            <w:pPr>
              <w:spacing w:after="0"/>
              <w:rPr>
                <w:sz w:val="21"/>
                <w:szCs w:val="21"/>
                <w:color w:val="auto"/>
              </w:rPr>
            </w:pPr>
          </w:p>
        </w:tc>
        <w:tc>
          <w:tcPr>
            <w:tcW w:w="280" w:type="dxa"/>
            <w:vAlign w:val="bottom"/>
            <w:shd w:val="clear" w:color="auto" w:fill="F3F6F7"/>
          </w:tcPr>
          <w:p>
            <w:pPr>
              <w:spacing w:after="0"/>
              <w:rPr>
                <w:sz w:val="21"/>
                <w:szCs w:val="21"/>
                <w:color w:val="auto"/>
              </w:rPr>
            </w:pPr>
          </w:p>
        </w:tc>
        <w:tc>
          <w:tcPr>
            <w:tcW w:w="100" w:type="dxa"/>
            <w:vAlign w:val="bottom"/>
            <w:shd w:val="clear" w:color="auto" w:fill="F3F6F7"/>
          </w:tcPr>
          <w:p>
            <w:pPr>
              <w:spacing w:after="0"/>
              <w:rPr>
                <w:sz w:val="21"/>
                <w:szCs w:val="21"/>
                <w:color w:val="auto"/>
              </w:rPr>
            </w:pPr>
          </w:p>
        </w:tc>
        <w:tc>
          <w:tcPr>
            <w:tcW w:w="80" w:type="dxa"/>
            <w:vAlign w:val="bottom"/>
            <w:shd w:val="clear" w:color="auto" w:fill="F3F6F7"/>
          </w:tcPr>
          <w:p>
            <w:pPr>
              <w:spacing w:after="0"/>
              <w:rPr>
                <w:sz w:val="21"/>
                <w:szCs w:val="21"/>
                <w:color w:val="auto"/>
              </w:rPr>
            </w:pPr>
          </w:p>
        </w:tc>
        <w:tc>
          <w:tcPr>
            <w:tcW w:w="80" w:type="dxa"/>
            <w:vAlign w:val="bottom"/>
            <w:shd w:val="clear" w:color="auto" w:fill="F3F6F7"/>
          </w:tcPr>
          <w:p>
            <w:pPr>
              <w:spacing w:after="0"/>
              <w:rPr>
                <w:sz w:val="21"/>
                <w:szCs w:val="21"/>
                <w:color w:val="auto"/>
              </w:rPr>
            </w:pPr>
          </w:p>
        </w:tc>
        <w:tc>
          <w:tcPr>
            <w:tcW w:w="180" w:type="dxa"/>
            <w:vAlign w:val="bottom"/>
            <w:shd w:val="clear" w:color="auto" w:fill="F3F6F7"/>
          </w:tcPr>
          <w:p>
            <w:pPr>
              <w:spacing w:after="0"/>
              <w:rPr>
                <w:sz w:val="21"/>
                <w:szCs w:val="21"/>
                <w:color w:val="auto"/>
              </w:rPr>
            </w:pPr>
          </w:p>
        </w:tc>
        <w:tc>
          <w:tcPr>
            <w:tcW w:w="120" w:type="dxa"/>
            <w:vAlign w:val="bottom"/>
            <w:shd w:val="clear" w:color="auto" w:fill="F3F6F7"/>
          </w:tcPr>
          <w:p>
            <w:pPr>
              <w:spacing w:after="0"/>
              <w:rPr>
                <w:sz w:val="21"/>
                <w:szCs w:val="21"/>
                <w:color w:val="auto"/>
              </w:rPr>
            </w:pPr>
          </w:p>
        </w:tc>
        <w:tc>
          <w:tcPr>
            <w:tcW w:w="180" w:type="dxa"/>
            <w:vAlign w:val="bottom"/>
            <w:shd w:val="clear" w:color="auto" w:fill="F3F6F7"/>
          </w:tcPr>
          <w:p>
            <w:pPr>
              <w:spacing w:after="0"/>
              <w:rPr>
                <w:sz w:val="21"/>
                <w:szCs w:val="21"/>
                <w:color w:val="auto"/>
              </w:rPr>
            </w:pPr>
          </w:p>
        </w:tc>
        <w:tc>
          <w:tcPr>
            <w:tcW w:w="160" w:type="dxa"/>
            <w:vAlign w:val="bottom"/>
            <w:shd w:val="clear" w:color="auto" w:fill="F3F6F7"/>
          </w:tcPr>
          <w:p>
            <w:pPr>
              <w:spacing w:after="0"/>
              <w:rPr>
                <w:sz w:val="21"/>
                <w:szCs w:val="21"/>
                <w:color w:val="auto"/>
              </w:rPr>
            </w:pPr>
          </w:p>
        </w:tc>
        <w:tc>
          <w:tcPr>
            <w:tcW w:w="660" w:type="dxa"/>
            <w:vAlign w:val="bottom"/>
            <w:shd w:val="clear" w:color="auto" w:fill="F3F6F7"/>
          </w:tcPr>
          <w:p>
            <w:pPr>
              <w:jc w:val="right"/>
              <w:ind w:right="42"/>
              <w:spacing w:after="0" w:line="200" w:lineRule="exact"/>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gridSpan w:val="2"/>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40" w:type="dxa"/>
            <w:vAlign w:val="bottom"/>
            <w:tcBorders>
              <w:top w:val="single" w:sz="8" w:color="F3F6F7"/>
            </w:tcBorders>
            <w:gridSpan w:val="4"/>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40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5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2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120" w:type="dxa"/>
            <w:vAlign w:val="bottom"/>
            <w:shd w:val="clear" w:color="auto" w:fill="F3F6F7"/>
          </w:tcPr>
          <w:p>
            <w:pPr>
              <w:spacing w:after="0"/>
              <w:rPr>
                <w:sz w:val="21"/>
                <w:szCs w:val="21"/>
                <w:color w:val="auto"/>
              </w:rPr>
            </w:pPr>
          </w:p>
        </w:tc>
        <w:tc>
          <w:tcPr>
            <w:tcW w:w="9140" w:type="dxa"/>
            <w:vAlign w:val="bottom"/>
            <w:gridSpan w:val="41"/>
            <w:shd w:val="clear" w:color="auto" w:fill="F3F6F7"/>
          </w:tcPr>
          <w:p>
            <w:pPr>
              <w:spacing w:after="0" w:line="200" w:lineRule="exact"/>
              <w:rPr>
                <w:sz w:val="20"/>
                <w:szCs w:val="20"/>
                <w:color w:val="auto"/>
              </w:rPr>
            </w:pPr>
            <w:r>
              <w:rPr>
                <w:rFonts w:ascii="Arial" w:cs="Arial" w:eastAsia="Arial" w:hAnsi="Arial"/>
                <w:sz w:val="18"/>
                <w:szCs w:val="18"/>
                <w:b w:val="1"/>
                <w:bCs w:val="1"/>
                <w:color w:val="0000EE"/>
              </w:rPr>
              <w:t>QUESTIONS AND ANSWERS ABOUT OUR 2024 ANNUAL MEETING</w:t>
            </w:r>
          </w:p>
        </w:tc>
        <w:tc>
          <w:tcPr>
            <w:tcW w:w="660" w:type="dxa"/>
            <w:vAlign w:val="bottom"/>
            <w:shd w:val="clear" w:color="auto" w:fill="F3F6F7"/>
          </w:tcPr>
          <w:p>
            <w:pPr>
              <w:jc w:val="right"/>
              <w:ind w:right="42"/>
              <w:spacing w:after="0" w:line="200" w:lineRule="exact"/>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137"/>
        </w:trPr>
        <w:tc>
          <w:tcPr>
            <w:tcW w:w="120" w:type="dxa"/>
            <w:vAlign w:val="bottom"/>
            <w:tcBorders>
              <w:top w:val="single" w:sz="8" w:color="F3F6F7"/>
            </w:tcBorders>
          </w:tcPr>
          <w:p>
            <w:pPr>
              <w:spacing w:after="0"/>
              <w:rPr>
                <w:sz w:val="11"/>
                <w:szCs w:val="11"/>
                <w:color w:val="auto"/>
              </w:rPr>
            </w:pPr>
          </w:p>
        </w:tc>
        <w:tc>
          <w:tcPr>
            <w:tcW w:w="94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gridSpan w:val="2"/>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660" w:type="dxa"/>
            <w:vAlign w:val="bottom"/>
            <w:tcBorders>
              <w:top w:val="single" w:sz="8" w:color="0000EE"/>
            </w:tcBorders>
          </w:tcPr>
          <w:p>
            <w:pPr>
              <w:spacing w:after="0"/>
              <w:rPr>
                <w:sz w:val="11"/>
                <w:szCs w:val="11"/>
                <w:color w:val="auto"/>
              </w:rPr>
            </w:pPr>
          </w:p>
        </w:tc>
        <w:tc>
          <w:tcPr>
            <w:tcW w:w="240" w:type="dxa"/>
            <w:vAlign w:val="bottom"/>
            <w:tcBorders>
              <w:top w:val="single" w:sz="8" w:color="F3F6F7"/>
            </w:tcBorders>
          </w:tcPr>
          <w:p>
            <w:pPr>
              <w:spacing w:after="0"/>
              <w:rPr>
                <w:sz w:val="11"/>
                <w:szCs w:val="11"/>
                <w:color w:val="auto"/>
              </w:rPr>
            </w:pPr>
          </w:p>
        </w:tc>
        <w:tc>
          <w:tcPr>
            <w:tcW w:w="40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2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140" w:type="dxa"/>
            <w:vAlign w:val="bottom"/>
            <w:tcBorders>
              <w:top w:val="single" w:sz="8" w:color="F3F6F7"/>
            </w:tcBorders>
          </w:tcPr>
          <w:p>
            <w:pPr>
              <w:spacing w:after="0"/>
              <w:rPr>
                <w:sz w:val="11"/>
                <w:szCs w:val="11"/>
                <w:color w:val="auto"/>
              </w:rPr>
            </w:pPr>
          </w:p>
        </w:tc>
        <w:tc>
          <w:tcPr>
            <w:tcW w:w="520" w:type="dxa"/>
            <w:vAlign w:val="bottom"/>
            <w:tcBorders>
              <w:top w:val="single" w:sz="8" w:color="F3F6F7"/>
            </w:tcBorders>
          </w:tcPr>
          <w:p>
            <w:pPr>
              <w:spacing w:after="0"/>
              <w:rPr>
                <w:sz w:val="11"/>
                <w:szCs w:val="11"/>
                <w:color w:val="auto"/>
              </w:rPr>
            </w:pPr>
          </w:p>
        </w:tc>
        <w:tc>
          <w:tcPr>
            <w:tcW w:w="280" w:type="dxa"/>
            <w:vAlign w:val="bottom"/>
            <w:tcBorders>
              <w:top w:val="single" w:sz="8" w:color="F3F6F7"/>
            </w:tcBorders>
          </w:tcPr>
          <w:p>
            <w:pPr>
              <w:spacing w:after="0"/>
              <w:rPr>
                <w:sz w:val="11"/>
                <w:szCs w:val="11"/>
                <w:color w:val="auto"/>
              </w:rPr>
            </w:pPr>
          </w:p>
        </w:tc>
        <w:tc>
          <w:tcPr>
            <w:tcW w:w="10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8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20" w:type="dxa"/>
            <w:vAlign w:val="bottom"/>
            <w:tcBorders>
              <w:top w:val="single" w:sz="8" w:color="F3F6F7"/>
            </w:tcBorders>
          </w:tcPr>
          <w:p>
            <w:pPr>
              <w:spacing w:after="0"/>
              <w:rPr>
                <w:sz w:val="11"/>
                <w:szCs w:val="11"/>
                <w:color w:val="auto"/>
              </w:rPr>
            </w:pPr>
          </w:p>
        </w:tc>
        <w:tc>
          <w:tcPr>
            <w:tcW w:w="180" w:type="dxa"/>
            <w:vAlign w:val="bottom"/>
            <w:tcBorders>
              <w:top w:val="single" w:sz="8" w:color="F3F6F7"/>
            </w:tcBorders>
          </w:tcPr>
          <w:p>
            <w:pPr>
              <w:spacing w:after="0"/>
              <w:rPr>
                <w:sz w:val="11"/>
                <w:szCs w:val="11"/>
                <w:color w:val="auto"/>
              </w:rPr>
            </w:pPr>
          </w:p>
        </w:tc>
        <w:tc>
          <w:tcPr>
            <w:tcW w:w="160" w:type="dxa"/>
            <w:vAlign w:val="bottom"/>
            <w:tcBorders>
              <w:top w:val="single" w:sz="8" w:color="F3F6F7"/>
            </w:tcBorders>
          </w:tcPr>
          <w:p>
            <w:pPr>
              <w:spacing w:after="0"/>
              <w:rPr>
                <w:sz w:val="11"/>
                <w:szCs w:val="11"/>
                <w:color w:val="auto"/>
              </w:rPr>
            </w:pPr>
          </w:p>
        </w:tc>
        <w:tc>
          <w:tcPr>
            <w:tcW w:w="660" w:type="dxa"/>
            <w:vAlign w:val="bottom"/>
            <w:tcBorders>
              <w:top w:val="single" w:sz="8" w:color="F3F6F7"/>
            </w:tcBorders>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120" w:type="dxa"/>
            <w:vAlign w:val="bottom"/>
            <w:tcBorders>
              <w:bottom w:val="single" w:sz="8" w:color="F3F6F7"/>
            </w:tcBorders>
            <w:shd w:val="clear" w:color="auto" w:fill="F3F6F7"/>
          </w:tcPr>
          <w:p>
            <w:pPr>
              <w:spacing w:after="0"/>
              <w:rPr>
                <w:sz w:val="17"/>
                <w:szCs w:val="17"/>
                <w:color w:val="auto"/>
              </w:rPr>
            </w:pPr>
          </w:p>
        </w:tc>
        <w:tc>
          <w:tcPr>
            <w:tcW w:w="940" w:type="dxa"/>
            <w:vAlign w:val="bottom"/>
            <w:tcBorders>
              <w:bottom w:val="single" w:sz="8" w:color="0000EE"/>
              <w:right w:val="single" w:sz="8" w:color="F3F6F7"/>
            </w:tcBorders>
            <w:shd w:val="clear" w:color="auto" w:fill="F3F6F7"/>
          </w:tcPr>
          <w:p>
            <w:pPr>
              <w:spacing w:after="0" w:line="200" w:lineRule="exact"/>
              <w:rPr>
                <w:sz w:val="20"/>
                <w:szCs w:val="20"/>
                <w:color w:val="auto"/>
              </w:rPr>
            </w:pPr>
            <w:r>
              <w:rPr>
                <w:rFonts w:ascii="Arial" w:cs="Arial" w:eastAsia="Arial" w:hAnsi="Arial"/>
                <w:sz w:val="18"/>
                <w:szCs w:val="18"/>
                <w:b w:val="1"/>
                <w:bCs w:val="1"/>
                <w:color w:val="0000EE"/>
                <w:w w:val="97"/>
              </w:rPr>
              <w:t>APPENDIX</w:t>
            </w:r>
          </w:p>
        </w:tc>
        <w:tc>
          <w:tcPr>
            <w:tcW w:w="3020" w:type="dxa"/>
            <w:vAlign w:val="bottom"/>
            <w:tcBorders>
              <w:bottom w:val="single" w:sz="8" w:color="F3F6F7"/>
            </w:tcBorders>
            <w:gridSpan w:val="17"/>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40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12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spacing w:after="0"/>
              <w:rPr>
                <w:sz w:val="17"/>
                <w:szCs w:val="17"/>
                <w:color w:val="auto"/>
              </w:rPr>
            </w:pPr>
          </w:p>
        </w:tc>
        <w:tc>
          <w:tcPr>
            <w:tcW w:w="240" w:type="dxa"/>
            <w:vAlign w:val="bottom"/>
            <w:tcBorders>
              <w:bottom w:val="single" w:sz="8" w:color="F3F6F7"/>
            </w:tcBorders>
            <w:shd w:val="clear" w:color="auto" w:fill="F3F6F7"/>
          </w:tcPr>
          <w:p>
            <w:pPr>
              <w:spacing w:after="0"/>
              <w:rPr>
                <w:sz w:val="17"/>
                <w:szCs w:val="17"/>
                <w:color w:val="auto"/>
              </w:rPr>
            </w:pPr>
          </w:p>
        </w:tc>
        <w:tc>
          <w:tcPr>
            <w:tcW w:w="40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220" w:type="dxa"/>
            <w:vAlign w:val="bottom"/>
            <w:tcBorders>
              <w:bottom w:val="single" w:sz="8" w:color="F3F6F7"/>
            </w:tcBorders>
            <w:shd w:val="clear" w:color="auto" w:fill="F3F6F7"/>
          </w:tcPr>
          <w:p>
            <w:pPr>
              <w:spacing w:after="0"/>
              <w:rPr>
                <w:sz w:val="17"/>
                <w:szCs w:val="17"/>
                <w:color w:val="auto"/>
              </w:rPr>
            </w:pPr>
          </w:p>
        </w:tc>
        <w:tc>
          <w:tcPr>
            <w:tcW w:w="280" w:type="dxa"/>
            <w:vAlign w:val="bottom"/>
            <w:tcBorders>
              <w:bottom w:val="single" w:sz="8" w:color="F3F6F7"/>
            </w:tcBorders>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140" w:type="dxa"/>
            <w:vAlign w:val="bottom"/>
            <w:tcBorders>
              <w:bottom w:val="single" w:sz="8" w:color="F3F6F7"/>
            </w:tcBorders>
            <w:shd w:val="clear" w:color="auto" w:fill="F3F6F7"/>
          </w:tcPr>
          <w:p>
            <w:pPr>
              <w:spacing w:after="0"/>
              <w:rPr>
                <w:sz w:val="17"/>
                <w:szCs w:val="17"/>
                <w:color w:val="auto"/>
              </w:rPr>
            </w:pPr>
          </w:p>
        </w:tc>
        <w:tc>
          <w:tcPr>
            <w:tcW w:w="520" w:type="dxa"/>
            <w:vAlign w:val="bottom"/>
            <w:tcBorders>
              <w:bottom w:val="single" w:sz="8" w:color="F3F6F7"/>
            </w:tcBorders>
            <w:shd w:val="clear" w:color="auto" w:fill="F3F6F7"/>
          </w:tcPr>
          <w:p>
            <w:pPr>
              <w:spacing w:after="0"/>
              <w:rPr>
                <w:sz w:val="17"/>
                <w:szCs w:val="17"/>
                <w:color w:val="auto"/>
              </w:rPr>
            </w:pPr>
          </w:p>
        </w:tc>
        <w:tc>
          <w:tcPr>
            <w:tcW w:w="280" w:type="dxa"/>
            <w:vAlign w:val="bottom"/>
            <w:tcBorders>
              <w:bottom w:val="single" w:sz="8" w:color="F3F6F7"/>
            </w:tcBorders>
            <w:shd w:val="clear" w:color="auto" w:fill="F3F6F7"/>
          </w:tcPr>
          <w:p>
            <w:pPr>
              <w:spacing w:after="0"/>
              <w:rPr>
                <w:sz w:val="17"/>
                <w:szCs w:val="17"/>
                <w:color w:val="auto"/>
              </w:rPr>
            </w:pPr>
          </w:p>
        </w:tc>
        <w:tc>
          <w:tcPr>
            <w:tcW w:w="10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8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120" w:type="dxa"/>
            <w:vAlign w:val="bottom"/>
            <w:tcBorders>
              <w:bottom w:val="single" w:sz="8" w:color="F3F6F7"/>
            </w:tcBorders>
            <w:shd w:val="clear" w:color="auto" w:fill="F3F6F7"/>
          </w:tcPr>
          <w:p>
            <w:pPr>
              <w:spacing w:after="0"/>
              <w:rPr>
                <w:sz w:val="17"/>
                <w:szCs w:val="17"/>
                <w:color w:val="auto"/>
              </w:rPr>
            </w:pPr>
          </w:p>
        </w:tc>
        <w:tc>
          <w:tcPr>
            <w:tcW w:w="180" w:type="dxa"/>
            <w:vAlign w:val="bottom"/>
            <w:tcBorders>
              <w:bottom w:val="single" w:sz="8" w:color="F3F6F7"/>
            </w:tcBorders>
            <w:shd w:val="clear" w:color="auto" w:fill="F3F6F7"/>
          </w:tcPr>
          <w:p>
            <w:pPr>
              <w:spacing w:after="0"/>
              <w:rPr>
                <w:sz w:val="17"/>
                <w:szCs w:val="17"/>
                <w:color w:val="auto"/>
              </w:rPr>
            </w:pPr>
          </w:p>
        </w:tc>
        <w:tc>
          <w:tcPr>
            <w:tcW w:w="160" w:type="dxa"/>
            <w:vAlign w:val="bottom"/>
            <w:tcBorders>
              <w:bottom w:val="single" w:sz="8" w:color="F3F6F7"/>
            </w:tcBorders>
            <w:shd w:val="clear" w:color="auto" w:fill="F3F6F7"/>
          </w:tcPr>
          <w:p>
            <w:pPr>
              <w:spacing w:after="0"/>
              <w:rPr>
                <w:sz w:val="17"/>
                <w:szCs w:val="17"/>
                <w:color w:val="auto"/>
              </w:rPr>
            </w:pPr>
          </w:p>
        </w:tc>
        <w:tc>
          <w:tcPr>
            <w:tcW w:w="660" w:type="dxa"/>
            <w:vAlign w:val="bottom"/>
            <w:tcBorders>
              <w:bottom w:val="single" w:sz="8" w:color="F3F6F7"/>
            </w:tcBorders>
            <w:shd w:val="clear" w:color="auto" w:fill="F3F6F7"/>
          </w:tcPr>
          <w:p>
            <w:pPr>
              <w:jc w:val="right"/>
              <w:ind w:right="42"/>
              <w:spacing w:after="0" w:line="200" w:lineRule="exact"/>
              <w:rPr>
                <w:sz w:val="20"/>
                <w:szCs w:val="20"/>
                <w:color w:val="auto"/>
              </w:rPr>
            </w:pPr>
            <w:r>
              <w:rPr>
                <w:rFonts w:ascii="Arial" w:cs="Arial" w:eastAsia="Arial" w:hAnsi="Arial"/>
                <w:sz w:val="18"/>
                <w:szCs w:val="18"/>
                <w:b w:val="1"/>
                <w:bCs w:val="1"/>
                <w:color w:val="auto"/>
              </w:rPr>
              <w:t>A-1</w:t>
            </w:r>
          </w:p>
        </w:tc>
        <w:tc>
          <w:tcPr>
            <w:tcW w:w="0" w:type="dxa"/>
            <w:vAlign w:val="bottom"/>
          </w:tcPr>
          <w:p>
            <w:pPr>
              <w:spacing w:after="0"/>
              <w:rPr>
                <w:sz w:val="1"/>
                <w:szCs w:val="1"/>
                <w:color w:val="auto"/>
              </w:rPr>
            </w:pPr>
          </w:p>
        </w:tc>
      </w:tr>
      <w:tr>
        <w:trPr>
          <w:trHeight w:val="205"/>
        </w:trPr>
        <w:tc>
          <w:tcPr>
            <w:tcW w:w="120" w:type="dxa"/>
            <w:vAlign w:val="bottom"/>
            <w:shd w:val="clear" w:color="auto" w:fill="F3F6F7"/>
          </w:tcPr>
          <w:p>
            <w:pPr>
              <w:spacing w:after="0"/>
              <w:rPr>
                <w:sz w:val="17"/>
                <w:szCs w:val="17"/>
                <w:color w:val="auto"/>
              </w:rPr>
            </w:pPr>
          </w:p>
        </w:tc>
        <w:tc>
          <w:tcPr>
            <w:tcW w:w="3960" w:type="dxa"/>
            <w:vAlign w:val="bottom"/>
            <w:gridSpan w:val="18"/>
            <w:shd w:val="clear" w:color="auto" w:fill="F3F6F7"/>
          </w:tcPr>
          <w:p>
            <w:pPr>
              <w:spacing w:after="0"/>
              <w:rPr>
                <w:sz w:val="20"/>
                <w:szCs w:val="20"/>
                <w:color w:val="auto"/>
              </w:rPr>
            </w:pPr>
            <w:r>
              <w:rPr>
                <w:rFonts w:ascii="Arial" w:cs="Arial" w:eastAsia="Arial" w:hAnsi="Arial"/>
                <w:sz w:val="13"/>
                <w:szCs w:val="13"/>
                <w:color w:val="0000EE"/>
              </w:rPr>
              <w:t>Certificate of Amendment to the Certificate of Incorporation of</w:t>
            </w:r>
          </w:p>
        </w:tc>
        <w:tc>
          <w:tcPr>
            <w:tcW w:w="140" w:type="dxa"/>
            <w:vAlign w:val="bottom"/>
            <w:shd w:val="clear" w:color="auto" w:fill="F3F6F7"/>
          </w:tcPr>
          <w:p>
            <w:pPr>
              <w:spacing w:after="0"/>
              <w:rPr>
                <w:sz w:val="17"/>
                <w:szCs w:val="17"/>
                <w:color w:val="auto"/>
              </w:rPr>
            </w:pPr>
          </w:p>
        </w:tc>
        <w:tc>
          <w:tcPr>
            <w:tcW w:w="240" w:type="dxa"/>
            <w:vAlign w:val="bottom"/>
            <w:shd w:val="clear" w:color="auto" w:fill="F3F6F7"/>
          </w:tcPr>
          <w:p>
            <w:pPr>
              <w:spacing w:after="0"/>
              <w:rPr>
                <w:sz w:val="17"/>
                <w:szCs w:val="17"/>
                <w:color w:val="auto"/>
              </w:rPr>
            </w:pPr>
          </w:p>
        </w:tc>
        <w:tc>
          <w:tcPr>
            <w:tcW w:w="80" w:type="dxa"/>
            <w:vAlign w:val="bottom"/>
            <w:shd w:val="clear" w:color="auto" w:fill="F3F6F7"/>
          </w:tcPr>
          <w:p>
            <w:pPr>
              <w:spacing w:after="0"/>
              <w:rPr>
                <w:sz w:val="17"/>
                <w:szCs w:val="17"/>
                <w:color w:val="auto"/>
              </w:rPr>
            </w:pPr>
          </w:p>
        </w:tc>
        <w:tc>
          <w:tcPr>
            <w:tcW w:w="400" w:type="dxa"/>
            <w:vAlign w:val="bottom"/>
            <w:shd w:val="clear" w:color="auto" w:fill="F3F6F7"/>
          </w:tcPr>
          <w:p>
            <w:pPr>
              <w:jc w:val="right"/>
              <w:ind w:right="53"/>
              <w:spacing w:after="0"/>
              <w:rPr>
                <w:sz w:val="20"/>
                <w:szCs w:val="20"/>
                <w:color w:val="auto"/>
              </w:rPr>
            </w:pPr>
            <w:r>
              <w:rPr>
                <w:rFonts w:ascii="Arial" w:cs="Arial" w:eastAsia="Arial" w:hAnsi="Arial"/>
                <w:sz w:val="13"/>
                <w:szCs w:val="13"/>
                <w:color w:val="auto"/>
              </w:rPr>
              <w:t>A-1</w:t>
            </w:r>
          </w:p>
        </w:tc>
        <w:tc>
          <w:tcPr>
            <w:tcW w:w="240" w:type="dxa"/>
            <w:vAlign w:val="bottom"/>
            <w:shd w:val="clear" w:color="auto" w:fill="F3F6F7"/>
          </w:tcPr>
          <w:p>
            <w:pPr>
              <w:spacing w:after="0"/>
              <w:rPr>
                <w:sz w:val="17"/>
                <w:szCs w:val="17"/>
                <w:color w:val="auto"/>
              </w:rPr>
            </w:pPr>
          </w:p>
        </w:tc>
        <w:tc>
          <w:tcPr>
            <w:tcW w:w="120" w:type="dxa"/>
            <w:vAlign w:val="bottom"/>
            <w:vMerge w:val="restart"/>
            <w:shd w:val="clear" w:color="auto" w:fill="F3F6F7"/>
          </w:tcPr>
          <w:p>
            <w:pPr>
              <w:spacing w:after="0"/>
              <w:rPr>
                <w:sz w:val="17"/>
                <w:szCs w:val="17"/>
                <w:color w:val="auto"/>
              </w:rPr>
            </w:pPr>
          </w:p>
        </w:tc>
        <w:tc>
          <w:tcPr>
            <w:tcW w:w="3960" w:type="dxa"/>
            <w:vAlign w:val="bottom"/>
            <w:gridSpan w:val="17"/>
            <w:vMerge w:val="restart"/>
            <w:shd w:val="clear" w:color="auto" w:fill="F3F6F7"/>
          </w:tcPr>
          <w:p>
            <w:pPr>
              <w:spacing w:after="0"/>
              <w:rPr>
                <w:sz w:val="20"/>
                <w:szCs w:val="20"/>
                <w:color w:val="auto"/>
              </w:rPr>
            </w:pPr>
            <w:r>
              <w:rPr>
                <w:rFonts w:ascii="Arial" w:cs="Arial" w:eastAsia="Arial" w:hAnsi="Arial"/>
                <w:sz w:val="13"/>
                <w:szCs w:val="13"/>
                <w:color w:val="0000EE"/>
              </w:rPr>
              <w:t>Supplementary Reconciliation of Non-GAAP Financial Measures</w:t>
            </w:r>
          </w:p>
        </w:tc>
        <w:tc>
          <w:tcPr>
            <w:tcW w:w="660" w:type="dxa"/>
            <w:vAlign w:val="bottom"/>
            <w:shd w:val="clear" w:color="auto" w:fill="F3F6F7"/>
          </w:tcPr>
          <w:p>
            <w:pPr>
              <w:jc w:val="right"/>
              <w:ind w:right="42"/>
              <w:spacing w:after="0"/>
              <w:rPr>
                <w:sz w:val="20"/>
                <w:szCs w:val="20"/>
                <w:color w:val="auto"/>
              </w:rPr>
            </w:pPr>
            <w:r>
              <w:rPr>
                <w:rFonts w:ascii="Arial" w:cs="Arial" w:eastAsia="Arial" w:hAnsi="Arial"/>
                <w:sz w:val="13"/>
                <w:szCs w:val="13"/>
                <w:color w:val="auto"/>
              </w:rPr>
              <w:t>A-3</w:t>
            </w:r>
          </w:p>
        </w:tc>
        <w:tc>
          <w:tcPr>
            <w:tcW w:w="0" w:type="dxa"/>
            <w:vAlign w:val="bottom"/>
          </w:tcPr>
          <w:p>
            <w:pPr>
              <w:spacing w:after="0"/>
              <w:rPr>
                <w:sz w:val="1"/>
                <w:szCs w:val="1"/>
                <w:color w:val="auto"/>
              </w:rPr>
            </w:pPr>
          </w:p>
        </w:tc>
      </w:tr>
      <w:tr>
        <w:trPr>
          <w:trHeight w:val="130"/>
        </w:trPr>
        <w:tc>
          <w:tcPr>
            <w:tcW w:w="120" w:type="dxa"/>
            <w:vAlign w:val="bottom"/>
            <w:tcBorders>
              <w:top w:val="single" w:sz="8" w:color="F3F6F7"/>
            </w:tcBorders>
            <w:shd w:val="clear" w:color="auto" w:fill="F3F6F7"/>
          </w:tcPr>
          <w:p>
            <w:pPr>
              <w:spacing w:after="0"/>
              <w:rPr>
                <w:sz w:val="11"/>
                <w:szCs w:val="11"/>
                <w:color w:val="auto"/>
              </w:rPr>
            </w:pPr>
          </w:p>
        </w:tc>
        <w:tc>
          <w:tcPr>
            <w:tcW w:w="1640" w:type="dxa"/>
            <w:vAlign w:val="bottom"/>
            <w:tcBorders>
              <w:top w:val="single" w:sz="8" w:color="0000EE"/>
            </w:tcBorders>
            <w:gridSpan w:val="5"/>
            <w:shd w:val="clear" w:color="auto" w:fill="F3F6F7"/>
          </w:tcPr>
          <w:p>
            <w:pPr>
              <w:spacing w:after="0" w:line="130" w:lineRule="exact"/>
              <w:rPr>
                <w:sz w:val="20"/>
                <w:szCs w:val="20"/>
                <w:color w:val="auto"/>
              </w:rPr>
            </w:pPr>
            <w:r>
              <w:rPr>
                <w:rFonts w:ascii="Arial" w:cs="Arial" w:eastAsia="Arial" w:hAnsi="Arial"/>
                <w:sz w:val="13"/>
                <w:szCs w:val="13"/>
                <w:color w:val="0000EE"/>
              </w:rPr>
              <w:t>CECO Environmental Corp.</w:t>
            </w:r>
          </w:p>
        </w:tc>
        <w:tc>
          <w:tcPr>
            <w:tcW w:w="1980" w:type="dxa"/>
            <w:vAlign w:val="bottom"/>
            <w:tcBorders>
              <w:top w:val="single" w:sz="8" w:color="0000EE"/>
            </w:tcBorders>
            <w:gridSpan w:val="12"/>
            <w:shd w:val="clear" w:color="auto" w:fill="F3F6F7"/>
          </w:tcPr>
          <w:p>
            <w:pPr>
              <w:spacing w:after="0"/>
              <w:rPr>
                <w:sz w:val="11"/>
                <w:szCs w:val="11"/>
                <w:color w:val="auto"/>
              </w:rPr>
            </w:pPr>
          </w:p>
        </w:tc>
        <w:tc>
          <w:tcPr>
            <w:tcW w:w="340" w:type="dxa"/>
            <w:vAlign w:val="bottom"/>
            <w:tcBorders>
              <w:top w:val="single" w:sz="8" w:color="F3F6F7"/>
            </w:tcBorders>
            <w:shd w:val="clear" w:color="auto" w:fill="F3F6F7"/>
          </w:tcPr>
          <w:p>
            <w:pPr>
              <w:spacing w:after="0"/>
              <w:rPr>
                <w:sz w:val="11"/>
                <w:szCs w:val="11"/>
                <w:color w:val="auto"/>
              </w:rPr>
            </w:pPr>
          </w:p>
        </w:tc>
        <w:tc>
          <w:tcPr>
            <w:tcW w:w="140" w:type="dxa"/>
            <w:vAlign w:val="bottom"/>
            <w:tcBorders>
              <w:top w:val="single" w:sz="8" w:color="F3F6F7"/>
            </w:tcBorders>
            <w:shd w:val="clear" w:color="auto" w:fill="F3F6F7"/>
          </w:tcPr>
          <w:p>
            <w:pPr>
              <w:spacing w:after="0"/>
              <w:rPr>
                <w:sz w:val="11"/>
                <w:szCs w:val="11"/>
                <w:color w:val="auto"/>
              </w:rPr>
            </w:pPr>
          </w:p>
        </w:tc>
        <w:tc>
          <w:tcPr>
            <w:tcW w:w="240" w:type="dxa"/>
            <w:vAlign w:val="bottom"/>
            <w:tcBorders>
              <w:top w:val="single" w:sz="8" w:color="F3F6F7"/>
            </w:tcBorders>
            <w:shd w:val="clear" w:color="auto" w:fill="F3F6F7"/>
          </w:tcPr>
          <w:p>
            <w:pPr>
              <w:spacing w:after="0"/>
              <w:rPr>
                <w:sz w:val="11"/>
                <w:szCs w:val="11"/>
                <w:color w:val="auto"/>
              </w:rPr>
            </w:pPr>
          </w:p>
        </w:tc>
        <w:tc>
          <w:tcPr>
            <w:tcW w:w="80" w:type="dxa"/>
            <w:vAlign w:val="bottom"/>
            <w:tcBorders>
              <w:top w:val="single" w:sz="8" w:color="F3F6F7"/>
            </w:tcBorders>
            <w:shd w:val="clear" w:color="auto" w:fill="F3F6F7"/>
          </w:tcPr>
          <w:p>
            <w:pPr>
              <w:spacing w:after="0"/>
              <w:rPr>
                <w:sz w:val="11"/>
                <w:szCs w:val="11"/>
                <w:color w:val="auto"/>
              </w:rPr>
            </w:pPr>
          </w:p>
        </w:tc>
        <w:tc>
          <w:tcPr>
            <w:tcW w:w="400" w:type="dxa"/>
            <w:vAlign w:val="bottom"/>
            <w:tcBorders>
              <w:top w:val="single" w:sz="8" w:color="F3F6F7"/>
            </w:tcBorders>
            <w:shd w:val="clear" w:color="auto" w:fill="F3F6F7"/>
          </w:tcPr>
          <w:p>
            <w:pPr>
              <w:spacing w:after="0"/>
              <w:rPr>
                <w:sz w:val="11"/>
                <w:szCs w:val="11"/>
                <w:color w:val="auto"/>
              </w:rPr>
            </w:pPr>
          </w:p>
        </w:tc>
        <w:tc>
          <w:tcPr>
            <w:tcW w:w="240" w:type="dxa"/>
            <w:vAlign w:val="bottom"/>
            <w:tcBorders>
              <w:top w:val="single" w:sz="8" w:color="F3F6F7"/>
            </w:tcBorders>
            <w:shd w:val="clear" w:color="auto" w:fill="F3F6F7"/>
          </w:tcPr>
          <w:p>
            <w:pPr>
              <w:spacing w:after="0"/>
              <w:rPr>
                <w:sz w:val="11"/>
                <w:szCs w:val="11"/>
                <w:color w:val="auto"/>
              </w:rPr>
            </w:pPr>
          </w:p>
        </w:tc>
        <w:tc>
          <w:tcPr>
            <w:tcW w:w="120" w:type="dxa"/>
            <w:vAlign w:val="bottom"/>
            <w:tcBorders>
              <w:top w:val="single" w:sz="8" w:color="F3F6F7"/>
            </w:tcBorders>
            <w:vMerge w:val="continue"/>
            <w:shd w:val="clear" w:color="auto" w:fill="F3F6F7"/>
          </w:tcPr>
          <w:p>
            <w:pPr>
              <w:spacing w:after="0"/>
              <w:rPr>
                <w:sz w:val="11"/>
                <w:szCs w:val="11"/>
                <w:color w:val="auto"/>
              </w:rPr>
            </w:pPr>
          </w:p>
        </w:tc>
        <w:tc>
          <w:tcPr>
            <w:tcW w:w="3960" w:type="dxa"/>
            <w:vAlign w:val="bottom"/>
            <w:tcBorders>
              <w:top w:val="single" w:sz="8" w:color="F3F6F7"/>
            </w:tcBorders>
            <w:gridSpan w:val="17"/>
            <w:vMerge w:val="continue"/>
            <w:shd w:val="clear" w:color="auto" w:fill="F3F6F7"/>
          </w:tcPr>
          <w:p>
            <w:pPr>
              <w:spacing w:after="0"/>
              <w:rPr>
                <w:sz w:val="11"/>
                <w:szCs w:val="11"/>
                <w:color w:val="auto"/>
              </w:rPr>
            </w:pPr>
          </w:p>
        </w:tc>
        <w:tc>
          <w:tcPr>
            <w:tcW w:w="660" w:type="dxa"/>
            <w:vAlign w:val="bottom"/>
            <w:tcBorders>
              <w:top w:val="single" w:sz="8" w:color="F3F6F7"/>
            </w:tcBorders>
            <w:shd w:val="clear" w:color="auto" w:fill="F3F6F7"/>
          </w:tcPr>
          <w:p>
            <w:pPr>
              <w:spacing w:after="0"/>
              <w:rPr>
                <w:sz w:val="11"/>
                <w:szCs w:val="11"/>
                <w:color w:val="auto"/>
              </w:rPr>
            </w:pPr>
          </w:p>
        </w:tc>
        <w:tc>
          <w:tcPr>
            <w:tcW w:w="0" w:type="dxa"/>
            <w:vAlign w:val="bottom"/>
          </w:tcPr>
          <w:p>
            <w:pPr>
              <w:spacing w:after="0"/>
              <w:rPr>
                <w:sz w:val="1"/>
                <w:szCs w:val="1"/>
                <w:color w:val="auto"/>
              </w:rPr>
            </w:pPr>
          </w:p>
        </w:tc>
      </w:tr>
      <w:tr>
        <w:trPr>
          <w:trHeight w:val="397"/>
        </w:trPr>
        <w:tc>
          <w:tcPr>
            <w:tcW w:w="120" w:type="dxa"/>
            <w:vAlign w:val="bottom"/>
            <w:tcBorders>
              <w:top w:val="single" w:sz="8" w:color="F3F6F7"/>
            </w:tcBorders>
            <w:shd w:val="clear" w:color="auto" w:fill="F3F6F7"/>
          </w:tcPr>
          <w:p>
            <w:pPr>
              <w:spacing w:after="0"/>
              <w:rPr>
                <w:sz w:val="24"/>
                <w:szCs w:val="24"/>
                <w:color w:val="auto"/>
              </w:rPr>
            </w:pPr>
          </w:p>
        </w:tc>
        <w:tc>
          <w:tcPr>
            <w:tcW w:w="1640" w:type="dxa"/>
            <w:vAlign w:val="bottom"/>
            <w:tcBorders>
              <w:top w:val="single" w:sz="8" w:color="0000EE"/>
            </w:tcBorders>
            <w:gridSpan w:val="5"/>
            <w:shd w:val="clear" w:color="auto" w:fill="F3F6F7"/>
          </w:tcPr>
          <w:p>
            <w:pPr>
              <w:spacing w:after="0"/>
              <w:rPr>
                <w:sz w:val="20"/>
                <w:szCs w:val="20"/>
                <w:color w:val="auto"/>
              </w:rPr>
            </w:pPr>
            <w:r>
              <w:rPr>
                <w:rFonts w:ascii="Arial" w:cs="Arial" w:eastAsia="Arial" w:hAnsi="Arial"/>
                <w:sz w:val="13"/>
                <w:szCs w:val="13"/>
                <w:color w:val="0000EE"/>
              </w:rPr>
              <w:t>RTSR Peer Group Entities</w:t>
            </w:r>
          </w:p>
        </w:tc>
        <w:tc>
          <w:tcPr>
            <w:tcW w:w="2320" w:type="dxa"/>
            <w:vAlign w:val="bottom"/>
            <w:tcBorders>
              <w:top w:val="single" w:sz="8" w:color="F3F6F7"/>
            </w:tcBorders>
            <w:gridSpan w:val="13"/>
            <w:shd w:val="clear" w:color="auto" w:fill="F3F6F7"/>
          </w:tcPr>
          <w:p>
            <w:pPr>
              <w:spacing w:after="0"/>
              <w:rPr>
                <w:sz w:val="24"/>
                <w:szCs w:val="24"/>
                <w:color w:val="auto"/>
              </w:rPr>
            </w:pPr>
          </w:p>
        </w:tc>
        <w:tc>
          <w:tcPr>
            <w:tcW w:w="140" w:type="dxa"/>
            <w:vAlign w:val="bottom"/>
            <w:tcBorders>
              <w:top w:val="single" w:sz="8" w:color="F3F6F7"/>
            </w:tcBorders>
            <w:shd w:val="clear" w:color="auto" w:fill="F3F6F7"/>
          </w:tcPr>
          <w:p>
            <w:pPr>
              <w:spacing w:after="0"/>
              <w:rPr>
                <w:sz w:val="24"/>
                <w:szCs w:val="24"/>
                <w:color w:val="auto"/>
              </w:rPr>
            </w:pPr>
          </w:p>
        </w:tc>
        <w:tc>
          <w:tcPr>
            <w:tcW w:w="240" w:type="dxa"/>
            <w:vAlign w:val="bottom"/>
            <w:tcBorders>
              <w:top w:val="single" w:sz="8" w:color="F3F6F7"/>
            </w:tcBorders>
            <w:shd w:val="clear" w:color="auto" w:fill="F3F6F7"/>
          </w:tcPr>
          <w:p>
            <w:pPr>
              <w:spacing w:after="0"/>
              <w:rPr>
                <w:sz w:val="24"/>
                <w:szCs w:val="24"/>
                <w:color w:val="auto"/>
              </w:rPr>
            </w:pPr>
          </w:p>
        </w:tc>
        <w:tc>
          <w:tcPr>
            <w:tcW w:w="80" w:type="dxa"/>
            <w:vAlign w:val="bottom"/>
            <w:tcBorders>
              <w:top w:val="single" w:sz="8" w:color="F3F6F7"/>
            </w:tcBorders>
            <w:shd w:val="clear" w:color="auto" w:fill="F3F6F7"/>
          </w:tcPr>
          <w:p>
            <w:pPr>
              <w:spacing w:after="0"/>
              <w:rPr>
                <w:sz w:val="24"/>
                <w:szCs w:val="24"/>
                <w:color w:val="auto"/>
              </w:rPr>
            </w:pPr>
          </w:p>
        </w:tc>
        <w:tc>
          <w:tcPr>
            <w:tcW w:w="400" w:type="dxa"/>
            <w:vAlign w:val="bottom"/>
            <w:tcBorders>
              <w:top w:val="single" w:sz="8" w:color="F3F6F7"/>
            </w:tcBorders>
            <w:shd w:val="clear" w:color="auto" w:fill="F3F6F7"/>
          </w:tcPr>
          <w:p>
            <w:pPr>
              <w:jc w:val="right"/>
              <w:ind w:right="53"/>
              <w:spacing w:after="0"/>
              <w:rPr>
                <w:sz w:val="20"/>
                <w:szCs w:val="20"/>
                <w:color w:val="auto"/>
              </w:rPr>
            </w:pPr>
            <w:r>
              <w:rPr>
                <w:rFonts w:ascii="Arial" w:cs="Arial" w:eastAsia="Arial" w:hAnsi="Arial"/>
                <w:sz w:val="13"/>
                <w:szCs w:val="13"/>
                <w:color w:val="auto"/>
              </w:rPr>
              <w:t>A-2</w:t>
            </w:r>
          </w:p>
        </w:tc>
        <w:tc>
          <w:tcPr>
            <w:tcW w:w="240" w:type="dxa"/>
            <w:vAlign w:val="bottom"/>
            <w:tcBorders>
              <w:top w:val="single" w:sz="8" w:color="F3F6F7"/>
            </w:tcBorders>
            <w:shd w:val="clear" w:color="auto" w:fill="F3F6F7"/>
          </w:tcPr>
          <w:p>
            <w:pPr>
              <w:spacing w:after="0"/>
              <w:rPr>
                <w:sz w:val="24"/>
                <w:szCs w:val="24"/>
                <w:color w:val="auto"/>
              </w:rPr>
            </w:pPr>
          </w:p>
        </w:tc>
        <w:tc>
          <w:tcPr>
            <w:tcW w:w="120" w:type="dxa"/>
            <w:vAlign w:val="bottom"/>
            <w:tcBorders>
              <w:top w:val="single" w:sz="8" w:color="F3F6F7"/>
            </w:tcBorders>
            <w:shd w:val="clear" w:color="auto" w:fill="F3F6F7"/>
          </w:tcPr>
          <w:p>
            <w:pPr>
              <w:spacing w:after="0"/>
              <w:rPr>
                <w:sz w:val="24"/>
                <w:szCs w:val="24"/>
                <w:color w:val="auto"/>
              </w:rPr>
            </w:pPr>
          </w:p>
        </w:tc>
        <w:tc>
          <w:tcPr>
            <w:tcW w:w="660" w:type="dxa"/>
            <w:vAlign w:val="bottom"/>
            <w:tcBorders>
              <w:top w:val="single" w:sz="8" w:color="0000EE"/>
            </w:tcBorders>
            <w:shd w:val="clear" w:color="auto" w:fill="F3F6F7"/>
          </w:tcPr>
          <w:p>
            <w:pPr>
              <w:spacing w:after="0"/>
              <w:rPr>
                <w:sz w:val="24"/>
                <w:szCs w:val="24"/>
                <w:color w:val="auto"/>
              </w:rPr>
            </w:pPr>
          </w:p>
        </w:tc>
        <w:tc>
          <w:tcPr>
            <w:tcW w:w="240" w:type="dxa"/>
            <w:vAlign w:val="bottom"/>
            <w:tcBorders>
              <w:top w:val="single" w:sz="8" w:color="0000EE"/>
            </w:tcBorders>
            <w:shd w:val="clear" w:color="auto" w:fill="F3F6F7"/>
          </w:tcPr>
          <w:p>
            <w:pPr>
              <w:spacing w:after="0"/>
              <w:rPr>
                <w:sz w:val="24"/>
                <w:szCs w:val="24"/>
                <w:color w:val="auto"/>
              </w:rPr>
            </w:pPr>
          </w:p>
        </w:tc>
        <w:tc>
          <w:tcPr>
            <w:tcW w:w="400" w:type="dxa"/>
            <w:vAlign w:val="bottom"/>
            <w:tcBorders>
              <w:top w:val="single" w:sz="8" w:color="0000EE"/>
            </w:tcBorders>
            <w:shd w:val="clear" w:color="auto" w:fill="F3F6F7"/>
          </w:tcPr>
          <w:p>
            <w:pPr>
              <w:spacing w:after="0"/>
              <w:rPr>
                <w:sz w:val="24"/>
                <w:szCs w:val="24"/>
                <w:color w:val="auto"/>
              </w:rPr>
            </w:pPr>
          </w:p>
        </w:tc>
        <w:tc>
          <w:tcPr>
            <w:tcW w:w="180" w:type="dxa"/>
            <w:vAlign w:val="bottom"/>
            <w:tcBorders>
              <w:top w:val="single" w:sz="8" w:color="0000EE"/>
            </w:tcBorders>
            <w:shd w:val="clear" w:color="auto" w:fill="F3F6F7"/>
          </w:tcPr>
          <w:p>
            <w:pPr>
              <w:spacing w:after="0"/>
              <w:rPr>
                <w:sz w:val="24"/>
                <w:szCs w:val="24"/>
                <w:color w:val="auto"/>
              </w:rPr>
            </w:pPr>
          </w:p>
        </w:tc>
        <w:tc>
          <w:tcPr>
            <w:tcW w:w="220" w:type="dxa"/>
            <w:vAlign w:val="bottom"/>
            <w:tcBorders>
              <w:top w:val="single" w:sz="8" w:color="0000EE"/>
            </w:tcBorders>
            <w:shd w:val="clear" w:color="auto" w:fill="F3F6F7"/>
          </w:tcPr>
          <w:p>
            <w:pPr>
              <w:spacing w:after="0"/>
              <w:rPr>
                <w:sz w:val="24"/>
                <w:szCs w:val="24"/>
                <w:color w:val="auto"/>
              </w:rPr>
            </w:pPr>
          </w:p>
        </w:tc>
        <w:tc>
          <w:tcPr>
            <w:tcW w:w="280" w:type="dxa"/>
            <w:vAlign w:val="bottom"/>
            <w:tcBorders>
              <w:top w:val="single" w:sz="8" w:color="0000EE"/>
            </w:tcBorders>
            <w:shd w:val="clear" w:color="auto" w:fill="F3F6F7"/>
          </w:tcPr>
          <w:p>
            <w:pPr>
              <w:spacing w:after="0"/>
              <w:rPr>
                <w:sz w:val="24"/>
                <w:szCs w:val="24"/>
                <w:color w:val="auto"/>
              </w:rPr>
            </w:pPr>
          </w:p>
        </w:tc>
        <w:tc>
          <w:tcPr>
            <w:tcW w:w="140" w:type="dxa"/>
            <w:vAlign w:val="bottom"/>
            <w:tcBorders>
              <w:top w:val="single" w:sz="8" w:color="0000EE"/>
            </w:tcBorders>
            <w:shd w:val="clear" w:color="auto" w:fill="F3F6F7"/>
          </w:tcPr>
          <w:p>
            <w:pPr>
              <w:spacing w:after="0"/>
              <w:rPr>
                <w:sz w:val="24"/>
                <w:szCs w:val="24"/>
                <w:color w:val="auto"/>
              </w:rPr>
            </w:pPr>
          </w:p>
        </w:tc>
        <w:tc>
          <w:tcPr>
            <w:tcW w:w="140" w:type="dxa"/>
            <w:vAlign w:val="bottom"/>
            <w:tcBorders>
              <w:top w:val="single" w:sz="8" w:color="0000EE"/>
            </w:tcBorders>
            <w:shd w:val="clear" w:color="auto" w:fill="F3F6F7"/>
          </w:tcPr>
          <w:p>
            <w:pPr>
              <w:spacing w:after="0"/>
              <w:rPr>
                <w:sz w:val="24"/>
                <w:szCs w:val="24"/>
                <w:color w:val="auto"/>
              </w:rPr>
            </w:pPr>
          </w:p>
        </w:tc>
        <w:tc>
          <w:tcPr>
            <w:tcW w:w="520" w:type="dxa"/>
            <w:vAlign w:val="bottom"/>
            <w:tcBorders>
              <w:top w:val="single" w:sz="8" w:color="0000EE"/>
            </w:tcBorders>
            <w:shd w:val="clear" w:color="auto" w:fill="F3F6F7"/>
          </w:tcPr>
          <w:p>
            <w:pPr>
              <w:spacing w:after="0"/>
              <w:rPr>
                <w:sz w:val="24"/>
                <w:szCs w:val="24"/>
                <w:color w:val="auto"/>
              </w:rPr>
            </w:pPr>
          </w:p>
        </w:tc>
        <w:tc>
          <w:tcPr>
            <w:tcW w:w="280" w:type="dxa"/>
            <w:vAlign w:val="bottom"/>
            <w:tcBorders>
              <w:top w:val="single" w:sz="8" w:color="0000EE"/>
            </w:tcBorders>
            <w:shd w:val="clear" w:color="auto" w:fill="F3F6F7"/>
          </w:tcPr>
          <w:p>
            <w:pPr>
              <w:spacing w:after="0"/>
              <w:rPr>
                <w:sz w:val="24"/>
                <w:szCs w:val="24"/>
                <w:color w:val="auto"/>
              </w:rPr>
            </w:pPr>
          </w:p>
        </w:tc>
        <w:tc>
          <w:tcPr>
            <w:tcW w:w="100" w:type="dxa"/>
            <w:vAlign w:val="bottom"/>
            <w:tcBorders>
              <w:top w:val="single" w:sz="8" w:color="0000EE"/>
            </w:tcBorders>
            <w:shd w:val="clear" w:color="auto" w:fill="F3F6F7"/>
          </w:tcPr>
          <w:p>
            <w:pPr>
              <w:spacing w:after="0"/>
              <w:rPr>
                <w:sz w:val="24"/>
                <w:szCs w:val="24"/>
                <w:color w:val="auto"/>
              </w:rPr>
            </w:pPr>
          </w:p>
        </w:tc>
        <w:tc>
          <w:tcPr>
            <w:tcW w:w="80" w:type="dxa"/>
            <w:vAlign w:val="bottom"/>
            <w:tcBorders>
              <w:top w:val="single" w:sz="8" w:color="0000EE"/>
            </w:tcBorders>
            <w:shd w:val="clear" w:color="auto" w:fill="F3F6F7"/>
          </w:tcPr>
          <w:p>
            <w:pPr>
              <w:spacing w:after="0"/>
              <w:rPr>
                <w:sz w:val="24"/>
                <w:szCs w:val="24"/>
                <w:color w:val="auto"/>
              </w:rPr>
            </w:pPr>
          </w:p>
        </w:tc>
        <w:tc>
          <w:tcPr>
            <w:tcW w:w="80" w:type="dxa"/>
            <w:vAlign w:val="bottom"/>
            <w:tcBorders>
              <w:top w:val="single" w:sz="8" w:color="0000EE"/>
            </w:tcBorders>
            <w:shd w:val="clear" w:color="auto" w:fill="F3F6F7"/>
          </w:tcPr>
          <w:p>
            <w:pPr>
              <w:spacing w:after="0"/>
              <w:rPr>
                <w:sz w:val="24"/>
                <w:szCs w:val="24"/>
                <w:color w:val="auto"/>
              </w:rPr>
            </w:pPr>
          </w:p>
        </w:tc>
        <w:tc>
          <w:tcPr>
            <w:tcW w:w="180" w:type="dxa"/>
            <w:vAlign w:val="bottom"/>
            <w:tcBorders>
              <w:top w:val="single" w:sz="8" w:color="0000EE"/>
            </w:tcBorders>
            <w:shd w:val="clear" w:color="auto" w:fill="F3F6F7"/>
          </w:tcPr>
          <w:p>
            <w:pPr>
              <w:spacing w:after="0"/>
              <w:rPr>
                <w:sz w:val="24"/>
                <w:szCs w:val="24"/>
                <w:color w:val="auto"/>
              </w:rPr>
            </w:pPr>
          </w:p>
        </w:tc>
        <w:tc>
          <w:tcPr>
            <w:tcW w:w="120" w:type="dxa"/>
            <w:vAlign w:val="bottom"/>
            <w:tcBorders>
              <w:top w:val="single" w:sz="8" w:color="0000EE"/>
            </w:tcBorders>
            <w:shd w:val="clear" w:color="auto" w:fill="F3F6F7"/>
          </w:tcPr>
          <w:p>
            <w:pPr>
              <w:spacing w:after="0"/>
              <w:rPr>
                <w:sz w:val="24"/>
                <w:szCs w:val="24"/>
                <w:color w:val="auto"/>
              </w:rPr>
            </w:pPr>
          </w:p>
        </w:tc>
        <w:tc>
          <w:tcPr>
            <w:tcW w:w="180" w:type="dxa"/>
            <w:vAlign w:val="bottom"/>
            <w:tcBorders>
              <w:top w:val="single" w:sz="8" w:color="0000EE"/>
            </w:tcBorders>
            <w:shd w:val="clear" w:color="auto" w:fill="F3F6F7"/>
          </w:tcPr>
          <w:p>
            <w:pPr>
              <w:spacing w:after="0"/>
              <w:rPr>
                <w:sz w:val="24"/>
                <w:szCs w:val="24"/>
                <w:color w:val="auto"/>
              </w:rPr>
            </w:pPr>
          </w:p>
        </w:tc>
        <w:tc>
          <w:tcPr>
            <w:tcW w:w="160" w:type="dxa"/>
            <w:vAlign w:val="bottom"/>
            <w:tcBorders>
              <w:top w:val="single" w:sz="8" w:color="F3F6F7"/>
            </w:tcBorders>
            <w:shd w:val="clear" w:color="auto" w:fill="F3F6F7"/>
          </w:tcPr>
          <w:p>
            <w:pPr>
              <w:spacing w:after="0"/>
              <w:rPr>
                <w:sz w:val="24"/>
                <w:szCs w:val="24"/>
                <w:color w:val="auto"/>
              </w:rPr>
            </w:pPr>
          </w:p>
        </w:tc>
        <w:tc>
          <w:tcPr>
            <w:tcW w:w="660" w:type="dxa"/>
            <w:vAlign w:val="bottom"/>
            <w:tcBorders>
              <w:top w:val="single" w:sz="8" w:color="F3F6F7"/>
            </w:tcBorders>
            <w:shd w:val="clear" w:color="auto" w:fill="F3F6F7"/>
          </w:tcPr>
          <w:p>
            <w:pPr>
              <w:spacing w:after="0"/>
              <w:rPr>
                <w:sz w:val="24"/>
                <w:szCs w:val="24"/>
                <w:color w:val="auto"/>
              </w:rPr>
            </w:pPr>
          </w:p>
        </w:tc>
        <w:tc>
          <w:tcPr>
            <w:tcW w:w="0" w:type="dxa"/>
            <w:vAlign w:val="bottom"/>
          </w:tcPr>
          <w:p>
            <w:pPr>
              <w:spacing w:after="0"/>
              <w:rPr>
                <w:sz w:val="1"/>
                <w:szCs w:val="1"/>
                <w:color w:val="auto"/>
              </w:rPr>
            </w:pPr>
          </w:p>
        </w:tc>
      </w:tr>
      <w:tr>
        <w:trPr>
          <w:trHeight w:val="817"/>
        </w:trPr>
        <w:tc>
          <w:tcPr>
            <w:tcW w:w="120" w:type="dxa"/>
            <w:vAlign w:val="bottom"/>
            <w:tcBorders>
              <w:top w:val="single" w:sz="8" w:color="F3F6F7"/>
              <w:bottom w:val="single" w:sz="8" w:color="auto"/>
            </w:tcBorders>
          </w:tcPr>
          <w:p>
            <w:pPr>
              <w:spacing w:after="0"/>
              <w:rPr>
                <w:sz w:val="24"/>
                <w:szCs w:val="24"/>
                <w:color w:val="auto"/>
              </w:rPr>
            </w:pPr>
          </w:p>
        </w:tc>
        <w:tc>
          <w:tcPr>
            <w:tcW w:w="9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100" w:type="dxa"/>
            <w:vAlign w:val="bottom"/>
            <w:tcBorders>
              <w:top w:val="single" w:sz="8" w:color="F3F6F7"/>
              <w:bottom w:val="single" w:sz="8" w:color="auto"/>
            </w:tcBorders>
          </w:tcPr>
          <w:p>
            <w:pPr>
              <w:spacing w:after="0"/>
              <w:rPr>
                <w:sz w:val="24"/>
                <w:szCs w:val="24"/>
                <w:color w:val="auto"/>
              </w:rPr>
            </w:pPr>
          </w:p>
        </w:tc>
        <w:tc>
          <w:tcPr>
            <w:tcW w:w="6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100" w:type="dxa"/>
            <w:vAlign w:val="bottom"/>
            <w:tcBorders>
              <w:top w:val="single" w:sz="8" w:color="F3F6F7"/>
              <w:bottom w:val="single" w:sz="8" w:color="auto"/>
            </w:tcBorders>
          </w:tcPr>
          <w:p>
            <w:pPr>
              <w:spacing w:after="0"/>
              <w:rPr>
                <w:sz w:val="24"/>
                <w:szCs w:val="24"/>
                <w:color w:val="auto"/>
              </w:rPr>
            </w:pPr>
          </w:p>
        </w:tc>
        <w:tc>
          <w:tcPr>
            <w:tcW w:w="10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18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100" w:type="dxa"/>
            <w:vAlign w:val="bottom"/>
            <w:tcBorders>
              <w:top w:val="single" w:sz="8" w:color="F3F6F7"/>
              <w:bottom w:val="single" w:sz="8" w:color="auto"/>
            </w:tcBorders>
          </w:tcPr>
          <w:p>
            <w:pPr>
              <w:spacing w:after="0"/>
              <w:rPr>
                <w:sz w:val="24"/>
                <w:szCs w:val="24"/>
                <w:color w:val="auto"/>
              </w:rPr>
            </w:pPr>
          </w:p>
        </w:tc>
        <w:tc>
          <w:tcPr>
            <w:tcW w:w="900" w:type="dxa"/>
            <w:vAlign w:val="bottom"/>
            <w:tcBorders>
              <w:top w:val="single" w:sz="8" w:color="F3F6F7"/>
              <w:bottom w:val="single" w:sz="8" w:color="auto"/>
            </w:tcBorders>
          </w:tcPr>
          <w:p>
            <w:pPr>
              <w:spacing w:after="0"/>
              <w:rPr>
                <w:sz w:val="24"/>
                <w:szCs w:val="24"/>
                <w:color w:val="auto"/>
              </w:rPr>
            </w:pPr>
          </w:p>
        </w:tc>
        <w:tc>
          <w:tcPr>
            <w:tcW w:w="180" w:type="dxa"/>
            <w:vAlign w:val="bottom"/>
            <w:tcBorders>
              <w:top w:val="single" w:sz="8" w:color="F3F6F7"/>
              <w:bottom w:val="single" w:sz="8" w:color="auto"/>
            </w:tcBorders>
          </w:tcPr>
          <w:p>
            <w:pPr>
              <w:spacing w:after="0"/>
              <w:rPr>
                <w:sz w:val="24"/>
                <w:szCs w:val="24"/>
                <w:color w:val="auto"/>
              </w:rPr>
            </w:pPr>
          </w:p>
        </w:tc>
        <w:tc>
          <w:tcPr>
            <w:tcW w:w="20" w:type="dxa"/>
            <w:vAlign w:val="bottom"/>
            <w:tcBorders>
              <w:top w:val="single" w:sz="8" w:color="F3F6F7"/>
              <w:bottom w:val="single" w:sz="8" w:color="auto"/>
            </w:tcBorders>
          </w:tcPr>
          <w:p>
            <w:pPr>
              <w:spacing w:after="0"/>
              <w:rPr>
                <w:sz w:val="24"/>
                <w:szCs w:val="24"/>
                <w:color w:val="auto"/>
              </w:rPr>
            </w:pPr>
          </w:p>
        </w:tc>
        <w:tc>
          <w:tcPr>
            <w:tcW w:w="340" w:type="dxa"/>
            <w:vAlign w:val="bottom"/>
            <w:tcBorders>
              <w:top w:val="single" w:sz="8" w:color="F3F6F7"/>
              <w:bottom w:val="single" w:sz="8" w:color="auto"/>
            </w:tcBorders>
          </w:tcPr>
          <w:p>
            <w:pPr>
              <w:spacing w:after="0"/>
              <w:rPr>
                <w:sz w:val="24"/>
                <w:szCs w:val="24"/>
                <w:color w:val="auto"/>
              </w:rPr>
            </w:pPr>
          </w:p>
        </w:tc>
        <w:tc>
          <w:tcPr>
            <w:tcW w:w="140" w:type="dxa"/>
            <w:vAlign w:val="bottom"/>
            <w:tcBorders>
              <w:top w:val="single" w:sz="8" w:color="F3F6F7"/>
              <w:bottom w:val="single" w:sz="8" w:color="auto"/>
            </w:tcBorders>
          </w:tcPr>
          <w:p>
            <w:pPr>
              <w:spacing w:after="0"/>
              <w:rPr>
                <w:sz w:val="24"/>
                <w:szCs w:val="24"/>
                <w:color w:val="auto"/>
              </w:rPr>
            </w:pPr>
          </w:p>
        </w:tc>
        <w:tc>
          <w:tcPr>
            <w:tcW w:w="24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400" w:type="dxa"/>
            <w:vAlign w:val="bottom"/>
            <w:tcBorders>
              <w:top w:val="single" w:sz="8" w:color="F3F6F7"/>
              <w:bottom w:val="single" w:sz="8" w:color="auto"/>
            </w:tcBorders>
          </w:tcPr>
          <w:p>
            <w:pPr>
              <w:spacing w:after="0"/>
              <w:rPr>
                <w:sz w:val="24"/>
                <w:szCs w:val="24"/>
                <w:color w:val="auto"/>
              </w:rPr>
            </w:pPr>
          </w:p>
        </w:tc>
        <w:tc>
          <w:tcPr>
            <w:tcW w:w="240" w:type="dxa"/>
            <w:vAlign w:val="bottom"/>
            <w:tcBorders>
              <w:top w:val="single" w:sz="8" w:color="F3F6F7"/>
              <w:bottom w:val="single" w:sz="8" w:color="auto"/>
            </w:tcBorders>
          </w:tcPr>
          <w:p>
            <w:pPr>
              <w:spacing w:after="0"/>
              <w:rPr>
                <w:sz w:val="24"/>
                <w:szCs w:val="24"/>
                <w:color w:val="auto"/>
              </w:rPr>
            </w:pPr>
          </w:p>
        </w:tc>
        <w:tc>
          <w:tcPr>
            <w:tcW w:w="120" w:type="dxa"/>
            <w:vAlign w:val="bottom"/>
            <w:tcBorders>
              <w:top w:val="single" w:sz="8" w:color="F3F6F7"/>
              <w:bottom w:val="single" w:sz="8" w:color="auto"/>
            </w:tcBorders>
          </w:tcPr>
          <w:p>
            <w:pPr>
              <w:spacing w:after="0"/>
              <w:rPr>
                <w:sz w:val="24"/>
                <w:szCs w:val="24"/>
                <w:color w:val="auto"/>
              </w:rPr>
            </w:pPr>
          </w:p>
        </w:tc>
        <w:tc>
          <w:tcPr>
            <w:tcW w:w="660" w:type="dxa"/>
            <w:vAlign w:val="bottom"/>
            <w:tcBorders>
              <w:top w:val="single" w:sz="8" w:color="F3F6F7"/>
              <w:bottom w:val="single" w:sz="8" w:color="auto"/>
            </w:tcBorders>
          </w:tcPr>
          <w:p>
            <w:pPr>
              <w:spacing w:after="0"/>
              <w:rPr>
                <w:sz w:val="24"/>
                <w:szCs w:val="24"/>
                <w:color w:val="auto"/>
              </w:rPr>
            </w:pPr>
          </w:p>
        </w:tc>
        <w:tc>
          <w:tcPr>
            <w:tcW w:w="240" w:type="dxa"/>
            <w:vAlign w:val="bottom"/>
            <w:tcBorders>
              <w:top w:val="single" w:sz="8" w:color="F3F6F7"/>
              <w:bottom w:val="single" w:sz="8" w:color="auto"/>
            </w:tcBorders>
          </w:tcPr>
          <w:p>
            <w:pPr>
              <w:spacing w:after="0"/>
              <w:rPr>
                <w:sz w:val="24"/>
                <w:szCs w:val="24"/>
                <w:color w:val="auto"/>
              </w:rPr>
            </w:pPr>
          </w:p>
        </w:tc>
        <w:tc>
          <w:tcPr>
            <w:tcW w:w="400" w:type="dxa"/>
            <w:vAlign w:val="bottom"/>
            <w:tcBorders>
              <w:top w:val="single" w:sz="8" w:color="F3F6F7"/>
              <w:bottom w:val="single" w:sz="8" w:color="auto"/>
            </w:tcBorders>
          </w:tcPr>
          <w:p>
            <w:pPr>
              <w:spacing w:after="0"/>
              <w:rPr>
                <w:sz w:val="24"/>
                <w:szCs w:val="24"/>
                <w:color w:val="auto"/>
              </w:rPr>
            </w:pPr>
          </w:p>
        </w:tc>
        <w:tc>
          <w:tcPr>
            <w:tcW w:w="180" w:type="dxa"/>
            <w:vAlign w:val="bottom"/>
            <w:tcBorders>
              <w:top w:val="single" w:sz="8" w:color="F3F6F7"/>
              <w:bottom w:val="single" w:sz="8" w:color="auto"/>
            </w:tcBorders>
          </w:tcPr>
          <w:p>
            <w:pPr>
              <w:spacing w:after="0"/>
              <w:rPr>
                <w:sz w:val="24"/>
                <w:szCs w:val="24"/>
                <w:color w:val="auto"/>
              </w:rPr>
            </w:pPr>
          </w:p>
        </w:tc>
        <w:tc>
          <w:tcPr>
            <w:tcW w:w="220" w:type="dxa"/>
            <w:vAlign w:val="bottom"/>
            <w:tcBorders>
              <w:top w:val="single" w:sz="8" w:color="F3F6F7"/>
              <w:bottom w:val="single" w:sz="8" w:color="auto"/>
            </w:tcBorders>
          </w:tcPr>
          <w:p>
            <w:pPr>
              <w:spacing w:after="0"/>
              <w:rPr>
                <w:sz w:val="24"/>
                <w:szCs w:val="24"/>
                <w:color w:val="auto"/>
              </w:rPr>
            </w:pPr>
          </w:p>
        </w:tc>
        <w:tc>
          <w:tcPr>
            <w:tcW w:w="280" w:type="dxa"/>
            <w:vAlign w:val="bottom"/>
            <w:tcBorders>
              <w:top w:val="single" w:sz="8" w:color="F3F6F7"/>
              <w:bottom w:val="single" w:sz="8" w:color="auto"/>
            </w:tcBorders>
          </w:tcPr>
          <w:p>
            <w:pPr>
              <w:spacing w:after="0"/>
              <w:rPr>
                <w:sz w:val="24"/>
                <w:szCs w:val="24"/>
                <w:color w:val="auto"/>
              </w:rPr>
            </w:pPr>
          </w:p>
        </w:tc>
        <w:tc>
          <w:tcPr>
            <w:tcW w:w="140" w:type="dxa"/>
            <w:vAlign w:val="bottom"/>
            <w:tcBorders>
              <w:top w:val="single" w:sz="8" w:color="F3F6F7"/>
              <w:bottom w:val="single" w:sz="8" w:color="auto"/>
            </w:tcBorders>
          </w:tcPr>
          <w:p>
            <w:pPr>
              <w:spacing w:after="0"/>
              <w:rPr>
                <w:sz w:val="24"/>
                <w:szCs w:val="24"/>
                <w:color w:val="auto"/>
              </w:rPr>
            </w:pPr>
          </w:p>
        </w:tc>
        <w:tc>
          <w:tcPr>
            <w:tcW w:w="140" w:type="dxa"/>
            <w:vAlign w:val="bottom"/>
            <w:tcBorders>
              <w:top w:val="single" w:sz="8" w:color="F3F6F7"/>
              <w:bottom w:val="single" w:sz="8" w:color="auto"/>
            </w:tcBorders>
          </w:tcPr>
          <w:p>
            <w:pPr>
              <w:spacing w:after="0"/>
              <w:rPr>
                <w:sz w:val="24"/>
                <w:szCs w:val="24"/>
                <w:color w:val="auto"/>
              </w:rPr>
            </w:pPr>
          </w:p>
        </w:tc>
        <w:tc>
          <w:tcPr>
            <w:tcW w:w="520" w:type="dxa"/>
            <w:vAlign w:val="bottom"/>
            <w:tcBorders>
              <w:top w:val="single" w:sz="8" w:color="F3F6F7"/>
              <w:bottom w:val="single" w:sz="8" w:color="auto"/>
            </w:tcBorders>
          </w:tcPr>
          <w:p>
            <w:pPr>
              <w:spacing w:after="0"/>
              <w:rPr>
                <w:sz w:val="24"/>
                <w:szCs w:val="24"/>
                <w:color w:val="auto"/>
              </w:rPr>
            </w:pPr>
          </w:p>
        </w:tc>
        <w:tc>
          <w:tcPr>
            <w:tcW w:w="280" w:type="dxa"/>
            <w:vAlign w:val="bottom"/>
            <w:tcBorders>
              <w:top w:val="single" w:sz="8" w:color="F3F6F7"/>
              <w:bottom w:val="single" w:sz="8" w:color="auto"/>
            </w:tcBorders>
          </w:tcPr>
          <w:p>
            <w:pPr>
              <w:spacing w:after="0"/>
              <w:rPr>
                <w:sz w:val="24"/>
                <w:szCs w:val="24"/>
                <w:color w:val="auto"/>
              </w:rPr>
            </w:pPr>
          </w:p>
        </w:tc>
        <w:tc>
          <w:tcPr>
            <w:tcW w:w="10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80" w:type="dxa"/>
            <w:vAlign w:val="bottom"/>
            <w:tcBorders>
              <w:top w:val="single" w:sz="8" w:color="F3F6F7"/>
              <w:bottom w:val="single" w:sz="8" w:color="auto"/>
            </w:tcBorders>
          </w:tcPr>
          <w:p>
            <w:pPr>
              <w:spacing w:after="0"/>
              <w:rPr>
                <w:sz w:val="24"/>
                <w:szCs w:val="24"/>
                <w:color w:val="auto"/>
              </w:rPr>
            </w:pPr>
          </w:p>
        </w:tc>
        <w:tc>
          <w:tcPr>
            <w:tcW w:w="180" w:type="dxa"/>
            <w:vAlign w:val="bottom"/>
            <w:tcBorders>
              <w:top w:val="single" w:sz="8" w:color="F3F6F7"/>
              <w:bottom w:val="single" w:sz="8" w:color="auto"/>
            </w:tcBorders>
          </w:tcPr>
          <w:p>
            <w:pPr>
              <w:spacing w:after="0"/>
              <w:rPr>
                <w:sz w:val="24"/>
                <w:szCs w:val="24"/>
                <w:color w:val="auto"/>
              </w:rPr>
            </w:pPr>
          </w:p>
        </w:tc>
        <w:tc>
          <w:tcPr>
            <w:tcW w:w="120" w:type="dxa"/>
            <w:vAlign w:val="bottom"/>
            <w:tcBorders>
              <w:top w:val="single" w:sz="8" w:color="F3F6F7"/>
              <w:bottom w:val="single" w:sz="8" w:color="auto"/>
            </w:tcBorders>
          </w:tcPr>
          <w:p>
            <w:pPr>
              <w:spacing w:after="0"/>
              <w:rPr>
                <w:sz w:val="24"/>
                <w:szCs w:val="24"/>
                <w:color w:val="auto"/>
              </w:rPr>
            </w:pPr>
          </w:p>
        </w:tc>
        <w:tc>
          <w:tcPr>
            <w:tcW w:w="180" w:type="dxa"/>
            <w:vAlign w:val="bottom"/>
            <w:tcBorders>
              <w:top w:val="single" w:sz="8" w:color="F3F6F7"/>
              <w:bottom w:val="single" w:sz="8" w:color="auto"/>
            </w:tcBorders>
          </w:tcPr>
          <w:p>
            <w:pPr>
              <w:spacing w:after="0"/>
              <w:rPr>
                <w:sz w:val="24"/>
                <w:szCs w:val="24"/>
                <w:color w:val="auto"/>
              </w:rPr>
            </w:pPr>
          </w:p>
        </w:tc>
        <w:tc>
          <w:tcPr>
            <w:tcW w:w="160" w:type="dxa"/>
            <w:vAlign w:val="bottom"/>
            <w:tcBorders>
              <w:top w:val="single" w:sz="8" w:color="F3F6F7"/>
              <w:bottom w:val="single" w:sz="8" w:color="auto"/>
            </w:tcBorders>
          </w:tcPr>
          <w:p>
            <w:pPr>
              <w:spacing w:after="0"/>
              <w:rPr>
                <w:sz w:val="24"/>
                <w:szCs w:val="24"/>
                <w:color w:val="auto"/>
              </w:rPr>
            </w:pPr>
          </w:p>
        </w:tc>
        <w:tc>
          <w:tcPr>
            <w:tcW w:w="660" w:type="dxa"/>
            <w:vAlign w:val="bottom"/>
            <w:tcBorders>
              <w:top w:val="single" w:sz="8" w:color="F3F6F7"/>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485" w:right="99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3C578C"/>
        </w:rPr>
        <w:t>INFORMATION ABOUT THE ANNUAL MEETING</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Attendance and Participation</w:t>
      </w:r>
    </w:p>
    <w:p>
      <w:pPr>
        <w:spacing w:after="0" w:line="9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 xml:space="preserve">Our Annual Meeting will be conducted on the internet via webcast only. Stockholders attending the Annual Meeting will be afforded the same rights and opportunities to attend and participate as they would at an in-person meeting, and will be able to submit questions during the Annual Meeting by visiting </w:t>
      </w:r>
      <w:r>
        <w:rPr>
          <w:rFonts w:ascii="Arial" w:cs="Arial" w:eastAsia="Arial" w:hAnsi="Arial"/>
          <w:sz w:val="17"/>
          <w:szCs w:val="17"/>
          <w:i w:val="1"/>
          <w:iCs w:val="1"/>
          <w:u w:val="single" w:color="auto"/>
          <w:color w:val="auto"/>
        </w:rPr>
        <w:t>www.virtualshareholdermeeting.com/CECO2024</w:t>
      </w:r>
      <w:r>
        <w:rPr>
          <w:rFonts w:ascii="Arial" w:cs="Arial" w:eastAsia="Arial" w:hAnsi="Arial"/>
          <w:sz w:val="17"/>
          <w:szCs w:val="17"/>
          <w:i w:val="1"/>
          <w:iCs w:val="1"/>
          <w:color w:val="auto"/>
        </w:rPr>
        <w:t>.</w:t>
      </w:r>
      <w:r>
        <w:rPr>
          <w:rFonts w:ascii="Arial" w:cs="Arial" w:eastAsia="Arial" w:hAnsi="Arial"/>
          <w:sz w:val="17"/>
          <w:szCs w:val="17"/>
          <w:color w:val="auto"/>
        </w:rPr>
        <w:t xml:space="preserve"> Stockholders who would like to attend and participate in the Annual Meeting will need the 16-digit control number included on their proxy card or voting instruction form. The Annual Meeting will begin promptly at 8:00 a.m. Central Time. We encourage you to access the Annual Meeting prior to the start time. Online access will begin at 7:45 a.m. Central Time.</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Annual Meeting platform is fully supported across browsers (Internet Explorer, Firefox, Chrome, and Safari) and devices (desktops, laptops, tablets, and cell phones) running the most updated version of applicable software and plugins. Stockholders should ensure that they have a strong internet connection if they intend to attend and/or participate in the Annual Meeting. Attendees should allow plenty of time to log in and ensure that they can hear streaming audio prior to the start of the Annual Meeting.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Questions and Information Accessibility</w:t>
      </w:r>
    </w:p>
    <w:p>
      <w:pPr>
        <w:spacing w:after="0" w:line="90"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 xml:space="preserve">Stockholders may submit questions during the Annual Meeting. If you wish to submit a question, you may do so by logging into the virtual meeting platform at </w:t>
      </w:r>
      <w:r>
        <w:rPr>
          <w:rFonts w:ascii="Arial" w:cs="Arial" w:eastAsia="Arial" w:hAnsi="Arial"/>
          <w:sz w:val="17"/>
          <w:szCs w:val="17"/>
          <w:i w:val="1"/>
          <w:iCs w:val="1"/>
          <w:u w:val="single" w:color="auto"/>
          <w:color w:val="auto"/>
        </w:rPr>
        <w:t>www.virtualshareholdermeeting.com/CECO2024</w:t>
      </w:r>
      <w:r>
        <w:rPr>
          <w:rFonts w:ascii="Arial" w:cs="Arial" w:eastAsia="Arial" w:hAnsi="Arial"/>
          <w:sz w:val="17"/>
          <w:szCs w:val="17"/>
          <w:i w:val="1"/>
          <w:iCs w:val="1"/>
          <w:color w:val="auto"/>
        </w:rPr>
        <w:t>,</w:t>
      </w:r>
      <w:r>
        <w:rPr>
          <w:rFonts w:ascii="Arial" w:cs="Arial" w:eastAsia="Arial" w:hAnsi="Arial"/>
          <w:sz w:val="17"/>
          <w:szCs w:val="17"/>
          <w:color w:val="auto"/>
        </w:rPr>
        <w:t xml:space="preserve"> typing your question into the “Ask a Question” field, and clicking “Submit.”</w:t>
      </w:r>
    </w:p>
    <w:p>
      <w:pPr>
        <w:spacing w:after="0" w:line="66"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Questions pertinent to the Annual Meeting will be answered during the Annual Meeting, subject to time constraints. Any such questions that cannot be answered during the Annual Meeting due to time constraints will be posted and answered on our Investor Relations website, https://investor.cecoenviro.com/, as soon as practicable after the Annual Meeting.</w:t>
      </w:r>
    </w:p>
    <w:p>
      <w:pPr>
        <w:spacing w:after="0" w:line="66" w:lineRule="exact"/>
        <w:rPr>
          <w:sz w:val="20"/>
          <w:szCs w:val="20"/>
          <w:color w:val="auto"/>
        </w:rPr>
      </w:pPr>
    </w:p>
    <w:p>
      <w:pPr>
        <w:jc w:val="both"/>
        <w:ind w:right="240"/>
        <w:spacing w:after="0" w:line="244" w:lineRule="auto"/>
        <w:rPr>
          <w:sz w:val="20"/>
          <w:szCs w:val="20"/>
          <w:color w:val="auto"/>
        </w:rPr>
      </w:pPr>
      <w:r>
        <w:rPr>
          <w:rFonts w:ascii="Arial" w:cs="Arial" w:eastAsia="Arial" w:hAnsi="Arial"/>
          <w:sz w:val="17"/>
          <w:szCs w:val="17"/>
          <w:color w:val="auto"/>
        </w:rPr>
        <w:t xml:space="preserve">Additional information regarding the ability of stockholders to ask questions during the Annual Meeting, related rules of conduct and other materials for the Annual Meeting, will be available at </w:t>
      </w:r>
      <w:r>
        <w:rPr>
          <w:rFonts w:ascii="Arial" w:cs="Arial" w:eastAsia="Arial" w:hAnsi="Arial"/>
          <w:sz w:val="17"/>
          <w:szCs w:val="17"/>
          <w:i w:val="1"/>
          <w:iCs w:val="1"/>
          <w:u w:val="single" w:color="auto"/>
          <w:color w:val="auto"/>
        </w:rPr>
        <w:t>www.virtualshareholdermeeting.com/CECO2024</w:t>
      </w:r>
      <w:r>
        <w:rPr>
          <w:rFonts w:ascii="Arial" w:cs="Arial" w:eastAsia="Arial" w:hAnsi="Arial"/>
          <w:sz w:val="17"/>
          <w:szCs w:val="17"/>
          <w:i w:val="1"/>
          <w:iCs w:val="1"/>
          <w:color w:val="auto"/>
        </w:rPr>
        <w:t>.</w:t>
      </w:r>
      <w:r>
        <w:rPr>
          <w:rFonts w:ascii="Arial" w:cs="Arial" w:eastAsia="Arial" w:hAnsi="Arial"/>
          <w:sz w:val="17"/>
          <w:szCs w:val="17"/>
          <w:color w:val="auto"/>
        </w:rPr>
        <w:t xml:space="preserve"> Stockholders may view the list for such purposes 10 days prior to the meeting by contacting Investor.Relations@OneCECO.com.</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Technical Difficulties</w:t>
      </w:r>
    </w:p>
    <w:p>
      <w:pPr>
        <w:spacing w:after="0" w:line="9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 xml:space="preserve">Information regarding matters addressing technical and logistical issues, including technical support during the Annual Meeting, will be available at </w:t>
      </w:r>
      <w:r>
        <w:rPr>
          <w:rFonts w:ascii="Arial" w:cs="Arial" w:eastAsia="Arial" w:hAnsi="Arial"/>
          <w:sz w:val="17"/>
          <w:szCs w:val="17"/>
          <w:i w:val="1"/>
          <w:iCs w:val="1"/>
          <w:u w:val="single" w:color="auto"/>
          <w:color w:val="auto"/>
        </w:rPr>
        <w:t>www.virtualshareholdermeeting.com/CECO2024</w:t>
      </w:r>
      <w:r>
        <w:rPr>
          <w:rFonts w:ascii="Arial" w:cs="Arial" w:eastAsia="Arial" w:hAnsi="Arial"/>
          <w:sz w:val="17"/>
          <w:szCs w:val="17"/>
          <w:color w:val="auto"/>
        </w:rPr>
        <w:t xml:space="preserve"> starting at 7:45 a.m. Central Time on May 20, 2024, through the conclusion of the Annual Meeting.</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will provide a copy of our proxy materials for the Annual Meeting to any stockholder without charge upon written request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addressed to CECO Environmental Corp., to the attention of the Corporate Secretary, 14651 N. Dallas Parkway, Suite 500,</w:t>
      </w:r>
    </w:p>
    <w:p>
      <w:pPr>
        <w:spacing w:after="0" w:line="230" w:lineRule="auto"/>
        <w:rPr>
          <w:sz w:val="20"/>
          <w:szCs w:val="20"/>
          <w:color w:val="auto"/>
        </w:rPr>
      </w:pPr>
      <w:r>
        <w:rPr>
          <w:rFonts w:ascii="Arial" w:cs="Arial" w:eastAsia="Arial" w:hAnsi="Arial"/>
          <w:sz w:val="17"/>
          <w:szCs w:val="17"/>
          <w:b w:val="1"/>
          <w:bCs w:val="1"/>
          <w:color w:val="auto"/>
        </w:rPr>
        <w:t>Dallas, Texas 75254 or by phone at (214) 357-6181. Any stockholder may also receive a copy of our Annual Report on</w:t>
      </w:r>
    </w:p>
    <w:p>
      <w:pPr>
        <w:spacing w:after="0"/>
        <w:rPr>
          <w:sz w:val="20"/>
          <w:szCs w:val="20"/>
          <w:color w:val="auto"/>
        </w:rPr>
      </w:pPr>
      <w:r>
        <w:rPr>
          <w:rFonts w:ascii="Arial" w:cs="Arial" w:eastAsia="Arial" w:hAnsi="Arial"/>
          <w:sz w:val="16"/>
          <w:szCs w:val="16"/>
          <w:b w:val="1"/>
          <w:bCs w:val="1"/>
          <w:color w:val="auto"/>
        </w:rPr>
        <w:t>Form 10-K for the year ended December 31, 2023, as filed with the SEC, without exhibits, upon written request to the address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638175</wp:posOffset>
            </wp:positionV>
            <wp:extent cx="483870" cy="2222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80" w:type="dxa"/>
            <w:vAlign w:val="bottom"/>
          </w:tcPr>
          <w:p>
            <w:pPr>
              <w:ind w:left="7880"/>
              <w:spacing w:after="0"/>
              <w:rPr>
                <w:sz w:val="20"/>
                <w:szCs w:val="20"/>
                <w:color w:val="auto"/>
              </w:rPr>
            </w:pPr>
            <w:r>
              <w:rPr>
                <w:rFonts w:ascii="Arial" w:cs="Arial" w:eastAsia="Arial" w:hAnsi="Arial"/>
                <w:sz w:val="17"/>
                <w:szCs w:val="17"/>
                <w:color w:val="7F7F7F"/>
              </w:rPr>
              <w:t>2024 Proxy Statement</w:t>
            </w:r>
          </w:p>
        </w:tc>
        <w:tc>
          <w:tcPr>
            <w:tcW w:w="240" w:type="dxa"/>
            <w:vAlign w:val="bottom"/>
          </w:tcPr>
          <w:p>
            <w:pPr>
              <w:jc w:val="right"/>
              <w:spacing w:after="0"/>
              <w:rPr>
                <w:sz w:val="20"/>
                <w:szCs w:val="20"/>
                <w:color w:val="auto"/>
              </w:rPr>
            </w:pPr>
            <w:r>
              <w:rPr>
                <w:rFonts w:ascii="Arial" w:cs="Arial" w:eastAsia="Arial" w:hAnsi="Arial"/>
                <w:sz w:val="17"/>
                <w:szCs w:val="17"/>
                <w:color w:val="7F7F7F"/>
              </w:rPr>
              <w:t>1</w:t>
            </w:r>
          </w:p>
        </w:tc>
      </w:tr>
      <w:tr>
        <w:trPr>
          <w:trHeight w:val="603"/>
        </w:trPr>
        <w:tc>
          <w:tcPr>
            <w:tcW w:w="9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155575</wp:posOffset>
            </wp:positionV>
            <wp:extent cx="6301105" cy="1824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1105" cy="1824990"/>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C578C"/>
        </w:rPr>
        <w:t>PROPOSAL 1</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33"/>
          <w:szCs w:val="33"/>
          <w:color w:val="3C578C"/>
        </w:rPr>
        <w:t>ELECTION OF DIRECTORS</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1B657"/>
        </w:rPr>
        <w:t>Directors and Nominees</w:t>
      </w:r>
    </w:p>
    <w:p>
      <w:pPr>
        <w:spacing w:after="0" w:line="92"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Board of Directors (“Board”) currently consists of eight directors, each serving a one-year term. Upon the recommendation of the Nominations and Governance Committee of the Board, our Board has proposed the re-election of each of the existing directors to serve as directors until the next annual meeting or until their successors have been duly elected and qualified. If, for any reason, any nominee should become unable or unwilling to serve as a director, our Board may either reduce the number of directors to be elected or select a substitute nominee. If a substitute nominee is selected, the persons named in the proxy card may exercise their discretion to vote your shares for the substitute nominee. The following table lists all of the director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471" w:lineRule="exact"/>
        <w:rPr>
          <w:sz w:val="20"/>
          <w:szCs w:val="20"/>
          <w:color w:val="auto"/>
        </w:rPr>
      </w:pPr>
      <w:r>
        <w:rPr>
          <w:rFonts w:ascii="MS PGothic" w:cs="MS PGothic" w:eastAsia="MS PGothic" w:hAnsi="MS PGothic"/>
          <w:sz w:val="47"/>
          <w:szCs w:val="47"/>
          <w:color w:val="A1B657"/>
        </w:rPr>
        <w:t>✓</w:t>
      </w:r>
    </w:p>
    <w:p>
      <w:pPr>
        <w:spacing w:after="0" w:line="209" w:lineRule="exact"/>
        <w:rPr>
          <w:sz w:val="20"/>
          <w:szCs w:val="20"/>
          <w:color w:val="auto"/>
        </w:rPr>
      </w:pPr>
    </w:p>
    <w:p>
      <w:pPr>
        <w:ind w:right="40"/>
        <w:spacing w:after="0" w:line="267" w:lineRule="auto"/>
        <w:rPr>
          <w:sz w:val="20"/>
          <w:szCs w:val="20"/>
          <w:color w:val="auto"/>
        </w:rPr>
      </w:pPr>
      <w:r>
        <w:rPr>
          <w:rFonts w:ascii="Arial" w:cs="Arial" w:eastAsia="Arial" w:hAnsi="Arial"/>
          <w:sz w:val="19"/>
          <w:szCs w:val="19"/>
          <w:b w:val="1"/>
          <w:bCs w:val="1"/>
          <w:color w:val="3C578C"/>
        </w:rPr>
        <w:t xml:space="preserve">The Board recommends a vote </w:t>
      </w:r>
      <w:r>
        <w:rPr>
          <w:rFonts w:ascii="Arial" w:cs="Arial" w:eastAsia="Arial" w:hAnsi="Arial"/>
          <w:sz w:val="19"/>
          <w:szCs w:val="19"/>
          <w:b w:val="1"/>
          <w:bCs w:val="1"/>
          <w:color w:val="A1B657"/>
        </w:rPr>
        <w:t>FOR</w:t>
      </w:r>
      <w:r>
        <w:rPr>
          <w:rFonts w:ascii="Arial" w:cs="Arial" w:eastAsia="Arial" w:hAnsi="Arial"/>
          <w:sz w:val="19"/>
          <w:szCs w:val="19"/>
          <w:b w:val="1"/>
          <w:bCs w:val="1"/>
          <w:color w:val="3C578C"/>
        </w:rPr>
        <w:t xml:space="preserve"> each nominee for Director</w:t>
      </w:r>
    </w:p>
    <w:p>
      <w:pPr>
        <w:spacing w:after="0" w:line="937" w:lineRule="exact"/>
        <w:rPr>
          <w:sz w:val="20"/>
          <w:szCs w:val="20"/>
          <w:color w:val="auto"/>
        </w:rPr>
      </w:pPr>
    </w:p>
    <w:p>
      <w:pPr>
        <w:sectPr>
          <w:pgSz w:w="11900" w:h="16838" w:orient="portrait"/>
          <w:cols w:equalWidth="0" w:num="2">
            <w:col w:w="7140" w:space="460"/>
            <w:col w:w="2320"/>
          </w:cols>
          <w:pgMar w:left="980" w:top="485" w:right="999" w:bottom="1440" w:gutter="0" w:footer="0" w:header="0"/>
          <w:type w:val="continuous"/>
        </w:sectPr>
      </w:pP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Nominations &amp;</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6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 xml:space="preserve">Name </w:t>
            </w:r>
            <w:r>
              <w:rPr>
                <w:rFonts w:ascii="Arial" w:cs="Arial" w:eastAsia="Arial" w:hAnsi="Arial"/>
                <w:sz w:val="19"/>
                <w:szCs w:val="19"/>
                <w:b w:val="1"/>
                <w:bCs w:val="1"/>
                <w:color w:val="auto"/>
                <w:vertAlign w:val="superscript"/>
              </w:rPr>
              <w:t>(1)</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Director</w:t>
            </w:r>
          </w:p>
        </w:tc>
        <w:tc>
          <w:tcPr>
            <w:tcW w:w="12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Audit</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Compensation</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rPr>
              <w:t>Governance</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600" w:type="dxa"/>
            <w:vAlign w:val="bottom"/>
            <w:tcBorders>
              <w:bottom w:val="single" w:sz="8" w:color="CDCECD"/>
            </w:tcBorders>
            <w:vMerge w:val="continue"/>
          </w:tcPr>
          <w:p>
            <w:pPr>
              <w:spacing w:after="0"/>
              <w:rPr>
                <w:sz w:val="20"/>
                <w:szCs w:val="20"/>
                <w:color w:val="auto"/>
              </w:rPr>
            </w:pPr>
          </w:p>
        </w:tc>
        <w:tc>
          <w:tcPr>
            <w:tcW w:w="1220" w:type="dxa"/>
            <w:vAlign w:val="bottom"/>
            <w:tcBorders>
              <w:bottom w:val="single" w:sz="8" w:color="CDCECD"/>
            </w:tcBorders>
          </w:tcPr>
          <w:p>
            <w:pPr>
              <w:jc w:val="center"/>
              <w:spacing w:after="0"/>
              <w:rPr>
                <w:sz w:val="20"/>
                <w:szCs w:val="20"/>
                <w:color w:val="auto"/>
              </w:rPr>
            </w:pPr>
            <w:r>
              <w:rPr>
                <w:rFonts w:ascii="Arial" w:cs="Arial" w:eastAsia="Arial" w:hAnsi="Arial"/>
                <w:sz w:val="13"/>
                <w:szCs w:val="13"/>
                <w:b w:val="1"/>
                <w:bCs w:val="1"/>
                <w:color w:val="auto"/>
                <w:w w:val="97"/>
              </w:rPr>
              <w:t>Since</w:t>
            </w:r>
          </w:p>
        </w:tc>
        <w:tc>
          <w:tcPr>
            <w:tcW w:w="1220" w:type="dxa"/>
            <w:vAlign w:val="bottom"/>
            <w:tcBorders>
              <w:bottom w:val="single" w:sz="8" w:color="CDCECD"/>
            </w:tcBorders>
          </w:tcPr>
          <w:p>
            <w:pPr>
              <w:jc w:val="center"/>
              <w:spacing w:after="0"/>
              <w:rPr>
                <w:sz w:val="20"/>
                <w:szCs w:val="20"/>
                <w:color w:val="auto"/>
              </w:rPr>
            </w:pPr>
            <w:r>
              <w:rPr>
                <w:rFonts w:ascii="Arial" w:cs="Arial" w:eastAsia="Arial" w:hAnsi="Arial"/>
                <w:sz w:val="13"/>
                <w:szCs w:val="13"/>
                <w:b w:val="1"/>
                <w:bCs w:val="1"/>
                <w:color w:val="auto"/>
              </w:rPr>
              <w:t>Independent</w:t>
            </w:r>
          </w:p>
        </w:tc>
        <w:tc>
          <w:tcPr>
            <w:tcW w:w="1240" w:type="dxa"/>
            <w:vAlign w:val="bottom"/>
            <w:tcBorders>
              <w:bottom w:val="single" w:sz="8" w:color="CDCECD"/>
            </w:tcBorders>
          </w:tcPr>
          <w:p>
            <w:pPr>
              <w:jc w:val="center"/>
              <w:spacing w:after="0"/>
              <w:rPr>
                <w:sz w:val="20"/>
                <w:szCs w:val="20"/>
                <w:color w:val="auto"/>
              </w:rPr>
            </w:pPr>
            <w:r>
              <w:rPr>
                <w:rFonts w:ascii="Arial" w:cs="Arial" w:eastAsia="Arial" w:hAnsi="Arial"/>
                <w:sz w:val="13"/>
                <w:szCs w:val="13"/>
                <w:b w:val="1"/>
                <w:bCs w:val="1"/>
                <w:color w:val="auto"/>
              </w:rPr>
              <w:t>Committee</w:t>
            </w:r>
          </w:p>
        </w:tc>
        <w:tc>
          <w:tcPr>
            <w:tcW w:w="1220" w:type="dxa"/>
            <w:vAlign w:val="bottom"/>
            <w:tcBorders>
              <w:bottom w:val="single" w:sz="8" w:color="CDCECD"/>
            </w:tcBorders>
          </w:tcPr>
          <w:p>
            <w:pPr>
              <w:jc w:val="center"/>
              <w:spacing w:after="0"/>
              <w:rPr>
                <w:sz w:val="20"/>
                <w:szCs w:val="20"/>
                <w:color w:val="auto"/>
              </w:rPr>
            </w:pPr>
            <w:r>
              <w:rPr>
                <w:rFonts w:ascii="Arial" w:cs="Arial" w:eastAsia="Arial" w:hAnsi="Arial"/>
                <w:sz w:val="13"/>
                <w:szCs w:val="13"/>
                <w:b w:val="1"/>
                <w:bCs w:val="1"/>
                <w:color w:val="auto"/>
              </w:rPr>
              <w:t>Committee</w:t>
            </w:r>
          </w:p>
        </w:tc>
        <w:tc>
          <w:tcPr>
            <w:tcW w:w="1220" w:type="dxa"/>
            <w:vAlign w:val="bottom"/>
            <w:tcBorders>
              <w:bottom w:val="single" w:sz="8" w:color="CDCECD"/>
            </w:tcBorders>
          </w:tcPr>
          <w:p>
            <w:pPr>
              <w:jc w:val="center"/>
              <w:spacing w:after="0"/>
              <w:rPr>
                <w:sz w:val="20"/>
                <w:szCs w:val="20"/>
                <w:color w:val="auto"/>
              </w:rPr>
            </w:pPr>
            <w:r>
              <w:rPr>
                <w:rFonts w:ascii="Arial" w:cs="Arial" w:eastAsia="Arial" w:hAnsi="Arial"/>
                <w:sz w:val="13"/>
                <w:szCs w:val="13"/>
                <w:b w:val="1"/>
                <w:bCs w:val="1"/>
                <w:color w:val="auto"/>
              </w:rPr>
              <w:t>Committee</w:t>
            </w:r>
          </w:p>
        </w:tc>
        <w:tc>
          <w:tcPr>
            <w:tcW w:w="1200" w:type="dxa"/>
            <w:vAlign w:val="bottom"/>
            <w:tcBorders>
              <w:bottom w:val="single" w:sz="8" w:color="CDCECD"/>
            </w:tcBorders>
          </w:tcPr>
          <w:p>
            <w:pPr>
              <w:jc w:val="center"/>
              <w:spacing w:after="0"/>
              <w:rPr>
                <w:sz w:val="20"/>
                <w:szCs w:val="20"/>
                <w:color w:val="auto"/>
              </w:rPr>
            </w:pPr>
            <w:r>
              <w:rPr>
                <w:rFonts w:ascii="Arial" w:cs="Arial" w:eastAsia="Arial" w:hAnsi="Arial"/>
                <w:sz w:val="13"/>
                <w:szCs w:val="13"/>
                <w:b w:val="1"/>
                <w:bCs w:val="1"/>
                <w:color w:val="auto"/>
              </w:rPr>
              <w:t>M&amp;A Committee</w:t>
            </w:r>
          </w:p>
        </w:tc>
        <w:tc>
          <w:tcPr>
            <w:tcW w:w="0" w:type="dxa"/>
            <w:vAlign w:val="bottom"/>
          </w:tcPr>
          <w:p>
            <w:pPr>
              <w:spacing w:after="0"/>
              <w:rPr>
                <w:sz w:val="1"/>
                <w:szCs w:val="1"/>
                <w:color w:val="auto"/>
              </w:rPr>
            </w:pPr>
          </w:p>
        </w:tc>
      </w:tr>
      <w:tr>
        <w:trPr>
          <w:trHeight w:val="210"/>
        </w:trPr>
        <w:tc>
          <w:tcPr>
            <w:tcW w:w="2600" w:type="dxa"/>
            <w:vAlign w:val="bottom"/>
            <w:tcBorders>
              <w:right w:val="single" w:sz="8" w:color="CDCECD"/>
            </w:tcBorders>
          </w:tcPr>
          <w:p>
            <w:pPr>
              <w:ind w:left="60"/>
              <w:spacing w:after="0"/>
              <w:rPr>
                <w:sz w:val="20"/>
                <w:szCs w:val="20"/>
                <w:color w:val="auto"/>
              </w:rPr>
            </w:pPr>
            <w:r>
              <w:rPr>
                <w:rFonts w:ascii="Arial" w:cs="Arial" w:eastAsia="Arial" w:hAnsi="Arial"/>
                <w:sz w:val="13"/>
                <w:szCs w:val="13"/>
                <w:b w:val="1"/>
                <w:bCs w:val="1"/>
                <w:color w:val="405788"/>
              </w:rPr>
              <w:t>Jason DeZwirek</w:t>
            </w:r>
          </w:p>
        </w:tc>
        <w:tc>
          <w:tcPr>
            <w:tcW w:w="1220" w:type="dxa"/>
            <w:vAlign w:val="bottom"/>
            <w:tcBorders>
              <w:right w:val="single" w:sz="8" w:color="CDCECD"/>
            </w:tcBorders>
            <w:vMerge w:val="restart"/>
          </w:tcPr>
          <w:p>
            <w:pPr>
              <w:jc w:val="center"/>
              <w:spacing w:after="0"/>
              <w:rPr>
                <w:sz w:val="20"/>
                <w:szCs w:val="20"/>
                <w:color w:val="auto"/>
              </w:rPr>
            </w:pPr>
            <w:r>
              <w:rPr>
                <w:rFonts w:ascii="Arial" w:cs="Arial" w:eastAsia="Arial" w:hAnsi="Arial"/>
                <w:sz w:val="13"/>
                <w:szCs w:val="13"/>
                <w:color w:val="auto"/>
              </w:rPr>
              <w:t>1994</w:t>
            </w:r>
          </w:p>
        </w:tc>
        <w:tc>
          <w:tcPr>
            <w:tcW w:w="1220" w:type="dxa"/>
            <w:vAlign w:val="bottom"/>
            <w:tcBorders>
              <w:right w:val="single" w:sz="8" w:color="CDCECD"/>
            </w:tcBorders>
            <w:vMerge w:val="restart"/>
          </w:tcPr>
          <w:p>
            <w:pPr>
              <w:jc w:val="center"/>
              <w:spacing w:after="0" w:line="271" w:lineRule="exact"/>
              <w:rPr>
                <w:sz w:val="20"/>
                <w:szCs w:val="20"/>
                <w:color w:val="auto"/>
              </w:rPr>
            </w:pPr>
            <w:r>
              <w:rPr>
                <w:rFonts w:ascii="MS PGothic" w:cs="MS PGothic" w:eastAsia="MS PGothic" w:hAnsi="MS PGothic"/>
                <w:sz w:val="27"/>
                <w:szCs w:val="27"/>
                <w:color w:val="405788"/>
                <w:w w:val="88"/>
              </w:rPr>
              <w:t>✓</w:t>
            </w:r>
          </w:p>
        </w:tc>
        <w:tc>
          <w:tcPr>
            <w:tcW w:w="1240" w:type="dxa"/>
            <w:vAlign w:val="bottom"/>
            <w:tcBorders>
              <w:right w:val="single" w:sz="8" w:color="CDCECD"/>
            </w:tcBorders>
          </w:tcPr>
          <w:p>
            <w:pPr>
              <w:spacing w:after="0"/>
              <w:rPr>
                <w:sz w:val="18"/>
                <w:szCs w:val="18"/>
                <w:color w:val="auto"/>
              </w:rPr>
            </w:pPr>
          </w:p>
        </w:tc>
        <w:tc>
          <w:tcPr>
            <w:tcW w:w="1220" w:type="dxa"/>
            <w:vAlign w:val="bottom"/>
            <w:tcBorders>
              <w:right w:val="single" w:sz="8" w:color="CDCECD"/>
            </w:tcBorders>
          </w:tcPr>
          <w:p>
            <w:pPr>
              <w:spacing w:after="0"/>
              <w:rPr>
                <w:sz w:val="18"/>
                <w:szCs w:val="18"/>
                <w:color w:val="auto"/>
              </w:rPr>
            </w:pPr>
          </w:p>
        </w:tc>
        <w:tc>
          <w:tcPr>
            <w:tcW w:w="1220" w:type="dxa"/>
            <w:vAlign w:val="bottom"/>
            <w:tcBorders>
              <w:right w:val="single" w:sz="8" w:color="CDCECD"/>
            </w:tcBorders>
            <w:vMerge w:val="restart"/>
          </w:tcPr>
          <w:p>
            <w:pPr>
              <w:jc w:val="center"/>
              <w:spacing w:after="0" w:line="271" w:lineRule="exact"/>
              <w:rPr>
                <w:sz w:val="20"/>
                <w:szCs w:val="20"/>
                <w:color w:val="auto"/>
              </w:rPr>
            </w:pPr>
            <w:r>
              <w:rPr>
                <w:rFonts w:ascii="MS PGothic" w:cs="MS PGothic" w:eastAsia="MS PGothic" w:hAnsi="MS PGothic"/>
                <w:sz w:val="27"/>
                <w:szCs w:val="27"/>
                <w:color w:val="405788"/>
                <w:w w:val="88"/>
              </w:rPr>
              <w:t>✓</w:t>
            </w:r>
          </w:p>
        </w:tc>
        <w:tc>
          <w:tcPr>
            <w:tcW w:w="12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405788"/>
                <w:w w:val="88"/>
              </w:rPr>
              <w:t>✓</w:t>
            </w:r>
          </w:p>
        </w:tc>
        <w:tc>
          <w:tcPr>
            <w:tcW w:w="0" w:type="dxa"/>
            <w:vAlign w:val="bottom"/>
          </w:tcPr>
          <w:p>
            <w:pPr>
              <w:spacing w:after="0"/>
              <w:rPr>
                <w:sz w:val="1"/>
                <w:szCs w:val="1"/>
                <w:color w:val="auto"/>
              </w:rPr>
            </w:pPr>
          </w:p>
        </w:tc>
      </w:tr>
      <w:tr>
        <w:trPr>
          <w:trHeight w:val="100"/>
        </w:trPr>
        <w:tc>
          <w:tcPr>
            <w:tcW w:w="2600" w:type="dxa"/>
            <w:vAlign w:val="bottom"/>
            <w:tcBorders>
              <w:right w:val="single" w:sz="8" w:color="CDCECD"/>
            </w:tcBorders>
            <w:vMerge w:val="restart"/>
          </w:tcPr>
          <w:p>
            <w:pPr>
              <w:ind w:left="60"/>
              <w:spacing w:after="0"/>
              <w:rPr>
                <w:sz w:val="20"/>
                <w:szCs w:val="20"/>
                <w:color w:val="auto"/>
              </w:rPr>
            </w:pPr>
            <w:r>
              <w:rPr>
                <w:rFonts w:ascii="Arial" w:cs="Arial" w:eastAsia="Arial" w:hAnsi="Arial"/>
                <w:sz w:val="13"/>
                <w:szCs w:val="13"/>
                <w:color w:val="auto"/>
              </w:rPr>
              <w:t>Chairman of the Board</w:t>
            </w:r>
          </w:p>
        </w:tc>
        <w:tc>
          <w:tcPr>
            <w:tcW w:w="1220" w:type="dxa"/>
            <w:vAlign w:val="bottom"/>
            <w:tcBorders>
              <w:right w:val="single" w:sz="8" w:color="CDCECD"/>
            </w:tcBorders>
            <w:vMerge w:val="continue"/>
          </w:tcPr>
          <w:p>
            <w:pPr>
              <w:spacing w:after="0"/>
              <w:rPr>
                <w:sz w:val="8"/>
                <w:szCs w:val="8"/>
                <w:color w:val="auto"/>
              </w:rPr>
            </w:pPr>
          </w:p>
        </w:tc>
        <w:tc>
          <w:tcPr>
            <w:tcW w:w="1220" w:type="dxa"/>
            <w:vAlign w:val="bottom"/>
            <w:tcBorders>
              <w:right w:val="single" w:sz="8" w:color="CDCECD"/>
            </w:tcBorders>
            <w:vMerge w:val="continue"/>
          </w:tcPr>
          <w:p>
            <w:pPr>
              <w:spacing w:after="0"/>
              <w:rPr>
                <w:sz w:val="8"/>
                <w:szCs w:val="8"/>
                <w:color w:val="auto"/>
              </w:rPr>
            </w:pPr>
          </w:p>
        </w:tc>
        <w:tc>
          <w:tcPr>
            <w:tcW w:w="1240" w:type="dxa"/>
            <w:vAlign w:val="bottom"/>
            <w:tcBorders>
              <w:right w:val="single" w:sz="8" w:color="CDCECD"/>
            </w:tcBorders>
          </w:tcPr>
          <w:p>
            <w:pPr>
              <w:spacing w:after="0"/>
              <w:rPr>
                <w:sz w:val="8"/>
                <w:szCs w:val="8"/>
                <w:color w:val="auto"/>
              </w:rPr>
            </w:pPr>
          </w:p>
        </w:tc>
        <w:tc>
          <w:tcPr>
            <w:tcW w:w="1220" w:type="dxa"/>
            <w:vAlign w:val="bottom"/>
            <w:tcBorders>
              <w:right w:val="single" w:sz="8" w:color="CDCECD"/>
            </w:tcBorders>
          </w:tcPr>
          <w:p>
            <w:pPr>
              <w:spacing w:after="0"/>
              <w:rPr>
                <w:sz w:val="8"/>
                <w:szCs w:val="8"/>
                <w:color w:val="auto"/>
              </w:rPr>
            </w:pPr>
          </w:p>
        </w:tc>
        <w:tc>
          <w:tcPr>
            <w:tcW w:w="1220" w:type="dxa"/>
            <w:vAlign w:val="bottom"/>
            <w:tcBorders>
              <w:right w:val="single" w:sz="8" w:color="CDCECD"/>
            </w:tcBorders>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CDCECD"/>
              <w:right w:val="single" w:sz="8" w:color="CDCECD"/>
            </w:tcBorders>
            <w:vMerge w:val="continue"/>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vMerge w:val="continue"/>
          </w:tcPr>
          <w:p>
            <w:pPr>
              <w:spacing w:after="0"/>
              <w:rPr>
                <w:sz w:val="12"/>
                <w:szCs w:val="12"/>
                <w:color w:val="auto"/>
              </w:rPr>
            </w:pPr>
          </w:p>
        </w:tc>
        <w:tc>
          <w:tcPr>
            <w:tcW w:w="124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vMerge w:val="continue"/>
          </w:tcPr>
          <w:p>
            <w:pPr>
              <w:spacing w:after="0"/>
              <w:rPr>
                <w:sz w:val="12"/>
                <w:szCs w:val="12"/>
                <w:color w:val="auto"/>
              </w:rPr>
            </w:pPr>
          </w:p>
        </w:tc>
        <w:tc>
          <w:tcPr>
            <w:tcW w:w="1200" w:type="dxa"/>
            <w:vAlign w:val="bottom"/>
            <w:tcBorders>
              <w:bottom w:val="single" w:sz="8" w:color="CDCECD"/>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0" w:type="dxa"/>
            <w:vAlign w:val="bottom"/>
            <w:tcBorders>
              <w:right w:val="single" w:sz="8" w:color="CDCECD"/>
            </w:tcBorders>
          </w:tcPr>
          <w:p>
            <w:pPr>
              <w:ind w:left="60"/>
              <w:spacing w:after="0"/>
              <w:rPr>
                <w:sz w:val="20"/>
                <w:szCs w:val="20"/>
                <w:color w:val="auto"/>
              </w:rPr>
            </w:pPr>
            <w:r>
              <w:rPr>
                <w:rFonts w:ascii="Arial" w:cs="Arial" w:eastAsia="Arial" w:hAnsi="Arial"/>
                <w:sz w:val="13"/>
                <w:szCs w:val="13"/>
                <w:b w:val="1"/>
                <w:bCs w:val="1"/>
                <w:color w:val="405788"/>
              </w:rPr>
              <w:t>Todd Gleason</w:t>
            </w:r>
          </w:p>
        </w:tc>
        <w:tc>
          <w:tcPr>
            <w:tcW w:w="1220" w:type="dxa"/>
            <w:vAlign w:val="bottom"/>
            <w:tcBorders>
              <w:right w:val="single" w:sz="8" w:color="CDCECD"/>
            </w:tcBorders>
            <w:vMerge w:val="restart"/>
          </w:tcPr>
          <w:p>
            <w:pPr>
              <w:jc w:val="center"/>
              <w:spacing w:after="0"/>
              <w:rPr>
                <w:sz w:val="20"/>
                <w:szCs w:val="20"/>
                <w:color w:val="auto"/>
              </w:rPr>
            </w:pPr>
            <w:r>
              <w:rPr>
                <w:rFonts w:ascii="Arial" w:cs="Arial" w:eastAsia="Arial" w:hAnsi="Arial"/>
                <w:sz w:val="13"/>
                <w:szCs w:val="13"/>
                <w:color w:val="auto"/>
              </w:rPr>
              <w:t>2020</w:t>
            </w:r>
          </w:p>
        </w:tc>
        <w:tc>
          <w:tcPr>
            <w:tcW w:w="1220" w:type="dxa"/>
            <w:vAlign w:val="bottom"/>
            <w:tcBorders>
              <w:right w:val="single" w:sz="8" w:color="CDCECD"/>
            </w:tcBorders>
          </w:tcPr>
          <w:p>
            <w:pPr>
              <w:spacing w:after="0"/>
              <w:rPr>
                <w:sz w:val="18"/>
                <w:szCs w:val="18"/>
                <w:color w:val="auto"/>
              </w:rPr>
            </w:pPr>
          </w:p>
        </w:tc>
        <w:tc>
          <w:tcPr>
            <w:tcW w:w="1240" w:type="dxa"/>
            <w:vAlign w:val="bottom"/>
            <w:tcBorders>
              <w:right w:val="single" w:sz="8" w:color="CDCECD"/>
            </w:tcBorders>
          </w:tcPr>
          <w:p>
            <w:pPr>
              <w:spacing w:after="0"/>
              <w:rPr>
                <w:sz w:val="18"/>
                <w:szCs w:val="18"/>
                <w:color w:val="auto"/>
              </w:rPr>
            </w:pPr>
          </w:p>
        </w:tc>
        <w:tc>
          <w:tcPr>
            <w:tcW w:w="1220" w:type="dxa"/>
            <w:vAlign w:val="bottom"/>
            <w:tcBorders>
              <w:right w:val="single" w:sz="8" w:color="CDCECD"/>
            </w:tcBorders>
          </w:tcPr>
          <w:p>
            <w:pPr>
              <w:spacing w:after="0"/>
              <w:rPr>
                <w:sz w:val="18"/>
                <w:szCs w:val="18"/>
                <w:color w:val="auto"/>
              </w:rPr>
            </w:pPr>
          </w:p>
        </w:tc>
        <w:tc>
          <w:tcPr>
            <w:tcW w:w="1220" w:type="dxa"/>
            <w:vAlign w:val="bottom"/>
            <w:tcBorders>
              <w:right w:val="single" w:sz="8" w:color="CDCECD"/>
            </w:tcBorders>
          </w:tcPr>
          <w:p>
            <w:pPr>
              <w:spacing w:after="0"/>
              <w:rPr>
                <w:sz w:val="18"/>
                <w:szCs w:val="18"/>
                <w:color w:val="auto"/>
              </w:rPr>
            </w:pPr>
          </w:p>
        </w:tc>
        <w:tc>
          <w:tcPr>
            <w:tcW w:w="1200" w:type="dxa"/>
            <w:vAlign w:val="bottom"/>
            <w:vMerge w:val="restart"/>
          </w:tcPr>
          <w:p>
            <w:pPr>
              <w:jc w:val="center"/>
              <w:spacing w:after="0" w:line="271" w:lineRule="exact"/>
              <w:rPr>
                <w:sz w:val="20"/>
                <w:szCs w:val="20"/>
                <w:color w:val="auto"/>
              </w:rPr>
            </w:pPr>
            <w:r>
              <w:rPr>
                <w:rFonts w:ascii="MS PGothic" w:cs="MS PGothic" w:eastAsia="MS PGothic" w:hAnsi="MS PGothic"/>
                <w:sz w:val="27"/>
                <w:szCs w:val="27"/>
                <w:color w:val="405788"/>
                <w:w w:val="88"/>
              </w:rPr>
              <w:t>✓</w:t>
            </w:r>
          </w:p>
        </w:tc>
        <w:tc>
          <w:tcPr>
            <w:tcW w:w="0" w:type="dxa"/>
            <w:vAlign w:val="bottom"/>
          </w:tcPr>
          <w:p>
            <w:pPr>
              <w:spacing w:after="0"/>
              <w:rPr>
                <w:sz w:val="1"/>
                <w:szCs w:val="1"/>
                <w:color w:val="auto"/>
              </w:rPr>
            </w:pPr>
          </w:p>
        </w:tc>
      </w:tr>
      <w:tr>
        <w:trPr>
          <w:trHeight w:val="100"/>
        </w:trPr>
        <w:tc>
          <w:tcPr>
            <w:tcW w:w="2600" w:type="dxa"/>
            <w:vAlign w:val="bottom"/>
            <w:tcBorders>
              <w:right w:val="single" w:sz="8" w:color="CDCECD"/>
            </w:tcBorders>
            <w:vMerge w:val="restart"/>
          </w:tcPr>
          <w:p>
            <w:pPr>
              <w:ind w:left="60"/>
              <w:spacing w:after="0"/>
              <w:rPr>
                <w:sz w:val="20"/>
                <w:szCs w:val="20"/>
                <w:color w:val="auto"/>
              </w:rPr>
            </w:pPr>
            <w:r>
              <w:rPr>
                <w:rFonts w:ascii="Arial" w:cs="Arial" w:eastAsia="Arial" w:hAnsi="Arial"/>
                <w:sz w:val="13"/>
                <w:szCs w:val="13"/>
                <w:color w:val="auto"/>
              </w:rPr>
              <w:t>Chief Executive Officer</w:t>
            </w:r>
          </w:p>
        </w:tc>
        <w:tc>
          <w:tcPr>
            <w:tcW w:w="1220" w:type="dxa"/>
            <w:vAlign w:val="bottom"/>
            <w:tcBorders>
              <w:right w:val="single" w:sz="8" w:color="CDCECD"/>
            </w:tcBorders>
            <w:vMerge w:val="continue"/>
          </w:tcPr>
          <w:p>
            <w:pPr>
              <w:spacing w:after="0"/>
              <w:rPr>
                <w:sz w:val="8"/>
                <w:szCs w:val="8"/>
                <w:color w:val="auto"/>
              </w:rPr>
            </w:pPr>
          </w:p>
        </w:tc>
        <w:tc>
          <w:tcPr>
            <w:tcW w:w="1220" w:type="dxa"/>
            <w:vAlign w:val="bottom"/>
            <w:tcBorders>
              <w:right w:val="single" w:sz="8" w:color="CDCECD"/>
            </w:tcBorders>
          </w:tcPr>
          <w:p>
            <w:pPr>
              <w:spacing w:after="0"/>
              <w:rPr>
                <w:sz w:val="8"/>
                <w:szCs w:val="8"/>
                <w:color w:val="auto"/>
              </w:rPr>
            </w:pPr>
          </w:p>
        </w:tc>
        <w:tc>
          <w:tcPr>
            <w:tcW w:w="1240" w:type="dxa"/>
            <w:vAlign w:val="bottom"/>
            <w:tcBorders>
              <w:right w:val="single" w:sz="8" w:color="CDCECD"/>
            </w:tcBorders>
          </w:tcPr>
          <w:p>
            <w:pPr>
              <w:spacing w:after="0"/>
              <w:rPr>
                <w:sz w:val="8"/>
                <w:szCs w:val="8"/>
                <w:color w:val="auto"/>
              </w:rPr>
            </w:pPr>
          </w:p>
        </w:tc>
        <w:tc>
          <w:tcPr>
            <w:tcW w:w="1220" w:type="dxa"/>
            <w:vAlign w:val="bottom"/>
            <w:tcBorders>
              <w:right w:val="single" w:sz="8" w:color="CDCECD"/>
            </w:tcBorders>
          </w:tcPr>
          <w:p>
            <w:pPr>
              <w:spacing w:after="0"/>
              <w:rPr>
                <w:sz w:val="8"/>
                <w:szCs w:val="8"/>
                <w:color w:val="auto"/>
              </w:rPr>
            </w:pPr>
          </w:p>
        </w:tc>
        <w:tc>
          <w:tcPr>
            <w:tcW w:w="1220" w:type="dxa"/>
            <w:vAlign w:val="bottom"/>
            <w:tcBorders>
              <w:right w:val="single" w:sz="8" w:color="CDCECD"/>
            </w:tcBorders>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CDCECD"/>
              <w:right w:val="single" w:sz="8" w:color="CDCECD"/>
            </w:tcBorders>
            <w:vMerge w:val="continue"/>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4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00" w:type="dxa"/>
            <w:vAlign w:val="bottom"/>
            <w:tcBorders>
              <w:bottom w:val="single" w:sz="8" w:color="CDCECD"/>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2600" w:type="dxa"/>
            <w:vAlign w:val="bottom"/>
            <w:tcBorders>
              <w:right w:val="single" w:sz="8" w:color="CDCECD"/>
            </w:tcBorders>
            <w:vMerge w:val="restart"/>
          </w:tcPr>
          <w:p>
            <w:pPr>
              <w:ind w:left="40"/>
              <w:spacing w:after="0"/>
              <w:rPr>
                <w:sz w:val="20"/>
                <w:szCs w:val="20"/>
                <w:color w:val="auto"/>
              </w:rPr>
            </w:pPr>
            <w:r>
              <w:rPr>
                <w:rFonts w:ascii="Arial" w:cs="Arial" w:eastAsia="Arial" w:hAnsi="Arial"/>
                <w:sz w:val="13"/>
                <w:szCs w:val="13"/>
                <w:b w:val="1"/>
                <w:bCs w:val="1"/>
                <w:color w:val="405788"/>
              </w:rPr>
              <w:t>Robert E. Knowling, Jr.</w:t>
            </w:r>
          </w:p>
        </w:tc>
        <w:tc>
          <w:tcPr>
            <w:tcW w:w="1220" w:type="dxa"/>
            <w:vAlign w:val="bottom"/>
            <w:tcBorders>
              <w:right w:val="single" w:sz="8" w:color="CDCECD"/>
            </w:tcBorders>
            <w:vMerge w:val="restart"/>
          </w:tcPr>
          <w:p>
            <w:pPr>
              <w:jc w:val="center"/>
              <w:spacing w:after="0"/>
              <w:rPr>
                <w:sz w:val="20"/>
                <w:szCs w:val="20"/>
                <w:color w:val="auto"/>
              </w:rPr>
            </w:pPr>
            <w:r>
              <w:rPr>
                <w:rFonts w:ascii="Arial" w:cs="Arial" w:eastAsia="Arial" w:hAnsi="Arial"/>
                <w:sz w:val="13"/>
                <w:szCs w:val="13"/>
                <w:color w:val="auto"/>
              </w:rPr>
              <w:t>2022</w:t>
            </w:r>
          </w:p>
        </w:tc>
        <w:tc>
          <w:tcPr>
            <w:tcW w:w="1220" w:type="dxa"/>
            <w:vAlign w:val="bottom"/>
            <w:tcBorders>
              <w:right w:val="single" w:sz="8" w:color="CDCECD"/>
            </w:tcBorders>
          </w:tcPr>
          <w:p>
            <w:pPr>
              <w:jc w:val="center"/>
              <w:spacing w:after="0" w:line="271" w:lineRule="exact"/>
              <w:rPr>
                <w:sz w:val="20"/>
                <w:szCs w:val="20"/>
                <w:color w:val="auto"/>
              </w:rPr>
            </w:pPr>
            <w:r>
              <w:rPr>
                <w:rFonts w:ascii="MS PGothic" w:cs="MS PGothic" w:eastAsia="MS PGothic" w:hAnsi="MS PGothic"/>
                <w:sz w:val="27"/>
                <w:szCs w:val="27"/>
                <w:color w:val="405788"/>
                <w:w w:val="88"/>
              </w:rPr>
              <w:t>✓</w:t>
            </w:r>
          </w:p>
        </w:tc>
        <w:tc>
          <w:tcPr>
            <w:tcW w:w="1240" w:type="dxa"/>
            <w:vAlign w:val="bottom"/>
            <w:tcBorders>
              <w:right w:val="single" w:sz="8" w:color="CDCECD"/>
            </w:tcBorders>
          </w:tcPr>
          <w:p>
            <w:pPr>
              <w:spacing w:after="0"/>
              <w:rPr>
                <w:sz w:val="23"/>
                <w:szCs w:val="23"/>
                <w:color w:val="auto"/>
              </w:rPr>
            </w:pPr>
          </w:p>
        </w:tc>
        <w:tc>
          <w:tcPr>
            <w:tcW w:w="1220" w:type="dxa"/>
            <w:vAlign w:val="bottom"/>
            <w:tcBorders>
              <w:right w:val="single" w:sz="8" w:color="CDCECD"/>
            </w:tcBorders>
          </w:tcPr>
          <w:p>
            <w:pPr>
              <w:spacing w:after="0"/>
              <w:rPr>
                <w:sz w:val="23"/>
                <w:szCs w:val="23"/>
                <w:color w:val="auto"/>
              </w:rPr>
            </w:pPr>
          </w:p>
        </w:tc>
        <w:tc>
          <w:tcPr>
            <w:tcW w:w="1220" w:type="dxa"/>
            <w:vAlign w:val="bottom"/>
            <w:tcBorders>
              <w:right w:val="single" w:sz="8" w:color="CDCECD"/>
            </w:tcBorders>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CDCECD"/>
            </w:tcBorders>
            <w:vMerge w:val="continue"/>
          </w:tcPr>
          <w:p>
            <w:pPr>
              <w:spacing w:after="0"/>
              <w:rPr>
                <w:sz w:val="4"/>
                <w:szCs w:val="4"/>
                <w:color w:val="auto"/>
              </w:rPr>
            </w:pPr>
          </w:p>
        </w:tc>
        <w:tc>
          <w:tcPr>
            <w:tcW w:w="1220" w:type="dxa"/>
            <w:vAlign w:val="bottom"/>
            <w:tcBorders>
              <w:right w:val="single" w:sz="8" w:color="CDCECD"/>
            </w:tcBorders>
            <w:vMerge w:val="continue"/>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40" w:type="dxa"/>
            <w:vAlign w:val="bottom"/>
            <w:tcBorders>
              <w:right w:val="single" w:sz="8" w:color="CDCECD"/>
            </w:tcBorders>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4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00" w:type="dxa"/>
            <w:vAlign w:val="bottom"/>
            <w:tcBorders>
              <w:bottom w:val="single" w:sz="8" w:color="CDCECD"/>
            </w:tcBorders>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600" w:type="dxa"/>
            <w:vAlign w:val="bottom"/>
            <w:tcBorders>
              <w:right w:val="single" w:sz="8" w:color="CDCECD"/>
            </w:tcBorders>
            <w:vMerge w:val="restart"/>
          </w:tcPr>
          <w:p>
            <w:pPr>
              <w:ind w:left="40"/>
              <w:spacing w:after="0"/>
              <w:rPr>
                <w:sz w:val="20"/>
                <w:szCs w:val="20"/>
                <w:color w:val="auto"/>
              </w:rPr>
            </w:pPr>
            <w:r>
              <w:rPr>
                <w:rFonts w:ascii="Arial" w:cs="Arial" w:eastAsia="Arial" w:hAnsi="Arial"/>
                <w:sz w:val="13"/>
                <w:szCs w:val="13"/>
                <w:b w:val="1"/>
                <w:bCs w:val="1"/>
                <w:color w:val="405788"/>
              </w:rPr>
              <w:t>Claudio A. Mannarino</w:t>
            </w:r>
          </w:p>
        </w:tc>
        <w:tc>
          <w:tcPr>
            <w:tcW w:w="1220" w:type="dxa"/>
            <w:vAlign w:val="bottom"/>
            <w:tcBorders>
              <w:right w:val="single" w:sz="8" w:color="CDCECD"/>
            </w:tcBorders>
            <w:vMerge w:val="restart"/>
          </w:tcPr>
          <w:p>
            <w:pPr>
              <w:jc w:val="center"/>
              <w:spacing w:after="0"/>
              <w:rPr>
                <w:sz w:val="20"/>
                <w:szCs w:val="20"/>
                <w:color w:val="auto"/>
              </w:rPr>
            </w:pPr>
            <w:r>
              <w:rPr>
                <w:rFonts w:ascii="Arial" w:cs="Arial" w:eastAsia="Arial" w:hAnsi="Arial"/>
                <w:sz w:val="13"/>
                <w:szCs w:val="13"/>
                <w:color w:val="auto"/>
              </w:rPr>
              <w:t>2015</w:t>
            </w:r>
          </w:p>
        </w:tc>
        <w:tc>
          <w:tcPr>
            <w:tcW w:w="1220" w:type="dxa"/>
            <w:vAlign w:val="bottom"/>
            <w:tcBorders>
              <w:right w:val="single" w:sz="8" w:color="CDCECD"/>
            </w:tcBorders>
          </w:tcPr>
          <w:p>
            <w:pPr>
              <w:jc w:val="center"/>
              <w:spacing w:after="0" w:line="267" w:lineRule="exact"/>
              <w:rPr>
                <w:sz w:val="20"/>
                <w:szCs w:val="20"/>
                <w:color w:val="auto"/>
              </w:rPr>
            </w:pPr>
            <w:r>
              <w:rPr>
                <w:rFonts w:ascii="MS PGothic" w:cs="MS PGothic" w:eastAsia="MS PGothic" w:hAnsi="MS PGothic"/>
                <w:sz w:val="27"/>
                <w:szCs w:val="27"/>
                <w:color w:val="405788"/>
                <w:w w:val="88"/>
              </w:rPr>
              <w:t>✓</w:t>
            </w:r>
          </w:p>
        </w:tc>
        <w:tc>
          <w:tcPr>
            <w:tcW w:w="1240" w:type="dxa"/>
            <w:vAlign w:val="bottom"/>
            <w:tcBorders>
              <w:right w:val="single" w:sz="8" w:color="CDCECD"/>
            </w:tcBorders>
          </w:tcPr>
          <w:p>
            <w:pPr>
              <w:jc w:val="center"/>
              <w:spacing w:after="0" w:line="267" w:lineRule="exact"/>
              <w:rPr>
                <w:sz w:val="20"/>
                <w:szCs w:val="20"/>
                <w:color w:val="auto"/>
              </w:rPr>
            </w:pPr>
            <w:r>
              <w:rPr>
                <w:rFonts w:ascii="MS PGothic" w:cs="MS PGothic" w:eastAsia="MS PGothic" w:hAnsi="MS PGothic"/>
                <w:sz w:val="27"/>
                <w:szCs w:val="27"/>
                <w:color w:val="405788"/>
                <w:w w:val="81"/>
              </w:rPr>
              <w:t>✓</w:t>
            </w:r>
          </w:p>
        </w:tc>
        <w:tc>
          <w:tcPr>
            <w:tcW w:w="1220" w:type="dxa"/>
            <w:vAlign w:val="bottom"/>
            <w:tcBorders>
              <w:right w:val="single" w:sz="8" w:color="CDCECD"/>
            </w:tcBorders>
          </w:tcPr>
          <w:p>
            <w:pPr>
              <w:jc w:val="center"/>
              <w:spacing w:after="0" w:line="267" w:lineRule="exact"/>
              <w:rPr>
                <w:sz w:val="20"/>
                <w:szCs w:val="20"/>
                <w:color w:val="auto"/>
              </w:rPr>
            </w:pPr>
            <w:r>
              <w:rPr>
                <w:rFonts w:ascii="MS PGothic" w:cs="MS PGothic" w:eastAsia="MS PGothic" w:hAnsi="MS PGothic"/>
                <w:sz w:val="27"/>
                <w:szCs w:val="27"/>
                <w:color w:val="405788"/>
                <w:w w:val="81"/>
              </w:rPr>
              <w:t>✓</w:t>
            </w:r>
          </w:p>
        </w:tc>
        <w:tc>
          <w:tcPr>
            <w:tcW w:w="1220" w:type="dxa"/>
            <w:vAlign w:val="bottom"/>
            <w:tcBorders>
              <w:right w:val="single" w:sz="8" w:color="CDCECD"/>
            </w:tcBorders>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CDCECD"/>
            </w:tcBorders>
            <w:vMerge w:val="continue"/>
          </w:tcPr>
          <w:p>
            <w:pPr>
              <w:spacing w:after="0"/>
              <w:rPr>
                <w:sz w:val="4"/>
                <w:szCs w:val="4"/>
                <w:color w:val="auto"/>
              </w:rPr>
            </w:pPr>
          </w:p>
        </w:tc>
        <w:tc>
          <w:tcPr>
            <w:tcW w:w="1220" w:type="dxa"/>
            <w:vAlign w:val="bottom"/>
            <w:tcBorders>
              <w:right w:val="single" w:sz="8" w:color="CDCECD"/>
            </w:tcBorders>
            <w:vMerge w:val="continue"/>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40" w:type="dxa"/>
            <w:vAlign w:val="bottom"/>
            <w:tcBorders>
              <w:right w:val="single" w:sz="8" w:color="CDCECD"/>
            </w:tcBorders>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4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00" w:type="dxa"/>
            <w:vAlign w:val="bottom"/>
            <w:tcBorders>
              <w:bottom w:val="single" w:sz="8" w:color="CDCECD"/>
            </w:tcBorders>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600" w:type="dxa"/>
            <w:vAlign w:val="bottom"/>
            <w:tcBorders>
              <w:right w:val="single" w:sz="8" w:color="CDCECD"/>
            </w:tcBorders>
            <w:vMerge w:val="restart"/>
          </w:tcPr>
          <w:p>
            <w:pPr>
              <w:ind w:left="40"/>
              <w:spacing w:after="0"/>
              <w:rPr>
                <w:sz w:val="20"/>
                <w:szCs w:val="20"/>
                <w:color w:val="auto"/>
              </w:rPr>
            </w:pPr>
            <w:r>
              <w:rPr>
                <w:rFonts w:ascii="Arial" w:cs="Arial" w:eastAsia="Arial" w:hAnsi="Arial"/>
                <w:sz w:val="13"/>
                <w:szCs w:val="13"/>
                <w:b w:val="1"/>
                <w:bCs w:val="1"/>
                <w:color w:val="405788"/>
              </w:rPr>
              <w:t>Munish Nanda</w:t>
            </w:r>
          </w:p>
        </w:tc>
        <w:tc>
          <w:tcPr>
            <w:tcW w:w="1220" w:type="dxa"/>
            <w:vAlign w:val="bottom"/>
            <w:tcBorders>
              <w:right w:val="single" w:sz="8" w:color="CDCECD"/>
            </w:tcBorders>
            <w:vMerge w:val="restart"/>
          </w:tcPr>
          <w:p>
            <w:pPr>
              <w:jc w:val="center"/>
              <w:spacing w:after="0"/>
              <w:rPr>
                <w:sz w:val="20"/>
                <w:szCs w:val="20"/>
                <w:color w:val="auto"/>
              </w:rPr>
            </w:pPr>
            <w:r>
              <w:rPr>
                <w:rFonts w:ascii="Arial" w:cs="Arial" w:eastAsia="Arial" w:hAnsi="Arial"/>
                <w:sz w:val="13"/>
                <w:szCs w:val="13"/>
                <w:color w:val="auto"/>
              </w:rPr>
              <w:t>2018</w:t>
            </w:r>
          </w:p>
        </w:tc>
        <w:tc>
          <w:tcPr>
            <w:tcW w:w="1220" w:type="dxa"/>
            <w:vAlign w:val="bottom"/>
            <w:tcBorders>
              <w:right w:val="single" w:sz="8" w:color="CDCECD"/>
            </w:tcBorders>
          </w:tcPr>
          <w:p>
            <w:pPr>
              <w:jc w:val="center"/>
              <w:spacing w:after="0" w:line="267" w:lineRule="exact"/>
              <w:rPr>
                <w:sz w:val="20"/>
                <w:szCs w:val="20"/>
                <w:color w:val="auto"/>
              </w:rPr>
            </w:pPr>
            <w:r>
              <w:rPr>
                <w:rFonts w:ascii="MS PGothic" w:cs="MS PGothic" w:eastAsia="MS PGothic" w:hAnsi="MS PGothic"/>
                <w:sz w:val="27"/>
                <w:szCs w:val="27"/>
                <w:color w:val="405788"/>
                <w:w w:val="88"/>
              </w:rPr>
              <w:t>✓</w:t>
            </w:r>
          </w:p>
        </w:tc>
        <w:tc>
          <w:tcPr>
            <w:tcW w:w="1240" w:type="dxa"/>
            <w:vAlign w:val="bottom"/>
            <w:tcBorders>
              <w:right w:val="single" w:sz="8" w:color="CDCECD"/>
            </w:tcBorders>
          </w:tcPr>
          <w:p>
            <w:pPr>
              <w:jc w:val="center"/>
              <w:spacing w:after="0" w:line="267" w:lineRule="exact"/>
              <w:rPr>
                <w:sz w:val="20"/>
                <w:szCs w:val="20"/>
                <w:color w:val="auto"/>
              </w:rPr>
            </w:pPr>
            <w:r>
              <w:rPr>
                <w:rFonts w:ascii="MS PGothic" w:cs="MS PGothic" w:eastAsia="MS PGothic" w:hAnsi="MS PGothic"/>
                <w:sz w:val="27"/>
                <w:szCs w:val="27"/>
                <w:color w:val="405788"/>
                <w:w w:val="81"/>
              </w:rPr>
              <w:t>✓</w:t>
            </w:r>
          </w:p>
        </w:tc>
        <w:tc>
          <w:tcPr>
            <w:tcW w:w="1220" w:type="dxa"/>
            <w:vAlign w:val="bottom"/>
            <w:tcBorders>
              <w:right w:val="single" w:sz="8" w:color="CDCECD"/>
            </w:tcBorders>
          </w:tcPr>
          <w:p>
            <w:pPr>
              <w:spacing w:after="0"/>
              <w:rPr>
                <w:sz w:val="23"/>
                <w:szCs w:val="23"/>
                <w:color w:val="auto"/>
              </w:rPr>
            </w:pPr>
          </w:p>
        </w:tc>
        <w:tc>
          <w:tcPr>
            <w:tcW w:w="1220" w:type="dxa"/>
            <w:vAlign w:val="bottom"/>
            <w:tcBorders>
              <w:right w:val="single" w:sz="8" w:color="CDCECD"/>
            </w:tcBorders>
          </w:tcPr>
          <w:p>
            <w:pPr>
              <w:jc w:val="center"/>
              <w:spacing w:after="0" w:line="267" w:lineRule="exact"/>
              <w:rPr>
                <w:sz w:val="20"/>
                <w:szCs w:val="20"/>
                <w:color w:val="auto"/>
              </w:rPr>
            </w:pPr>
            <w:r>
              <w:rPr>
                <w:rFonts w:ascii="MS PGothic" w:cs="MS PGothic" w:eastAsia="MS PGothic" w:hAnsi="MS PGothic"/>
                <w:sz w:val="27"/>
                <w:szCs w:val="27"/>
                <w:color w:val="405788"/>
                <w:w w:val="88"/>
              </w:rPr>
              <w:t>✓</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CDCECD"/>
            </w:tcBorders>
            <w:vMerge w:val="continue"/>
          </w:tcPr>
          <w:p>
            <w:pPr>
              <w:spacing w:after="0"/>
              <w:rPr>
                <w:sz w:val="4"/>
                <w:szCs w:val="4"/>
                <w:color w:val="auto"/>
              </w:rPr>
            </w:pPr>
          </w:p>
        </w:tc>
        <w:tc>
          <w:tcPr>
            <w:tcW w:w="1220" w:type="dxa"/>
            <w:vAlign w:val="bottom"/>
            <w:tcBorders>
              <w:right w:val="single" w:sz="8" w:color="CDCECD"/>
            </w:tcBorders>
            <w:vMerge w:val="continue"/>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40" w:type="dxa"/>
            <w:vAlign w:val="bottom"/>
            <w:tcBorders>
              <w:right w:val="single" w:sz="8" w:color="CDCECD"/>
            </w:tcBorders>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4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00" w:type="dxa"/>
            <w:vAlign w:val="bottom"/>
            <w:tcBorders>
              <w:bottom w:val="single" w:sz="8" w:color="CDCECD"/>
            </w:tcBorders>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600" w:type="dxa"/>
            <w:vAlign w:val="bottom"/>
            <w:tcBorders>
              <w:right w:val="single" w:sz="8" w:color="CDCECD"/>
            </w:tcBorders>
            <w:vMerge w:val="restart"/>
          </w:tcPr>
          <w:p>
            <w:pPr>
              <w:ind w:left="40"/>
              <w:spacing w:after="0"/>
              <w:rPr>
                <w:sz w:val="20"/>
                <w:szCs w:val="20"/>
                <w:color w:val="auto"/>
              </w:rPr>
            </w:pPr>
            <w:r>
              <w:rPr>
                <w:rFonts w:ascii="Arial" w:cs="Arial" w:eastAsia="Arial" w:hAnsi="Arial"/>
                <w:sz w:val="13"/>
                <w:szCs w:val="13"/>
                <w:b w:val="1"/>
                <w:bCs w:val="1"/>
                <w:color w:val="405788"/>
              </w:rPr>
              <w:t>Valerie Gentile Sachs</w:t>
            </w:r>
          </w:p>
        </w:tc>
        <w:tc>
          <w:tcPr>
            <w:tcW w:w="1220" w:type="dxa"/>
            <w:vAlign w:val="bottom"/>
            <w:tcBorders>
              <w:right w:val="single" w:sz="8" w:color="CDCECD"/>
            </w:tcBorders>
            <w:vMerge w:val="restart"/>
          </w:tcPr>
          <w:p>
            <w:pPr>
              <w:jc w:val="center"/>
              <w:spacing w:after="0"/>
              <w:rPr>
                <w:sz w:val="20"/>
                <w:szCs w:val="20"/>
                <w:color w:val="auto"/>
              </w:rPr>
            </w:pPr>
            <w:r>
              <w:rPr>
                <w:rFonts w:ascii="Arial" w:cs="Arial" w:eastAsia="Arial" w:hAnsi="Arial"/>
                <w:sz w:val="13"/>
                <w:szCs w:val="13"/>
                <w:color w:val="auto"/>
              </w:rPr>
              <w:t>2016</w:t>
            </w:r>
          </w:p>
        </w:tc>
        <w:tc>
          <w:tcPr>
            <w:tcW w:w="1220" w:type="dxa"/>
            <w:vAlign w:val="bottom"/>
            <w:tcBorders>
              <w:right w:val="single" w:sz="8" w:color="CDCECD"/>
            </w:tcBorders>
          </w:tcPr>
          <w:p>
            <w:pPr>
              <w:jc w:val="center"/>
              <w:spacing w:after="0" w:line="267" w:lineRule="exact"/>
              <w:rPr>
                <w:sz w:val="20"/>
                <w:szCs w:val="20"/>
                <w:color w:val="auto"/>
              </w:rPr>
            </w:pPr>
            <w:r>
              <w:rPr>
                <w:rFonts w:ascii="MS PGothic" w:cs="MS PGothic" w:eastAsia="MS PGothic" w:hAnsi="MS PGothic"/>
                <w:sz w:val="27"/>
                <w:szCs w:val="27"/>
                <w:color w:val="405788"/>
                <w:w w:val="88"/>
              </w:rPr>
              <w:t>✓</w:t>
            </w:r>
          </w:p>
        </w:tc>
        <w:tc>
          <w:tcPr>
            <w:tcW w:w="1240" w:type="dxa"/>
            <w:vAlign w:val="bottom"/>
            <w:tcBorders>
              <w:right w:val="single" w:sz="8" w:color="CDCECD"/>
            </w:tcBorders>
          </w:tcPr>
          <w:p>
            <w:pPr>
              <w:spacing w:after="0"/>
              <w:rPr>
                <w:sz w:val="23"/>
                <w:szCs w:val="23"/>
                <w:color w:val="auto"/>
              </w:rPr>
            </w:pPr>
          </w:p>
        </w:tc>
        <w:tc>
          <w:tcPr>
            <w:tcW w:w="1220" w:type="dxa"/>
            <w:vAlign w:val="bottom"/>
            <w:tcBorders>
              <w:right w:val="single" w:sz="8" w:color="CDCECD"/>
            </w:tcBorders>
          </w:tcPr>
          <w:p>
            <w:pPr>
              <w:jc w:val="center"/>
              <w:spacing w:after="0" w:line="267" w:lineRule="exact"/>
              <w:rPr>
                <w:sz w:val="20"/>
                <w:szCs w:val="20"/>
                <w:color w:val="auto"/>
              </w:rPr>
            </w:pPr>
            <w:r>
              <w:rPr>
                <w:rFonts w:ascii="MS PGothic" w:cs="MS PGothic" w:eastAsia="MS PGothic" w:hAnsi="MS PGothic"/>
                <w:sz w:val="27"/>
                <w:szCs w:val="27"/>
                <w:color w:val="405788"/>
                <w:w w:val="81"/>
              </w:rPr>
              <w:t>✓</w:t>
            </w:r>
          </w:p>
        </w:tc>
        <w:tc>
          <w:tcPr>
            <w:tcW w:w="1220" w:type="dxa"/>
            <w:vAlign w:val="bottom"/>
            <w:tcBorders>
              <w:right w:val="single" w:sz="8" w:color="CDCECD"/>
            </w:tcBorders>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CDCECD"/>
            </w:tcBorders>
            <w:vMerge w:val="continue"/>
          </w:tcPr>
          <w:p>
            <w:pPr>
              <w:spacing w:after="0"/>
              <w:rPr>
                <w:sz w:val="4"/>
                <w:szCs w:val="4"/>
                <w:color w:val="auto"/>
              </w:rPr>
            </w:pPr>
          </w:p>
        </w:tc>
        <w:tc>
          <w:tcPr>
            <w:tcW w:w="1220" w:type="dxa"/>
            <w:vAlign w:val="bottom"/>
            <w:tcBorders>
              <w:right w:val="single" w:sz="8" w:color="CDCECD"/>
            </w:tcBorders>
            <w:vMerge w:val="continue"/>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40" w:type="dxa"/>
            <w:vAlign w:val="bottom"/>
            <w:tcBorders>
              <w:right w:val="single" w:sz="8" w:color="CDCECD"/>
            </w:tcBorders>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4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00" w:type="dxa"/>
            <w:vAlign w:val="bottom"/>
            <w:tcBorders>
              <w:bottom w:val="single" w:sz="8" w:color="CDCECD"/>
            </w:tcBorders>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2600" w:type="dxa"/>
            <w:vAlign w:val="bottom"/>
            <w:tcBorders>
              <w:right w:val="single" w:sz="8" w:color="CDCECD"/>
            </w:tcBorders>
            <w:vMerge w:val="restart"/>
          </w:tcPr>
          <w:p>
            <w:pPr>
              <w:ind w:left="40"/>
              <w:spacing w:after="0"/>
              <w:rPr>
                <w:sz w:val="20"/>
                <w:szCs w:val="20"/>
                <w:color w:val="auto"/>
              </w:rPr>
            </w:pPr>
            <w:r>
              <w:rPr>
                <w:rFonts w:ascii="Arial" w:cs="Arial" w:eastAsia="Arial" w:hAnsi="Arial"/>
                <w:sz w:val="13"/>
                <w:szCs w:val="13"/>
                <w:b w:val="1"/>
                <w:bCs w:val="1"/>
                <w:color w:val="405788"/>
              </w:rPr>
              <w:t>Laurie Siegel</w:t>
            </w:r>
          </w:p>
        </w:tc>
        <w:tc>
          <w:tcPr>
            <w:tcW w:w="1220" w:type="dxa"/>
            <w:vAlign w:val="bottom"/>
            <w:tcBorders>
              <w:right w:val="single" w:sz="8" w:color="CDCECD"/>
            </w:tcBorders>
            <w:vMerge w:val="restart"/>
          </w:tcPr>
          <w:p>
            <w:pPr>
              <w:jc w:val="center"/>
              <w:spacing w:after="0"/>
              <w:rPr>
                <w:sz w:val="20"/>
                <w:szCs w:val="20"/>
                <w:color w:val="auto"/>
              </w:rPr>
            </w:pPr>
            <w:r>
              <w:rPr>
                <w:rFonts w:ascii="Arial" w:cs="Arial" w:eastAsia="Arial" w:hAnsi="Arial"/>
                <w:sz w:val="13"/>
                <w:szCs w:val="13"/>
                <w:color w:val="auto"/>
              </w:rPr>
              <w:t>2023</w:t>
            </w:r>
          </w:p>
        </w:tc>
        <w:tc>
          <w:tcPr>
            <w:tcW w:w="1220" w:type="dxa"/>
            <w:vAlign w:val="bottom"/>
            <w:tcBorders>
              <w:right w:val="single" w:sz="8" w:color="CDCECD"/>
            </w:tcBorders>
          </w:tcPr>
          <w:p>
            <w:pPr>
              <w:jc w:val="center"/>
              <w:spacing w:after="0" w:line="267" w:lineRule="exact"/>
              <w:rPr>
                <w:sz w:val="20"/>
                <w:szCs w:val="20"/>
                <w:color w:val="auto"/>
              </w:rPr>
            </w:pPr>
            <w:r>
              <w:rPr>
                <w:rFonts w:ascii="MS PGothic" w:cs="MS PGothic" w:eastAsia="MS PGothic" w:hAnsi="MS PGothic"/>
                <w:sz w:val="27"/>
                <w:szCs w:val="27"/>
                <w:color w:val="405788"/>
                <w:w w:val="88"/>
              </w:rPr>
              <w:t>✓</w:t>
            </w:r>
          </w:p>
        </w:tc>
        <w:tc>
          <w:tcPr>
            <w:tcW w:w="1240" w:type="dxa"/>
            <w:vAlign w:val="bottom"/>
            <w:tcBorders>
              <w:right w:val="single" w:sz="8" w:color="CDCECD"/>
            </w:tcBorders>
          </w:tcPr>
          <w:p>
            <w:pPr>
              <w:spacing w:after="0"/>
              <w:rPr>
                <w:sz w:val="23"/>
                <w:szCs w:val="23"/>
                <w:color w:val="auto"/>
              </w:rPr>
            </w:pPr>
          </w:p>
        </w:tc>
        <w:tc>
          <w:tcPr>
            <w:tcW w:w="1220" w:type="dxa"/>
            <w:vAlign w:val="bottom"/>
            <w:tcBorders>
              <w:right w:val="single" w:sz="8" w:color="CDCECD"/>
            </w:tcBorders>
          </w:tcPr>
          <w:p>
            <w:pPr>
              <w:jc w:val="center"/>
              <w:spacing w:after="0" w:line="267" w:lineRule="exact"/>
              <w:rPr>
                <w:sz w:val="20"/>
                <w:szCs w:val="20"/>
                <w:color w:val="auto"/>
              </w:rPr>
            </w:pPr>
            <w:r>
              <w:rPr>
                <w:rFonts w:ascii="MS PGothic" w:cs="MS PGothic" w:eastAsia="MS PGothic" w:hAnsi="MS PGothic"/>
                <w:sz w:val="27"/>
                <w:szCs w:val="27"/>
                <w:color w:val="405788"/>
                <w:w w:val="81"/>
              </w:rPr>
              <w:t>✓</w:t>
            </w:r>
          </w:p>
        </w:tc>
        <w:tc>
          <w:tcPr>
            <w:tcW w:w="1220" w:type="dxa"/>
            <w:vAlign w:val="bottom"/>
            <w:tcBorders>
              <w:right w:val="single" w:sz="8" w:color="CDCECD"/>
            </w:tcBorders>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2600" w:type="dxa"/>
            <w:vAlign w:val="bottom"/>
            <w:tcBorders>
              <w:right w:val="single" w:sz="8" w:color="CDCECD"/>
            </w:tcBorders>
            <w:vMerge w:val="continue"/>
          </w:tcPr>
          <w:p>
            <w:pPr>
              <w:spacing w:after="0"/>
              <w:rPr>
                <w:sz w:val="4"/>
                <w:szCs w:val="4"/>
                <w:color w:val="auto"/>
              </w:rPr>
            </w:pPr>
          </w:p>
        </w:tc>
        <w:tc>
          <w:tcPr>
            <w:tcW w:w="1220" w:type="dxa"/>
            <w:vAlign w:val="bottom"/>
            <w:tcBorders>
              <w:right w:val="single" w:sz="8" w:color="CDCECD"/>
            </w:tcBorders>
            <w:vMerge w:val="continue"/>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40" w:type="dxa"/>
            <w:vAlign w:val="bottom"/>
            <w:tcBorders>
              <w:right w:val="single" w:sz="8" w:color="CDCECD"/>
            </w:tcBorders>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9"/>
        </w:trPr>
        <w:tc>
          <w:tcPr>
            <w:tcW w:w="260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4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00" w:type="dxa"/>
            <w:vAlign w:val="bottom"/>
            <w:tcBorders>
              <w:bottom w:val="single" w:sz="8" w:color="CDCECD"/>
            </w:tcBorders>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2600" w:type="dxa"/>
            <w:vAlign w:val="bottom"/>
            <w:tcBorders>
              <w:right w:val="single" w:sz="8" w:color="CDCECD"/>
            </w:tcBorders>
            <w:vMerge w:val="restart"/>
          </w:tcPr>
          <w:p>
            <w:pPr>
              <w:ind w:left="40"/>
              <w:spacing w:after="0"/>
              <w:rPr>
                <w:sz w:val="20"/>
                <w:szCs w:val="20"/>
                <w:color w:val="auto"/>
              </w:rPr>
            </w:pPr>
            <w:r>
              <w:rPr>
                <w:rFonts w:ascii="Arial" w:cs="Arial" w:eastAsia="Arial" w:hAnsi="Arial"/>
                <w:sz w:val="13"/>
                <w:szCs w:val="13"/>
                <w:b w:val="1"/>
                <w:bCs w:val="1"/>
                <w:color w:val="405788"/>
              </w:rPr>
              <w:t>Richard F. Wallman</w:t>
            </w:r>
          </w:p>
        </w:tc>
        <w:tc>
          <w:tcPr>
            <w:tcW w:w="1220" w:type="dxa"/>
            <w:vAlign w:val="bottom"/>
            <w:tcBorders>
              <w:right w:val="single" w:sz="8" w:color="CDCECD"/>
            </w:tcBorders>
            <w:vMerge w:val="restart"/>
          </w:tcPr>
          <w:p>
            <w:pPr>
              <w:jc w:val="center"/>
              <w:spacing w:after="0"/>
              <w:rPr>
                <w:sz w:val="20"/>
                <w:szCs w:val="20"/>
                <w:color w:val="auto"/>
              </w:rPr>
            </w:pPr>
            <w:r>
              <w:rPr>
                <w:rFonts w:ascii="Arial" w:cs="Arial" w:eastAsia="Arial" w:hAnsi="Arial"/>
                <w:sz w:val="13"/>
                <w:szCs w:val="13"/>
                <w:color w:val="auto"/>
              </w:rPr>
              <w:t>2021</w:t>
            </w:r>
          </w:p>
        </w:tc>
        <w:tc>
          <w:tcPr>
            <w:tcW w:w="1220" w:type="dxa"/>
            <w:vAlign w:val="bottom"/>
            <w:tcBorders>
              <w:right w:val="single" w:sz="8" w:color="CDCECD"/>
            </w:tcBorders>
          </w:tcPr>
          <w:p>
            <w:pPr>
              <w:jc w:val="center"/>
              <w:spacing w:after="0" w:line="271" w:lineRule="exact"/>
              <w:rPr>
                <w:sz w:val="20"/>
                <w:szCs w:val="20"/>
                <w:color w:val="auto"/>
              </w:rPr>
            </w:pPr>
            <w:r>
              <w:rPr>
                <w:rFonts w:ascii="MS PGothic" w:cs="MS PGothic" w:eastAsia="MS PGothic" w:hAnsi="MS PGothic"/>
                <w:sz w:val="27"/>
                <w:szCs w:val="27"/>
                <w:color w:val="405788"/>
                <w:w w:val="88"/>
              </w:rPr>
              <w:t>✓</w:t>
            </w:r>
          </w:p>
        </w:tc>
        <w:tc>
          <w:tcPr>
            <w:tcW w:w="1240" w:type="dxa"/>
            <w:vAlign w:val="bottom"/>
            <w:tcBorders>
              <w:right w:val="single" w:sz="8" w:color="CDCECD"/>
            </w:tcBorders>
          </w:tcPr>
          <w:p>
            <w:pPr>
              <w:spacing w:after="0"/>
              <w:rPr>
                <w:sz w:val="23"/>
                <w:szCs w:val="23"/>
                <w:color w:val="auto"/>
              </w:rPr>
            </w:pPr>
          </w:p>
        </w:tc>
        <w:tc>
          <w:tcPr>
            <w:tcW w:w="1220" w:type="dxa"/>
            <w:vAlign w:val="bottom"/>
            <w:tcBorders>
              <w:right w:val="single" w:sz="8" w:color="CDCECD"/>
            </w:tcBorders>
          </w:tcPr>
          <w:p>
            <w:pPr>
              <w:spacing w:after="0"/>
              <w:rPr>
                <w:sz w:val="23"/>
                <w:szCs w:val="23"/>
                <w:color w:val="auto"/>
              </w:rPr>
            </w:pPr>
          </w:p>
        </w:tc>
        <w:tc>
          <w:tcPr>
            <w:tcW w:w="1220" w:type="dxa"/>
            <w:vAlign w:val="bottom"/>
            <w:tcBorders>
              <w:right w:val="single" w:sz="8" w:color="CDCECD"/>
            </w:tcBorders>
          </w:tcPr>
          <w:p>
            <w:pPr>
              <w:spacing w:after="0"/>
              <w:rPr>
                <w:sz w:val="23"/>
                <w:szCs w:val="23"/>
                <w:color w:val="auto"/>
              </w:rPr>
            </w:pPr>
          </w:p>
        </w:tc>
        <w:tc>
          <w:tcPr>
            <w:tcW w:w="1200" w:type="dxa"/>
            <w:vAlign w:val="bottom"/>
          </w:tcPr>
          <w:p>
            <w:pPr>
              <w:jc w:val="center"/>
              <w:spacing w:after="0" w:line="271" w:lineRule="exact"/>
              <w:rPr>
                <w:sz w:val="20"/>
                <w:szCs w:val="20"/>
                <w:color w:val="auto"/>
              </w:rPr>
            </w:pPr>
            <w:r>
              <w:rPr>
                <w:rFonts w:ascii="MS PGothic" w:cs="MS PGothic" w:eastAsia="MS PGothic" w:hAnsi="MS PGothic"/>
                <w:sz w:val="27"/>
                <w:szCs w:val="27"/>
                <w:color w:val="405788"/>
                <w:w w:val="88"/>
              </w:rPr>
              <w:t>✓</w:t>
            </w:r>
          </w:p>
        </w:tc>
        <w:tc>
          <w:tcPr>
            <w:tcW w:w="0" w:type="dxa"/>
            <w:vAlign w:val="bottom"/>
          </w:tcPr>
          <w:p>
            <w:pPr>
              <w:spacing w:after="0"/>
              <w:rPr>
                <w:sz w:val="1"/>
                <w:szCs w:val="1"/>
                <w:color w:val="auto"/>
              </w:rPr>
            </w:pPr>
          </w:p>
        </w:tc>
      </w:tr>
      <w:tr>
        <w:trPr>
          <w:trHeight w:val="48"/>
        </w:trPr>
        <w:tc>
          <w:tcPr>
            <w:tcW w:w="2600" w:type="dxa"/>
            <w:vAlign w:val="bottom"/>
            <w:tcBorders>
              <w:right w:val="single" w:sz="8" w:color="CDCECD"/>
            </w:tcBorders>
            <w:vMerge w:val="continue"/>
          </w:tcPr>
          <w:p>
            <w:pPr>
              <w:spacing w:after="0"/>
              <w:rPr>
                <w:sz w:val="4"/>
                <w:szCs w:val="4"/>
                <w:color w:val="auto"/>
              </w:rPr>
            </w:pPr>
          </w:p>
        </w:tc>
        <w:tc>
          <w:tcPr>
            <w:tcW w:w="1220" w:type="dxa"/>
            <w:vAlign w:val="bottom"/>
            <w:tcBorders>
              <w:right w:val="single" w:sz="8" w:color="CDCECD"/>
            </w:tcBorders>
            <w:vMerge w:val="continue"/>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40" w:type="dxa"/>
            <w:vAlign w:val="bottom"/>
            <w:tcBorders>
              <w:right w:val="single" w:sz="8" w:color="CDCECD"/>
            </w:tcBorders>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20" w:type="dxa"/>
            <w:vAlign w:val="bottom"/>
            <w:tcBorders>
              <w:right w:val="single" w:sz="8" w:color="CDCECD"/>
            </w:tcBorders>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60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4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20" w:type="dxa"/>
            <w:vAlign w:val="bottom"/>
            <w:tcBorders>
              <w:bottom w:val="single" w:sz="8" w:color="CDCECD"/>
              <w:right w:val="single" w:sz="8" w:color="CDCECD"/>
            </w:tcBorders>
          </w:tcPr>
          <w:p>
            <w:pPr>
              <w:spacing w:after="0"/>
              <w:rPr>
                <w:sz w:val="12"/>
                <w:szCs w:val="12"/>
                <w:color w:val="auto"/>
              </w:rPr>
            </w:pPr>
          </w:p>
        </w:tc>
        <w:tc>
          <w:tcPr>
            <w:tcW w:w="1200" w:type="dxa"/>
            <w:vAlign w:val="bottom"/>
            <w:tcBorders>
              <w:bottom w:val="single" w:sz="8" w:color="CDCECD"/>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-1753235</wp:posOffset>
            </wp:positionV>
            <wp:extent cx="142875" cy="150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2875" cy="15049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-1777365</wp:posOffset>
            </wp:positionV>
            <wp:extent cx="150495" cy="150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0495" cy="150495"/>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-848360</wp:posOffset>
            </wp:positionV>
            <wp:extent cx="142875" cy="150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2875" cy="150495"/>
                    </a:xfrm>
                    <a:prstGeom prst="rect">
                      <a:avLst/>
                    </a:prstGeom>
                    <a:noFill/>
                  </pic:spPr>
                </pic:pic>
              </a:graphicData>
            </a:graphic>
          </wp:anchor>
        </w:drawing>
        <w:drawing>
          <wp:anchor simplePos="0" relativeHeight="251657728" behindDoc="1" locked="0" layoutInCell="0" allowOverlap="1">
            <wp:simplePos x="0" y="0"/>
            <wp:positionH relativeFrom="column">
              <wp:posOffset>3509010</wp:posOffset>
            </wp:positionH>
            <wp:positionV relativeFrom="paragraph">
              <wp:posOffset>-236220</wp:posOffset>
            </wp:positionV>
            <wp:extent cx="150495" cy="150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0495" cy="1504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111125</wp:posOffset>
            </wp:positionV>
            <wp:extent cx="111125" cy="1187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118745"/>
                    </a:xfrm>
                    <a:prstGeom prst="rect">
                      <a:avLst/>
                    </a:prstGeom>
                    <a:noFill/>
                  </pic:spPr>
                </pic:pic>
              </a:graphicData>
            </a:graphic>
          </wp:anchor>
        </w:drawing>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Chair</w:t>
      </w:r>
    </w:p>
    <w:p>
      <w:pPr>
        <w:spacing w:after="0" w:line="107" w:lineRule="exact"/>
        <w:rPr>
          <w:sz w:val="20"/>
          <w:szCs w:val="20"/>
          <w:color w:val="auto"/>
        </w:rPr>
      </w:pPr>
    </w:p>
    <w:p>
      <w:pPr>
        <w:ind w:left="300" w:hanging="299"/>
        <w:spacing w:after="0"/>
        <w:tabs>
          <w:tab w:leader="none" w:pos="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These are the committee assignments as of the date of this Proxy Statement.</w:t>
      </w:r>
    </w:p>
    <w:p>
      <w:pPr>
        <w:spacing w:after="0" w:line="172"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w:t>
      </w:r>
      <w:r>
        <w:rPr>
          <w:sz w:val="20"/>
          <w:szCs w:val="20"/>
          <w:color w:val="auto"/>
        </w:rPr>
        <w:tab/>
      </w:r>
      <w:r>
        <w:rPr>
          <w:sz w:val="1"/>
          <w:szCs w:val="1"/>
          <w:color w:val="auto"/>
        </w:rPr>
        <w:drawing>
          <wp:inline distT="0" distB="0" distL="0" distR="0">
            <wp:extent cx="476250" cy="2222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ATTRIBUTES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132715</wp:posOffset>
            </wp:positionV>
            <wp:extent cx="356870" cy="301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870" cy="301625"/>
                    </a:xfrm>
                    <a:prstGeom prst="rect">
                      <a:avLst/>
                    </a:prstGeom>
                    <a:noFill/>
                  </pic:spPr>
                </pic:pic>
              </a:graphicData>
            </a:graphic>
          </wp:anchor>
        </w:drawing>
        <w:drawing>
          <wp:anchor simplePos="0" relativeHeight="251657728" behindDoc="1" locked="0" layoutInCell="0" allowOverlap="1">
            <wp:simplePos x="0" y="0"/>
            <wp:positionH relativeFrom="column">
              <wp:posOffset>2136140</wp:posOffset>
            </wp:positionH>
            <wp:positionV relativeFrom="paragraph">
              <wp:posOffset>132715</wp:posOffset>
            </wp:positionV>
            <wp:extent cx="381000" cy="388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1000" cy="388620"/>
                    </a:xfrm>
                    <a:prstGeom prst="rect">
                      <a:avLst/>
                    </a:prstGeom>
                    <a:noFill/>
                  </pic:spPr>
                </pic:pic>
              </a:graphicData>
            </a:graphic>
          </wp:anchor>
        </w:drawing>
        <w:drawing>
          <wp:anchor simplePos="0" relativeHeight="251657728" behindDoc="1" locked="0" layoutInCell="0" allowOverlap="1">
            <wp:simplePos x="0" y="0"/>
            <wp:positionH relativeFrom="column">
              <wp:posOffset>3787140</wp:posOffset>
            </wp:positionH>
            <wp:positionV relativeFrom="paragraph">
              <wp:posOffset>132715</wp:posOffset>
            </wp:positionV>
            <wp:extent cx="325120" cy="301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120" cy="30162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132715</wp:posOffset>
            </wp:positionV>
            <wp:extent cx="309245" cy="301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9245" cy="30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2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EXECUTIVE</w:t>
            </w:r>
          </w:p>
        </w:tc>
        <w:tc>
          <w:tcPr>
            <w:tcW w:w="180" w:type="dxa"/>
            <w:vAlign w:val="bottom"/>
          </w:tcPr>
          <w:p>
            <w:pPr>
              <w:spacing w:after="0"/>
              <w:rPr>
                <w:sz w:val="20"/>
                <w:szCs w:val="20"/>
                <w:color w:val="auto"/>
              </w:rPr>
            </w:pPr>
          </w:p>
        </w:tc>
        <w:tc>
          <w:tcPr>
            <w:tcW w:w="232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RISK MANAGEMENT</w:t>
            </w:r>
          </w:p>
        </w:tc>
        <w:tc>
          <w:tcPr>
            <w:tcW w:w="220" w:type="dxa"/>
            <w:vAlign w:val="bottom"/>
          </w:tcPr>
          <w:p>
            <w:pPr>
              <w:spacing w:after="0"/>
              <w:rPr>
                <w:sz w:val="20"/>
                <w:szCs w:val="20"/>
                <w:color w:val="auto"/>
              </w:rPr>
            </w:pPr>
          </w:p>
        </w:tc>
        <w:tc>
          <w:tcPr>
            <w:tcW w:w="236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CORPORATE GOVERNANCE</w:t>
            </w:r>
          </w:p>
        </w:tc>
        <w:tc>
          <w:tcPr>
            <w:tcW w:w="180" w:type="dxa"/>
            <w:vAlign w:val="bottom"/>
          </w:tcPr>
          <w:p>
            <w:pPr>
              <w:spacing w:after="0"/>
              <w:rPr>
                <w:sz w:val="20"/>
                <w:szCs w:val="20"/>
                <w:color w:val="auto"/>
              </w:rPr>
            </w:pPr>
          </w:p>
        </w:tc>
        <w:tc>
          <w:tcPr>
            <w:tcW w:w="234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FINANCE</w:t>
            </w:r>
          </w:p>
        </w:tc>
      </w:tr>
      <w:tr>
        <w:trPr>
          <w:trHeight w:val="326"/>
        </w:trPr>
        <w:tc>
          <w:tcPr>
            <w:tcW w:w="2320" w:type="dxa"/>
            <w:vAlign w:val="bottom"/>
            <w:shd w:val="clear" w:color="auto" w:fill="EDEEE9"/>
          </w:tcPr>
          <w:p>
            <w:pPr>
              <w:jc w:val="right"/>
              <w:ind w:right="865"/>
              <w:spacing w:after="0"/>
              <w:rPr>
                <w:sz w:val="20"/>
                <w:szCs w:val="20"/>
                <w:color w:val="auto"/>
              </w:rPr>
            </w:pPr>
            <w:r>
              <w:rPr>
                <w:rFonts w:ascii="Arial" w:cs="Arial" w:eastAsia="Arial" w:hAnsi="Arial"/>
                <w:sz w:val="17"/>
                <w:szCs w:val="17"/>
                <w:b w:val="1"/>
                <w:bCs w:val="1"/>
                <w:color w:val="3C578C"/>
              </w:rPr>
              <w:t>100%</w:t>
            </w:r>
          </w:p>
        </w:tc>
        <w:tc>
          <w:tcPr>
            <w:tcW w:w="180" w:type="dxa"/>
            <w:vAlign w:val="bottom"/>
          </w:tcPr>
          <w:p>
            <w:pPr>
              <w:spacing w:after="0"/>
              <w:rPr>
                <w:sz w:val="24"/>
                <w:szCs w:val="24"/>
                <w:color w:val="auto"/>
              </w:rPr>
            </w:pPr>
          </w:p>
        </w:tc>
        <w:tc>
          <w:tcPr>
            <w:tcW w:w="2320" w:type="dxa"/>
            <w:vAlign w:val="bottom"/>
            <w:shd w:val="clear" w:color="auto" w:fill="EDEEE9"/>
          </w:tcPr>
          <w:p>
            <w:pPr>
              <w:jc w:val="right"/>
              <w:ind w:right="905"/>
              <w:spacing w:after="0"/>
              <w:rPr>
                <w:sz w:val="20"/>
                <w:szCs w:val="20"/>
                <w:color w:val="auto"/>
              </w:rPr>
            </w:pPr>
            <w:r>
              <w:rPr>
                <w:rFonts w:ascii="Arial" w:cs="Arial" w:eastAsia="Arial" w:hAnsi="Arial"/>
                <w:sz w:val="17"/>
                <w:szCs w:val="17"/>
                <w:b w:val="1"/>
                <w:bCs w:val="1"/>
                <w:color w:val="3C578C"/>
              </w:rPr>
              <w:t>57%</w:t>
            </w:r>
          </w:p>
        </w:tc>
        <w:tc>
          <w:tcPr>
            <w:tcW w:w="220" w:type="dxa"/>
            <w:vAlign w:val="bottom"/>
          </w:tcPr>
          <w:p>
            <w:pPr>
              <w:spacing w:after="0"/>
              <w:rPr>
                <w:sz w:val="24"/>
                <w:szCs w:val="24"/>
                <w:color w:val="auto"/>
              </w:rPr>
            </w:pPr>
          </w:p>
        </w:tc>
        <w:tc>
          <w:tcPr>
            <w:tcW w:w="2360" w:type="dxa"/>
            <w:vAlign w:val="bottom"/>
            <w:shd w:val="clear" w:color="auto" w:fill="EDEEE9"/>
          </w:tcPr>
          <w:p>
            <w:pPr>
              <w:jc w:val="right"/>
              <w:ind w:right="945"/>
              <w:spacing w:after="0"/>
              <w:rPr>
                <w:sz w:val="20"/>
                <w:szCs w:val="20"/>
                <w:color w:val="auto"/>
              </w:rPr>
            </w:pPr>
            <w:r>
              <w:rPr>
                <w:rFonts w:ascii="Arial" w:cs="Arial" w:eastAsia="Arial" w:hAnsi="Arial"/>
                <w:sz w:val="17"/>
                <w:szCs w:val="17"/>
                <w:b w:val="1"/>
                <w:bCs w:val="1"/>
                <w:color w:val="3C578C"/>
              </w:rPr>
              <w:t>57%</w:t>
            </w:r>
          </w:p>
        </w:tc>
        <w:tc>
          <w:tcPr>
            <w:tcW w:w="180" w:type="dxa"/>
            <w:vAlign w:val="bottom"/>
          </w:tcPr>
          <w:p>
            <w:pPr>
              <w:spacing w:after="0"/>
              <w:rPr>
                <w:sz w:val="24"/>
                <w:szCs w:val="24"/>
                <w:color w:val="auto"/>
              </w:rPr>
            </w:pPr>
          </w:p>
        </w:tc>
        <w:tc>
          <w:tcPr>
            <w:tcW w:w="2340" w:type="dxa"/>
            <w:vAlign w:val="bottom"/>
            <w:shd w:val="clear" w:color="auto" w:fill="EDEEE9"/>
          </w:tcPr>
          <w:p>
            <w:pPr>
              <w:jc w:val="right"/>
              <w:ind w:right="925"/>
              <w:spacing w:after="0"/>
              <w:rPr>
                <w:sz w:val="20"/>
                <w:szCs w:val="20"/>
                <w:color w:val="auto"/>
              </w:rPr>
            </w:pPr>
            <w:r>
              <w:rPr>
                <w:rFonts w:ascii="Arial" w:cs="Arial" w:eastAsia="Arial" w:hAnsi="Arial"/>
                <w:sz w:val="17"/>
                <w:szCs w:val="17"/>
                <w:b w:val="1"/>
                <w:bCs w:val="1"/>
                <w:color w:val="3C578C"/>
              </w:rPr>
              <w:t>43%</w:t>
            </w:r>
          </w:p>
        </w:tc>
      </w:tr>
      <w:tr>
        <w:trPr>
          <w:trHeight w:val="213"/>
        </w:trPr>
        <w:tc>
          <w:tcPr>
            <w:tcW w:w="2320" w:type="dxa"/>
            <w:vAlign w:val="bottom"/>
            <w:shd w:val="clear" w:color="auto" w:fill="EDEEE9"/>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shd w:val="clear" w:color="auto" w:fill="EDEEE9"/>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shd w:val="clear" w:color="auto" w:fill="EDEEE9"/>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shd w:val="clear" w:color="auto" w:fill="EDEEE9"/>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190500</wp:posOffset>
            </wp:positionV>
            <wp:extent cx="340995" cy="309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0995" cy="309245"/>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190500</wp:posOffset>
            </wp:positionV>
            <wp:extent cx="301625" cy="301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1625" cy="30162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190500</wp:posOffset>
            </wp:positionV>
            <wp:extent cx="301625" cy="3016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1625" cy="301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1140" w:type="dxa"/>
        <w:tblCellMar>
          <w:top w:w="0" w:type="dxa"/>
          <w:left w:w="0" w:type="dxa"/>
          <w:bottom w:w="0" w:type="dxa"/>
          <w:right w:w="0" w:type="dxa"/>
        </w:tblCellMar>
      </w:tblPr>
      <w:tr>
        <w:trPr>
          <w:trHeight w:val="205"/>
        </w:trPr>
        <w:tc>
          <w:tcPr>
            <w:tcW w:w="238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TECHNOLOGY &amp;</w:t>
            </w:r>
          </w:p>
        </w:tc>
        <w:tc>
          <w:tcPr>
            <w:tcW w:w="280" w:type="dxa"/>
            <w:vAlign w:val="bottom"/>
          </w:tcPr>
          <w:p>
            <w:pPr>
              <w:spacing w:after="0"/>
              <w:rPr>
                <w:sz w:val="17"/>
                <w:szCs w:val="17"/>
                <w:color w:val="auto"/>
              </w:rPr>
            </w:pPr>
          </w:p>
        </w:tc>
        <w:tc>
          <w:tcPr>
            <w:tcW w:w="230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INTERNATIONAL</w:t>
            </w:r>
          </w:p>
        </w:tc>
        <w:tc>
          <w:tcPr>
            <w:tcW w:w="380" w:type="dxa"/>
            <w:vAlign w:val="bottom"/>
          </w:tcPr>
          <w:p>
            <w:pPr>
              <w:spacing w:after="0"/>
              <w:rPr>
                <w:sz w:val="17"/>
                <w:szCs w:val="17"/>
                <w:color w:val="auto"/>
              </w:rPr>
            </w:pPr>
          </w:p>
        </w:tc>
        <w:tc>
          <w:tcPr>
            <w:tcW w:w="220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CYBERSECURITY</w:t>
            </w:r>
          </w:p>
        </w:tc>
      </w:tr>
      <w:tr>
        <w:trPr>
          <w:trHeight w:val="181"/>
        </w:trPr>
        <w:tc>
          <w:tcPr>
            <w:tcW w:w="2380" w:type="dxa"/>
            <w:vAlign w:val="bottom"/>
            <w:shd w:val="clear" w:color="auto" w:fill="EDEEE9"/>
          </w:tcPr>
          <w:p>
            <w:pPr>
              <w:jc w:val="center"/>
              <w:spacing w:after="0"/>
              <w:rPr>
                <w:sz w:val="20"/>
                <w:szCs w:val="20"/>
                <w:color w:val="auto"/>
              </w:rPr>
            </w:pPr>
            <w:r>
              <w:rPr>
                <w:rFonts w:ascii="Arial" w:cs="Arial" w:eastAsia="Arial" w:hAnsi="Arial"/>
                <w:sz w:val="13"/>
                <w:szCs w:val="13"/>
                <w:b w:val="1"/>
                <w:bCs w:val="1"/>
                <w:color w:val="auto"/>
              </w:rPr>
              <w:t>INNOVATION</w:t>
            </w:r>
          </w:p>
        </w:tc>
        <w:tc>
          <w:tcPr>
            <w:tcW w:w="280" w:type="dxa"/>
            <w:vAlign w:val="bottom"/>
          </w:tcPr>
          <w:p>
            <w:pPr>
              <w:spacing w:after="0"/>
              <w:rPr>
                <w:sz w:val="15"/>
                <w:szCs w:val="15"/>
                <w:color w:val="auto"/>
              </w:rPr>
            </w:pPr>
          </w:p>
        </w:tc>
        <w:tc>
          <w:tcPr>
            <w:tcW w:w="2300" w:type="dxa"/>
            <w:vAlign w:val="bottom"/>
            <w:shd w:val="clear" w:color="auto" w:fill="EDEEE9"/>
          </w:tcPr>
          <w:p>
            <w:pPr>
              <w:spacing w:after="0"/>
              <w:rPr>
                <w:sz w:val="15"/>
                <w:szCs w:val="15"/>
                <w:color w:val="auto"/>
              </w:rPr>
            </w:pPr>
          </w:p>
        </w:tc>
        <w:tc>
          <w:tcPr>
            <w:tcW w:w="380" w:type="dxa"/>
            <w:vAlign w:val="bottom"/>
          </w:tcPr>
          <w:p>
            <w:pPr>
              <w:spacing w:after="0"/>
              <w:rPr>
                <w:sz w:val="15"/>
                <w:szCs w:val="15"/>
                <w:color w:val="auto"/>
              </w:rPr>
            </w:pPr>
          </w:p>
        </w:tc>
        <w:tc>
          <w:tcPr>
            <w:tcW w:w="2200" w:type="dxa"/>
            <w:vAlign w:val="bottom"/>
            <w:shd w:val="clear" w:color="auto" w:fill="EDEEE9"/>
          </w:tcPr>
          <w:p>
            <w:pPr>
              <w:spacing w:after="0"/>
              <w:rPr>
                <w:sz w:val="15"/>
                <w:szCs w:val="15"/>
                <w:color w:val="auto"/>
              </w:rPr>
            </w:pPr>
          </w:p>
        </w:tc>
      </w:tr>
      <w:tr>
        <w:trPr>
          <w:trHeight w:val="326"/>
        </w:trPr>
        <w:tc>
          <w:tcPr>
            <w:tcW w:w="2380" w:type="dxa"/>
            <w:vAlign w:val="bottom"/>
            <w:shd w:val="clear" w:color="auto" w:fill="EDEEE9"/>
          </w:tcPr>
          <w:p>
            <w:pPr>
              <w:jc w:val="center"/>
              <w:spacing w:after="0"/>
              <w:rPr>
                <w:sz w:val="20"/>
                <w:szCs w:val="20"/>
                <w:color w:val="auto"/>
              </w:rPr>
            </w:pPr>
            <w:r>
              <w:rPr>
                <w:rFonts w:ascii="Arial" w:cs="Arial" w:eastAsia="Arial" w:hAnsi="Arial"/>
                <w:sz w:val="17"/>
                <w:szCs w:val="17"/>
                <w:b w:val="1"/>
                <w:bCs w:val="1"/>
                <w:color w:val="3C578C"/>
                <w:w w:val="99"/>
              </w:rPr>
              <w:t>57%</w:t>
            </w:r>
          </w:p>
        </w:tc>
        <w:tc>
          <w:tcPr>
            <w:tcW w:w="280" w:type="dxa"/>
            <w:vAlign w:val="bottom"/>
          </w:tcPr>
          <w:p>
            <w:pPr>
              <w:spacing w:after="0"/>
              <w:rPr>
                <w:sz w:val="24"/>
                <w:szCs w:val="24"/>
                <w:color w:val="auto"/>
              </w:rPr>
            </w:pPr>
          </w:p>
        </w:tc>
        <w:tc>
          <w:tcPr>
            <w:tcW w:w="2300" w:type="dxa"/>
            <w:vAlign w:val="bottom"/>
            <w:shd w:val="clear" w:color="auto" w:fill="EDEEE9"/>
          </w:tcPr>
          <w:p>
            <w:pPr>
              <w:jc w:val="right"/>
              <w:ind w:right="865"/>
              <w:spacing w:after="0"/>
              <w:rPr>
                <w:sz w:val="20"/>
                <w:szCs w:val="20"/>
                <w:color w:val="auto"/>
              </w:rPr>
            </w:pPr>
            <w:r>
              <w:rPr>
                <w:rFonts w:ascii="Arial" w:cs="Arial" w:eastAsia="Arial" w:hAnsi="Arial"/>
                <w:sz w:val="17"/>
                <w:szCs w:val="17"/>
                <w:b w:val="1"/>
                <w:bCs w:val="1"/>
                <w:color w:val="3C578C"/>
              </w:rPr>
              <w:t>100%</w:t>
            </w:r>
          </w:p>
        </w:tc>
        <w:tc>
          <w:tcPr>
            <w:tcW w:w="380" w:type="dxa"/>
            <w:vAlign w:val="bottom"/>
          </w:tcPr>
          <w:p>
            <w:pPr>
              <w:spacing w:after="0"/>
              <w:rPr>
                <w:sz w:val="24"/>
                <w:szCs w:val="24"/>
                <w:color w:val="auto"/>
              </w:rPr>
            </w:pPr>
          </w:p>
        </w:tc>
        <w:tc>
          <w:tcPr>
            <w:tcW w:w="2200" w:type="dxa"/>
            <w:vAlign w:val="bottom"/>
            <w:shd w:val="clear" w:color="auto" w:fill="EDEEE9"/>
          </w:tcPr>
          <w:p>
            <w:pPr>
              <w:jc w:val="right"/>
              <w:ind w:right="865"/>
              <w:spacing w:after="0"/>
              <w:rPr>
                <w:sz w:val="20"/>
                <w:szCs w:val="20"/>
                <w:color w:val="auto"/>
              </w:rPr>
            </w:pPr>
            <w:r>
              <w:rPr>
                <w:rFonts w:ascii="Arial" w:cs="Arial" w:eastAsia="Arial" w:hAnsi="Arial"/>
                <w:sz w:val="17"/>
                <w:szCs w:val="17"/>
                <w:b w:val="1"/>
                <w:bCs w:val="1"/>
                <w:color w:val="3C578C"/>
              </w:rPr>
              <w:t>38%</w:t>
            </w:r>
          </w:p>
        </w:tc>
      </w:tr>
      <w:tr>
        <w:trPr>
          <w:trHeight w:val="50"/>
        </w:trPr>
        <w:tc>
          <w:tcPr>
            <w:tcW w:w="2380" w:type="dxa"/>
            <w:vAlign w:val="bottom"/>
            <w:shd w:val="clear" w:color="auto" w:fill="EDEEE9"/>
          </w:tcPr>
          <w:p>
            <w:pPr>
              <w:spacing w:after="0"/>
              <w:rPr>
                <w:sz w:val="4"/>
                <w:szCs w:val="4"/>
                <w:color w:val="auto"/>
              </w:rPr>
            </w:pPr>
          </w:p>
        </w:tc>
        <w:tc>
          <w:tcPr>
            <w:tcW w:w="280" w:type="dxa"/>
            <w:vAlign w:val="bottom"/>
          </w:tcPr>
          <w:p>
            <w:pPr>
              <w:spacing w:after="0"/>
              <w:rPr>
                <w:sz w:val="4"/>
                <w:szCs w:val="4"/>
                <w:color w:val="auto"/>
              </w:rPr>
            </w:pPr>
          </w:p>
        </w:tc>
        <w:tc>
          <w:tcPr>
            <w:tcW w:w="2300" w:type="dxa"/>
            <w:vAlign w:val="bottom"/>
            <w:shd w:val="clear" w:color="auto" w:fill="EDEEE9"/>
          </w:tcPr>
          <w:p>
            <w:pPr>
              <w:spacing w:after="0"/>
              <w:rPr>
                <w:sz w:val="4"/>
                <w:szCs w:val="4"/>
                <w:color w:val="auto"/>
              </w:rPr>
            </w:pPr>
          </w:p>
        </w:tc>
        <w:tc>
          <w:tcPr>
            <w:tcW w:w="380" w:type="dxa"/>
            <w:vAlign w:val="bottom"/>
          </w:tcPr>
          <w:p>
            <w:pPr>
              <w:spacing w:after="0"/>
              <w:rPr>
                <w:sz w:val="4"/>
                <w:szCs w:val="4"/>
                <w:color w:val="auto"/>
              </w:rPr>
            </w:pPr>
          </w:p>
        </w:tc>
        <w:tc>
          <w:tcPr>
            <w:tcW w:w="2200" w:type="dxa"/>
            <w:vAlign w:val="bottom"/>
            <w:shd w:val="clear" w:color="auto" w:fill="EDEEE9"/>
          </w:tcPr>
          <w:p>
            <w:pPr>
              <w:spacing w:after="0"/>
              <w:rPr>
                <w:sz w:val="4"/>
                <w:szCs w:val="4"/>
                <w:color w:val="auto"/>
              </w:rPr>
            </w:pPr>
          </w:p>
        </w:tc>
      </w:tr>
    </w:tbl>
    <w:p>
      <w:pPr>
        <w:spacing w:after="0" w:line="171"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Our Board believes that collectively our directors provide the diversity of experience and skills necessary for a well-functioning board. Our Board values highly the ability of individual directors to contribute to a constructive board environment and believes that our current directors perform in such a manner. Below is a description of each director nominee’s background, professional experience, qualifications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484505</wp:posOffset>
            </wp:positionV>
            <wp:extent cx="483870" cy="2222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80" w:type="dxa"/>
            <w:vAlign w:val="bottom"/>
          </w:tcPr>
          <w:p>
            <w:pPr>
              <w:ind w:left="7880"/>
              <w:spacing w:after="0"/>
              <w:rPr>
                <w:sz w:val="20"/>
                <w:szCs w:val="20"/>
                <w:color w:val="auto"/>
              </w:rPr>
            </w:pPr>
            <w:r>
              <w:rPr>
                <w:rFonts w:ascii="Arial" w:cs="Arial" w:eastAsia="Arial" w:hAnsi="Arial"/>
                <w:sz w:val="17"/>
                <w:szCs w:val="17"/>
                <w:color w:val="7F7F7F"/>
              </w:rPr>
              <w:t>2024 Proxy Statement</w:t>
            </w:r>
          </w:p>
        </w:tc>
        <w:tc>
          <w:tcPr>
            <w:tcW w:w="240" w:type="dxa"/>
            <w:vAlign w:val="bottom"/>
          </w:tcPr>
          <w:p>
            <w:pPr>
              <w:jc w:val="right"/>
              <w:spacing w:after="0"/>
              <w:rPr>
                <w:sz w:val="20"/>
                <w:szCs w:val="20"/>
                <w:color w:val="auto"/>
              </w:rPr>
            </w:pPr>
            <w:r>
              <w:rPr>
                <w:rFonts w:ascii="Arial" w:cs="Arial" w:eastAsia="Arial" w:hAnsi="Arial"/>
                <w:sz w:val="17"/>
                <w:szCs w:val="17"/>
                <w:color w:val="7F7F7F"/>
              </w:rPr>
              <w:t>3</w:t>
            </w:r>
          </w:p>
        </w:tc>
      </w:tr>
      <w:tr>
        <w:trPr>
          <w:trHeight w:val="603"/>
        </w:trPr>
        <w:tc>
          <w:tcPr>
            <w:tcW w:w="9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6301105" cy="9601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63"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Jason DeZwirek</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Chairman of the Board </w:t>
      </w:r>
      <w:r>
        <w:rPr>
          <w:rFonts w:ascii="Arial" w:cs="Arial" w:eastAsia="Arial" w:hAnsi="Arial"/>
          <w:sz w:val="17"/>
          <w:szCs w:val="17"/>
          <w:b w:val="1"/>
          <w:bCs w:val="1"/>
          <w:color w:val="0027A7"/>
        </w:rPr>
        <w:t>|</w:t>
      </w:r>
      <w:r>
        <w:rPr>
          <w:rFonts w:ascii="Arial" w:cs="Arial" w:eastAsia="Arial" w:hAnsi="Arial"/>
          <w:sz w:val="17"/>
          <w:szCs w:val="17"/>
          <w:b w:val="1"/>
          <w:bCs w:val="1"/>
          <w:color w:val="auto"/>
        </w:rPr>
        <w:t xml:space="preserve"> CECO Environmental Corp.</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53</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Nominations and Governance and Mergers &amp; Acquisitions</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Director Since:</w:t>
            </w:r>
            <w:r>
              <w:rPr>
                <w:rFonts w:ascii="Arial" w:cs="Arial" w:eastAsia="Arial" w:hAnsi="Arial"/>
                <w:sz w:val="15"/>
                <w:szCs w:val="15"/>
                <w:color w:val="000000"/>
              </w:rPr>
              <w:t>1994</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N/A</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CECO Environmental Corp</w:t>
      </w:r>
    </w:p>
    <w:p>
      <w:pPr>
        <w:spacing w:after="0" w:line="115" w:lineRule="exact"/>
        <w:rPr>
          <w:sz w:val="20"/>
          <w:szCs w:val="20"/>
          <w:color w:val="auto"/>
        </w:rPr>
      </w:pPr>
    </w:p>
    <w:p>
      <w:pPr>
        <w:ind w:left="2520" w:hanging="116"/>
        <w:spacing w:after="0"/>
        <w:tabs>
          <w:tab w:leader="none" w:pos="2520" w:val="left"/>
        </w:tabs>
        <w:numPr>
          <w:ilvl w:val="0"/>
          <w:numId w:val="15"/>
        </w:numPr>
        <w:rPr>
          <w:rFonts w:ascii="Times New Roman" w:cs="Times New Roman" w:eastAsia="Times New Roman" w:hAnsi="Times New Roman"/>
          <w:sz w:val="17"/>
          <w:szCs w:val="17"/>
          <w:color w:val="3C578C"/>
        </w:rPr>
      </w:pPr>
      <w:r>
        <w:rPr>
          <w:rFonts w:ascii="Arial" w:cs="Arial" w:eastAsia="Arial" w:hAnsi="Arial"/>
          <w:sz w:val="15"/>
          <w:szCs w:val="15"/>
          <w:color w:val="auto"/>
        </w:rPr>
        <w:t>Chairman of the Board since May 2013</w:t>
      </w:r>
    </w:p>
    <w:p>
      <w:pPr>
        <w:spacing w:after="0" w:line="62" w:lineRule="exact"/>
        <w:rPr>
          <w:rFonts w:ascii="Times New Roman" w:cs="Times New Roman" w:eastAsia="Times New Roman" w:hAnsi="Times New Roman"/>
          <w:sz w:val="17"/>
          <w:szCs w:val="17"/>
          <w:color w:val="3C578C"/>
        </w:rPr>
      </w:pPr>
    </w:p>
    <w:p>
      <w:pPr>
        <w:ind w:left="2520" w:hanging="113"/>
        <w:spacing w:after="0" w:line="239"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Secretary of our Company from February 1998</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until September 2013</w:t>
      </w:r>
    </w:p>
    <w:p>
      <w:pPr>
        <w:spacing w:after="0" w:line="40"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API Technologies Corp.</w:t>
      </w:r>
    </w:p>
    <w:p>
      <w:pPr>
        <w:spacing w:after="0" w:line="77" w:lineRule="exact"/>
        <w:rPr>
          <w:sz w:val="20"/>
          <w:szCs w:val="20"/>
          <w:color w:val="auto"/>
        </w:rPr>
      </w:pPr>
    </w:p>
    <w:p>
      <w:pPr>
        <w:ind w:left="2520" w:hanging="116"/>
        <w:spacing w:after="0"/>
        <w:tabs>
          <w:tab w:leader="none" w:pos="2520" w:val="left"/>
        </w:tabs>
        <w:numPr>
          <w:ilvl w:val="0"/>
          <w:numId w:val="16"/>
        </w:numPr>
        <w:rPr>
          <w:rFonts w:ascii="Times New Roman" w:cs="Times New Roman" w:eastAsia="Times New Roman" w:hAnsi="Times New Roman"/>
          <w:sz w:val="17"/>
          <w:szCs w:val="17"/>
          <w:color w:val="3C578C"/>
        </w:rPr>
      </w:pPr>
      <w:r>
        <w:rPr>
          <w:rFonts w:ascii="Arial" w:cs="Arial" w:eastAsia="Arial" w:hAnsi="Arial"/>
          <w:sz w:val="15"/>
          <w:szCs w:val="15"/>
          <w:color w:val="auto"/>
        </w:rPr>
        <w:t>Served as a director and corporate secretary</w:t>
      </w:r>
    </w:p>
    <w:p>
      <w:pPr>
        <w:spacing w:after="0" w:line="62" w:lineRule="exact"/>
        <w:rPr>
          <w:rFonts w:ascii="Times New Roman" w:cs="Times New Roman" w:eastAsia="Times New Roman" w:hAnsi="Times New Roman"/>
          <w:sz w:val="17"/>
          <w:szCs w:val="17"/>
          <w:color w:val="3C578C"/>
        </w:rPr>
      </w:pPr>
    </w:p>
    <w:p>
      <w:pPr>
        <w:ind w:left="2520" w:right="180" w:hanging="113"/>
        <w:spacing w:after="0" w:line="254"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a prime contractor in electronics,</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highly engineered systems, secure communications and electronic components and sub-systems for the defense and aerospace industries, from November 2006 through January 2011</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color w:val="405788"/>
        </w:rPr>
        <w:t>Kaboose Inc.</w:t>
      </w:r>
    </w:p>
    <w:p>
      <w:pPr>
        <w:spacing w:after="0" w:line="115" w:lineRule="exact"/>
        <w:rPr>
          <w:sz w:val="20"/>
          <w:szCs w:val="20"/>
          <w:color w:val="auto"/>
        </w:rPr>
      </w:pPr>
    </w:p>
    <w:p>
      <w:pPr>
        <w:ind w:left="120" w:hanging="116"/>
        <w:spacing w:after="0"/>
        <w:tabs>
          <w:tab w:leader="none" w:pos="120" w:val="left"/>
        </w:tabs>
        <w:numPr>
          <w:ilvl w:val="0"/>
          <w:numId w:val="17"/>
        </w:numPr>
        <w:rPr>
          <w:rFonts w:ascii="Times New Roman" w:cs="Times New Roman" w:eastAsia="Times New Roman" w:hAnsi="Times New Roman"/>
          <w:sz w:val="17"/>
          <w:szCs w:val="17"/>
          <w:color w:val="3C578C"/>
        </w:rPr>
      </w:pPr>
      <w:r>
        <w:rPr>
          <w:rFonts w:ascii="Arial" w:cs="Arial" w:eastAsia="Arial" w:hAnsi="Arial"/>
          <w:sz w:val="15"/>
          <w:szCs w:val="15"/>
          <w:color w:val="auto"/>
        </w:rPr>
        <w:t>Founder</w:t>
      </w:r>
    </w:p>
    <w:p>
      <w:pPr>
        <w:spacing w:after="0" w:line="50" w:lineRule="exact"/>
        <w:rPr>
          <w:rFonts w:ascii="Times New Roman" w:cs="Times New Roman" w:eastAsia="Times New Roman" w:hAnsi="Times New Roman"/>
          <w:sz w:val="17"/>
          <w:szCs w:val="17"/>
          <w:color w:val="3C578C"/>
        </w:rPr>
      </w:pPr>
    </w:p>
    <w:p>
      <w:pPr>
        <w:ind w:left="120" w:right="100" w:hanging="113"/>
        <w:spacing w:after="0" w:line="264"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the Chairman and CEO of Kaboose Inc. until</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its sale to Disney Online (a subsidiary of The Walt Disney Company) and Barclays Private Equity Limited in June 2009</w:t>
      </w:r>
    </w:p>
    <w:p>
      <w:pPr>
        <w:spacing w:after="0" w:line="243" w:lineRule="exact"/>
        <w:rPr>
          <w:rFonts w:ascii="Times New Roman" w:cs="Times New Roman" w:eastAsia="Times New Roman" w:hAnsi="Times New Roman"/>
          <w:sz w:val="17"/>
          <w:szCs w:val="17"/>
          <w:color w:val="3C578C"/>
        </w:rPr>
      </w:pPr>
    </w:p>
    <w:p>
      <w:pPr>
        <w:ind w:left="120" w:right="360" w:hanging="113"/>
        <w:spacing w:after="0" w:line="239"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Mr. DeZwirek also is and has been involved in private</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investment activities</w:t>
      </w:r>
    </w:p>
    <w:p>
      <w:pPr>
        <w:spacing w:after="0" w:line="914" w:lineRule="exact"/>
        <w:rPr>
          <w:sz w:val="20"/>
          <w:szCs w:val="20"/>
          <w:color w:val="auto"/>
        </w:rPr>
      </w:pPr>
    </w:p>
    <w:p>
      <w:pPr>
        <w:sectPr>
          <w:pgSz w:w="11900" w:h="16838" w:orient="portrait"/>
          <w:cols w:equalWidth="0" w:num="2">
            <w:col w:w="5620" w:space="280"/>
            <w:col w:w="4020"/>
          </w:cols>
          <w:pgMar w:left="980" w:top="485" w:right="999" w:bottom="1440" w:gutter="0" w:footer="0" w:header="0"/>
          <w:type w:val="continuous"/>
        </w:sectPr>
      </w:pPr>
    </w:p>
    <w:p>
      <w:pPr>
        <w:ind w:left="2400" w:right="320"/>
        <w:spacing w:after="0" w:line="261" w:lineRule="auto"/>
        <w:rPr>
          <w:sz w:val="20"/>
          <w:szCs w:val="20"/>
          <w:color w:val="auto"/>
        </w:rPr>
      </w:pPr>
      <w:r>
        <w:rPr>
          <w:rFonts w:ascii="Arial" w:cs="Arial" w:eastAsia="Arial" w:hAnsi="Arial"/>
          <w:sz w:val="15"/>
          <w:szCs w:val="15"/>
          <w:color w:val="auto"/>
        </w:rPr>
        <w:t>Mr. DeZwirek brings broad executive expertise, including operations, technology, management, and strategy. Having served as a director of our Company for over 25 years, he also has a breadth of knowledge of the overall issues our Company 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6301105" cy="9601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53"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Todd Gleason</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Chief Executive Officer </w:t>
      </w:r>
      <w:r>
        <w:rPr>
          <w:rFonts w:ascii="Arial" w:cs="Arial" w:eastAsia="Arial" w:hAnsi="Arial"/>
          <w:sz w:val="17"/>
          <w:szCs w:val="17"/>
          <w:b w:val="1"/>
          <w:bCs w:val="1"/>
          <w:color w:val="0027A7"/>
        </w:rPr>
        <w:t>|</w:t>
      </w:r>
      <w:r>
        <w:rPr>
          <w:rFonts w:ascii="Arial" w:cs="Arial" w:eastAsia="Arial" w:hAnsi="Arial"/>
          <w:sz w:val="17"/>
          <w:szCs w:val="17"/>
          <w:b w:val="1"/>
          <w:bCs w:val="1"/>
          <w:color w:val="auto"/>
        </w:rPr>
        <w:t xml:space="preserve"> CECO Environmental Corp.</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53</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Mergers &amp; Acquisitions</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Director Since:</w:t>
            </w:r>
            <w:r>
              <w:rPr>
                <w:rFonts w:ascii="Arial" w:cs="Arial" w:eastAsia="Arial" w:hAnsi="Arial"/>
                <w:sz w:val="15"/>
                <w:szCs w:val="15"/>
                <w:color w:val="000000"/>
              </w:rPr>
              <w:t>2020</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NSF</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type w:val="continuous"/>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CECO Environmental Corp</w:t>
      </w:r>
    </w:p>
    <w:p>
      <w:pPr>
        <w:spacing w:after="0" w:line="102" w:lineRule="exact"/>
        <w:rPr>
          <w:sz w:val="20"/>
          <w:szCs w:val="20"/>
          <w:color w:val="auto"/>
        </w:rPr>
      </w:pPr>
    </w:p>
    <w:p>
      <w:pPr>
        <w:ind w:left="2520" w:hanging="116"/>
        <w:spacing w:after="0"/>
        <w:tabs>
          <w:tab w:leader="none" w:pos="2520" w:val="left"/>
        </w:tabs>
        <w:numPr>
          <w:ilvl w:val="0"/>
          <w:numId w:val="18"/>
        </w:numPr>
        <w:rPr>
          <w:rFonts w:ascii="Times New Roman" w:cs="Times New Roman" w:eastAsia="Times New Roman" w:hAnsi="Times New Roman"/>
          <w:sz w:val="17"/>
          <w:szCs w:val="17"/>
          <w:color w:val="3C578C"/>
        </w:rPr>
      </w:pPr>
      <w:r>
        <w:rPr>
          <w:rFonts w:ascii="Arial" w:cs="Arial" w:eastAsia="Arial" w:hAnsi="Arial"/>
          <w:sz w:val="15"/>
          <w:szCs w:val="15"/>
          <w:color w:val="auto"/>
        </w:rPr>
        <w:t>Chief Executive Officer since July 2020</w:t>
      </w:r>
    </w:p>
    <w:p>
      <w:pPr>
        <w:spacing w:after="0" w:line="79"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Scientific Analytics Inc.</w:t>
      </w:r>
    </w:p>
    <w:p>
      <w:pPr>
        <w:spacing w:after="0" w:line="61" w:lineRule="exact"/>
        <w:rPr>
          <w:sz w:val="20"/>
          <w:szCs w:val="20"/>
          <w:color w:val="auto"/>
        </w:rPr>
      </w:pPr>
    </w:p>
    <w:p>
      <w:pPr>
        <w:ind w:left="2520" w:right="160" w:hanging="113"/>
        <w:spacing w:after="0" w:line="251"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President and Chief Executive</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Officer of Scientific Analytics, a predictive analytic technologies and services company, from April 2015 to July 2020</w:t>
      </w:r>
    </w:p>
    <w:p>
      <w:pPr>
        <w:spacing w:after="0" w:line="33"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Pentair plc.</w:t>
      </w:r>
    </w:p>
    <w:p>
      <w:pPr>
        <w:spacing w:after="0" w:line="73" w:lineRule="exact"/>
        <w:rPr>
          <w:sz w:val="20"/>
          <w:szCs w:val="20"/>
          <w:color w:val="auto"/>
        </w:rPr>
      </w:pPr>
    </w:p>
    <w:p>
      <w:pPr>
        <w:ind w:left="2520" w:right="20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Senior Vice President and Corporate Officer</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from January 2013 to March 2015</w:t>
      </w:r>
    </w:p>
    <w:p>
      <w:pPr>
        <w:spacing w:after="0" w:line="35" w:lineRule="exact"/>
        <w:rPr>
          <w:sz w:val="20"/>
          <w:szCs w:val="20"/>
          <w:color w:val="auto"/>
        </w:rPr>
      </w:pPr>
    </w:p>
    <w:p>
      <w:pPr>
        <w:ind w:left="25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President, Integration and Standardization from</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January 2010 to January 2013</w:t>
      </w:r>
    </w:p>
    <w:p>
      <w:pPr>
        <w:spacing w:after="0" w:line="35" w:lineRule="exact"/>
        <w:rPr>
          <w:sz w:val="20"/>
          <w:szCs w:val="20"/>
          <w:color w:val="auto"/>
        </w:rPr>
      </w:pPr>
    </w:p>
    <w:p>
      <w:pPr>
        <w:jc w:val="right"/>
        <w:ind w:left="2520" w:right="260" w:hanging="113"/>
        <w:spacing w:after="0" w:line="239" w:lineRule="auto"/>
        <w:rPr>
          <w:sz w:val="20"/>
          <w:szCs w:val="20"/>
          <w:color w:val="auto"/>
        </w:rPr>
      </w:pPr>
      <w:r>
        <w:rPr>
          <w:rFonts w:ascii="Times New Roman" w:cs="Times New Roman" w:eastAsia="Times New Roman" w:hAnsi="Times New Roman"/>
          <w:sz w:val="17"/>
          <w:szCs w:val="17"/>
          <w:color w:val="405788"/>
        </w:rPr>
        <w:t>●</w:t>
      </w:r>
      <w:r>
        <w:rPr>
          <w:rFonts w:ascii="Arial" w:cs="Arial" w:eastAsia="Arial" w:hAnsi="Arial"/>
          <w:sz w:val="14"/>
          <w:szCs w:val="14"/>
          <w:color w:val="000000"/>
        </w:rPr>
        <w:t>Vice President, Global Growth and Investor</w:t>
      </w:r>
      <w:r>
        <w:rPr>
          <w:rFonts w:ascii="Times New Roman" w:cs="Times New Roman" w:eastAsia="Times New Roman" w:hAnsi="Times New Roman"/>
          <w:sz w:val="17"/>
          <w:szCs w:val="17"/>
          <w:color w:val="405788"/>
        </w:rPr>
        <w:t xml:space="preserve"> </w:t>
      </w:r>
      <w:r>
        <w:rPr>
          <w:rFonts w:ascii="Arial" w:cs="Arial" w:eastAsia="Arial" w:hAnsi="Arial"/>
          <w:sz w:val="14"/>
          <w:szCs w:val="14"/>
          <w:color w:val="000000"/>
        </w:rPr>
        <w:t>Relations from June 2007 to January 2010</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color w:val="405788"/>
        </w:rPr>
        <w:t>American Standard Companies Inc.</w:t>
      </w:r>
    </w:p>
    <w:p>
      <w:pPr>
        <w:spacing w:after="0" w:line="73" w:lineRule="exact"/>
        <w:rPr>
          <w:sz w:val="20"/>
          <w:szCs w:val="20"/>
          <w:color w:val="auto"/>
        </w:rPr>
      </w:pPr>
    </w:p>
    <w:p>
      <w:pPr>
        <w:ind w:left="120" w:right="7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Vice President, Strategy and Investor</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Relations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405788"/>
        </w:rPr>
        <w:t>Honeywell International Inc</w:t>
      </w:r>
    </w:p>
    <w:p>
      <w:pPr>
        <w:spacing w:after="0" w:line="90" w:lineRule="exact"/>
        <w:rPr>
          <w:sz w:val="20"/>
          <w:szCs w:val="20"/>
          <w:color w:val="auto"/>
        </w:rPr>
      </w:pPr>
    </w:p>
    <w:p>
      <w:pPr>
        <w:ind w:left="120" w:right="360" w:hanging="116"/>
        <w:spacing w:after="0" w:line="277" w:lineRule="auto"/>
        <w:tabs>
          <w:tab w:leader="none" w:pos="120" w:val="left"/>
        </w:tabs>
        <w:numPr>
          <w:ilvl w:val="0"/>
          <w:numId w:val="22"/>
        </w:numPr>
        <w:rPr>
          <w:rFonts w:ascii="Times New Roman" w:cs="Times New Roman" w:eastAsia="Times New Roman" w:hAnsi="Times New Roman"/>
          <w:sz w:val="15"/>
          <w:szCs w:val="15"/>
          <w:color w:val="3C578C"/>
        </w:rPr>
      </w:pPr>
      <w:r>
        <w:rPr>
          <w:rFonts w:ascii="Arial" w:cs="Arial" w:eastAsia="Arial" w:hAnsi="Arial"/>
          <w:sz w:val="15"/>
          <w:szCs w:val="15"/>
          <w:color w:val="auto"/>
        </w:rPr>
        <w:t>Served as Chief Financial Officer, Honeywell Process Solutions</w:t>
      </w:r>
    </w:p>
    <w:p>
      <w:pPr>
        <w:spacing w:after="0" w:line="1775" w:lineRule="exact"/>
        <w:rPr>
          <w:sz w:val="20"/>
          <w:szCs w:val="20"/>
          <w:color w:val="auto"/>
        </w:rPr>
      </w:pPr>
    </w:p>
    <w:p>
      <w:pPr>
        <w:sectPr>
          <w:pgSz w:w="11900" w:h="16838" w:orient="portrait"/>
          <w:cols w:equalWidth="0" w:num="2">
            <w:col w:w="5640" w:space="260"/>
            <w:col w:w="4020"/>
          </w:cols>
          <w:pgMar w:left="980" w:top="485" w:right="999" w:bottom="1440" w:gutter="0" w:footer="0" w:header="0"/>
          <w:type w:val="continuous"/>
        </w:sectPr>
      </w:pPr>
    </w:p>
    <w:p>
      <w:pPr>
        <w:ind w:left="2400" w:right="360"/>
        <w:spacing w:after="0" w:line="278" w:lineRule="auto"/>
        <w:rPr>
          <w:sz w:val="20"/>
          <w:szCs w:val="20"/>
          <w:color w:val="auto"/>
        </w:rPr>
      </w:pPr>
      <w:r>
        <w:rPr>
          <w:rFonts w:ascii="Arial" w:cs="Arial" w:eastAsia="Arial" w:hAnsi="Arial"/>
          <w:sz w:val="15"/>
          <w:szCs w:val="15"/>
          <w:color w:val="auto"/>
        </w:rPr>
        <w:t>Mr. Gleason’s qualifications to sit on the Board include his financial and business background, as well as his extensive executive and leadership experience.</w:t>
      </w:r>
    </w:p>
    <w:p>
      <w:pPr>
        <w:spacing w:after="0" w:line="139"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w:t>
      </w:r>
      <w:r>
        <w:rPr>
          <w:sz w:val="20"/>
          <w:szCs w:val="20"/>
          <w:color w:val="auto"/>
        </w:rPr>
        <w:tab/>
      </w:r>
      <w:r>
        <w:rPr>
          <w:sz w:val="1"/>
          <w:szCs w:val="1"/>
          <w:color w:val="auto"/>
        </w:rPr>
        <w:drawing>
          <wp:inline distT="0" distB="0" distL="0" distR="0">
            <wp:extent cx="476250" cy="2222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6301105" cy="9601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50"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Robert E. Knowling, Jr.</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Chairman | Eagles Landing Partners</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68</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Compensation (Chair) and Mergers &amp; Acquisitions (Chair)</w:t>
            </w:r>
          </w:p>
        </w:tc>
      </w:tr>
      <w:tr>
        <w:trPr>
          <w:trHeight w:val="175"/>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 xml:space="preserve">Director Since: </w:t>
            </w:r>
            <w:r>
              <w:rPr>
                <w:rFonts w:ascii="Arial" w:cs="Arial" w:eastAsia="Arial" w:hAnsi="Arial"/>
                <w:sz w:val="15"/>
                <w:szCs w:val="15"/>
                <w:color w:val="000000"/>
              </w:rPr>
              <w:t>2022</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Rite Aid Corporation, Stride, Inc., Rocket Software and Stream</w:t>
            </w:r>
          </w:p>
        </w:tc>
      </w:tr>
      <w:tr>
        <w:trPr>
          <w:trHeight w:val="198"/>
        </w:trPr>
        <w:tc>
          <w:tcPr>
            <w:tcW w:w="1900" w:type="dxa"/>
            <w:vAlign w:val="bottom"/>
            <w:tcBorders>
              <w:right w:val="single" w:sz="8" w:color="CDCECD"/>
            </w:tcBorders>
          </w:tcPr>
          <w:p>
            <w:pPr>
              <w:spacing w:after="0"/>
              <w:rPr>
                <w:sz w:val="17"/>
                <w:szCs w:val="17"/>
                <w:color w:val="auto"/>
              </w:rPr>
            </w:pPr>
          </w:p>
        </w:tc>
        <w:tc>
          <w:tcPr>
            <w:tcW w:w="5700" w:type="dxa"/>
            <w:vAlign w:val="bottom"/>
          </w:tcPr>
          <w:p>
            <w:pPr>
              <w:ind w:left="80"/>
              <w:spacing w:after="0"/>
              <w:rPr>
                <w:sz w:val="20"/>
                <w:szCs w:val="20"/>
                <w:color w:val="auto"/>
              </w:rPr>
            </w:pPr>
            <w:r>
              <w:rPr>
                <w:rFonts w:ascii="Arial" w:cs="Arial" w:eastAsia="Arial" w:hAnsi="Arial"/>
                <w:sz w:val="15"/>
                <w:szCs w:val="15"/>
                <w:color w:val="auto"/>
              </w:rPr>
              <w:t>Companies</w:t>
            </w:r>
          </w:p>
        </w:tc>
      </w:tr>
      <w:tr>
        <w:trPr>
          <w:trHeight w:val="77"/>
        </w:trPr>
        <w:tc>
          <w:tcPr>
            <w:tcW w:w="1900" w:type="dxa"/>
            <w:vAlign w:val="bottom"/>
            <w:tcBorders>
              <w:bottom w:val="single" w:sz="8" w:color="CDCECD"/>
              <w:right w:val="single" w:sz="8" w:color="CDCECD"/>
            </w:tcBorders>
          </w:tcPr>
          <w:p>
            <w:pPr>
              <w:spacing w:after="0"/>
              <w:rPr>
                <w:sz w:val="6"/>
                <w:szCs w:val="6"/>
                <w:color w:val="auto"/>
              </w:rPr>
            </w:pPr>
          </w:p>
        </w:tc>
        <w:tc>
          <w:tcPr>
            <w:tcW w:w="5700" w:type="dxa"/>
            <w:vAlign w:val="bottom"/>
            <w:tcBorders>
              <w:bottom w:val="single" w:sz="8" w:color="CDCECD"/>
            </w:tcBorders>
          </w:tcPr>
          <w:p>
            <w:pPr>
              <w:spacing w:after="0"/>
              <w:rPr>
                <w:sz w:val="6"/>
                <w:szCs w:val="6"/>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Eagles Landing Partners</w:t>
      </w:r>
    </w:p>
    <w:p>
      <w:pPr>
        <w:spacing w:after="0" w:line="86" w:lineRule="exact"/>
        <w:rPr>
          <w:sz w:val="20"/>
          <w:szCs w:val="20"/>
          <w:color w:val="auto"/>
        </w:rPr>
      </w:pPr>
    </w:p>
    <w:p>
      <w:pPr>
        <w:ind w:left="2520" w:right="120" w:hanging="113"/>
        <w:spacing w:after="0" w:line="253"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Chairman of Eagles Landing Partners, which</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specializes in helping senior management formulate strategy, lead organizational transformations, and re-engineer businesses, since 2009</w:t>
      </w:r>
    </w:p>
    <w:p>
      <w:pPr>
        <w:spacing w:after="0" w:line="58"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Telwares</w:t>
      </w:r>
    </w:p>
    <w:p>
      <w:pPr>
        <w:spacing w:after="0" w:line="73" w:lineRule="exact"/>
        <w:rPr>
          <w:sz w:val="20"/>
          <w:szCs w:val="20"/>
          <w:color w:val="auto"/>
        </w:rPr>
      </w:pPr>
    </w:p>
    <w:p>
      <w:pPr>
        <w:ind w:left="25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Chief Executive Officer from 2005 to</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2009</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260" w:hanging="113"/>
        <w:spacing w:after="0" w:line="253"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Chief Executive Officer of the New York City</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Leadership Academy, an independent nonprofit corporation that is chartered with developing the next generation of principals in the New York City public school system, from 2002 to 2005</w:t>
      </w:r>
    </w:p>
    <w:p>
      <w:pPr>
        <w:spacing w:after="0" w:line="41" w:lineRule="exact"/>
        <w:rPr>
          <w:sz w:val="20"/>
          <w:szCs w:val="20"/>
          <w:color w:val="auto"/>
        </w:rPr>
      </w:pPr>
    </w:p>
    <w:p>
      <w:pPr>
        <w:ind w:right="26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Chairman and Chief Executive Officer of</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SimDesk Technologies, a computer software company, from 2001 to 2003</w:t>
      </w:r>
    </w:p>
    <w:p>
      <w:pPr>
        <w:spacing w:after="0" w:line="54" w:lineRule="exact"/>
        <w:rPr>
          <w:sz w:val="20"/>
          <w:szCs w:val="20"/>
          <w:color w:val="auto"/>
        </w:rPr>
      </w:pPr>
    </w:p>
    <w:p>
      <w:pPr>
        <w:ind w:right="40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Chairman, President and Chief Executive</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Officer of Covad Communications, a Warburg Pincus private equity-backed start-up company</w:t>
      </w:r>
    </w:p>
    <w:p>
      <w:pPr>
        <w:spacing w:after="0" w:line="54" w:lineRule="exact"/>
        <w:rPr>
          <w:sz w:val="20"/>
          <w:szCs w:val="20"/>
          <w:color w:val="auto"/>
        </w:rPr>
      </w:pPr>
    </w:p>
    <w:p>
      <w:pPr>
        <w:ind w:right="50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Previously served on the board of directors of Citrix</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Systems Inc., Roper Technologies Inc. and HP</w:t>
      </w:r>
    </w:p>
    <w:p>
      <w:pPr>
        <w:spacing w:after="0" w:line="65" w:lineRule="exact"/>
        <w:rPr>
          <w:sz w:val="20"/>
          <w:szCs w:val="20"/>
          <w:color w:val="auto"/>
        </w:rPr>
      </w:pPr>
    </w:p>
    <w:p>
      <w:pPr>
        <w:sectPr>
          <w:pgSz w:w="11900" w:h="16838" w:orient="portrait"/>
          <w:cols w:equalWidth="0" w:num="2">
            <w:col w:w="5640" w:space="380"/>
            <w:col w:w="3900"/>
          </w:cols>
          <w:pgMar w:left="980" w:top="485" w:right="999" w:bottom="1440" w:gutter="0" w:footer="0" w:header="0"/>
          <w:type w:val="continuous"/>
        </w:sectPr>
      </w:pPr>
    </w:p>
    <w:p>
      <w:pPr>
        <w:ind w:left="2400" w:right="340"/>
        <w:spacing w:after="0" w:line="255" w:lineRule="auto"/>
        <w:rPr>
          <w:sz w:val="20"/>
          <w:szCs w:val="20"/>
          <w:color w:val="auto"/>
        </w:rPr>
      </w:pPr>
      <w:r>
        <w:rPr>
          <w:rFonts w:ascii="Arial" w:cs="Arial" w:eastAsia="Arial" w:hAnsi="Arial"/>
          <w:sz w:val="15"/>
          <w:szCs w:val="15"/>
          <w:color w:val="auto"/>
        </w:rPr>
        <w:t>Mr. Knowling brings to the Board extensive experience in executive management and leadership roles, including experience leading companies through periods of high growth and organizational turnaround. In addition, his service on a number of other public company boards of directors enables Mr. Knowling to share insights with the Board regarding corporate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6301105" cy="9601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83"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Claudio A. Mannarino</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President </w:t>
      </w:r>
      <w:r>
        <w:rPr>
          <w:rFonts w:ascii="Arial" w:cs="Arial" w:eastAsia="Arial" w:hAnsi="Arial"/>
          <w:sz w:val="17"/>
          <w:szCs w:val="17"/>
          <w:b w:val="1"/>
          <w:bCs w:val="1"/>
          <w:color w:val="0027A7"/>
        </w:rPr>
        <w:t>|</w:t>
      </w:r>
      <w:r>
        <w:rPr>
          <w:rFonts w:ascii="Arial" w:cs="Arial" w:eastAsia="Arial" w:hAnsi="Arial"/>
          <w:sz w:val="17"/>
          <w:szCs w:val="17"/>
          <w:b w:val="1"/>
          <w:bCs w:val="1"/>
          <w:color w:val="auto"/>
        </w:rPr>
        <w:t xml:space="preserve"> Sette CS Inc</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53</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Audit and Compensation</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 xml:space="preserve">Director Since: </w:t>
            </w:r>
            <w:r>
              <w:rPr>
                <w:rFonts w:ascii="Arial" w:cs="Arial" w:eastAsia="Arial" w:hAnsi="Arial"/>
                <w:sz w:val="15"/>
                <w:szCs w:val="15"/>
                <w:color w:val="000000"/>
              </w:rPr>
              <w:t>2015</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N/A</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type w:val="continuous"/>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3C578C"/>
        </w:rPr>
        <w:t>Sette CS Inc</w:t>
      </w:r>
    </w:p>
    <w:p>
      <w:pPr>
        <w:spacing w:after="0" w:line="86" w:lineRule="exact"/>
        <w:rPr>
          <w:sz w:val="20"/>
          <w:szCs w:val="20"/>
          <w:color w:val="auto"/>
        </w:rPr>
      </w:pPr>
    </w:p>
    <w:p>
      <w:pPr>
        <w:ind w:left="2520" w:right="64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President of Sette CS, a management</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consulting firm, since 2016</w:t>
      </w:r>
    </w:p>
    <w:p>
      <w:pPr>
        <w:spacing w:after="0" w:line="65"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API Technologies Corp</w:t>
      </w:r>
    </w:p>
    <w:p>
      <w:pPr>
        <w:spacing w:after="0" w:line="73" w:lineRule="exact"/>
        <w:rPr>
          <w:sz w:val="20"/>
          <w:szCs w:val="20"/>
          <w:color w:val="auto"/>
        </w:rPr>
      </w:pPr>
    </w:p>
    <w:p>
      <w:pPr>
        <w:ind w:left="2520" w:right="8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the Senior Vice President and Chief</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Financial Officer from June 2014 to November 2015</w:t>
      </w:r>
    </w:p>
    <w:p>
      <w:pPr>
        <w:spacing w:after="0" w:line="54" w:lineRule="exact"/>
        <w:rPr>
          <w:sz w:val="20"/>
          <w:szCs w:val="20"/>
          <w:color w:val="auto"/>
        </w:rPr>
      </w:pPr>
    </w:p>
    <w:p>
      <w:pPr>
        <w:ind w:left="252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He also served as API’s Senior Vice President,</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Finance from January 2010 to June 2014 and as its Chief Financial Officer and Vice President of Finance from November 2006 to January 2010</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20" w:right="40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He served in various, senior-level management roles</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throughout API’s finance organization</w:t>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3C578C"/>
        </w:rPr>
        <w:t>Transcontinental, Inc</w:t>
      </w:r>
    </w:p>
    <w:p>
      <w:pPr>
        <w:spacing w:after="0" w:line="102" w:lineRule="exact"/>
        <w:rPr>
          <w:sz w:val="20"/>
          <w:szCs w:val="20"/>
          <w:color w:val="auto"/>
        </w:rPr>
      </w:pPr>
    </w:p>
    <w:p>
      <w:pPr>
        <w:ind w:left="120" w:hanging="116"/>
        <w:spacing w:after="0"/>
        <w:tabs>
          <w:tab w:leader="none" w:pos="120" w:val="left"/>
        </w:tabs>
        <w:numPr>
          <w:ilvl w:val="0"/>
          <w:numId w:val="29"/>
        </w:numPr>
        <w:rPr>
          <w:rFonts w:ascii="Times New Roman" w:cs="Times New Roman" w:eastAsia="Times New Roman" w:hAnsi="Times New Roman"/>
          <w:sz w:val="17"/>
          <w:szCs w:val="17"/>
          <w:color w:val="3C578C"/>
        </w:rPr>
      </w:pPr>
      <w:r>
        <w:rPr>
          <w:rFonts w:ascii="Arial" w:cs="Arial" w:eastAsia="Arial" w:hAnsi="Arial"/>
          <w:sz w:val="15"/>
          <w:szCs w:val="15"/>
          <w:color w:val="auto"/>
        </w:rPr>
        <w:t>Served as Controller for two divisions</w:t>
      </w:r>
    </w:p>
    <w:p>
      <w:pPr>
        <w:spacing w:after="0" w:line="75" w:lineRule="exact"/>
        <w:rPr>
          <w:rFonts w:ascii="Times New Roman" w:cs="Times New Roman" w:eastAsia="Times New Roman" w:hAnsi="Times New Roman"/>
          <w:sz w:val="17"/>
          <w:szCs w:val="17"/>
          <w:color w:val="3C578C"/>
        </w:rPr>
      </w:pPr>
    </w:p>
    <w:p>
      <w:pPr>
        <w:ind w:left="120" w:right="460" w:hanging="113"/>
        <w:spacing w:after="0" w:line="239" w:lineRule="auto"/>
        <w:rPr>
          <w:rFonts w:ascii="Times New Roman" w:cs="Times New Roman" w:eastAsia="Times New Roman" w:hAnsi="Times New Roman"/>
          <w:sz w:val="17"/>
          <w:szCs w:val="17"/>
          <w:color w:val="3C578C"/>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A Canadian publicly traded company on the Toronto</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Stock Exchange</w:t>
      </w:r>
    </w:p>
    <w:p>
      <w:pPr>
        <w:spacing w:after="0" w:line="1147" w:lineRule="exact"/>
        <w:rPr>
          <w:sz w:val="20"/>
          <w:szCs w:val="20"/>
          <w:color w:val="auto"/>
        </w:rPr>
      </w:pPr>
    </w:p>
    <w:p>
      <w:pPr>
        <w:sectPr>
          <w:pgSz w:w="11900" w:h="16838" w:orient="portrait"/>
          <w:cols w:equalWidth="0" w:num="2">
            <w:col w:w="5680" w:space="220"/>
            <w:col w:w="4020"/>
          </w:cols>
          <w:pgMar w:left="980" w:top="485" w:right="999" w:bottom="1440" w:gutter="0" w:footer="0" w:header="0"/>
          <w:type w:val="continuous"/>
        </w:sectPr>
      </w:pPr>
    </w:p>
    <w:p>
      <w:pPr>
        <w:spacing w:after="0" w:line="55" w:lineRule="exact"/>
        <w:rPr>
          <w:sz w:val="20"/>
          <w:szCs w:val="20"/>
          <w:color w:val="auto"/>
        </w:rPr>
      </w:pPr>
    </w:p>
    <w:p>
      <w:pPr>
        <w:ind w:left="2400" w:right="340"/>
        <w:spacing w:after="0" w:line="278" w:lineRule="auto"/>
        <w:rPr>
          <w:sz w:val="20"/>
          <w:szCs w:val="20"/>
          <w:color w:val="auto"/>
        </w:rPr>
      </w:pPr>
      <w:r>
        <w:rPr>
          <w:rFonts w:ascii="Arial" w:cs="Arial" w:eastAsia="Arial" w:hAnsi="Arial"/>
          <w:sz w:val="15"/>
          <w:szCs w:val="15"/>
          <w:color w:val="auto"/>
        </w:rPr>
        <w:t>Mr. Mannarino brings over 25 years of financial, strategic and merger and acquisition expertise to our Board, which assists us as we expand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111125</wp:posOffset>
            </wp:positionV>
            <wp:extent cx="483870" cy="2222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80" w:type="dxa"/>
            <w:vAlign w:val="bottom"/>
          </w:tcPr>
          <w:p>
            <w:pPr>
              <w:ind w:left="7880"/>
              <w:spacing w:after="0"/>
              <w:rPr>
                <w:sz w:val="20"/>
                <w:szCs w:val="20"/>
                <w:color w:val="auto"/>
              </w:rPr>
            </w:pPr>
            <w:r>
              <w:rPr>
                <w:rFonts w:ascii="Arial" w:cs="Arial" w:eastAsia="Arial" w:hAnsi="Arial"/>
                <w:sz w:val="17"/>
                <w:szCs w:val="17"/>
                <w:color w:val="7F7F7F"/>
              </w:rPr>
              <w:t>2024 Proxy Statement</w:t>
            </w:r>
          </w:p>
        </w:tc>
        <w:tc>
          <w:tcPr>
            <w:tcW w:w="240" w:type="dxa"/>
            <w:vAlign w:val="bottom"/>
          </w:tcPr>
          <w:p>
            <w:pPr>
              <w:jc w:val="right"/>
              <w:spacing w:after="0"/>
              <w:rPr>
                <w:sz w:val="20"/>
                <w:szCs w:val="20"/>
                <w:color w:val="auto"/>
              </w:rPr>
            </w:pPr>
            <w:r>
              <w:rPr>
                <w:rFonts w:ascii="Arial" w:cs="Arial" w:eastAsia="Arial" w:hAnsi="Arial"/>
                <w:sz w:val="17"/>
                <w:szCs w:val="17"/>
                <w:color w:val="7F7F7F"/>
              </w:rPr>
              <w:t>5</w:t>
            </w:r>
          </w:p>
        </w:tc>
      </w:tr>
      <w:tr>
        <w:trPr>
          <w:trHeight w:val="603"/>
        </w:trPr>
        <w:tc>
          <w:tcPr>
            <w:tcW w:w="9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6301105" cy="809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1105" cy="809625"/>
                    </a:xfrm>
                    <a:prstGeom prst="rect">
                      <a:avLst/>
                    </a:prstGeom>
                    <a:noFill/>
                  </pic:spPr>
                </pic:pic>
              </a:graphicData>
            </a:graphic>
          </wp:anchor>
        </w:drawing>
      </w:r>
    </w:p>
    <w:p>
      <w:pPr>
        <w:spacing w:after="0" w:line="250"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Munish Nanda</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Former President, Americas &amp; Europe </w:t>
      </w:r>
      <w:r>
        <w:rPr>
          <w:rFonts w:ascii="Arial" w:cs="Arial" w:eastAsia="Arial" w:hAnsi="Arial"/>
          <w:sz w:val="17"/>
          <w:szCs w:val="17"/>
          <w:b w:val="1"/>
          <w:bCs w:val="1"/>
          <w:color w:val="0027A7"/>
        </w:rPr>
        <w:t>|</w:t>
      </w:r>
      <w:r>
        <w:rPr>
          <w:rFonts w:ascii="Arial" w:cs="Arial" w:eastAsia="Arial" w:hAnsi="Arial"/>
          <w:sz w:val="17"/>
          <w:szCs w:val="17"/>
          <w:b w:val="1"/>
          <w:bCs w:val="1"/>
          <w:color w:val="auto"/>
        </w:rPr>
        <w:t xml:space="preserve"> Watts Water Technologies, Inc.</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59</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Audit and Nominations and Governance</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 xml:space="preserve">Director Since: </w:t>
            </w:r>
            <w:r>
              <w:rPr>
                <w:rFonts w:ascii="Arial" w:cs="Arial" w:eastAsia="Arial" w:hAnsi="Arial"/>
                <w:sz w:val="15"/>
                <w:szCs w:val="15"/>
                <w:color w:val="000000"/>
              </w:rPr>
              <w:t>2018</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N/A</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Americas &amp; Europe of Watts Water</w:t>
      </w:r>
    </w:p>
    <w:p>
      <w:pPr>
        <w:spacing w:after="0" w:line="16"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Technologies, Inc</w:t>
      </w:r>
    </w:p>
    <w:p>
      <w:pPr>
        <w:spacing w:after="0" w:line="84" w:lineRule="exact"/>
        <w:rPr>
          <w:sz w:val="20"/>
          <w:szCs w:val="20"/>
          <w:color w:val="auto"/>
        </w:rPr>
      </w:pPr>
    </w:p>
    <w:p>
      <w:pPr>
        <w:ind w:left="2520" w:hanging="113"/>
        <w:spacing w:after="0" w:line="251"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President of Americas &amp; Europe of</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Watts Water, a global manufacturer of plumbing, heating, and water quality products, from 2016 to 2023</w:t>
      </w:r>
    </w:p>
    <w:p>
      <w:pPr>
        <w:spacing w:after="0" w:line="71"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3C578C"/>
        </w:rPr>
        <w:t>ITT Corporation</w:t>
      </w:r>
    </w:p>
    <w:p>
      <w:pPr>
        <w:spacing w:after="0" w:line="97" w:lineRule="exact"/>
        <w:rPr>
          <w:sz w:val="20"/>
          <w:szCs w:val="20"/>
          <w:color w:val="auto"/>
        </w:rPr>
      </w:pPr>
    </w:p>
    <w:p>
      <w:pPr>
        <w:ind w:left="2520" w:right="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President of Control Technologies for</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ITT Corporation from April 2011 to March 2015</w:t>
      </w:r>
    </w:p>
    <w:p>
      <w:pPr>
        <w:spacing w:after="0" w:line="73" w:lineRule="exact"/>
        <w:rPr>
          <w:sz w:val="20"/>
          <w:szCs w:val="20"/>
          <w:color w:val="auto"/>
        </w:rPr>
      </w:pPr>
    </w:p>
    <w:p>
      <w:pPr>
        <w:ind w:left="2520" w:right="18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Group Vice President of ITT</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Corporation’s Fluid and Motion Control Group from April 2008 to April 2011</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b w:val="1"/>
          <w:bCs w:val="1"/>
          <w:color w:val="3C578C"/>
        </w:rPr>
        <w:t>Thermo Fisher Scientific Corporation and Honeywell International Inc</w:t>
      </w:r>
    </w:p>
    <w:p>
      <w:pPr>
        <w:spacing w:after="0" w:line="30" w:lineRule="exact"/>
        <w:rPr>
          <w:sz w:val="20"/>
          <w:szCs w:val="20"/>
          <w:color w:val="auto"/>
        </w:rPr>
      </w:pPr>
    </w:p>
    <w:p>
      <w:pPr>
        <w:ind w:left="120" w:right="320" w:hanging="113"/>
        <w:spacing w:after="0" w:line="251"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Earlier in his career, Mr. Nanda held several operating</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leadership and general management positions with Thermo Fisher Scientific Corporation, Honeywell International Inc. and W.L. Gore &amp; Associates.</w:t>
      </w:r>
    </w:p>
    <w:p>
      <w:pPr>
        <w:spacing w:after="0" w:line="1432" w:lineRule="exact"/>
        <w:rPr>
          <w:sz w:val="20"/>
          <w:szCs w:val="20"/>
          <w:color w:val="auto"/>
        </w:rPr>
      </w:pPr>
    </w:p>
    <w:p>
      <w:pPr>
        <w:sectPr>
          <w:pgSz w:w="11900" w:h="16838" w:orient="portrait"/>
          <w:cols w:equalWidth="0" w:num="2">
            <w:col w:w="5720" w:space="180"/>
            <w:col w:w="4020"/>
          </w:cols>
          <w:pgMar w:left="980" w:top="485" w:right="999" w:bottom="1440" w:gutter="0" w:footer="0" w:header="0"/>
          <w:type w:val="continuous"/>
        </w:sectPr>
      </w:pPr>
    </w:p>
    <w:p>
      <w:pPr>
        <w:ind w:left="2400" w:right="120"/>
        <w:spacing w:after="0" w:line="255" w:lineRule="auto"/>
        <w:rPr>
          <w:sz w:val="20"/>
          <w:szCs w:val="20"/>
          <w:color w:val="auto"/>
        </w:rPr>
      </w:pPr>
      <w:r>
        <w:rPr>
          <w:rFonts w:ascii="Arial" w:cs="Arial" w:eastAsia="Arial" w:hAnsi="Arial"/>
          <w:sz w:val="15"/>
          <w:szCs w:val="15"/>
          <w:color w:val="auto"/>
        </w:rPr>
        <w:t>Mr. Nanda brings over 25 years of experience working in senior operational management roles for global industrial manufacturers, which assists us as we continue to grow and streamline our business. Mr. Nanda also brings extensive experience in the fluid handling, energy, and other niche manufacturing industries including medical electronics, defense and aerospace.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6301105" cy="9601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258"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Valerie Gentile Sachs</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Former Vice President, General Counsel and Corporate Secretary </w:t>
      </w:r>
      <w:r>
        <w:rPr>
          <w:rFonts w:ascii="Arial" w:cs="Arial" w:eastAsia="Arial" w:hAnsi="Arial"/>
          <w:sz w:val="17"/>
          <w:szCs w:val="17"/>
          <w:b w:val="1"/>
          <w:bCs w:val="1"/>
          <w:color w:val="0027A7"/>
        </w:rPr>
        <w: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OM Group, Inc.</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68</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Compensation and Nominations and Governance (Chair)</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 xml:space="preserve">Director Since: </w:t>
            </w:r>
            <w:r>
              <w:rPr>
                <w:rFonts w:ascii="Arial" w:cs="Arial" w:eastAsia="Arial" w:hAnsi="Arial"/>
                <w:sz w:val="15"/>
                <w:szCs w:val="15"/>
                <w:color w:val="000000"/>
              </w:rPr>
              <w:t>2016</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NACCO Industries, Inc.</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tabs>
          <w:tab w:leader="none" w:pos="5880" w:val="left"/>
        </w:tabs>
        <w:rPr>
          <w:sz w:val="20"/>
          <w:szCs w:val="20"/>
          <w:color w:val="auto"/>
        </w:rPr>
      </w:pPr>
      <w:r>
        <w:rPr>
          <w:rFonts w:ascii="Arial" w:cs="Arial" w:eastAsia="Arial" w:hAnsi="Arial"/>
          <w:sz w:val="15"/>
          <w:szCs w:val="15"/>
          <w:b w:val="1"/>
          <w:bCs w:val="1"/>
          <w:color w:val="3C578C"/>
        </w:rPr>
        <w:t>OM Group, Inc</w:t>
      </w:r>
      <w:r>
        <w:rPr>
          <w:sz w:val="20"/>
          <w:szCs w:val="20"/>
          <w:color w:val="auto"/>
        </w:rPr>
        <w:tab/>
      </w:r>
      <w:r>
        <w:rPr>
          <w:rFonts w:ascii="Arial" w:cs="Arial" w:eastAsia="Arial" w:hAnsi="Arial"/>
          <w:sz w:val="15"/>
          <w:szCs w:val="15"/>
          <w:b w:val="1"/>
          <w:bCs w:val="1"/>
          <w:color w:val="3C578C"/>
        </w:rPr>
        <w:t>Marconi plc</w:t>
      </w:r>
    </w:p>
    <w:p>
      <w:pPr>
        <w:spacing w:after="0" w:line="98" w:lineRule="exact"/>
        <w:rPr>
          <w:sz w:val="20"/>
          <w:szCs w:val="20"/>
          <w:color w:val="auto"/>
        </w:rPr>
      </w:pPr>
    </w:p>
    <w:p>
      <w:pPr>
        <w:ind w:left="2400"/>
        <w:spacing w:after="0"/>
        <w:tabs>
          <w:tab w:leader="none" w:pos="5880" w:val="left"/>
        </w:tabs>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the Vice President, General Counsel</w:t>
      </w:r>
      <w:r>
        <w:rPr>
          <w:sz w:val="20"/>
          <w:szCs w:val="20"/>
          <w:color w:val="auto"/>
        </w:rPr>
        <w:tab/>
      </w: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General Counsel</w:t>
      </w:r>
    </w:p>
    <w:p>
      <w:pPr>
        <w:spacing w:after="0" w:line="10"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and Corporate Secretary</w:t>
      </w:r>
    </w:p>
    <w:p>
      <w:pPr>
        <w:spacing w:after="0" w:line="8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She also served on the boards of directors and</w:t>
      </w:r>
    </w:p>
    <w:p>
      <w:pPr>
        <w:spacing w:after="0" w:line="10"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acted as Managing Director of numerous U.S.</w:t>
      </w:r>
    </w:p>
    <w:p>
      <w:pPr>
        <w:spacing w:after="0" w:line="2"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and non-U.S. entities affiliated with OM Group</w:t>
      </w:r>
    </w:p>
    <w:p>
      <w:pPr>
        <w:spacing w:after="0" w:line="101" w:lineRule="exact"/>
        <w:rPr>
          <w:sz w:val="20"/>
          <w:szCs w:val="20"/>
          <w:color w:val="auto"/>
        </w:rPr>
      </w:pPr>
    </w:p>
    <w:p>
      <w:pPr>
        <w:ind w:left="2400" w:right="100"/>
        <w:spacing w:after="0" w:line="250" w:lineRule="auto"/>
        <w:rPr>
          <w:sz w:val="20"/>
          <w:szCs w:val="20"/>
          <w:color w:val="auto"/>
        </w:rPr>
      </w:pPr>
      <w:r>
        <w:rPr>
          <w:rFonts w:ascii="Arial" w:cs="Arial" w:eastAsia="Arial" w:hAnsi="Arial"/>
          <w:sz w:val="15"/>
          <w:szCs w:val="15"/>
          <w:color w:val="auto"/>
        </w:rPr>
        <w:t>Ms. Sachs brings a combination of legal expertise, extensive executive management and leadership experience to our Board. She has been an integral part of executive management teams that have effectively worked through strategic transitions, integrations and restructurings and is very familiar with international operating challenges and opportunities. As the former General Counsel of three public companies, she has developed expertise in the areas of governance, compliance, and executive compensation, which provides strong support and additional depth to our Board and to the committees on which she serves.</w:t>
      </w:r>
    </w:p>
    <w:p>
      <w:pPr>
        <w:spacing w:after="0" w:line="373"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6</w:t>
      </w:r>
      <w:r>
        <w:rPr>
          <w:sz w:val="20"/>
          <w:szCs w:val="20"/>
          <w:color w:val="auto"/>
        </w:rPr>
        <w:tab/>
      </w:r>
      <w:r>
        <w:rPr>
          <w:sz w:val="1"/>
          <w:szCs w:val="1"/>
          <w:color w:val="auto"/>
        </w:rPr>
        <w:drawing>
          <wp:inline distT="0" distB="0" distL="0" distR="0">
            <wp:extent cx="476250" cy="22225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243840</wp:posOffset>
            </wp:positionV>
            <wp:extent cx="6301105" cy="1039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1105" cy="103949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Laurie A. Siegel</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 xml:space="preserve">President </w:t>
      </w:r>
      <w:r>
        <w:rPr>
          <w:rFonts w:ascii="Arial" w:cs="Arial" w:eastAsia="Arial" w:hAnsi="Arial"/>
          <w:sz w:val="17"/>
          <w:szCs w:val="17"/>
          <w:b w:val="1"/>
          <w:bCs w:val="1"/>
          <w:color w:val="0027A7"/>
        </w:rPr>
        <w:t>|</w:t>
      </w:r>
      <w:r>
        <w:rPr>
          <w:rFonts w:ascii="Arial" w:cs="Arial" w:eastAsia="Arial" w:hAnsi="Arial"/>
          <w:sz w:val="17"/>
          <w:szCs w:val="17"/>
          <w:b w:val="1"/>
          <w:bCs w:val="1"/>
          <w:color w:val="auto"/>
        </w:rPr>
        <w:t xml:space="preserve"> LAS Advisory Services</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67</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Compensation</w:t>
            </w:r>
          </w:p>
        </w:tc>
      </w:tr>
      <w:tr>
        <w:trPr>
          <w:trHeight w:val="198"/>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 xml:space="preserve">Director Since: </w:t>
            </w:r>
            <w:r>
              <w:rPr>
                <w:rFonts w:ascii="Arial" w:cs="Arial" w:eastAsia="Arial" w:hAnsi="Arial"/>
                <w:sz w:val="15"/>
                <w:szCs w:val="15"/>
                <w:color w:val="000000"/>
              </w:rPr>
              <w:t>2023</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Lumen Technologies and Factset Research Systems, Inc.</w:t>
            </w:r>
          </w:p>
        </w:tc>
      </w:tr>
      <w:tr>
        <w:trPr>
          <w:trHeight w:val="127"/>
        </w:trPr>
        <w:tc>
          <w:tcPr>
            <w:tcW w:w="1900" w:type="dxa"/>
            <w:vAlign w:val="bottom"/>
            <w:tcBorders>
              <w:bottom w:val="single" w:sz="8" w:color="CDCECD"/>
              <w:right w:val="single" w:sz="8" w:color="CDCECD"/>
            </w:tcBorders>
          </w:tcPr>
          <w:p>
            <w:pPr>
              <w:spacing w:after="0"/>
              <w:rPr>
                <w:sz w:val="11"/>
                <w:szCs w:val="11"/>
                <w:color w:val="auto"/>
              </w:rPr>
            </w:pPr>
          </w:p>
        </w:tc>
        <w:tc>
          <w:tcPr>
            <w:tcW w:w="5700" w:type="dxa"/>
            <w:vAlign w:val="bottom"/>
            <w:tcBorders>
              <w:bottom w:val="single" w:sz="8" w:color="CDCECD"/>
            </w:tcBorders>
          </w:tcPr>
          <w:p>
            <w:pPr>
              <w:spacing w:after="0"/>
              <w:rPr>
                <w:sz w:val="11"/>
                <w:szCs w:val="11"/>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LAS Advisory Services</w:t>
      </w:r>
    </w:p>
    <w:p>
      <w:pPr>
        <w:spacing w:after="0" w:line="115" w:lineRule="exact"/>
        <w:rPr>
          <w:sz w:val="20"/>
          <w:szCs w:val="20"/>
          <w:color w:val="auto"/>
        </w:rPr>
      </w:pPr>
    </w:p>
    <w:p>
      <w:pPr>
        <w:ind w:left="2520" w:hanging="116"/>
        <w:spacing w:after="0"/>
        <w:tabs>
          <w:tab w:leader="none" w:pos="2520" w:val="left"/>
        </w:tabs>
        <w:numPr>
          <w:ilvl w:val="0"/>
          <w:numId w:val="33"/>
        </w:numPr>
        <w:rPr>
          <w:rFonts w:ascii="Times New Roman" w:cs="Times New Roman" w:eastAsia="Times New Roman" w:hAnsi="Times New Roman"/>
          <w:sz w:val="17"/>
          <w:szCs w:val="17"/>
          <w:color w:val="3C578C"/>
        </w:rPr>
      </w:pPr>
      <w:r>
        <w:rPr>
          <w:rFonts w:ascii="Arial" w:cs="Arial" w:eastAsia="Arial" w:hAnsi="Arial"/>
          <w:sz w:val="15"/>
          <w:szCs w:val="15"/>
          <w:color w:val="auto"/>
        </w:rPr>
        <w:t>Serves as the President since 2012</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Tyco International Ltd.</w:t>
      </w:r>
    </w:p>
    <w:p>
      <w:pPr>
        <w:spacing w:after="0" w:line="98" w:lineRule="exact"/>
        <w:rPr>
          <w:sz w:val="20"/>
          <w:szCs w:val="20"/>
          <w:color w:val="auto"/>
        </w:rPr>
      </w:pPr>
    </w:p>
    <w:p>
      <w:pPr>
        <w:ind w:left="2520" w:right="80" w:hanging="113"/>
        <w:spacing w:after="0" w:line="248"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Senior Vice President of Human</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Resources and Internal Communications from 2003 to 2012</w:t>
      </w:r>
    </w:p>
    <w:p>
      <w:pPr>
        <w:spacing w:after="0" w:line="71"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Honeywell International, Inc.</w:t>
      </w:r>
    </w:p>
    <w:p>
      <w:pPr>
        <w:spacing w:after="0" w:line="98"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Vice President of Human Resources</w:t>
      </w:r>
    </w:p>
    <w:p>
      <w:pPr>
        <w:spacing w:after="0" w:line="10" w:lineRule="exact"/>
        <w:rPr>
          <w:sz w:val="20"/>
          <w:szCs w:val="20"/>
          <w:color w:val="auto"/>
        </w:rPr>
      </w:pPr>
    </w:p>
    <w:p>
      <w:pPr>
        <w:ind w:left="2520"/>
        <w:spacing w:after="0"/>
        <w:rPr>
          <w:sz w:val="20"/>
          <w:szCs w:val="20"/>
          <w:color w:val="auto"/>
        </w:rPr>
      </w:pPr>
      <w:r>
        <w:rPr>
          <w:rFonts w:ascii="Arial" w:cs="Arial" w:eastAsia="Arial" w:hAnsi="Arial"/>
          <w:sz w:val="15"/>
          <w:szCs w:val="15"/>
          <w:color w:val="auto"/>
        </w:rPr>
        <w:t>– Specialty Materials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220" w:hanging="113"/>
        <w:spacing w:after="0"/>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Previously served on the board of directors of California</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Resources Corporation and Volt Information Sciences, Inc.</w:t>
      </w:r>
    </w:p>
    <w:p>
      <w:pPr>
        <w:spacing w:after="0" w:line="1850" w:lineRule="exact"/>
        <w:rPr>
          <w:sz w:val="20"/>
          <w:szCs w:val="20"/>
          <w:color w:val="auto"/>
        </w:rPr>
      </w:pPr>
    </w:p>
    <w:p>
      <w:pPr>
        <w:sectPr>
          <w:pgSz w:w="11900" w:h="16838" w:orient="portrait"/>
          <w:cols w:equalWidth="0" w:num="2">
            <w:col w:w="5640" w:space="380"/>
            <w:col w:w="3900"/>
          </w:cols>
          <w:pgMar w:left="980" w:top="485" w:right="999" w:bottom="1440" w:gutter="0" w:footer="0" w:header="0"/>
          <w:type w:val="continuous"/>
        </w:sectPr>
      </w:pPr>
    </w:p>
    <w:p>
      <w:pPr>
        <w:ind w:left="2400" w:right="120"/>
        <w:spacing w:after="0" w:line="255" w:lineRule="auto"/>
        <w:rPr>
          <w:sz w:val="20"/>
          <w:szCs w:val="20"/>
          <w:color w:val="auto"/>
        </w:rPr>
      </w:pPr>
      <w:r>
        <w:rPr>
          <w:rFonts w:ascii="Arial" w:cs="Arial" w:eastAsia="Arial" w:hAnsi="Arial"/>
          <w:sz w:val="15"/>
          <w:szCs w:val="15"/>
          <w:color w:val="auto"/>
        </w:rPr>
        <w:t>Ms. Siegel was first identified as a candidate for director by another currently serving director and was appointed to the Board effective September 6, 2023. Ms. Siegel brings to CECO’s Board substantial experience as a human resources executive with large global enterprises as well as substantial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169545</wp:posOffset>
            </wp:positionV>
            <wp:extent cx="6301105" cy="9601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1105" cy="960120"/>
                    </a:xfrm>
                    <a:prstGeom prst="rect">
                      <a:avLst/>
                    </a:prstGeom>
                    <a:noFill/>
                  </pic:spPr>
                </pic:pic>
              </a:graphicData>
            </a:graphic>
          </wp:anchor>
        </w:drawing>
      </w:r>
    </w:p>
    <w:p>
      <w:pPr>
        <w:spacing w:after="0" w:line="321" w:lineRule="exact"/>
        <w:rPr>
          <w:sz w:val="20"/>
          <w:szCs w:val="20"/>
          <w:color w:val="auto"/>
        </w:rPr>
      </w:pPr>
    </w:p>
    <w:p>
      <w:pPr>
        <w:ind w:left="2400"/>
        <w:spacing w:after="0"/>
        <w:rPr>
          <w:sz w:val="20"/>
          <w:szCs w:val="20"/>
          <w:color w:val="auto"/>
        </w:rPr>
      </w:pPr>
      <w:r>
        <w:rPr>
          <w:rFonts w:ascii="Arial" w:cs="Arial" w:eastAsia="Arial" w:hAnsi="Arial"/>
          <w:sz w:val="20"/>
          <w:szCs w:val="20"/>
          <w:b w:val="1"/>
          <w:bCs w:val="1"/>
          <w:color w:val="3C578C"/>
        </w:rPr>
        <w:t>Richard F. Wallman</w:t>
      </w:r>
    </w:p>
    <w:p>
      <w:pPr>
        <w:spacing w:after="0" w:line="9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Retired Senior Vice President and Chief Financial Officer</w:t>
      </w:r>
      <w:r>
        <w:rPr>
          <w:rFonts w:ascii="Arial" w:cs="Arial" w:eastAsia="Arial" w:hAnsi="Arial"/>
          <w:sz w:val="17"/>
          <w:szCs w:val="17"/>
          <w:b w:val="1"/>
          <w:bCs w:val="1"/>
          <w:color w:val="0027A7"/>
        </w:rPr>
        <w: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Honeywell International, Inc.</w:t>
      </w:r>
    </w:p>
    <w:p>
      <w:pPr>
        <w:spacing w:after="0" w:line="89" w:lineRule="exact"/>
        <w:rPr>
          <w:sz w:val="20"/>
          <w:szCs w:val="20"/>
          <w:color w:val="auto"/>
        </w:rPr>
      </w:pPr>
    </w:p>
    <w:tbl>
      <w:tblPr>
        <w:tblLayout w:type="fixed"/>
        <w:tblInd w:w="2320" w:type="dxa"/>
        <w:tblCellMar>
          <w:top w:w="0" w:type="dxa"/>
          <w:left w:w="0" w:type="dxa"/>
          <w:bottom w:w="0" w:type="dxa"/>
          <w:right w:w="0" w:type="dxa"/>
        </w:tblCellMar>
      </w:tblPr>
      <w:tr>
        <w:trPr>
          <w:trHeight w:val="250"/>
        </w:trPr>
        <w:tc>
          <w:tcPr>
            <w:tcW w:w="1900" w:type="dxa"/>
            <w:vAlign w:val="bottom"/>
            <w:tcBorders>
              <w:top w:val="single" w:sz="8" w:color="CDCECD"/>
              <w:right w:val="single" w:sz="8" w:color="CDCECD"/>
            </w:tcBorders>
          </w:tcPr>
          <w:p>
            <w:pPr>
              <w:ind w:left="80"/>
              <w:spacing w:after="0"/>
              <w:rPr>
                <w:sz w:val="20"/>
                <w:szCs w:val="20"/>
                <w:color w:val="auto"/>
              </w:rPr>
            </w:pPr>
            <w:r>
              <w:rPr>
                <w:rFonts w:ascii="Arial" w:cs="Arial" w:eastAsia="Arial" w:hAnsi="Arial"/>
                <w:sz w:val="15"/>
                <w:szCs w:val="15"/>
                <w:color w:val="405788"/>
              </w:rPr>
              <w:t xml:space="preserve">Age </w:t>
            </w:r>
            <w:r>
              <w:rPr>
                <w:rFonts w:ascii="Arial" w:cs="Arial" w:eastAsia="Arial" w:hAnsi="Arial"/>
                <w:sz w:val="15"/>
                <w:szCs w:val="15"/>
                <w:color w:val="000000"/>
              </w:rPr>
              <w:t>72</w:t>
            </w:r>
          </w:p>
        </w:tc>
        <w:tc>
          <w:tcPr>
            <w:tcW w:w="5700" w:type="dxa"/>
            <w:vAlign w:val="bottom"/>
            <w:tcBorders>
              <w:top w:val="single" w:sz="8" w:color="CDCECD"/>
            </w:tcBorders>
          </w:tcPr>
          <w:p>
            <w:pPr>
              <w:ind w:left="80"/>
              <w:spacing w:after="0"/>
              <w:rPr>
                <w:sz w:val="20"/>
                <w:szCs w:val="20"/>
                <w:color w:val="auto"/>
              </w:rPr>
            </w:pPr>
            <w:r>
              <w:rPr>
                <w:rFonts w:ascii="Arial" w:cs="Arial" w:eastAsia="Arial" w:hAnsi="Arial"/>
                <w:sz w:val="15"/>
                <w:szCs w:val="15"/>
                <w:color w:val="405788"/>
              </w:rPr>
              <w:t xml:space="preserve">Board Committees: </w:t>
            </w:r>
            <w:r>
              <w:rPr>
                <w:rFonts w:ascii="Arial" w:cs="Arial" w:eastAsia="Arial" w:hAnsi="Arial"/>
                <w:sz w:val="15"/>
                <w:szCs w:val="15"/>
                <w:color w:val="000000"/>
              </w:rPr>
              <w:t>Audit (Chair) and Mergers and Acquisitions</w:t>
            </w:r>
          </w:p>
        </w:tc>
      </w:tr>
      <w:tr>
        <w:trPr>
          <w:trHeight w:val="175"/>
        </w:trPr>
        <w:tc>
          <w:tcPr>
            <w:tcW w:w="1900" w:type="dxa"/>
            <w:vAlign w:val="bottom"/>
            <w:tcBorders>
              <w:right w:val="single" w:sz="8" w:color="CDCECD"/>
            </w:tcBorders>
          </w:tcPr>
          <w:p>
            <w:pPr>
              <w:ind w:left="80"/>
              <w:spacing w:after="0"/>
              <w:rPr>
                <w:sz w:val="20"/>
                <w:szCs w:val="20"/>
                <w:color w:val="auto"/>
              </w:rPr>
            </w:pPr>
            <w:r>
              <w:rPr>
                <w:rFonts w:ascii="Arial" w:cs="Arial" w:eastAsia="Arial" w:hAnsi="Arial"/>
                <w:sz w:val="15"/>
                <w:szCs w:val="15"/>
                <w:color w:val="405788"/>
              </w:rPr>
              <w:t xml:space="preserve">Director Since: </w:t>
            </w:r>
            <w:r>
              <w:rPr>
                <w:rFonts w:ascii="Arial" w:cs="Arial" w:eastAsia="Arial" w:hAnsi="Arial"/>
                <w:sz w:val="15"/>
                <w:szCs w:val="15"/>
                <w:color w:val="000000"/>
              </w:rPr>
              <w:t>2021</w:t>
            </w:r>
          </w:p>
        </w:tc>
        <w:tc>
          <w:tcPr>
            <w:tcW w:w="5700" w:type="dxa"/>
            <w:vAlign w:val="bottom"/>
          </w:tcPr>
          <w:p>
            <w:pPr>
              <w:ind w:left="80"/>
              <w:spacing w:after="0"/>
              <w:rPr>
                <w:sz w:val="20"/>
                <w:szCs w:val="20"/>
                <w:color w:val="auto"/>
              </w:rPr>
            </w:pPr>
            <w:r>
              <w:rPr>
                <w:rFonts w:ascii="Arial" w:cs="Arial" w:eastAsia="Arial" w:hAnsi="Arial"/>
                <w:sz w:val="15"/>
                <w:szCs w:val="15"/>
                <w:color w:val="405788"/>
              </w:rPr>
              <w:t xml:space="preserve">Other Directorships: </w:t>
            </w:r>
            <w:r>
              <w:rPr>
                <w:rFonts w:ascii="Arial" w:cs="Arial" w:eastAsia="Arial" w:hAnsi="Arial"/>
                <w:sz w:val="15"/>
                <w:szCs w:val="15"/>
                <w:color w:val="000000"/>
              </w:rPr>
              <w:t>Charles River Laboratories International, Inc. and Roper</w:t>
            </w:r>
          </w:p>
        </w:tc>
      </w:tr>
      <w:tr>
        <w:trPr>
          <w:trHeight w:val="198"/>
        </w:trPr>
        <w:tc>
          <w:tcPr>
            <w:tcW w:w="1900" w:type="dxa"/>
            <w:vAlign w:val="bottom"/>
            <w:tcBorders>
              <w:right w:val="single" w:sz="8" w:color="CDCECD"/>
            </w:tcBorders>
          </w:tcPr>
          <w:p>
            <w:pPr>
              <w:spacing w:after="0"/>
              <w:rPr>
                <w:sz w:val="17"/>
                <w:szCs w:val="17"/>
                <w:color w:val="auto"/>
              </w:rPr>
            </w:pPr>
          </w:p>
        </w:tc>
        <w:tc>
          <w:tcPr>
            <w:tcW w:w="5700" w:type="dxa"/>
            <w:vAlign w:val="bottom"/>
          </w:tcPr>
          <w:p>
            <w:pPr>
              <w:ind w:left="80"/>
              <w:spacing w:after="0"/>
              <w:rPr>
                <w:sz w:val="20"/>
                <w:szCs w:val="20"/>
                <w:color w:val="auto"/>
              </w:rPr>
            </w:pPr>
            <w:r>
              <w:rPr>
                <w:rFonts w:ascii="Arial" w:cs="Arial" w:eastAsia="Arial" w:hAnsi="Arial"/>
                <w:sz w:val="15"/>
                <w:szCs w:val="15"/>
                <w:color w:val="auto"/>
              </w:rPr>
              <w:t>Technologies, Inc.</w:t>
            </w:r>
          </w:p>
        </w:tc>
      </w:tr>
      <w:tr>
        <w:trPr>
          <w:trHeight w:val="77"/>
        </w:trPr>
        <w:tc>
          <w:tcPr>
            <w:tcW w:w="1900" w:type="dxa"/>
            <w:vAlign w:val="bottom"/>
            <w:tcBorders>
              <w:bottom w:val="single" w:sz="8" w:color="CDCECD"/>
              <w:right w:val="single" w:sz="8" w:color="CDCECD"/>
            </w:tcBorders>
          </w:tcPr>
          <w:p>
            <w:pPr>
              <w:spacing w:after="0"/>
              <w:rPr>
                <w:sz w:val="6"/>
                <w:szCs w:val="6"/>
                <w:color w:val="auto"/>
              </w:rPr>
            </w:pPr>
          </w:p>
        </w:tc>
        <w:tc>
          <w:tcPr>
            <w:tcW w:w="5700" w:type="dxa"/>
            <w:vAlign w:val="bottom"/>
            <w:tcBorders>
              <w:bottom w:val="single" w:sz="8" w:color="CDCECD"/>
            </w:tcBorders>
          </w:tcPr>
          <w:p>
            <w:pPr>
              <w:spacing w:after="0"/>
              <w:rPr>
                <w:sz w:val="6"/>
                <w:szCs w:val="6"/>
                <w:color w:val="auto"/>
              </w:rPr>
            </w:pPr>
          </w:p>
        </w:tc>
      </w:tr>
    </w:tbl>
    <w:p>
      <w:pPr>
        <w:spacing w:after="0" w:line="71" w:lineRule="exact"/>
        <w:rPr>
          <w:sz w:val="20"/>
          <w:szCs w:val="20"/>
          <w:color w:val="auto"/>
        </w:rPr>
      </w:pPr>
    </w:p>
    <w:p>
      <w:pPr>
        <w:sectPr>
          <w:pgSz w:w="11900" w:h="16838" w:orient="portrait"/>
          <w:cols w:equalWidth="0" w:num="1">
            <w:col w:w="9920"/>
          </w:cols>
          <w:pgMar w:left="980" w:top="485" w:right="999" w:bottom="1440" w:gutter="0" w:footer="0" w:header="0"/>
          <w:type w:val="continuous"/>
        </w:sectPr>
      </w:pPr>
    </w:p>
    <w:p>
      <w:pPr>
        <w:ind w:left="2400"/>
        <w:spacing w:after="0"/>
        <w:rPr>
          <w:sz w:val="20"/>
          <w:szCs w:val="20"/>
          <w:color w:val="auto"/>
        </w:rPr>
      </w:pPr>
      <w:r>
        <w:rPr>
          <w:rFonts w:ascii="Arial" w:cs="Arial" w:eastAsia="Arial" w:hAnsi="Arial"/>
          <w:sz w:val="17"/>
          <w:szCs w:val="17"/>
          <w:b w:val="1"/>
          <w:bCs w:val="1"/>
          <w:color w:val="A1B657"/>
        </w:rPr>
        <w:t>Professional Experience</w:t>
      </w:r>
    </w:p>
    <w:p>
      <w:pPr>
        <w:spacing w:after="0" w:line="72" w:lineRule="exact"/>
        <w:rPr>
          <w:sz w:val="20"/>
          <w:szCs w:val="20"/>
          <w:color w:val="auto"/>
        </w:rPr>
      </w:pPr>
    </w:p>
    <w:p>
      <w:pPr>
        <w:ind w:left="2400"/>
        <w:spacing w:after="0"/>
        <w:rPr>
          <w:sz w:val="20"/>
          <w:szCs w:val="20"/>
          <w:color w:val="auto"/>
        </w:rPr>
      </w:pPr>
      <w:r>
        <w:rPr>
          <w:rFonts w:ascii="Arial" w:cs="Arial" w:eastAsia="Arial" w:hAnsi="Arial"/>
          <w:sz w:val="15"/>
          <w:szCs w:val="15"/>
          <w:b w:val="1"/>
          <w:bCs w:val="1"/>
          <w:color w:val="3C578C"/>
        </w:rPr>
        <w:t>Honeywell International, Inc.</w:t>
      </w:r>
    </w:p>
    <w:p>
      <w:pPr>
        <w:spacing w:after="0" w:line="98" w:lineRule="exact"/>
        <w:rPr>
          <w:sz w:val="20"/>
          <w:szCs w:val="20"/>
          <w:color w:val="auto"/>
        </w:rPr>
      </w:pPr>
    </w:p>
    <w:p>
      <w:pPr>
        <w:ind w:left="2520" w:hanging="113"/>
        <w:spacing w:after="0" w:line="239"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Served as Senior Vice President and Chief</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Financial Officer</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220" w:hanging="113"/>
        <w:spacing w:after="0" w:line="253" w:lineRule="auto"/>
        <w:rPr>
          <w:sz w:val="20"/>
          <w:szCs w:val="20"/>
          <w:color w:val="auto"/>
        </w:rPr>
      </w:pPr>
      <w:r>
        <w:rPr>
          <w:rFonts w:ascii="Times New Roman" w:cs="Times New Roman" w:eastAsia="Times New Roman" w:hAnsi="Times New Roman"/>
          <w:sz w:val="17"/>
          <w:szCs w:val="17"/>
          <w:color w:val="3C578C"/>
        </w:rPr>
        <w:t>●</w:t>
      </w:r>
      <w:r>
        <w:rPr>
          <w:rFonts w:ascii="Arial" w:cs="Arial" w:eastAsia="Arial" w:hAnsi="Arial"/>
          <w:sz w:val="14"/>
          <w:szCs w:val="14"/>
          <w:color w:val="000000"/>
        </w:rPr>
        <w:t>Previously served on the board of directors of</w:t>
      </w:r>
      <w:r>
        <w:rPr>
          <w:rFonts w:ascii="Times New Roman" w:cs="Times New Roman" w:eastAsia="Times New Roman" w:hAnsi="Times New Roman"/>
          <w:sz w:val="17"/>
          <w:szCs w:val="17"/>
          <w:color w:val="3C578C"/>
        </w:rPr>
        <w:t xml:space="preserve"> </w:t>
      </w:r>
      <w:r>
        <w:rPr>
          <w:rFonts w:ascii="Arial" w:cs="Arial" w:eastAsia="Arial" w:hAnsi="Arial"/>
          <w:sz w:val="14"/>
          <w:szCs w:val="14"/>
          <w:color w:val="000000"/>
        </w:rPr>
        <w:t>SmileDirectClub, Extended Stay America, Inc. and Wright Medical, Inc. all publicly traded companies in the United States and Boart Longyear, a publicly traded company in Australia</w:t>
      </w:r>
    </w:p>
    <w:p>
      <w:pPr>
        <w:spacing w:after="0" w:line="108" w:lineRule="exact"/>
        <w:rPr>
          <w:sz w:val="20"/>
          <w:szCs w:val="20"/>
          <w:color w:val="auto"/>
        </w:rPr>
      </w:pPr>
    </w:p>
    <w:p>
      <w:pPr>
        <w:sectPr>
          <w:pgSz w:w="11900" w:h="16838" w:orient="portrait"/>
          <w:cols w:equalWidth="0" w:num="2">
            <w:col w:w="5360" w:space="660"/>
            <w:col w:w="3900"/>
          </w:cols>
          <w:pgMar w:left="980" w:top="485" w:right="999" w:bottom="1440" w:gutter="0" w:footer="0" w:header="0"/>
          <w:type w:val="continuous"/>
        </w:sectPr>
      </w:pPr>
    </w:p>
    <w:p>
      <w:pPr>
        <w:ind w:left="2400" w:right="320"/>
        <w:spacing w:after="0" w:line="261" w:lineRule="auto"/>
        <w:rPr>
          <w:sz w:val="20"/>
          <w:szCs w:val="20"/>
          <w:color w:val="auto"/>
        </w:rPr>
      </w:pPr>
      <w:r>
        <w:rPr>
          <w:rFonts w:ascii="Arial" w:cs="Arial" w:eastAsia="Arial" w:hAnsi="Arial"/>
          <w:sz w:val="15"/>
          <w:szCs w:val="15"/>
          <w:color w:val="auto"/>
        </w:rPr>
        <w:t>Mr. Wallman brings more than 30 years of executive leadership and management experience across a broad range of global businesses and industries and has a deep understanding of the global challenges and opportunities we will continue to face as we grow our business.</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179"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In order to be elected, a nominee must receive the affirmative vote of a majority of the shares represented at the Annual Meeting in person or by proxy.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Board recommends a vote “FOR” the election of each director nominee named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378460</wp:posOffset>
            </wp:positionV>
            <wp:extent cx="483870" cy="2222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80" w:type="dxa"/>
            <w:vAlign w:val="bottom"/>
          </w:tcPr>
          <w:p>
            <w:pPr>
              <w:ind w:left="7880"/>
              <w:spacing w:after="0"/>
              <w:rPr>
                <w:sz w:val="20"/>
                <w:szCs w:val="20"/>
                <w:color w:val="auto"/>
              </w:rPr>
            </w:pPr>
            <w:r>
              <w:rPr>
                <w:rFonts w:ascii="Arial" w:cs="Arial" w:eastAsia="Arial" w:hAnsi="Arial"/>
                <w:sz w:val="17"/>
                <w:szCs w:val="17"/>
                <w:color w:val="7F7F7F"/>
              </w:rPr>
              <w:t>2024 Proxy Statement</w:t>
            </w:r>
          </w:p>
        </w:tc>
        <w:tc>
          <w:tcPr>
            <w:tcW w:w="240" w:type="dxa"/>
            <w:vAlign w:val="bottom"/>
          </w:tcPr>
          <w:p>
            <w:pPr>
              <w:jc w:val="right"/>
              <w:spacing w:after="0"/>
              <w:rPr>
                <w:sz w:val="20"/>
                <w:szCs w:val="20"/>
                <w:color w:val="auto"/>
              </w:rPr>
            </w:pPr>
            <w:r>
              <w:rPr>
                <w:rFonts w:ascii="Arial" w:cs="Arial" w:eastAsia="Arial" w:hAnsi="Arial"/>
                <w:sz w:val="17"/>
                <w:szCs w:val="17"/>
                <w:color w:val="7F7F7F"/>
              </w:rPr>
              <w:t>7</w:t>
            </w:r>
          </w:p>
        </w:tc>
      </w:tr>
      <w:tr>
        <w:trPr>
          <w:trHeight w:val="603"/>
        </w:trPr>
        <w:tc>
          <w:tcPr>
            <w:tcW w:w="9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Our Board and Its Committees</w:t>
      </w:r>
    </w:p>
    <w:p>
      <w:pPr>
        <w:spacing w:after="0" w:line="92"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Our Board has four standing committees: the Audit Committee, the Compensation Committee, the Mergers &amp; Acquisitions Committee, and the Nominations and Governance Committee. Each of these committees operates under a written charter, which can be found on our website www.cecoenviro.com in the Investor Relations, Governance section.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Director Independence</w:t>
      </w:r>
    </w:p>
    <w:p>
      <w:pPr>
        <w:spacing w:after="0" w:line="9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All of our directors, other than Mr. Gleason, qualify as independent directors in accordance with the listing requirements of The NASDAQ Stock Market LLC (the “NASDAQ”). The NASDAQ independence definition includes a series of objective tests, including that the director is not an employee of our Company and has not engaged in various types of business dealings with us. In addition, our Board has made a subjective determination as to each independent director that no relationships exist, which, in the opinion of our Board, would interfere with the exercise of independent judgment in carrying out the responsibilities of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56515</wp:posOffset>
            </wp:positionV>
            <wp:extent cx="6301105" cy="22777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01105" cy="227774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Board has determined that Mr. Wallman qualifies as an audit committee financial expert as defined in Item 407(d)(5) of Regulation S-K of the Securities Exchange Act of 1934 (the “Exchange Act”), and that each of our Audit Committee members is independent under the applicable NASDAQ listing requirements and the rules and regulations promulgated by the SEC.</w:t>
      </w:r>
    </w:p>
    <w:p>
      <w:pPr>
        <w:spacing w:after="0" w:line="6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primary purpose of our Audit Committee is to assist our Board in its general oversight of the integrity of our Company’s financial statements and of our Company’s compliance with legal and regulatory requirements.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11" w:type="dxa"/>
        <w:tblCellMar>
          <w:top w:w="0" w:type="dxa"/>
          <w:left w:w="0" w:type="dxa"/>
          <w:bottom w:w="0" w:type="dxa"/>
          <w:right w:w="0" w:type="dxa"/>
        </w:tblCellMar>
      </w:tblPr>
      <w:tr>
        <w:trPr>
          <w:trHeight w:val="175"/>
        </w:trPr>
        <w:tc>
          <w:tcPr>
            <w:tcW w:w="2600" w:type="dxa"/>
            <w:vAlign w:val="bottom"/>
          </w:tcPr>
          <w:p>
            <w:pPr>
              <w:spacing w:after="0"/>
              <w:rPr>
                <w:sz w:val="20"/>
                <w:szCs w:val="20"/>
                <w:color w:val="auto"/>
              </w:rPr>
            </w:pPr>
            <w:r>
              <w:rPr>
                <w:rFonts w:ascii="Arial" w:cs="Arial" w:eastAsia="Arial" w:hAnsi="Arial"/>
                <w:sz w:val="15"/>
                <w:szCs w:val="15"/>
                <w:b w:val="1"/>
                <w:bCs w:val="1"/>
                <w:color w:val="auto"/>
              </w:rPr>
              <w:t>Members:</w:t>
            </w:r>
          </w:p>
        </w:tc>
        <w:tc>
          <w:tcPr>
            <w:tcW w:w="1480" w:type="dxa"/>
            <w:vAlign w:val="bottom"/>
          </w:tcPr>
          <w:p>
            <w:pPr>
              <w:jc w:val="right"/>
              <w:ind w:right="285"/>
              <w:spacing w:after="0"/>
              <w:rPr>
                <w:sz w:val="20"/>
                <w:szCs w:val="20"/>
                <w:color w:val="auto"/>
              </w:rPr>
            </w:pPr>
            <w:r>
              <w:rPr>
                <w:rFonts w:ascii="Arial" w:cs="Arial" w:eastAsia="Arial" w:hAnsi="Arial"/>
                <w:sz w:val="15"/>
                <w:szCs w:val="15"/>
                <w:b w:val="1"/>
                <w:bCs w:val="1"/>
                <w:color w:val="A1B657"/>
              </w:rPr>
              <w:t>7</w:t>
            </w:r>
          </w:p>
        </w:tc>
      </w:tr>
      <w:tr>
        <w:trPr>
          <w:trHeight w:val="175"/>
        </w:trPr>
        <w:tc>
          <w:tcPr>
            <w:tcW w:w="2600" w:type="dxa"/>
            <w:vAlign w:val="bottom"/>
          </w:tcPr>
          <w:p>
            <w:pPr>
              <w:spacing w:after="0"/>
              <w:rPr>
                <w:sz w:val="20"/>
                <w:szCs w:val="20"/>
                <w:color w:val="auto"/>
              </w:rPr>
            </w:pPr>
            <w:r>
              <w:rPr>
                <w:rFonts w:ascii="Arial" w:cs="Arial" w:eastAsia="Arial" w:hAnsi="Arial"/>
                <w:sz w:val="15"/>
                <w:szCs w:val="15"/>
                <w:b w:val="1"/>
                <w:bCs w:val="1"/>
                <w:color w:val="auto"/>
              </w:rPr>
              <w:t>Richard F. Wallman, Chair</w:t>
            </w:r>
          </w:p>
        </w:tc>
        <w:tc>
          <w:tcPr>
            <w:tcW w:w="1480" w:type="dxa"/>
            <w:vAlign w:val="bottom"/>
          </w:tcPr>
          <w:p>
            <w:pPr>
              <w:ind w:left="660"/>
              <w:spacing w:after="0"/>
              <w:rPr>
                <w:sz w:val="20"/>
                <w:szCs w:val="20"/>
                <w:color w:val="auto"/>
              </w:rPr>
            </w:pPr>
            <w:r>
              <w:rPr>
                <w:rFonts w:ascii="Arial" w:cs="Arial" w:eastAsia="Arial" w:hAnsi="Arial"/>
                <w:sz w:val="15"/>
                <w:szCs w:val="15"/>
                <w:b w:val="1"/>
                <w:bCs w:val="1"/>
                <w:color w:val="A1B657"/>
                <w:w w:val="96"/>
              </w:rPr>
              <w:t>Meetings in</w:t>
            </w:r>
          </w:p>
        </w:tc>
      </w:tr>
      <w:tr>
        <w:trPr>
          <w:trHeight w:val="175"/>
        </w:trPr>
        <w:tc>
          <w:tcPr>
            <w:tcW w:w="2600" w:type="dxa"/>
            <w:vAlign w:val="bottom"/>
          </w:tcPr>
          <w:p>
            <w:pPr>
              <w:spacing w:after="0"/>
              <w:rPr>
                <w:sz w:val="20"/>
                <w:szCs w:val="20"/>
                <w:color w:val="auto"/>
              </w:rPr>
            </w:pPr>
            <w:r>
              <w:rPr>
                <w:rFonts w:ascii="Arial" w:cs="Arial" w:eastAsia="Arial" w:hAnsi="Arial"/>
                <w:sz w:val="15"/>
                <w:szCs w:val="15"/>
                <w:color w:val="auto"/>
              </w:rPr>
              <w:t>Claudio Mannarino</w:t>
            </w:r>
          </w:p>
        </w:tc>
        <w:tc>
          <w:tcPr>
            <w:tcW w:w="1480" w:type="dxa"/>
            <w:vAlign w:val="bottom"/>
          </w:tcPr>
          <w:p>
            <w:pPr>
              <w:jc w:val="right"/>
              <w:ind w:right="165"/>
              <w:spacing w:after="0"/>
              <w:rPr>
                <w:sz w:val="20"/>
                <w:szCs w:val="20"/>
                <w:color w:val="auto"/>
              </w:rPr>
            </w:pPr>
            <w:r>
              <w:rPr>
                <w:rFonts w:ascii="Arial" w:cs="Arial" w:eastAsia="Arial" w:hAnsi="Arial"/>
                <w:sz w:val="15"/>
                <w:szCs w:val="15"/>
                <w:b w:val="1"/>
                <w:bCs w:val="1"/>
                <w:color w:val="A1B657"/>
              </w:rPr>
              <w:t>2023</w:t>
            </w:r>
          </w:p>
        </w:tc>
      </w:tr>
      <w:tr>
        <w:trPr>
          <w:trHeight w:val="170"/>
        </w:trPr>
        <w:tc>
          <w:tcPr>
            <w:tcW w:w="2600" w:type="dxa"/>
            <w:vAlign w:val="bottom"/>
          </w:tcPr>
          <w:p>
            <w:pPr>
              <w:spacing w:after="0" w:line="171" w:lineRule="exact"/>
              <w:rPr>
                <w:sz w:val="20"/>
                <w:szCs w:val="20"/>
                <w:color w:val="auto"/>
              </w:rPr>
            </w:pPr>
            <w:r>
              <w:rPr>
                <w:rFonts w:ascii="Arial" w:cs="Arial" w:eastAsia="Arial" w:hAnsi="Arial"/>
                <w:sz w:val="15"/>
                <w:szCs w:val="15"/>
                <w:color w:val="auto"/>
              </w:rPr>
              <w:t>Munish Nanda</w:t>
            </w:r>
          </w:p>
        </w:tc>
        <w:tc>
          <w:tcPr>
            <w:tcW w:w="1480" w:type="dxa"/>
            <w:vAlign w:val="bottom"/>
          </w:tcPr>
          <w:p>
            <w:pPr>
              <w:spacing w:after="0"/>
              <w:rPr>
                <w:sz w:val="14"/>
                <w:szCs w:val="14"/>
                <w:color w:val="auto"/>
              </w:rPr>
            </w:pPr>
          </w:p>
        </w:tc>
      </w:tr>
      <w:tr>
        <w:trPr>
          <w:trHeight w:val="229"/>
        </w:trPr>
        <w:tc>
          <w:tcPr>
            <w:tcW w:w="2600" w:type="dxa"/>
            <w:vAlign w:val="bottom"/>
          </w:tcPr>
          <w:p>
            <w:pPr>
              <w:spacing w:after="0"/>
              <w:rPr>
                <w:sz w:val="20"/>
                <w:szCs w:val="20"/>
                <w:color w:val="auto"/>
              </w:rPr>
            </w:pPr>
            <w:r>
              <w:rPr>
                <w:rFonts w:ascii="Arial" w:cs="Arial" w:eastAsia="Arial" w:hAnsi="Arial"/>
                <w:sz w:val="17"/>
                <w:szCs w:val="17"/>
                <w:b w:val="1"/>
                <w:bCs w:val="1"/>
                <w:color w:val="3C578C"/>
              </w:rPr>
              <w:t>Primary Responsibilities</w:t>
            </w:r>
          </w:p>
        </w:tc>
        <w:tc>
          <w:tcPr>
            <w:tcW w:w="1480" w:type="dxa"/>
            <w:vAlign w:val="bottom"/>
          </w:tcPr>
          <w:p>
            <w:pPr>
              <w:spacing w:after="0"/>
              <w:rPr>
                <w:sz w:val="19"/>
                <w:szCs w:val="19"/>
                <w:color w:val="auto"/>
              </w:rPr>
            </w:pPr>
          </w:p>
        </w:tc>
      </w:tr>
    </w:tbl>
    <w:p>
      <w:pPr>
        <w:spacing w:after="0" w:line="59" w:lineRule="exact"/>
        <w:rPr>
          <w:sz w:val="20"/>
          <w:szCs w:val="20"/>
          <w:color w:val="auto"/>
        </w:rPr>
      </w:pPr>
    </w:p>
    <w:p>
      <w:pPr>
        <w:ind w:left="11" w:right="240"/>
        <w:spacing w:after="0" w:line="258" w:lineRule="auto"/>
        <w:rPr>
          <w:sz w:val="20"/>
          <w:szCs w:val="20"/>
          <w:color w:val="auto"/>
        </w:rPr>
      </w:pPr>
      <w:r>
        <w:rPr>
          <w:rFonts w:ascii="Arial" w:cs="Arial" w:eastAsia="Arial" w:hAnsi="Arial"/>
          <w:sz w:val="17"/>
          <w:szCs w:val="17"/>
          <w:color w:val="auto"/>
        </w:rPr>
        <w:t>Our Audit Committee’s responsibilities include overseeing and reviewing:</w:t>
      </w:r>
    </w:p>
    <w:p>
      <w:pPr>
        <w:spacing w:after="0" w:line="55" w:lineRule="exact"/>
        <w:rPr>
          <w:sz w:val="20"/>
          <w:szCs w:val="20"/>
          <w:color w:val="auto"/>
        </w:rPr>
      </w:pPr>
    </w:p>
    <w:p>
      <w:pPr>
        <w:ind w:left="231" w:hanging="231"/>
        <w:spacing w:after="0"/>
        <w:tabs>
          <w:tab w:leader="none" w:pos="231" w:val="left"/>
        </w:tabs>
        <w:numPr>
          <w:ilvl w:val="0"/>
          <w:numId w:val="39"/>
        </w:numPr>
        <w:rPr>
          <w:rFonts w:ascii="Times New Roman" w:cs="Times New Roman" w:eastAsia="Times New Roman" w:hAnsi="Times New Roman"/>
          <w:sz w:val="17"/>
          <w:szCs w:val="17"/>
          <w:color w:val="3C578C"/>
        </w:rPr>
      </w:pPr>
      <w:r>
        <w:rPr>
          <w:rFonts w:ascii="Arial" w:cs="Arial" w:eastAsia="Arial" w:hAnsi="Arial"/>
          <w:sz w:val="17"/>
          <w:szCs w:val="17"/>
          <w:color w:val="auto"/>
        </w:rPr>
        <w:t>the financial reports and other financial information;</w:t>
      </w:r>
    </w:p>
    <w:p>
      <w:pPr>
        <w:spacing w:after="0" w:line="103" w:lineRule="exact"/>
        <w:rPr>
          <w:rFonts w:ascii="Times New Roman" w:cs="Times New Roman" w:eastAsia="Times New Roman" w:hAnsi="Times New Roman"/>
          <w:sz w:val="17"/>
          <w:szCs w:val="17"/>
          <w:color w:val="3C578C"/>
        </w:rPr>
      </w:pPr>
    </w:p>
    <w:p>
      <w:pPr>
        <w:ind w:left="231" w:right="280" w:hanging="231"/>
        <w:spacing w:after="0" w:line="257" w:lineRule="auto"/>
        <w:tabs>
          <w:tab w:leader="none" w:pos="231" w:val="left"/>
        </w:tabs>
        <w:numPr>
          <w:ilvl w:val="0"/>
          <w:numId w:val="39"/>
        </w:numPr>
        <w:rPr>
          <w:rFonts w:ascii="Times New Roman" w:cs="Times New Roman" w:eastAsia="Times New Roman" w:hAnsi="Times New Roman"/>
          <w:sz w:val="17"/>
          <w:szCs w:val="17"/>
          <w:color w:val="3C578C"/>
        </w:rPr>
      </w:pPr>
      <w:r>
        <w:rPr>
          <w:rFonts w:ascii="Arial" w:cs="Arial" w:eastAsia="Arial" w:hAnsi="Arial"/>
          <w:sz w:val="17"/>
          <w:szCs w:val="17"/>
          <w:color w:val="auto"/>
        </w:rPr>
        <w:t>our Company’s system of internal accounting and financial controls;</w:t>
      </w:r>
    </w:p>
    <w:p>
      <w:pPr>
        <w:spacing w:after="0" w:line="55" w:lineRule="exact"/>
        <w:rPr>
          <w:rFonts w:ascii="Times New Roman" w:cs="Times New Roman" w:eastAsia="Times New Roman" w:hAnsi="Times New Roman"/>
          <w:sz w:val="17"/>
          <w:szCs w:val="17"/>
          <w:color w:val="3C578C"/>
        </w:rPr>
      </w:pPr>
    </w:p>
    <w:p>
      <w:pPr>
        <w:ind w:left="231" w:hanging="231"/>
        <w:spacing w:after="0"/>
        <w:tabs>
          <w:tab w:leader="none" w:pos="231" w:val="left"/>
        </w:tabs>
        <w:numPr>
          <w:ilvl w:val="0"/>
          <w:numId w:val="39"/>
        </w:numPr>
        <w:rPr>
          <w:rFonts w:ascii="Times New Roman" w:cs="Times New Roman" w:eastAsia="Times New Roman" w:hAnsi="Times New Roman"/>
          <w:sz w:val="17"/>
          <w:szCs w:val="17"/>
          <w:color w:val="3C578C"/>
        </w:rPr>
      </w:pPr>
      <w:r>
        <w:rPr>
          <w:rFonts w:ascii="Arial" w:cs="Arial" w:eastAsia="Arial" w:hAnsi="Arial"/>
          <w:sz w:val="17"/>
          <w:szCs w:val="17"/>
          <w:color w:val="auto"/>
        </w:rPr>
        <w:t>the engagement of our independent auditor; and</w:t>
      </w:r>
    </w:p>
    <w:p>
      <w:pPr>
        <w:spacing w:after="0" w:line="103" w:lineRule="exact"/>
        <w:rPr>
          <w:rFonts w:ascii="Times New Roman" w:cs="Times New Roman" w:eastAsia="Times New Roman" w:hAnsi="Times New Roman"/>
          <w:sz w:val="17"/>
          <w:szCs w:val="17"/>
          <w:color w:val="3C578C"/>
        </w:rPr>
      </w:pPr>
    </w:p>
    <w:p>
      <w:pPr>
        <w:ind w:left="231" w:hanging="231"/>
        <w:spacing w:after="0"/>
        <w:tabs>
          <w:tab w:leader="none" w:pos="231" w:val="left"/>
        </w:tabs>
        <w:numPr>
          <w:ilvl w:val="0"/>
          <w:numId w:val="39"/>
        </w:numPr>
        <w:rPr>
          <w:rFonts w:ascii="Times New Roman" w:cs="Times New Roman" w:eastAsia="Times New Roman" w:hAnsi="Times New Roman"/>
          <w:sz w:val="17"/>
          <w:szCs w:val="17"/>
          <w:color w:val="3C578C"/>
        </w:rPr>
      </w:pPr>
      <w:r>
        <w:rPr>
          <w:rFonts w:ascii="Arial" w:cs="Arial" w:eastAsia="Arial" w:hAnsi="Arial"/>
          <w:sz w:val="17"/>
          <w:szCs w:val="17"/>
          <w:color w:val="auto"/>
        </w:rPr>
        <w:t>the annual independent audit of our financial statements.</w:t>
      </w:r>
    </w:p>
    <w:p>
      <w:pPr>
        <w:spacing w:after="0" w:line="104" w:lineRule="exact"/>
        <w:rPr>
          <w:sz w:val="20"/>
          <w:szCs w:val="20"/>
          <w:color w:val="auto"/>
        </w:rPr>
      </w:pPr>
    </w:p>
    <w:p>
      <w:pPr>
        <w:jc w:val="both"/>
        <w:ind w:left="11" w:right="80"/>
        <w:spacing w:after="0" w:line="267" w:lineRule="auto"/>
        <w:rPr>
          <w:sz w:val="20"/>
          <w:szCs w:val="20"/>
          <w:color w:val="auto"/>
        </w:rPr>
      </w:pPr>
      <w:r>
        <w:rPr>
          <w:rFonts w:ascii="Arial" w:cs="Arial" w:eastAsia="Arial" w:hAnsi="Arial"/>
          <w:sz w:val="16"/>
          <w:szCs w:val="16"/>
          <w:color w:val="auto"/>
        </w:rPr>
        <w:t>Our Audit Committee also reviews and approves the services of our independent registered public accounting firm and evaluates transactions where the potential for a conflict of interest exists.</w:t>
      </w:r>
    </w:p>
    <w:p>
      <w:pPr>
        <w:spacing w:after="0" w:line="200" w:lineRule="exact"/>
        <w:rPr>
          <w:sz w:val="20"/>
          <w:szCs w:val="20"/>
          <w:color w:val="auto"/>
        </w:rPr>
      </w:pPr>
    </w:p>
    <w:p>
      <w:pPr>
        <w:sectPr>
          <w:pgSz w:w="11900" w:h="16838" w:orient="portrait"/>
          <w:cols w:equalWidth="0" w:num="2">
            <w:col w:w="4960" w:space="129"/>
            <w:col w:w="4811"/>
          </w:cols>
          <w:pgMar w:left="980" w:top="485" w:right="1019" w:bottom="1440" w:gutter="0" w:footer="0" w:header="0"/>
          <w:type w:val="continuous"/>
        </w:sectPr>
      </w:pPr>
    </w:p>
    <w:p>
      <w:pPr>
        <w:spacing w:after="0" w:line="217"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8</w:t>
      </w:r>
      <w:r>
        <w:rPr>
          <w:sz w:val="20"/>
          <w:szCs w:val="20"/>
          <w:color w:val="auto"/>
        </w:rPr>
        <w:tab/>
      </w:r>
      <w:r>
        <w:rPr>
          <w:sz w:val="1"/>
          <w:szCs w:val="1"/>
          <w:color w:val="auto"/>
        </w:rPr>
        <w:drawing>
          <wp:inline distT="0" distB="0" distL="0" distR="0">
            <wp:extent cx="476250" cy="22225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6301105" cy="4380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1105" cy="438086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Board has determined that each member of our Compensation Committee is independent under the applicable NASDAQ listing requirements. Our Compensation Committee oversees our executive compensation programs, with particular attention to the compensation for our Chief Executive Officer (“CEO”) and the other executive officers subject to Section 16 of the Exchange Act. The Compensation Committee's primary purpose is to assist our Board in matters related to compensation of these executive officers.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11" w:type="dxa"/>
        <w:tblCellMar>
          <w:top w:w="0" w:type="dxa"/>
          <w:left w:w="0" w:type="dxa"/>
          <w:bottom w:w="0" w:type="dxa"/>
          <w:right w:w="0" w:type="dxa"/>
        </w:tblCellMar>
      </w:tblPr>
      <w:tr>
        <w:trPr>
          <w:trHeight w:val="175"/>
        </w:trPr>
        <w:tc>
          <w:tcPr>
            <w:tcW w:w="2640" w:type="dxa"/>
            <w:vAlign w:val="bottom"/>
          </w:tcPr>
          <w:p>
            <w:pPr>
              <w:spacing w:after="0"/>
              <w:rPr>
                <w:sz w:val="20"/>
                <w:szCs w:val="20"/>
                <w:color w:val="auto"/>
              </w:rPr>
            </w:pPr>
            <w:r>
              <w:rPr>
                <w:rFonts w:ascii="Arial" w:cs="Arial" w:eastAsia="Arial" w:hAnsi="Arial"/>
                <w:sz w:val="15"/>
                <w:szCs w:val="15"/>
                <w:b w:val="1"/>
                <w:bCs w:val="1"/>
                <w:color w:val="auto"/>
              </w:rPr>
              <w:t>Members:</w:t>
            </w:r>
          </w:p>
        </w:tc>
        <w:tc>
          <w:tcPr>
            <w:tcW w:w="1360" w:type="dxa"/>
            <w:vAlign w:val="bottom"/>
          </w:tcPr>
          <w:p>
            <w:pPr>
              <w:jc w:val="right"/>
              <w:ind w:right="285"/>
              <w:spacing w:after="0"/>
              <w:rPr>
                <w:sz w:val="20"/>
                <w:szCs w:val="20"/>
                <w:color w:val="auto"/>
              </w:rPr>
            </w:pPr>
            <w:r>
              <w:rPr>
                <w:rFonts w:ascii="Arial" w:cs="Arial" w:eastAsia="Arial" w:hAnsi="Arial"/>
                <w:sz w:val="15"/>
                <w:szCs w:val="15"/>
                <w:b w:val="1"/>
                <w:bCs w:val="1"/>
                <w:color w:val="A1B657"/>
              </w:rPr>
              <w:t>6</w:t>
            </w:r>
          </w:p>
        </w:tc>
      </w:tr>
      <w:tr>
        <w:trPr>
          <w:trHeight w:val="175"/>
        </w:trPr>
        <w:tc>
          <w:tcPr>
            <w:tcW w:w="2640" w:type="dxa"/>
            <w:vAlign w:val="bottom"/>
          </w:tcPr>
          <w:p>
            <w:pPr>
              <w:spacing w:after="0"/>
              <w:rPr>
                <w:sz w:val="20"/>
                <w:szCs w:val="20"/>
                <w:color w:val="auto"/>
              </w:rPr>
            </w:pPr>
            <w:r>
              <w:rPr>
                <w:rFonts w:ascii="Arial" w:cs="Arial" w:eastAsia="Arial" w:hAnsi="Arial"/>
                <w:sz w:val="15"/>
                <w:szCs w:val="15"/>
                <w:b w:val="1"/>
                <w:bCs w:val="1"/>
                <w:color w:val="auto"/>
              </w:rPr>
              <w:t>Robert E. Knowling, Jr., Chair</w:t>
            </w:r>
          </w:p>
        </w:tc>
        <w:tc>
          <w:tcPr>
            <w:tcW w:w="1360" w:type="dxa"/>
            <w:vAlign w:val="bottom"/>
          </w:tcPr>
          <w:p>
            <w:pPr>
              <w:ind w:left="540"/>
              <w:spacing w:after="0"/>
              <w:rPr>
                <w:sz w:val="20"/>
                <w:szCs w:val="20"/>
                <w:color w:val="auto"/>
              </w:rPr>
            </w:pPr>
            <w:r>
              <w:rPr>
                <w:rFonts w:ascii="Arial" w:cs="Arial" w:eastAsia="Arial" w:hAnsi="Arial"/>
                <w:sz w:val="15"/>
                <w:szCs w:val="15"/>
                <w:b w:val="1"/>
                <w:bCs w:val="1"/>
                <w:color w:val="A1B657"/>
                <w:w w:val="96"/>
              </w:rPr>
              <w:t>Meetings in</w:t>
            </w:r>
          </w:p>
        </w:tc>
      </w:tr>
      <w:tr>
        <w:trPr>
          <w:trHeight w:val="175"/>
        </w:trPr>
        <w:tc>
          <w:tcPr>
            <w:tcW w:w="2640" w:type="dxa"/>
            <w:vAlign w:val="bottom"/>
          </w:tcPr>
          <w:p>
            <w:pPr>
              <w:spacing w:after="0"/>
              <w:rPr>
                <w:sz w:val="20"/>
                <w:szCs w:val="20"/>
                <w:color w:val="auto"/>
              </w:rPr>
            </w:pPr>
            <w:r>
              <w:rPr>
                <w:rFonts w:ascii="Arial" w:cs="Arial" w:eastAsia="Arial" w:hAnsi="Arial"/>
                <w:sz w:val="15"/>
                <w:szCs w:val="15"/>
                <w:color w:val="auto"/>
              </w:rPr>
              <w:t>Claudio Mannarino</w:t>
            </w:r>
          </w:p>
        </w:tc>
        <w:tc>
          <w:tcPr>
            <w:tcW w:w="1360" w:type="dxa"/>
            <w:vAlign w:val="bottom"/>
          </w:tcPr>
          <w:p>
            <w:pPr>
              <w:jc w:val="right"/>
              <w:ind w:right="165"/>
              <w:spacing w:after="0"/>
              <w:rPr>
                <w:sz w:val="20"/>
                <w:szCs w:val="20"/>
                <w:color w:val="auto"/>
              </w:rPr>
            </w:pPr>
            <w:r>
              <w:rPr>
                <w:rFonts w:ascii="Arial" w:cs="Arial" w:eastAsia="Arial" w:hAnsi="Arial"/>
                <w:sz w:val="15"/>
                <w:szCs w:val="15"/>
                <w:b w:val="1"/>
                <w:bCs w:val="1"/>
                <w:color w:val="A1B657"/>
              </w:rPr>
              <w:t>2023</w:t>
            </w:r>
          </w:p>
        </w:tc>
      </w:tr>
      <w:tr>
        <w:trPr>
          <w:trHeight w:val="175"/>
        </w:trPr>
        <w:tc>
          <w:tcPr>
            <w:tcW w:w="2640" w:type="dxa"/>
            <w:vAlign w:val="bottom"/>
          </w:tcPr>
          <w:p>
            <w:pPr>
              <w:spacing w:after="0"/>
              <w:rPr>
                <w:sz w:val="20"/>
                <w:szCs w:val="20"/>
                <w:color w:val="auto"/>
              </w:rPr>
            </w:pPr>
            <w:r>
              <w:rPr>
                <w:rFonts w:ascii="Arial" w:cs="Arial" w:eastAsia="Arial" w:hAnsi="Arial"/>
                <w:sz w:val="15"/>
                <w:szCs w:val="15"/>
                <w:color w:val="auto"/>
              </w:rPr>
              <w:t>Valerie Gentile Sachs</w:t>
            </w:r>
          </w:p>
        </w:tc>
        <w:tc>
          <w:tcPr>
            <w:tcW w:w="1360" w:type="dxa"/>
            <w:vAlign w:val="bottom"/>
          </w:tcPr>
          <w:p>
            <w:pPr>
              <w:spacing w:after="0"/>
              <w:rPr>
                <w:sz w:val="15"/>
                <w:szCs w:val="15"/>
                <w:color w:val="auto"/>
              </w:rPr>
            </w:pPr>
          </w:p>
        </w:tc>
      </w:tr>
      <w:tr>
        <w:trPr>
          <w:trHeight w:val="186"/>
        </w:trPr>
        <w:tc>
          <w:tcPr>
            <w:tcW w:w="2640" w:type="dxa"/>
            <w:vAlign w:val="bottom"/>
          </w:tcPr>
          <w:p>
            <w:pPr>
              <w:spacing w:after="0"/>
              <w:rPr>
                <w:sz w:val="20"/>
                <w:szCs w:val="20"/>
                <w:color w:val="auto"/>
              </w:rPr>
            </w:pPr>
            <w:r>
              <w:rPr>
                <w:rFonts w:ascii="Arial" w:cs="Arial" w:eastAsia="Arial" w:hAnsi="Arial"/>
                <w:sz w:val="15"/>
                <w:szCs w:val="15"/>
                <w:color w:val="auto"/>
              </w:rPr>
              <w:t>Laurie Siegel</w:t>
            </w:r>
          </w:p>
        </w:tc>
        <w:tc>
          <w:tcPr>
            <w:tcW w:w="1360" w:type="dxa"/>
            <w:vAlign w:val="bottom"/>
          </w:tcPr>
          <w:p>
            <w:pPr>
              <w:spacing w:after="0"/>
              <w:rPr>
                <w:sz w:val="16"/>
                <w:szCs w:val="16"/>
                <w:color w:val="auto"/>
              </w:rPr>
            </w:pPr>
          </w:p>
        </w:tc>
      </w:tr>
    </w:tbl>
    <w:p>
      <w:pPr>
        <w:ind w:left="11"/>
        <w:spacing w:after="0"/>
        <w:rPr>
          <w:sz w:val="20"/>
          <w:szCs w:val="20"/>
          <w:color w:val="auto"/>
        </w:rPr>
      </w:pPr>
      <w:r>
        <w:rPr>
          <w:rFonts w:ascii="Arial" w:cs="Arial" w:eastAsia="Arial" w:hAnsi="Arial"/>
          <w:sz w:val="17"/>
          <w:szCs w:val="17"/>
          <w:b w:val="1"/>
          <w:bCs w:val="1"/>
          <w:color w:val="3C578C"/>
        </w:rPr>
        <w:t>Primary Responsibilities</w:t>
      </w:r>
    </w:p>
    <w:p>
      <w:pPr>
        <w:spacing w:after="0" w:line="76" w:lineRule="exact"/>
        <w:rPr>
          <w:sz w:val="20"/>
          <w:szCs w:val="20"/>
          <w:color w:val="auto"/>
        </w:rPr>
      </w:pPr>
    </w:p>
    <w:p>
      <w:pPr>
        <w:ind w:left="11"/>
        <w:spacing w:after="0"/>
        <w:rPr>
          <w:sz w:val="20"/>
          <w:szCs w:val="20"/>
          <w:color w:val="auto"/>
        </w:rPr>
      </w:pPr>
      <w:r>
        <w:rPr>
          <w:rFonts w:ascii="Arial" w:cs="Arial" w:eastAsia="Arial" w:hAnsi="Arial"/>
          <w:sz w:val="17"/>
          <w:szCs w:val="17"/>
          <w:color w:val="auto"/>
        </w:rPr>
        <w:t>Our Compensation Committee’s responsibilities include:</w:t>
      </w:r>
    </w:p>
    <w:p>
      <w:pPr>
        <w:spacing w:after="0" w:line="92" w:lineRule="exact"/>
        <w:rPr>
          <w:sz w:val="20"/>
          <w:szCs w:val="20"/>
          <w:color w:val="auto"/>
        </w:rPr>
      </w:pPr>
    </w:p>
    <w:p>
      <w:pPr>
        <w:ind w:left="231" w:right="240" w:hanging="231"/>
        <w:spacing w:after="0" w:line="237" w:lineRule="auto"/>
        <w:tabs>
          <w:tab w:leader="none" w:pos="231" w:val="left"/>
        </w:tabs>
        <w:numPr>
          <w:ilvl w:val="0"/>
          <w:numId w:val="40"/>
        </w:numPr>
        <w:rPr>
          <w:rFonts w:ascii="Times New Roman" w:cs="Times New Roman" w:eastAsia="Times New Roman" w:hAnsi="Times New Roman"/>
          <w:sz w:val="17"/>
          <w:szCs w:val="17"/>
          <w:color w:val="3C578C"/>
        </w:rPr>
      </w:pPr>
      <w:r>
        <w:rPr>
          <w:rFonts w:ascii="Arial" w:cs="Arial" w:eastAsia="Arial" w:hAnsi="Arial"/>
          <w:sz w:val="17"/>
          <w:szCs w:val="17"/>
          <w:color w:val="auto"/>
        </w:rPr>
        <w:t>reviewing and approving corporate goals and objectives for the compensation of our CEO, evaluating our CEO’s performance in light of those goals and objectives, and recommending to our Board for approval our CEO's compensation level based on this evaluation; and</w:t>
      </w:r>
    </w:p>
    <w:p>
      <w:pPr>
        <w:spacing w:after="0" w:line="71" w:lineRule="exact"/>
        <w:rPr>
          <w:rFonts w:ascii="Times New Roman" w:cs="Times New Roman" w:eastAsia="Times New Roman" w:hAnsi="Times New Roman"/>
          <w:sz w:val="17"/>
          <w:szCs w:val="17"/>
          <w:color w:val="3C578C"/>
        </w:rPr>
      </w:pPr>
    </w:p>
    <w:p>
      <w:pPr>
        <w:ind w:left="231" w:right="360" w:hanging="231"/>
        <w:spacing w:after="0" w:line="257" w:lineRule="auto"/>
        <w:tabs>
          <w:tab w:leader="none" w:pos="231" w:val="left"/>
        </w:tabs>
        <w:numPr>
          <w:ilvl w:val="0"/>
          <w:numId w:val="40"/>
        </w:numPr>
        <w:rPr>
          <w:rFonts w:ascii="Times New Roman" w:cs="Times New Roman" w:eastAsia="Times New Roman" w:hAnsi="Times New Roman"/>
          <w:sz w:val="17"/>
          <w:szCs w:val="17"/>
          <w:color w:val="3C578C"/>
        </w:rPr>
      </w:pPr>
      <w:r>
        <w:rPr>
          <w:rFonts w:ascii="Arial" w:cs="Arial" w:eastAsia="Arial" w:hAnsi="Arial"/>
          <w:sz w:val="17"/>
          <w:szCs w:val="17"/>
          <w:color w:val="auto"/>
        </w:rPr>
        <w:t>determining and approving the compensation of our other executive officers.</w:t>
      </w:r>
    </w:p>
    <w:p>
      <w:pPr>
        <w:spacing w:after="0" w:line="55" w:lineRule="exact"/>
        <w:rPr>
          <w:sz w:val="20"/>
          <w:szCs w:val="20"/>
          <w:color w:val="auto"/>
        </w:rPr>
      </w:pPr>
    </w:p>
    <w:p>
      <w:pPr>
        <w:ind w:left="11"/>
        <w:spacing w:after="0" w:line="232" w:lineRule="auto"/>
        <w:rPr>
          <w:sz w:val="20"/>
          <w:szCs w:val="20"/>
          <w:color w:val="auto"/>
        </w:rPr>
      </w:pPr>
      <w:r>
        <w:rPr>
          <w:rFonts w:ascii="Arial" w:cs="Arial" w:eastAsia="Arial" w:hAnsi="Arial"/>
          <w:sz w:val="17"/>
          <w:szCs w:val="17"/>
          <w:color w:val="auto"/>
        </w:rPr>
        <w:t>Our Compensation Committee also oversees our equity programs, including our 2021 Equity and Incentive Compensation Plan and 2020 Employee Stock Purchase Plan. The Compensation Committee's activities include reporting to our Board on all compensation matters regarding our directors and executive officers. Our Compensation Committee annually reviews and recommends to our Board for approval the compensation for our directors, executive officers and other key salaried employees. It does not generally delegate any of its authority to other persons, although it has the power to delegate certain authority as permitted by applicable law and the NASDAQ listing standards to subcommittees, our Board or management, including under our 2021 Equity and Incentive Compensation Plan. Our Compensation Committee’s processes and procedures for the consideration and determination of executive compensation, including the role of executive officers and the Compensation Committee’s independent consultant in determining or recommending the amount or form of compensation of our named executive officers, are discussed in the “Compensation Discussion and Analysis”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1190625</wp:posOffset>
            </wp:positionH>
            <wp:positionV relativeFrom="paragraph">
              <wp:posOffset>420370</wp:posOffset>
            </wp:positionV>
            <wp:extent cx="483870" cy="2222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129"/>
            <w:col w:w="4831"/>
          </w:cols>
          <w:pgMar w:left="980" w:top="485" w:right="99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680" w:type="dxa"/>
            <w:vAlign w:val="bottom"/>
          </w:tcPr>
          <w:p>
            <w:pPr>
              <w:ind w:left="7880"/>
              <w:spacing w:after="0"/>
              <w:rPr>
                <w:sz w:val="20"/>
                <w:szCs w:val="20"/>
                <w:color w:val="auto"/>
              </w:rPr>
            </w:pPr>
            <w:r>
              <w:rPr>
                <w:rFonts w:ascii="Arial" w:cs="Arial" w:eastAsia="Arial" w:hAnsi="Arial"/>
                <w:sz w:val="17"/>
                <w:szCs w:val="17"/>
                <w:color w:val="7F7F7F"/>
              </w:rPr>
              <w:t>2024 Proxy Statement</w:t>
            </w:r>
          </w:p>
        </w:tc>
        <w:tc>
          <w:tcPr>
            <w:tcW w:w="240" w:type="dxa"/>
            <w:vAlign w:val="bottom"/>
          </w:tcPr>
          <w:p>
            <w:pPr>
              <w:jc w:val="right"/>
              <w:spacing w:after="0"/>
              <w:rPr>
                <w:sz w:val="20"/>
                <w:szCs w:val="20"/>
                <w:color w:val="auto"/>
              </w:rPr>
            </w:pPr>
            <w:r>
              <w:rPr>
                <w:rFonts w:ascii="Arial" w:cs="Arial" w:eastAsia="Arial" w:hAnsi="Arial"/>
                <w:sz w:val="17"/>
                <w:szCs w:val="17"/>
                <w:color w:val="7F7F7F"/>
              </w:rPr>
              <w:t>9</w:t>
            </w:r>
          </w:p>
        </w:tc>
      </w:tr>
      <w:tr>
        <w:trPr>
          <w:trHeight w:val="603"/>
        </w:trPr>
        <w:tc>
          <w:tcPr>
            <w:tcW w:w="9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85"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132080</wp:posOffset>
            </wp:positionV>
            <wp:extent cx="6301105" cy="49123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1105" cy="4912360"/>
                    </a:xfrm>
                    <a:prstGeom prst="rect">
                      <a:avLst/>
                    </a:prstGeom>
                    <a:noFill/>
                  </pic:spPr>
                </pic:pic>
              </a:graphicData>
            </a:graphic>
          </wp:anchor>
        </w:drawing>
      </w:r>
    </w:p>
    <w:p>
      <w:pPr>
        <w:sectPr>
          <w:pgSz w:w="11900" w:h="16838" w:orient="portrait"/>
          <w:cols w:equalWidth="0" w:num="1">
            <w:col w:w="9760"/>
          </w:cols>
          <w:pgMar w:left="980" w:top="485" w:right="1159" w:bottom="1440" w:gutter="0" w:footer="0" w:header="0"/>
        </w:sect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Nominations and Governance Committee</w:t>
      </w:r>
    </w:p>
    <w:p>
      <w:pPr>
        <w:spacing w:after="0" w:line="104"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Board has determined that each member of our Nominations and Governance Committee is an independent director under the applicable NASDAQ listing requirements. Our Nominations and Governance Committee identifies individuals qualified to become Board members and makes recommendations to our Board regarding Board and committee composition, consistent with the Director Nomination Policy described below. It also recommends Board members for committee membership. A copy of the Director Nomination Policy can be found on our website www.cecoenviro.com on the Investor Relations, Governance section.</w:t>
      </w:r>
    </w:p>
    <w:p>
      <w:pPr>
        <w:spacing w:after="0" w:line="16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Our Bylaws provide stockholders the ability to nominate candidates for election as directors at the annual meeting of stockholders. Stockholders who wish to nominate a candidate should submit the candidate’s name and other information required by our Bylaws to our Corporate Secretary and follow the procedures stated in our Bylaws. These procedures are summarized below in “Information for Our 2025 Annual Meeting.”</w:t>
      </w:r>
    </w:p>
    <w:p>
      <w:pPr>
        <w:spacing w:after="0" w:line="172"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In addition to the formal procedure set forth in our Bylaws for the nomination of directors by stockholders, our Nominations and Governance Committee has adopted a policy to consider stockholder recommendations of candidates for nomination to our Board that stockholders submit outside the process in the Company’s Bylaws discussed above. Our Nominations and Governance Committee will consider director candidates recommended by stockholders for inclusion on the slate of directors recommended to our Board on the same basis as candidates recommended by other sources, including evaluating the candidate against the standards and qualifications set out in our Director Nomination Policy, as well as any other criteria approved by our Board from time to time. Our Nominations and Governance Committee will determine whether to interview any candidate. Recommendations must include the candidate’s name, contact information and a statement of the candidate’s background and qualifications, and must be mailed to the following address: CECO Environmental Corp., 14651 N. Dallas Parkway, Suite 500, Dallas, Texas 75254, Attention: Corporate Secretary.</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11" w:type="dxa"/>
        <w:tblCellMar>
          <w:top w:w="0" w:type="dxa"/>
          <w:left w:w="0" w:type="dxa"/>
          <w:bottom w:w="0" w:type="dxa"/>
          <w:right w:w="0" w:type="dxa"/>
        </w:tblCellMar>
      </w:tblPr>
      <w:tr>
        <w:trPr>
          <w:trHeight w:val="175"/>
        </w:trPr>
        <w:tc>
          <w:tcPr>
            <w:tcW w:w="2580" w:type="dxa"/>
            <w:vAlign w:val="bottom"/>
          </w:tcPr>
          <w:p>
            <w:pPr>
              <w:spacing w:after="0"/>
              <w:rPr>
                <w:sz w:val="20"/>
                <w:szCs w:val="20"/>
                <w:color w:val="auto"/>
              </w:rPr>
            </w:pPr>
            <w:r>
              <w:rPr>
                <w:rFonts w:ascii="Arial" w:cs="Arial" w:eastAsia="Arial" w:hAnsi="Arial"/>
                <w:sz w:val="15"/>
                <w:szCs w:val="15"/>
                <w:b w:val="1"/>
                <w:bCs w:val="1"/>
                <w:color w:val="auto"/>
              </w:rPr>
              <w:t>Members:</w:t>
            </w:r>
          </w:p>
        </w:tc>
        <w:tc>
          <w:tcPr>
            <w:tcW w:w="1420" w:type="dxa"/>
            <w:vAlign w:val="bottom"/>
          </w:tcPr>
          <w:p>
            <w:pPr>
              <w:jc w:val="right"/>
              <w:ind w:right="285"/>
              <w:spacing w:after="0"/>
              <w:rPr>
                <w:sz w:val="20"/>
                <w:szCs w:val="20"/>
                <w:color w:val="auto"/>
              </w:rPr>
            </w:pPr>
            <w:r>
              <w:rPr>
                <w:rFonts w:ascii="Arial" w:cs="Arial" w:eastAsia="Arial" w:hAnsi="Arial"/>
                <w:sz w:val="15"/>
                <w:szCs w:val="15"/>
                <w:b w:val="1"/>
                <w:bCs w:val="1"/>
                <w:color w:val="A1B657"/>
              </w:rPr>
              <w:t>3</w:t>
            </w:r>
          </w:p>
        </w:tc>
      </w:tr>
      <w:tr>
        <w:trPr>
          <w:trHeight w:val="175"/>
        </w:trPr>
        <w:tc>
          <w:tcPr>
            <w:tcW w:w="2580" w:type="dxa"/>
            <w:vAlign w:val="bottom"/>
          </w:tcPr>
          <w:p>
            <w:pPr>
              <w:spacing w:after="0"/>
              <w:rPr>
                <w:sz w:val="20"/>
                <w:szCs w:val="20"/>
                <w:color w:val="auto"/>
              </w:rPr>
            </w:pPr>
            <w:r>
              <w:rPr>
                <w:rFonts w:ascii="Arial" w:cs="Arial" w:eastAsia="Arial" w:hAnsi="Arial"/>
                <w:sz w:val="15"/>
                <w:szCs w:val="15"/>
                <w:b w:val="1"/>
                <w:bCs w:val="1"/>
                <w:color w:val="auto"/>
              </w:rPr>
              <w:t>Valerie Gentile Sachs, Chair</w:t>
            </w:r>
          </w:p>
        </w:tc>
        <w:tc>
          <w:tcPr>
            <w:tcW w:w="1420" w:type="dxa"/>
            <w:vAlign w:val="bottom"/>
          </w:tcPr>
          <w:p>
            <w:pPr>
              <w:ind w:left="600"/>
              <w:spacing w:after="0"/>
              <w:rPr>
                <w:sz w:val="20"/>
                <w:szCs w:val="20"/>
                <w:color w:val="auto"/>
              </w:rPr>
            </w:pPr>
            <w:r>
              <w:rPr>
                <w:rFonts w:ascii="Arial" w:cs="Arial" w:eastAsia="Arial" w:hAnsi="Arial"/>
                <w:sz w:val="15"/>
                <w:szCs w:val="15"/>
                <w:b w:val="1"/>
                <w:bCs w:val="1"/>
                <w:color w:val="A1B657"/>
                <w:w w:val="96"/>
              </w:rPr>
              <w:t>Meetings in</w:t>
            </w:r>
          </w:p>
        </w:tc>
      </w:tr>
      <w:tr>
        <w:trPr>
          <w:trHeight w:val="175"/>
        </w:trPr>
        <w:tc>
          <w:tcPr>
            <w:tcW w:w="2580" w:type="dxa"/>
            <w:vAlign w:val="bottom"/>
          </w:tcPr>
          <w:p>
            <w:pPr>
              <w:spacing w:after="0"/>
              <w:rPr>
                <w:sz w:val="20"/>
                <w:szCs w:val="20"/>
                <w:color w:val="auto"/>
              </w:rPr>
            </w:pPr>
            <w:r>
              <w:rPr>
                <w:rFonts w:ascii="Arial" w:cs="Arial" w:eastAsia="Arial" w:hAnsi="Arial"/>
                <w:sz w:val="15"/>
                <w:szCs w:val="15"/>
                <w:color w:val="auto"/>
              </w:rPr>
              <w:t>Jason DeZwirek</w:t>
            </w:r>
          </w:p>
        </w:tc>
        <w:tc>
          <w:tcPr>
            <w:tcW w:w="1420" w:type="dxa"/>
            <w:vAlign w:val="bottom"/>
          </w:tcPr>
          <w:p>
            <w:pPr>
              <w:jc w:val="right"/>
              <w:ind w:right="165"/>
              <w:spacing w:after="0"/>
              <w:rPr>
                <w:sz w:val="20"/>
                <w:szCs w:val="20"/>
                <w:color w:val="auto"/>
              </w:rPr>
            </w:pPr>
            <w:r>
              <w:rPr>
                <w:rFonts w:ascii="Arial" w:cs="Arial" w:eastAsia="Arial" w:hAnsi="Arial"/>
                <w:sz w:val="15"/>
                <w:szCs w:val="15"/>
                <w:b w:val="1"/>
                <w:bCs w:val="1"/>
                <w:color w:val="A1B657"/>
              </w:rPr>
              <w:t>2023</w:t>
            </w:r>
          </w:p>
        </w:tc>
      </w:tr>
      <w:tr>
        <w:trPr>
          <w:trHeight w:val="198"/>
        </w:trPr>
        <w:tc>
          <w:tcPr>
            <w:tcW w:w="2580" w:type="dxa"/>
            <w:vAlign w:val="bottom"/>
          </w:tcPr>
          <w:p>
            <w:pPr>
              <w:spacing w:after="0"/>
              <w:rPr>
                <w:sz w:val="20"/>
                <w:szCs w:val="20"/>
                <w:color w:val="auto"/>
              </w:rPr>
            </w:pPr>
            <w:r>
              <w:rPr>
                <w:rFonts w:ascii="Arial" w:cs="Arial" w:eastAsia="Arial" w:hAnsi="Arial"/>
                <w:sz w:val="15"/>
                <w:szCs w:val="15"/>
                <w:color w:val="auto"/>
              </w:rPr>
              <w:t>Munish Nanda</w:t>
            </w:r>
          </w:p>
        </w:tc>
        <w:tc>
          <w:tcPr>
            <w:tcW w:w="1420" w:type="dxa"/>
            <w:vAlign w:val="bottom"/>
          </w:tcPr>
          <w:p>
            <w:pPr>
              <w:spacing w:after="0"/>
              <w:rPr>
                <w:sz w:val="17"/>
                <w:szCs w:val="17"/>
                <w:color w:val="auto"/>
              </w:rPr>
            </w:pPr>
          </w:p>
        </w:tc>
      </w:tr>
    </w:tbl>
    <w:p>
      <w:pPr>
        <w:spacing w:after="0" w:line="200" w:lineRule="exact"/>
        <w:rPr>
          <w:sz w:val="20"/>
          <w:szCs w:val="20"/>
          <w:color w:val="auto"/>
        </w:rPr>
      </w:pPr>
    </w:p>
    <w:p>
      <w:pPr>
        <w:spacing w:after="0" w:line="235" w:lineRule="exact"/>
        <w:rPr>
          <w:sz w:val="20"/>
          <w:szCs w:val="20"/>
          <w:color w:val="auto"/>
        </w:rPr>
      </w:pPr>
    </w:p>
    <w:p>
      <w:pPr>
        <w:ind w:left="11"/>
        <w:spacing w:after="0"/>
        <w:rPr>
          <w:sz w:val="20"/>
          <w:szCs w:val="20"/>
          <w:color w:val="auto"/>
        </w:rPr>
      </w:pPr>
      <w:r>
        <w:rPr>
          <w:rFonts w:ascii="Arial" w:cs="Arial" w:eastAsia="Arial" w:hAnsi="Arial"/>
          <w:sz w:val="17"/>
          <w:szCs w:val="17"/>
          <w:b w:val="1"/>
          <w:bCs w:val="1"/>
          <w:color w:val="3C578C"/>
        </w:rPr>
        <w:t>Primary Responsibilities</w:t>
      </w:r>
    </w:p>
    <w:p>
      <w:pPr>
        <w:spacing w:after="0" w:line="33" w:lineRule="exact"/>
        <w:rPr>
          <w:sz w:val="20"/>
          <w:szCs w:val="20"/>
          <w:color w:val="auto"/>
        </w:rPr>
      </w:pPr>
    </w:p>
    <w:p>
      <w:pPr>
        <w:ind w:left="11" w:right="20"/>
        <w:spacing w:after="0" w:line="239" w:lineRule="auto"/>
        <w:rPr>
          <w:sz w:val="20"/>
          <w:szCs w:val="20"/>
          <w:color w:val="auto"/>
        </w:rPr>
      </w:pPr>
      <w:r>
        <w:rPr>
          <w:rFonts w:ascii="Arial" w:cs="Arial" w:eastAsia="Arial" w:hAnsi="Arial"/>
          <w:sz w:val="17"/>
          <w:szCs w:val="17"/>
          <w:color w:val="auto"/>
        </w:rPr>
        <w:t>Our Nominations and Governance Committee’s responsibilities include:</w:t>
      </w:r>
    </w:p>
    <w:p>
      <w:pPr>
        <w:spacing w:after="0" w:line="7" w:lineRule="exact"/>
        <w:rPr>
          <w:sz w:val="20"/>
          <w:szCs w:val="20"/>
          <w:color w:val="auto"/>
        </w:rPr>
      </w:pPr>
    </w:p>
    <w:p>
      <w:pPr>
        <w:ind w:left="231" w:hanging="231"/>
        <w:spacing w:after="0"/>
        <w:tabs>
          <w:tab w:leader="none" w:pos="231" w:val="left"/>
        </w:tabs>
        <w:numPr>
          <w:ilvl w:val="0"/>
          <w:numId w:val="41"/>
        </w:numPr>
        <w:rPr>
          <w:rFonts w:ascii="Times New Roman" w:cs="Times New Roman" w:eastAsia="Times New Roman" w:hAnsi="Times New Roman"/>
          <w:sz w:val="17"/>
          <w:szCs w:val="17"/>
          <w:color w:val="3C578C"/>
        </w:rPr>
      </w:pPr>
      <w:r>
        <w:rPr>
          <w:rFonts w:ascii="Arial" w:cs="Arial" w:eastAsia="Arial" w:hAnsi="Arial"/>
          <w:sz w:val="17"/>
          <w:szCs w:val="17"/>
          <w:color w:val="auto"/>
        </w:rPr>
        <w:t>identifying individuals qualified to become Board members;</w:t>
      </w:r>
    </w:p>
    <w:p>
      <w:pPr>
        <w:spacing w:after="0" w:line="28" w:lineRule="exact"/>
        <w:rPr>
          <w:rFonts w:ascii="Times New Roman" w:cs="Times New Roman" w:eastAsia="Times New Roman" w:hAnsi="Times New Roman"/>
          <w:sz w:val="17"/>
          <w:szCs w:val="17"/>
          <w:color w:val="3C578C"/>
        </w:rPr>
      </w:pPr>
    </w:p>
    <w:p>
      <w:pPr>
        <w:ind w:left="231" w:hanging="231"/>
        <w:spacing w:after="0" w:line="242" w:lineRule="auto"/>
        <w:tabs>
          <w:tab w:leader="none" w:pos="231" w:val="left"/>
        </w:tabs>
        <w:numPr>
          <w:ilvl w:val="0"/>
          <w:numId w:val="41"/>
        </w:numPr>
        <w:rPr>
          <w:rFonts w:ascii="Times New Roman" w:cs="Times New Roman" w:eastAsia="Times New Roman" w:hAnsi="Times New Roman"/>
          <w:sz w:val="17"/>
          <w:szCs w:val="17"/>
          <w:color w:val="3C578C"/>
        </w:rPr>
      </w:pPr>
      <w:r>
        <w:rPr>
          <w:rFonts w:ascii="Arial" w:cs="Arial" w:eastAsia="Arial" w:hAnsi="Arial"/>
          <w:sz w:val="17"/>
          <w:szCs w:val="17"/>
          <w:color w:val="auto"/>
        </w:rPr>
        <w:t>making recommendations to our Board regarding Board and committee composition;</w:t>
      </w:r>
    </w:p>
    <w:p>
      <w:pPr>
        <w:spacing w:after="0" w:line="4" w:lineRule="exact"/>
        <w:rPr>
          <w:rFonts w:ascii="Times New Roman" w:cs="Times New Roman" w:eastAsia="Times New Roman" w:hAnsi="Times New Roman"/>
          <w:sz w:val="17"/>
          <w:szCs w:val="17"/>
          <w:color w:val="3C578C"/>
        </w:rPr>
      </w:pPr>
    </w:p>
    <w:p>
      <w:pPr>
        <w:ind w:left="231" w:right="440" w:hanging="231"/>
        <w:spacing w:after="0" w:line="260" w:lineRule="auto"/>
        <w:tabs>
          <w:tab w:leader="none" w:pos="231" w:val="left"/>
        </w:tabs>
        <w:numPr>
          <w:ilvl w:val="0"/>
          <w:numId w:val="41"/>
        </w:numPr>
        <w:rPr>
          <w:rFonts w:ascii="Times New Roman" w:cs="Times New Roman" w:eastAsia="Times New Roman" w:hAnsi="Times New Roman"/>
          <w:sz w:val="16"/>
          <w:szCs w:val="16"/>
          <w:color w:val="3C578C"/>
        </w:rPr>
      </w:pPr>
      <w:r>
        <w:rPr>
          <w:rFonts w:ascii="Arial" w:cs="Arial" w:eastAsia="Arial" w:hAnsi="Arial"/>
          <w:sz w:val="16"/>
          <w:szCs w:val="16"/>
          <w:color w:val="auto"/>
        </w:rPr>
        <w:t>developing and recommending to our Board corporate governance principles applicable to our Company;</w:t>
      </w:r>
    </w:p>
    <w:p>
      <w:pPr>
        <w:ind w:left="231" w:right="440" w:hanging="231"/>
        <w:spacing w:after="0" w:line="227" w:lineRule="auto"/>
        <w:tabs>
          <w:tab w:leader="none" w:pos="231" w:val="left"/>
        </w:tabs>
        <w:numPr>
          <w:ilvl w:val="0"/>
          <w:numId w:val="41"/>
        </w:numPr>
        <w:rPr>
          <w:rFonts w:ascii="Times New Roman" w:cs="Times New Roman" w:eastAsia="Times New Roman" w:hAnsi="Times New Roman"/>
          <w:sz w:val="17"/>
          <w:szCs w:val="17"/>
          <w:color w:val="3C578C"/>
        </w:rPr>
      </w:pPr>
      <w:r>
        <w:rPr>
          <w:rFonts w:ascii="Arial" w:cs="Arial" w:eastAsia="Arial" w:hAnsi="Arial"/>
          <w:sz w:val="17"/>
          <w:szCs w:val="17"/>
          <w:color w:val="auto"/>
        </w:rPr>
        <w:t>advising and assisting the Board with oversight of environmental, social and governance related ("ESG") matters; and</w:t>
      </w:r>
    </w:p>
    <w:p>
      <w:pPr>
        <w:spacing w:after="0" w:line="7" w:lineRule="exact"/>
        <w:rPr>
          <w:rFonts w:ascii="Times New Roman" w:cs="Times New Roman" w:eastAsia="Times New Roman" w:hAnsi="Times New Roman"/>
          <w:sz w:val="17"/>
          <w:szCs w:val="17"/>
          <w:color w:val="3C578C"/>
        </w:rPr>
      </w:pPr>
    </w:p>
    <w:p>
      <w:pPr>
        <w:ind w:left="231" w:hanging="231"/>
        <w:spacing w:after="0"/>
        <w:tabs>
          <w:tab w:leader="none" w:pos="231" w:val="left"/>
        </w:tabs>
        <w:numPr>
          <w:ilvl w:val="0"/>
          <w:numId w:val="41"/>
        </w:numPr>
        <w:rPr>
          <w:rFonts w:ascii="Times New Roman" w:cs="Times New Roman" w:eastAsia="Times New Roman" w:hAnsi="Times New Roman"/>
          <w:sz w:val="17"/>
          <w:szCs w:val="17"/>
          <w:color w:val="3C578C"/>
        </w:rPr>
      </w:pPr>
      <w:r>
        <w:rPr>
          <w:rFonts w:ascii="Arial" w:cs="Arial" w:eastAsia="Arial" w:hAnsi="Arial"/>
          <w:sz w:val="17"/>
          <w:szCs w:val="17"/>
          <w:color w:val="auto"/>
        </w:rPr>
        <w:t>overseeing the evaluation of our Board and management.</w:t>
      </w:r>
    </w:p>
    <w:p>
      <w:pPr>
        <w:spacing w:after="0" w:line="4124" w:lineRule="exact"/>
        <w:rPr>
          <w:sz w:val="20"/>
          <w:szCs w:val="20"/>
          <w:color w:val="auto"/>
        </w:rPr>
      </w:pPr>
    </w:p>
    <w:p>
      <w:pPr>
        <w:sectPr>
          <w:pgSz w:w="11900" w:h="16838" w:orient="portrait"/>
          <w:cols w:equalWidth="0" w:num="2">
            <w:col w:w="4940" w:space="149"/>
            <w:col w:w="4671"/>
          </w:cols>
          <w:pgMar w:left="980" w:top="485" w:right="115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10</w:t>
      </w:r>
      <w:r>
        <w:rPr>
          <w:sz w:val="20"/>
          <w:szCs w:val="20"/>
          <w:color w:val="auto"/>
        </w:rPr>
        <w:tab/>
      </w:r>
      <w:r>
        <w:rPr>
          <w:sz w:val="1"/>
          <w:szCs w:val="1"/>
          <w:color w:val="auto"/>
        </w:rPr>
        <w:drawing>
          <wp:inline distT="0" distB="0" distL="0" distR="0">
            <wp:extent cx="476250" cy="2222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760"/>
          </w:cols>
          <w:pgMar w:left="980" w:top="485" w:right="11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6301105" cy="33331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1105" cy="333311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Mergers and Acquisitions Committee</w:t>
      </w:r>
    </w:p>
    <w:p>
      <w:pPr>
        <w:spacing w:after="0" w:line="10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Board established our Mergers and Acquisitions Committee with the primary purpose of reviewing with management periodically the Company’s strategy regarding acquisitions, dispositions, joint ventures, or mergers (“Strategic Transactions”).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11" w:type="dxa"/>
        <w:tblCellMar>
          <w:top w:w="0" w:type="dxa"/>
          <w:left w:w="0" w:type="dxa"/>
          <w:bottom w:w="0" w:type="dxa"/>
          <w:right w:w="0" w:type="dxa"/>
        </w:tblCellMar>
      </w:tblPr>
      <w:tr>
        <w:trPr>
          <w:trHeight w:val="175"/>
        </w:trPr>
        <w:tc>
          <w:tcPr>
            <w:tcW w:w="2640" w:type="dxa"/>
            <w:vAlign w:val="bottom"/>
          </w:tcPr>
          <w:p>
            <w:pPr>
              <w:spacing w:after="0"/>
              <w:rPr>
                <w:sz w:val="20"/>
                <w:szCs w:val="20"/>
                <w:color w:val="auto"/>
              </w:rPr>
            </w:pPr>
            <w:r>
              <w:rPr>
                <w:rFonts w:ascii="Arial" w:cs="Arial" w:eastAsia="Arial" w:hAnsi="Arial"/>
                <w:sz w:val="15"/>
                <w:szCs w:val="15"/>
                <w:b w:val="1"/>
                <w:bCs w:val="1"/>
                <w:color w:val="auto"/>
              </w:rPr>
              <w:t>Members:</w:t>
            </w:r>
          </w:p>
        </w:tc>
        <w:tc>
          <w:tcPr>
            <w:tcW w:w="1360" w:type="dxa"/>
            <w:vAlign w:val="bottom"/>
          </w:tcPr>
          <w:p>
            <w:pPr>
              <w:jc w:val="right"/>
              <w:ind w:right="285"/>
              <w:spacing w:after="0"/>
              <w:rPr>
                <w:sz w:val="20"/>
                <w:szCs w:val="20"/>
                <w:color w:val="auto"/>
              </w:rPr>
            </w:pPr>
            <w:r>
              <w:rPr>
                <w:rFonts w:ascii="Arial" w:cs="Arial" w:eastAsia="Arial" w:hAnsi="Arial"/>
                <w:sz w:val="15"/>
                <w:szCs w:val="15"/>
                <w:b w:val="1"/>
                <w:bCs w:val="1"/>
                <w:color w:val="A1B657"/>
              </w:rPr>
              <w:t>2</w:t>
            </w:r>
          </w:p>
        </w:tc>
      </w:tr>
      <w:tr>
        <w:trPr>
          <w:trHeight w:val="175"/>
        </w:trPr>
        <w:tc>
          <w:tcPr>
            <w:tcW w:w="2640" w:type="dxa"/>
            <w:vAlign w:val="bottom"/>
          </w:tcPr>
          <w:p>
            <w:pPr>
              <w:spacing w:after="0"/>
              <w:rPr>
                <w:sz w:val="20"/>
                <w:szCs w:val="20"/>
                <w:color w:val="auto"/>
              </w:rPr>
            </w:pPr>
            <w:r>
              <w:rPr>
                <w:rFonts w:ascii="Arial" w:cs="Arial" w:eastAsia="Arial" w:hAnsi="Arial"/>
                <w:sz w:val="15"/>
                <w:szCs w:val="15"/>
                <w:b w:val="1"/>
                <w:bCs w:val="1"/>
                <w:color w:val="auto"/>
              </w:rPr>
              <w:t>Robert E. Knowling, Jr., Chair</w:t>
            </w:r>
          </w:p>
        </w:tc>
        <w:tc>
          <w:tcPr>
            <w:tcW w:w="1360" w:type="dxa"/>
            <w:vAlign w:val="bottom"/>
          </w:tcPr>
          <w:p>
            <w:pPr>
              <w:ind w:left="540"/>
              <w:spacing w:after="0"/>
              <w:rPr>
                <w:sz w:val="20"/>
                <w:szCs w:val="20"/>
                <w:color w:val="auto"/>
              </w:rPr>
            </w:pPr>
            <w:r>
              <w:rPr>
                <w:rFonts w:ascii="Arial" w:cs="Arial" w:eastAsia="Arial" w:hAnsi="Arial"/>
                <w:sz w:val="15"/>
                <w:szCs w:val="15"/>
                <w:b w:val="1"/>
                <w:bCs w:val="1"/>
                <w:color w:val="A1B657"/>
                <w:w w:val="96"/>
              </w:rPr>
              <w:t>Meetings in</w:t>
            </w:r>
          </w:p>
        </w:tc>
      </w:tr>
      <w:tr>
        <w:trPr>
          <w:trHeight w:val="175"/>
        </w:trPr>
        <w:tc>
          <w:tcPr>
            <w:tcW w:w="2640" w:type="dxa"/>
            <w:vAlign w:val="bottom"/>
          </w:tcPr>
          <w:p>
            <w:pPr>
              <w:spacing w:after="0"/>
              <w:rPr>
                <w:sz w:val="20"/>
                <w:szCs w:val="20"/>
                <w:color w:val="auto"/>
              </w:rPr>
            </w:pPr>
            <w:r>
              <w:rPr>
                <w:rFonts w:ascii="Arial" w:cs="Arial" w:eastAsia="Arial" w:hAnsi="Arial"/>
                <w:sz w:val="15"/>
                <w:szCs w:val="15"/>
                <w:color w:val="auto"/>
              </w:rPr>
              <w:t>Jason DeZwirek</w:t>
            </w:r>
          </w:p>
        </w:tc>
        <w:tc>
          <w:tcPr>
            <w:tcW w:w="1360" w:type="dxa"/>
            <w:vAlign w:val="bottom"/>
          </w:tcPr>
          <w:p>
            <w:pPr>
              <w:jc w:val="right"/>
              <w:ind w:right="165"/>
              <w:spacing w:after="0"/>
              <w:rPr>
                <w:sz w:val="20"/>
                <w:szCs w:val="20"/>
                <w:color w:val="auto"/>
              </w:rPr>
            </w:pPr>
            <w:r>
              <w:rPr>
                <w:rFonts w:ascii="Arial" w:cs="Arial" w:eastAsia="Arial" w:hAnsi="Arial"/>
                <w:sz w:val="15"/>
                <w:szCs w:val="15"/>
                <w:b w:val="1"/>
                <w:bCs w:val="1"/>
                <w:color w:val="A1B657"/>
              </w:rPr>
              <w:t>2023</w:t>
            </w:r>
          </w:p>
        </w:tc>
      </w:tr>
      <w:tr>
        <w:trPr>
          <w:trHeight w:val="175"/>
        </w:trPr>
        <w:tc>
          <w:tcPr>
            <w:tcW w:w="2640" w:type="dxa"/>
            <w:vAlign w:val="bottom"/>
          </w:tcPr>
          <w:p>
            <w:pPr>
              <w:spacing w:after="0"/>
              <w:rPr>
                <w:sz w:val="20"/>
                <w:szCs w:val="20"/>
                <w:color w:val="auto"/>
              </w:rPr>
            </w:pPr>
            <w:r>
              <w:rPr>
                <w:rFonts w:ascii="Arial" w:cs="Arial" w:eastAsia="Arial" w:hAnsi="Arial"/>
                <w:sz w:val="15"/>
                <w:szCs w:val="15"/>
                <w:color w:val="auto"/>
              </w:rPr>
              <w:t>Todd Gleason</w:t>
            </w:r>
          </w:p>
        </w:tc>
        <w:tc>
          <w:tcPr>
            <w:tcW w:w="1360" w:type="dxa"/>
            <w:vAlign w:val="bottom"/>
          </w:tcPr>
          <w:p>
            <w:pPr>
              <w:spacing w:after="0"/>
              <w:rPr>
                <w:sz w:val="15"/>
                <w:szCs w:val="15"/>
                <w:color w:val="auto"/>
              </w:rPr>
            </w:pPr>
          </w:p>
        </w:tc>
      </w:tr>
      <w:tr>
        <w:trPr>
          <w:trHeight w:val="198"/>
        </w:trPr>
        <w:tc>
          <w:tcPr>
            <w:tcW w:w="2640" w:type="dxa"/>
            <w:vAlign w:val="bottom"/>
          </w:tcPr>
          <w:p>
            <w:pPr>
              <w:spacing w:after="0"/>
              <w:rPr>
                <w:sz w:val="20"/>
                <w:szCs w:val="20"/>
                <w:color w:val="auto"/>
              </w:rPr>
            </w:pPr>
            <w:r>
              <w:rPr>
                <w:rFonts w:ascii="Arial" w:cs="Arial" w:eastAsia="Arial" w:hAnsi="Arial"/>
                <w:sz w:val="15"/>
                <w:szCs w:val="15"/>
                <w:color w:val="auto"/>
              </w:rPr>
              <w:t>Richard Wallman</w:t>
            </w:r>
          </w:p>
        </w:tc>
        <w:tc>
          <w:tcPr>
            <w:tcW w:w="1360" w:type="dxa"/>
            <w:vAlign w:val="bottom"/>
          </w:tcPr>
          <w:p>
            <w:pPr>
              <w:spacing w:after="0"/>
              <w:rPr>
                <w:sz w:val="17"/>
                <w:szCs w:val="17"/>
                <w:color w:val="auto"/>
              </w:rPr>
            </w:pPr>
          </w:p>
        </w:tc>
      </w:tr>
    </w:tbl>
    <w:p>
      <w:pPr>
        <w:spacing w:after="0" w:line="135" w:lineRule="exact"/>
        <w:rPr>
          <w:sz w:val="20"/>
          <w:szCs w:val="20"/>
          <w:color w:val="auto"/>
        </w:rPr>
      </w:pPr>
    </w:p>
    <w:p>
      <w:pPr>
        <w:ind w:left="11"/>
        <w:spacing w:after="0"/>
        <w:rPr>
          <w:sz w:val="20"/>
          <w:szCs w:val="20"/>
          <w:color w:val="auto"/>
        </w:rPr>
      </w:pPr>
      <w:r>
        <w:rPr>
          <w:rFonts w:ascii="Arial" w:cs="Arial" w:eastAsia="Arial" w:hAnsi="Arial"/>
          <w:sz w:val="17"/>
          <w:szCs w:val="17"/>
          <w:b w:val="1"/>
          <w:bCs w:val="1"/>
          <w:color w:val="3C578C"/>
        </w:rPr>
        <w:t>Primary Responsibilities</w:t>
      </w:r>
    </w:p>
    <w:p>
      <w:pPr>
        <w:spacing w:after="0" w:line="33" w:lineRule="exact"/>
        <w:rPr>
          <w:sz w:val="20"/>
          <w:szCs w:val="20"/>
          <w:color w:val="auto"/>
        </w:rPr>
      </w:pPr>
    </w:p>
    <w:p>
      <w:pPr>
        <w:ind w:left="11" w:right="520"/>
        <w:spacing w:after="0" w:line="239" w:lineRule="auto"/>
        <w:rPr>
          <w:sz w:val="20"/>
          <w:szCs w:val="20"/>
          <w:color w:val="auto"/>
        </w:rPr>
      </w:pPr>
      <w:r>
        <w:rPr>
          <w:rFonts w:ascii="Arial" w:cs="Arial" w:eastAsia="Arial" w:hAnsi="Arial"/>
          <w:sz w:val="17"/>
          <w:szCs w:val="17"/>
          <w:color w:val="auto"/>
        </w:rPr>
        <w:t>Our Mergers and Acquisitions Committee’s responsibilities include:</w:t>
      </w:r>
    </w:p>
    <w:p>
      <w:pPr>
        <w:spacing w:after="0" w:line="7" w:lineRule="exact"/>
        <w:rPr>
          <w:sz w:val="20"/>
          <w:szCs w:val="20"/>
          <w:color w:val="auto"/>
        </w:rPr>
      </w:pPr>
    </w:p>
    <w:p>
      <w:pPr>
        <w:ind w:left="231" w:right="500" w:hanging="231"/>
        <w:spacing w:after="0" w:line="242" w:lineRule="auto"/>
        <w:tabs>
          <w:tab w:leader="none" w:pos="231" w:val="left"/>
        </w:tabs>
        <w:numPr>
          <w:ilvl w:val="0"/>
          <w:numId w:val="42"/>
        </w:numPr>
        <w:rPr>
          <w:rFonts w:ascii="Times New Roman" w:cs="Times New Roman" w:eastAsia="Times New Roman" w:hAnsi="Times New Roman"/>
          <w:sz w:val="17"/>
          <w:szCs w:val="17"/>
          <w:color w:val="3C578C"/>
        </w:rPr>
      </w:pPr>
      <w:r>
        <w:rPr>
          <w:rFonts w:ascii="Arial" w:cs="Arial" w:eastAsia="Arial" w:hAnsi="Arial"/>
          <w:sz w:val="17"/>
          <w:szCs w:val="17"/>
          <w:color w:val="auto"/>
        </w:rPr>
        <w:t>reviewing with management the Company’s strategy for Strategic Transactions;</w:t>
      </w:r>
    </w:p>
    <w:p>
      <w:pPr>
        <w:spacing w:after="0" w:line="4" w:lineRule="exact"/>
        <w:rPr>
          <w:rFonts w:ascii="Times New Roman" w:cs="Times New Roman" w:eastAsia="Times New Roman" w:hAnsi="Times New Roman"/>
          <w:sz w:val="17"/>
          <w:szCs w:val="17"/>
          <w:color w:val="3C578C"/>
        </w:rPr>
      </w:pPr>
    </w:p>
    <w:p>
      <w:pPr>
        <w:ind w:left="231" w:right="100" w:hanging="231"/>
        <w:spacing w:after="0" w:line="215" w:lineRule="auto"/>
        <w:tabs>
          <w:tab w:leader="none" w:pos="231" w:val="left"/>
        </w:tabs>
        <w:numPr>
          <w:ilvl w:val="0"/>
          <w:numId w:val="42"/>
        </w:numPr>
        <w:rPr>
          <w:rFonts w:ascii="Times New Roman" w:cs="Times New Roman" w:eastAsia="Times New Roman" w:hAnsi="Times New Roman"/>
          <w:sz w:val="17"/>
          <w:szCs w:val="17"/>
          <w:color w:val="3C578C"/>
        </w:rPr>
      </w:pPr>
      <w:r>
        <w:rPr>
          <w:rFonts w:ascii="Arial" w:cs="Arial" w:eastAsia="Arial" w:hAnsi="Arial"/>
          <w:sz w:val="17"/>
          <w:szCs w:val="17"/>
          <w:color w:val="auto"/>
        </w:rPr>
        <w:t>reviewing with management the material details of any proposed Strategic Transaction, including how such transaction fits with the Company’s strategic plans and transaction strategy, transaction timing, important transaction milestones, financing, key risks and opportunities and the integration plan (including the ROI);</w:t>
      </w:r>
    </w:p>
    <w:p>
      <w:pPr>
        <w:spacing w:after="0" w:line="10" w:lineRule="exact"/>
        <w:rPr>
          <w:rFonts w:ascii="Times New Roman" w:cs="Times New Roman" w:eastAsia="Times New Roman" w:hAnsi="Times New Roman"/>
          <w:sz w:val="17"/>
          <w:szCs w:val="17"/>
          <w:color w:val="3C578C"/>
        </w:rPr>
      </w:pPr>
    </w:p>
    <w:p>
      <w:pPr>
        <w:ind w:left="231" w:right="80" w:hanging="231"/>
        <w:spacing w:after="0" w:line="227" w:lineRule="auto"/>
        <w:tabs>
          <w:tab w:leader="none" w:pos="231" w:val="left"/>
        </w:tabs>
        <w:numPr>
          <w:ilvl w:val="0"/>
          <w:numId w:val="42"/>
        </w:numPr>
        <w:rPr>
          <w:rFonts w:ascii="Times New Roman" w:cs="Times New Roman" w:eastAsia="Times New Roman" w:hAnsi="Times New Roman"/>
          <w:sz w:val="17"/>
          <w:szCs w:val="17"/>
          <w:color w:val="3C578C"/>
        </w:rPr>
      </w:pPr>
      <w:r>
        <w:rPr>
          <w:rFonts w:ascii="Arial" w:cs="Arial" w:eastAsia="Arial" w:hAnsi="Arial"/>
          <w:sz w:val="17"/>
          <w:szCs w:val="17"/>
          <w:color w:val="auto"/>
        </w:rPr>
        <w:t>providing the Board such additional information and materials as appropriate to assist the Board in its evaluation or understanding of any Strategic Transaction; and</w:t>
      </w:r>
    </w:p>
    <w:p>
      <w:pPr>
        <w:spacing w:after="0" w:line="7" w:lineRule="exact"/>
        <w:rPr>
          <w:rFonts w:ascii="Times New Roman" w:cs="Times New Roman" w:eastAsia="Times New Roman" w:hAnsi="Times New Roman"/>
          <w:sz w:val="17"/>
          <w:szCs w:val="17"/>
          <w:color w:val="3C578C"/>
        </w:rPr>
      </w:pPr>
    </w:p>
    <w:p>
      <w:pPr>
        <w:ind w:left="231" w:right="100" w:hanging="231"/>
        <w:spacing w:after="0" w:line="215" w:lineRule="auto"/>
        <w:tabs>
          <w:tab w:leader="none" w:pos="231" w:val="left"/>
        </w:tabs>
        <w:numPr>
          <w:ilvl w:val="0"/>
          <w:numId w:val="42"/>
        </w:numPr>
        <w:rPr>
          <w:rFonts w:ascii="Times New Roman" w:cs="Times New Roman" w:eastAsia="Times New Roman" w:hAnsi="Times New Roman"/>
          <w:sz w:val="17"/>
          <w:szCs w:val="17"/>
          <w:color w:val="3C578C"/>
        </w:rPr>
      </w:pPr>
      <w:r>
        <w:rPr>
          <w:rFonts w:ascii="Arial" w:cs="Arial" w:eastAsia="Arial" w:hAnsi="Arial"/>
          <w:sz w:val="17"/>
          <w:szCs w:val="17"/>
          <w:color w:val="auto"/>
        </w:rPr>
        <w:t>reviewing and discussing with management, after consummation of any Strategic Transaction, the execution, the financial performance, and the integration of such Strategic Transaction, including relative to information presented by management in connection with the approval of such transaction and the Company’s 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1190625</wp:posOffset>
            </wp:positionH>
            <wp:positionV relativeFrom="paragraph">
              <wp:posOffset>525780</wp:posOffset>
            </wp:positionV>
            <wp:extent cx="483870" cy="2222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269"/>
            <w:col w:w="4831"/>
          </w:cols>
          <w:pgMar w:left="980" w:top="485"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880"/>
        <w:spacing w:after="0"/>
        <w:tabs>
          <w:tab w:leader="none" w:pos="974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4"/>
          <w:szCs w:val="14"/>
          <w:color w:val="7F7F7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Meeting Attendance</w:t>
      </w:r>
    </w:p>
    <w:p>
      <w:pPr>
        <w:spacing w:after="0" w:line="9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During 2023, our Board held 7 regular meetings. Directors are expected to regularly attend Board meetings and meetings of committees on which they serve, as well as the annual meeting of stockholders. Each director attended 100% of the total number of Board meetings, and 100% of all applicable committee meetings, during each director’s tenure on the Board. Our Board's policy regarding directors’ attendance at the Annual Meeting is that directors are encouraged to attend, and that we will make all appropriate arrangements for directors to attend. All of the directors, other than Ms. Siegel, who was not a director at the time, attended our 2023 Annual Meetings of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Board Leadership Structure and Risk Oversight</w:t>
      </w:r>
    </w:p>
    <w:p>
      <w:pPr>
        <w:spacing w:after="0" w:line="9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positions of Chairman of the Board and Chief Executive Officer are held by different individuals: Mr. DeZwirek serves as Chairman and Mr. Gleason serves as Chief Executive Officer. Although our Bylaws provide that any two or more offices may be held by the same person, our Board believes that the current separation of the offices of Chief Executive Officer and Chairman reflects the difference in the roles of those positions. Our Chief Executive Officer is responsible for determining the strategic direction and the day-to-day leadership of our Company. Our Chairman facilitates and provides leadership to our Board and executive management and ensures they are focused on key issues. The Chairman of the Board shares a common understanding of the organization with the executive management and provides focus to ensure our Board is effective in its task of setting and implementing the Company’s strategy.</w:t>
      </w:r>
    </w:p>
    <w:p>
      <w:pPr>
        <w:spacing w:after="0" w:line="60"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separation of the roles of Chief Executive Officer and Chairman and the independence of a majority of our Board help ensure independent oversight of management. All of our directors, other than the Chief Executive Officer, Mr. Gleason, qualify as independent under the applicable NASDAQ listing requirements. Our Audit Committee, Compensation Committee, and Nominations and Governance Committee — are comprised entirely of independent directors. Additionally, the non-management directors regularly meet in executive session, and the independent directors meet in executive session, as required.</w:t>
      </w:r>
    </w:p>
    <w:p>
      <w:pPr>
        <w:spacing w:after="0" w:line="7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management is responsible for identifying, assessing, and managing the material risks facing our Company. Our Board performs an important role in the review and oversight of these risks and generally oversees our Company’s risk management practices and processes, with a strong emphasis on financial controls. Our Board has delegated primary oversight of the management of (i) financial and accounting risks and related-party transaction risks to our Audit Committee, (ii) compensation risk to our Compensation Committee, and (iii) ESG risk to our Nominations and Governance Committee. To the extent that the Audit Committee, Compensation Committee or the Nominations and Governance Committee identifies any material risks or related issues, the risks or issues are addressed with the full Board.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12</w:t>
      </w:r>
      <w:r>
        <w:rPr>
          <w:sz w:val="20"/>
          <w:szCs w:val="20"/>
          <w:color w:val="auto"/>
        </w:rPr>
        <w:tab/>
      </w:r>
      <w:r>
        <w:rPr>
          <w:sz w:val="1"/>
          <w:szCs w:val="1"/>
          <w:color w:val="auto"/>
        </w:rPr>
        <w:drawing>
          <wp:inline distT="0" distB="0" distL="0" distR="0">
            <wp:extent cx="476250" cy="21399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6250" cy="213995"/>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333375</wp:posOffset>
            </wp:positionV>
            <wp:extent cx="630110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ESG Oversight</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Social and Governance Matters</w:t>
      </w:r>
    </w:p>
    <w:p>
      <w:pPr>
        <w:spacing w:after="0" w:line="92"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We believe that the Company is able to advance ESG-related considerations and that sound corporate citizenship includes responsiveness to ESG issues that materially impact our stakeholders and the communities in which we operate. We are committed to operating our business with integrity; focusing on material ESG issues; giving back to the communities we serve; being environmentally conscious; and improving the lives of workers involved in manufacturing our products. Our Nominations and Governance Committee has formal oversight of ESG related matters, including our governance-related policies and strategies on which we advance sustainability through our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4168140</wp:posOffset>
            </wp:positionH>
            <wp:positionV relativeFrom="paragraph">
              <wp:posOffset>119380</wp:posOffset>
            </wp:positionV>
            <wp:extent cx="23495" cy="1579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495" cy="157924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119380</wp:posOffset>
            </wp:positionV>
            <wp:extent cx="23495" cy="1579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495" cy="157924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374"/>
        </w:trPr>
        <w:tc>
          <w:tcPr>
            <w:tcW w:w="540" w:type="dxa"/>
            <w:vAlign w:val="bottom"/>
            <w:tcBorders>
              <w:top w:val="single" w:sz="8" w:color="88B14B"/>
            </w:tcBorders>
            <w:shd w:val="clear" w:color="auto" w:fill="F2F2F2"/>
          </w:tcPr>
          <w:p>
            <w:pPr>
              <w:spacing w:after="0"/>
              <w:rPr>
                <w:sz w:val="24"/>
                <w:szCs w:val="24"/>
                <w:color w:val="auto"/>
              </w:rPr>
            </w:pPr>
          </w:p>
        </w:tc>
        <w:tc>
          <w:tcPr>
            <w:tcW w:w="2860" w:type="dxa"/>
            <w:vAlign w:val="bottom"/>
            <w:tcBorders>
              <w:top w:val="single" w:sz="8" w:color="88B14B"/>
            </w:tcBorders>
            <w:shd w:val="clear" w:color="auto" w:fill="F2F2F2"/>
          </w:tcPr>
          <w:p>
            <w:pPr>
              <w:ind w:left="40"/>
              <w:spacing w:after="0"/>
              <w:rPr>
                <w:sz w:val="20"/>
                <w:szCs w:val="20"/>
                <w:color w:val="auto"/>
              </w:rPr>
            </w:pPr>
            <w:r>
              <w:rPr>
                <w:rFonts w:ascii="Arial" w:cs="Arial" w:eastAsia="Arial" w:hAnsi="Arial"/>
                <w:sz w:val="20"/>
                <w:szCs w:val="20"/>
                <w:b w:val="1"/>
                <w:bCs w:val="1"/>
                <w:color w:val="auto"/>
              </w:rPr>
              <w:t>Environmental</w:t>
            </w:r>
          </w:p>
        </w:tc>
        <w:tc>
          <w:tcPr>
            <w:tcW w:w="220" w:type="dxa"/>
            <w:vAlign w:val="bottom"/>
            <w:tcBorders>
              <w:top w:val="single" w:sz="8" w:color="88B14B"/>
            </w:tcBorders>
            <w:shd w:val="clear" w:color="auto" w:fill="F2F2F2"/>
          </w:tcPr>
          <w:p>
            <w:pPr>
              <w:spacing w:after="0"/>
              <w:rPr>
                <w:sz w:val="24"/>
                <w:szCs w:val="24"/>
                <w:color w:val="auto"/>
              </w:rPr>
            </w:pPr>
          </w:p>
        </w:tc>
        <w:tc>
          <w:tcPr>
            <w:tcW w:w="3020" w:type="dxa"/>
            <w:vAlign w:val="bottom"/>
            <w:tcBorders>
              <w:top w:val="single" w:sz="8" w:color="88B14B"/>
            </w:tcBorders>
            <w:shd w:val="clear" w:color="auto" w:fill="F2F2F2"/>
          </w:tcPr>
          <w:p>
            <w:pPr>
              <w:ind w:left="240"/>
              <w:spacing w:after="0"/>
              <w:rPr>
                <w:sz w:val="20"/>
                <w:szCs w:val="20"/>
                <w:color w:val="auto"/>
              </w:rPr>
            </w:pPr>
            <w:r>
              <w:rPr>
                <w:rFonts w:ascii="Arial" w:cs="Arial" w:eastAsia="Arial" w:hAnsi="Arial"/>
                <w:sz w:val="20"/>
                <w:szCs w:val="20"/>
                <w:b w:val="1"/>
                <w:bCs w:val="1"/>
                <w:color w:val="auto"/>
              </w:rPr>
              <w:t>Social</w:t>
            </w:r>
          </w:p>
        </w:tc>
        <w:tc>
          <w:tcPr>
            <w:tcW w:w="420" w:type="dxa"/>
            <w:vAlign w:val="bottom"/>
            <w:tcBorders>
              <w:top w:val="single" w:sz="8" w:color="88B14B"/>
            </w:tcBorders>
            <w:shd w:val="clear" w:color="auto" w:fill="F2F2F2"/>
          </w:tcPr>
          <w:p>
            <w:pPr>
              <w:spacing w:after="0"/>
              <w:rPr>
                <w:sz w:val="24"/>
                <w:szCs w:val="24"/>
                <w:color w:val="auto"/>
              </w:rPr>
            </w:pPr>
          </w:p>
        </w:tc>
        <w:tc>
          <w:tcPr>
            <w:tcW w:w="2860" w:type="dxa"/>
            <w:vAlign w:val="bottom"/>
            <w:tcBorders>
              <w:top w:val="single" w:sz="8" w:color="88B14B"/>
            </w:tcBorders>
            <w:gridSpan w:val="2"/>
            <w:shd w:val="clear" w:color="auto" w:fill="F2F2F2"/>
          </w:tcPr>
          <w:p>
            <w:pPr>
              <w:ind w:left="160"/>
              <w:spacing w:after="0"/>
              <w:rPr>
                <w:sz w:val="20"/>
                <w:szCs w:val="20"/>
                <w:color w:val="auto"/>
              </w:rPr>
            </w:pPr>
            <w:r>
              <w:rPr>
                <w:rFonts w:ascii="Arial" w:cs="Arial" w:eastAsia="Arial" w:hAnsi="Arial"/>
                <w:sz w:val="20"/>
                <w:szCs w:val="20"/>
                <w:b w:val="1"/>
                <w:bCs w:val="1"/>
                <w:color w:val="auto"/>
              </w:rPr>
              <w:t>Governance</w:t>
            </w:r>
          </w:p>
        </w:tc>
        <w:tc>
          <w:tcPr>
            <w:tcW w:w="0" w:type="dxa"/>
            <w:vAlign w:val="bottom"/>
          </w:tcPr>
          <w:p>
            <w:pPr>
              <w:spacing w:after="0"/>
              <w:rPr>
                <w:sz w:val="1"/>
                <w:szCs w:val="1"/>
                <w:color w:val="auto"/>
              </w:rPr>
            </w:pPr>
          </w:p>
        </w:tc>
      </w:tr>
      <w:tr>
        <w:trPr>
          <w:trHeight w:val="151"/>
        </w:trPr>
        <w:tc>
          <w:tcPr>
            <w:tcW w:w="540" w:type="dxa"/>
            <w:vAlign w:val="bottom"/>
            <w:shd w:val="clear" w:color="auto" w:fill="F2F2F2"/>
          </w:tcPr>
          <w:p>
            <w:pPr>
              <w:spacing w:after="0"/>
              <w:rPr>
                <w:sz w:val="13"/>
                <w:szCs w:val="13"/>
                <w:color w:val="auto"/>
              </w:rPr>
            </w:pPr>
          </w:p>
        </w:tc>
        <w:tc>
          <w:tcPr>
            <w:tcW w:w="2860" w:type="dxa"/>
            <w:vAlign w:val="bottom"/>
            <w:shd w:val="clear" w:color="auto" w:fill="F2F2F2"/>
          </w:tcPr>
          <w:p>
            <w:pPr>
              <w:spacing w:after="0"/>
              <w:rPr>
                <w:sz w:val="13"/>
                <w:szCs w:val="13"/>
                <w:color w:val="auto"/>
              </w:rPr>
            </w:pPr>
          </w:p>
        </w:tc>
        <w:tc>
          <w:tcPr>
            <w:tcW w:w="220" w:type="dxa"/>
            <w:vAlign w:val="bottom"/>
            <w:shd w:val="clear" w:color="auto" w:fill="F2F2F2"/>
          </w:tcPr>
          <w:p>
            <w:pPr>
              <w:spacing w:after="0"/>
              <w:rPr>
                <w:sz w:val="13"/>
                <w:szCs w:val="13"/>
                <w:color w:val="auto"/>
              </w:rPr>
            </w:pPr>
          </w:p>
        </w:tc>
        <w:tc>
          <w:tcPr>
            <w:tcW w:w="3020" w:type="dxa"/>
            <w:vAlign w:val="bottom"/>
            <w:shd w:val="clear" w:color="auto" w:fill="F2F2F2"/>
          </w:tcPr>
          <w:p>
            <w:pPr>
              <w:spacing w:after="0"/>
              <w:rPr>
                <w:sz w:val="13"/>
                <w:szCs w:val="13"/>
                <w:color w:val="auto"/>
              </w:rPr>
            </w:pPr>
          </w:p>
        </w:tc>
        <w:tc>
          <w:tcPr>
            <w:tcW w:w="420" w:type="dxa"/>
            <w:vAlign w:val="bottom"/>
            <w:shd w:val="clear" w:color="auto" w:fill="F2F2F2"/>
          </w:tcPr>
          <w:p>
            <w:pPr>
              <w:spacing w:after="0"/>
              <w:rPr>
                <w:sz w:val="13"/>
                <w:szCs w:val="13"/>
                <w:color w:val="auto"/>
              </w:rPr>
            </w:pPr>
          </w:p>
        </w:tc>
        <w:tc>
          <w:tcPr>
            <w:tcW w:w="2320" w:type="dxa"/>
            <w:vAlign w:val="bottom"/>
            <w:shd w:val="clear" w:color="auto" w:fill="F2F2F2"/>
          </w:tcPr>
          <w:p>
            <w:pPr>
              <w:spacing w:after="0"/>
              <w:rPr>
                <w:sz w:val="13"/>
                <w:szCs w:val="13"/>
                <w:color w:val="auto"/>
              </w:rPr>
            </w:pPr>
          </w:p>
        </w:tc>
        <w:tc>
          <w:tcPr>
            <w:tcW w:w="54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Reduced energy consumption in our</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Pr>
          <w:p>
            <w:pPr>
              <w:ind w:left="120"/>
              <w:spacing w:after="0"/>
              <w:rPr>
                <w:sz w:val="20"/>
                <w:szCs w:val="20"/>
                <w:color w:val="auto"/>
              </w:rPr>
            </w:pPr>
            <w:r>
              <w:rPr>
                <w:rFonts w:ascii="Arial" w:cs="Arial" w:eastAsia="Arial" w:hAnsi="Arial"/>
                <w:sz w:val="13"/>
                <w:szCs w:val="13"/>
                <w:color w:val="auto"/>
              </w:rPr>
              <w:t>Continuation of policies and training programs,</w:t>
            </w: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Maintain robust set of practices and policies to</w:t>
            </w:r>
          </w:p>
        </w:tc>
        <w:tc>
          <w:tcPr>
            <w:tcW w:w="0" w:type="dxa"/>
            <w:vAlign w:val="bottom"/>
          </w:tcPr>
          <w:p>
            <w:pPr>
              <w:spacing w:after="0"/>
              <w:rPr>
                <w:sz w:val="1"/>
                <w:szCs w:val="1"/>
                <w:color w:val="auto"/>
              </w:rPr>
            </w:pPr>
          </w:p>
        </w:tc>
      </w:tr>
      <w:tr>
        <w:trPr>
          <w:trHeight w:val="150"/>
        </w:trPr>
        <w:tc>
          <w:tcPr>
            <w:tcW w:w="3400" w:type="dxa"/>
            <w:vAlign w:val="bottom"/>
            <w:gridSpan w:val="2"/>
          </w:tcPr>
          <w:p>
            <w:pPr>
              <w:ind w:left="500"/>
              <w:spacing w:after="0"/>
              <w:rPr>
                <w:sz w:val="20"/>
                <w:szCs w:val="20"/>
                <w:color w:val="auto"/>
              </w:rPr>
            </w:pPr>
            <w:r>
              <w:rPr>
                <w:rFonts w:ascii="Arial" w:cs="Arial" w:eastAsia="Arial" w:hAnsi="Arial"/>
                <w:sz w:val="13"/>
                <w:szCs w:val="13"/>
                <w:color w:val="auto"/>
              </w:rPr>
              <w:t>manufacturing operations</w:t>
            </w:r>
          </w:p>
        </w:tc>
        <w:tc>
          <w:tcPr>
            <w:tcW w:w="2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and retained a proactive program of safety</w:t>
            </w:r>
          </w:p>
        </w:tc>
        <w:tc>
          <w:tcPr>
            <w:tcW w:w="420" w:type="dxa"/>
            <w:vAlign w:val="bottom"/>
          </w:tcPr>
          <w:p>
            <w:pPr>
              <w:spacing w:after="0"/>
              <w:rPr>
                <w:sz w:val="13"/>
                <w:szCs w:val="13"/>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ensure that our team is operating with integrity,</w:t>
            </w:r>
          </w:p>
        </w:tc>
        <w:tc>
          <w:tcPr>
            <w:tcW w:w="0" w:type="dxa"/>
            <w:vAlign w:val="bottom"/>
          </w:tcPr>
          <w:p>
            <w:pPr>
              <w:spacing w:after="0"/>
              <w:rPr>
                <w:sz w:val="1"/>
                <w:szCs w:val="1"/>
                <w:color w:val="auto"/>
              </w:rPr>
            </w:pPr>
          </w:p>
        </w:tc>
      </w:tr>
      <w:tr>
        <w:trPr>
          <w:trHeight w:val="150"/>
        </w:trPr>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Continued investment in recycling programs</w:t>
            </w:r>
          </w:p>
        </w:tc>
        <w:tc>
          <w:tcPr>
            <w:tcW w:w="2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scorecards and best practice sharing between</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honestly, fairness and accountability</w:t>
            </w:r>
          </w:p>
        </w:tc>
        <w:tc>
          <w:tcPr>
            <w:tcW w:w="0" w:type="dxa"/>
            <w:vAlign w:val="bottom"/>
          </w:tcPr>
          <w:p>
            <w:pPr>
              <w:spacing w:after="0"/>
              <w:rPr>
                <w:sz w:val="1"/>
                <w:szCs w:val="1"/>
                <w:color w:val="auto"/>
              </w:rPr>
            </w:pPr>
          </w:p>
        </w:tc>
      </w:tr>
      <w:tr>
        <w:trPr>
          <w:trHeight w:val="150"/>
        </w:trPr>
        <w:tc>
          <w:tcPr>
            <w:tcW w:w="3400" w:type="dxa"/>
            <w:vAlign w:val="bottom"/>
            <w:gridSpan w:val="2"/>
          </w:tcPr>
          <w:p>
            <w:pPr>
              <w:ind w:left="500"/>
              <w:spacing w:after="0"/>
              <w:rPr>
                <w:sz w:val="20"/>
                <w:szCs w:val="20"/>
                <w:color w:val="auto"/>
              </w:rPr>
            </w:pPr>
            <w:r>
              <w:rPr>
                <w:rFonts w:ascii="Arial" w:cs="Arial" w:eastAsia="Arial" w:hAnsi="Arial"/>
                <w:sz w:val="13"/>
                <w:szCs w:val="13"/>
                <w:color w:val="auto"/>
              </w:rPr>
              <w:t>across office and manufacturing operations</w:t>
            </w:r>
          </w:p>
        </w:tc>
        <w:tc>
          <w:tcPr>
            <w:tcW w:w="2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manufacturing sites</w:t>
            </w:r>
          </w:p>
        </w:tc>
        <w:tc>
          <w:tcPr>
            <w:tcW w:w="420" w:type="dxa"/>
            <w:vAlign w:val="bottom"/>
            <w:vMerge w:val="continue"/>
          </w:tcPr>
          <w:p>
            <w:pPr>
              <w:spacing w:after="0"/>
              <w:rPr>
                <w:sz w:val="13"/>
                <w:szCs w:val="13"/>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Our Human Rights Policy reinforces our</w:t>
            </w:r>
          </w:p>
        </w:tc>
        <w:tc>
          <w:tcPr>
            <w:tcW w:w="0" w:type="dxa"/>
            <w:vAlign w:val="bottom"/>
          </w:tcPr>
          <w:p>
            <w:pPr>
              <w:spacing w:after="0"/>
              <w:rPr>
                <w:sz w:val="1"/>
                <w:szCs w:val="1"/>
                <w:color w:val="auto"/>
              </w:rPr>
            </w:pPr>
          </w:p>
        </w:tc>
      </w:tr>
      <w:tr>
        <w:trPr>
          <w:trHeight w:val="150"/>
        </w:trPr>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Continued efforts to reduce greenhouse gas</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Pr>
          <w:p>
            <w:pPr>
              <w:ind w:left="120"/>
              <w:spacing w:after="0"/>
              <w:rPr>
                <w:sz w:val="20"/>
                <w:szCs w:val="20"/>
                <w:color w:val="auto"/>
              </w:rPr>
            </w:pPr>
            <w:r>
              <w:rPr>
                <w:rFonts w:ascii="Arial" w:cs="Arial" w:eastAsia="Arial" w:hAnsi="Arial"/>
                <w:sz w:val="13"/>
                <w:szCs w:val="13"/>
                <w:color w:val="auto"/>
              </w:rPr>
              <w:t>Maintained CECO Living WELL work program,</w:t>
            </w:r>
          </w:p>
        </w:tc>
        <w:tc>
          <w:tcPr>
            <w:tcW w:w="420" w:type="dxa"/>
            <w:vAlign w:val="bottom"/>
          </w:tcPr>
          <w:p>
            <w:pPr>
              <w:spacing w:after="0"/>
              <w:rPr>
                <w:sz w:val="13"/>
                <w:szCs w:val="13"/>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commitment to treating all people with dignity</w:t>
            </w:r>
          </w:p>
        </w:tc>
        <w:tc>
          <w:tcPr>
            <w:tcW w:w="0" w:type="dxa"/>
            <w:vAlign w:val="bottom"/>
          </w:tcPr>
          <w:p>
            <w:pPr>
              <w:spacing w:after="0"/>
              <w:rPr>
                <w:sz w:val="1"/>
                <w:szCs w:val="1"/>
                <w:color w:val="auto"/>
              </w:rPr>
            </w:pPr>
          </w:p>
        </w:tc>
      </w:tr>
      <w:tr>
        <w:trPr>
          <w:trHeight w:val="150"/>
        </w:trPr>
        <w:tc>
          <w:tcPr>
            <w:tcW w:w="3400" w:type="dxa"/>
            <w:vAlign w:val="bottom"/>
            <w:gridSpan w:val="2"/>
          </w:tcPr>
          <w:p>
            <w:pPr>
              <w:ind w:left="500"/>
              <w:spacing w:after="0"/>
              <w:rPr>
                <w:sz w:val="20"/>
                <w:szCs w:val="20"/>
                <w:color w:val="auto"/>
              </w:rPr>
            </w:pPr>
            <w:r>
              <w:rPr>
                <w:rFonts w:ascii="Arial" w:cs="Arial" w:eastAsia="Arial" w:hAnsi="Arial"/>
                <w:sz w:val="13"/>
                <w:szCs w:val="13"/>
                <w:color w:val="auto"/>
              </w:rPr>
              <w:t>emissions</w:t>
            </w:r>
          </w:p>
        </w:tc>
        <w:tc>
          <w:tcPr>
            <w:tcW w:w="2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encouraging employees to live healthier lives</w:t>
            </w:r>
          </w:p>
        </w:tc>
        <w:tc>
          <w:tcPr>
            <w:tcW w:w="420" w:type="dxa"/>
            <w:vAlign w:val="bottom"/>
          </w:tcPr>
          <w:p>
            <w:pPr>
              <w:spacing w:after="0"/>
              <w:rPr>
                <w:sz w:val="13"/>
                <w:szCs w:val="13"/>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and respect</w:t>
            </w:r>
          </w:p>
        </w:tc>
        <w:tc>
          <w:tcPr>
            <w:tcW w:w="0" w:type="dxa"/>
            <w:vAlign w:val="bottom"/>
          </w:tcPr>
          <w:p>
            <w:pPr>
              <w:spacing w:after="0"/>
              <w:rPr>
                <w:sz w:val="1"/>
                <w:szCs w:val="1"/>
                <w:color w:val="auto"/>
              </w:rPr>
            </w:pPr>
          </w:p>
        </w:tc>
      </w:tr>
      <w:tr>
        <w:trPr>
          <w:trHeight w:val="150"/>
        </w:trPr>
        <w:tc>
          <w:tcPr>
            <w:tcW w:w="340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Provide products, services and solutions for</w:t>
            </w:r>
          </w:p>
        </w:tc>
        <w:tc>
          <w:tcPr>
            <w:tcW w:w="2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Pr>
          <w:p>
            <w:pPr>
              <w:ind w:left="120"/>
              <w:spacing w:after="0"/>
              <w:rPr>
                <w:sz w:val="20"/>
                <w:szCs w:val="20"/>
                <w:color w:val="auto"/>
              </w:rPr>
            </w:pPr>
            <w:r>
              <w:rPr>
                <w:rFonts w:ascii="Arial" w:cs="Arial" w:eastAsia="Arial" w:hAnsi="Arial"/>
                <w:sz w:val="13"/>
                <w:szCs w:val="13"/>
                <w:color w:val="auto"/>
              </w:rPr>
              <w:t>Grew investment toward employee</w:t>
            </w: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Employees and any external party can report</w:t>
            </w:r>
          </w:p>
        </w:tc>
        <w:tc>
          <w:tcPr>
            <w:tcW w:w="0" w:type="dxa"/>
            <w:vAlign w:val="bottom"/>
          </w:tcPr>
          <w:p>
            <w:pPr>
              <w:spacing w:after="0"/>
              <w:rPr>
                <w:sz w:val="1"/>
                <w:szCs w:val="1"/>
                <w:color w:val="auto"/>
              </w:rPr>
            </w:pPr>
          </w:p>
        </w:tc>
      </w:tr>
      <w:tr>
        <w:trPr>
          <w:trHeight w:val="150"/>
        </w:trPr>
        <w:tc>
          <w:tcPr>
            <w:tcW w:w="3400" w:type="dxa"/>
            <w:vAlign w:val="bottom"/>
            <w:gridSpan w:val="2"/>
          </w:tcPr>
          <w:p>
            <w:pPr>
              <w:ind w:left="500"/>
              <w:spacing w:after="0"/>
              <w:rPr>
                <w:sz w:val="20"/>
                <w:szCs w:val="20"/>
                <w:color w:val="auto"/>
              </w:rPr>
            </w:pPr>
            <w:r>
              <w:rPr>
                <w:rFonts w:ascii="Arial" w:cs="Arial" w:eastAsia="Arial" w:hAnsi="Arial"/>
                <w:sz w:val="13"/>
                <w:szCs w:val="13"/>
                <w:color w:val="auto"/>
              </w:rPr>
              <w:t>our customers that lead to reduced</w:t>
            </w:r>
          </w:p>
        </w:tc>
        <w:tc>
          <w:tcPr>
            <w:tcW w:w="2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development initiatives that provide employees</w:t>
            </w:r>
          </w:p>
        </w:tc>
        <w:tc>
          <w:tcPr>
            <w:tcW w:w="420" w:type="dxa"/>
            <w:vAlign w:val="bottom"/>
          </w:tcPr>
          <w:p>
            <w:pPr>
              <w:spacing w:after="0"/>
              <w:rPr>
                <w:sz w:val="13"/>
                <w:szCs w:val="13"/>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concerns to CECO’s anonymous Ethics</w:t>
            </w:r>
          </w:p>
        </w:tc>
        <w:tc>
          <w:tcPr>
            <w:tcW w:w="0" w:type="dxa"/>
            <w:vAlign w:val="bottom"/>
          </w:tcPr>
          <w:p>
            <w:pPr>
              <w:spacing w:after="0"/>
              <w:rPr>
                <w:sz w:val="1"/>
                <w:szCs w:val="1"/>
                <w:color w:val="auto"/>
              </w:rPr>
            </w:pPr>
          </w:p>
        </w:tc>
      </w:tr>
      <w:tr>
        <w:trPr>
          <w:trHeight w:val="150"/>
        </w:trPr>
        <w:tc>
          <w:tcPr>
            <w:tcW w:w="3400" w:type="dxa"/>
            <w:vAlign w:val="bottom"/>
            <w:gridSpan w:val="2"/>
          </w:tcPr>
          <w:p>
            <w:pPr>
              <w:ind w:left="500"/>
              <w:spacing w:after="0"/>
              <w:rPr>
                <w:sz w:val="20"/>
                <w:szCs w:val="20"/>
                <w:color w:val="auto"/>
              </w:rPr>
            </w:pPr>
            <w:r>
              <w:rPr>
                <w:rFonts w:ascii="Arial" w:cs="Arial" w:eastAsia="Arial" w:hAnsi="Arial"/>
                <w:sz w:val="13"/>
                <w:szCs w:val="13"/>
                <w:color w:val="auto"/>
              </w:rPr>
              <w:t>environmental pollutant impact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3020" w:type="dxa"/>
            <w:vAlign w:val="bottom"/>
          </w:tcPr>
          <w:p>
            <w:pPr>
              <w:ind w:left="120"/>
              <w:spacing w:after="0"/>
              <w:rPr>
                <w:sz w:val="20"/>
                <w:szCs w:val="20"/>
                <w:color w:val="auto"/>
              </w:rPr>
            </w:pPr>
            <w:r>
              <w:rPr>
                <w:rFonts w:ascii="Arial" w:cs="Arial" w:eastAsia="Arial" w:hAnsi="Arial"/>
                <w:sz w:val="13"/>
                <w:szCs w:val="13"/>
                <w:color w:val="auto"/>
              </w:rPr>
              <w:t>and leaders with tools and skills they need</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Hotline</w:t>
            </w:r>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Set goals to strengthen our diversity, equity and</w:t>
            </w:r>
          </w:p>
        </w:tc>
        <w:tc>
          <w:tcPr>
            <w:tcW w:w="420" w:type="dxa"/>
            <w:vAlign w:val="bottom"/>
            <w:vMerge w:val="continue"/>
          </w:tcPr>
          <w:p>
            <w:pPr>
              <w:spacing w:after="0"/>
              <w:rPr>
                <w:sz w:val="13"/>
                <w:szCs w:val="13"/>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Require cybersecurity awareness training</w:t>
            </w:r>
          </w:p>
        </w:tc>
        <w:tc>
          <w:tcPr>
            <w:tcW w:w="0" w:type="dxa"/>
            <w:vAlign w:val="bottom"/>
          </w:tcPr>
          <w:p>
            <w:pPr>
              <w:spacing w:after="0"/>
              <w:rPr>
                <w:sz w:val="1"/>
                <w:szCs w:val="1"/>
                <w:color w:val="auto"/>
              </w:rPr>
            </w:pPr>
          </w:p>
        </w:tc>
      </w:tr>
      <w:tr>
        <w:trPr>
          <w:trHeight w:val="150"/>
        </w:trPr>
        <w:tc>
          <w:tcPr>
            <w:tcW w:w="54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inclusion (DEI) commitments and management</w:t>
            </w:r>
          </w:p>
        </w:tc>
        <w:tc>
          <w:tcPr>
            <w:tcW w:w="4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Require regular training that reinforces policies</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20" w:type="dxa"/>
            <w:vAlign w:val="bottom"/>
          </w:tcPr>
          <w:p>
            <w:pPr>
              <w:ind w:left="120"/>
              <w:spacing w:after="0"/>
              <w:rPr>
                <w:sz w:val="20"/>
                <w:szCs w:val="20"/>
                <w:color w:val="auto"/>
              </w:rPr>
            </w:pPr>
            <w:r>
              <w:rPr>
                <w:rFonts w:ascii="Arial" w:cs="Arial" w:eastAsia="Arial" w:hAnsi="Arial"/>
                <w:sz w:val="13"/>
                <w:szCs w:val="13"/>
                <w:color w:val="auto"/>
              </w:rPr>
              <w:t>plan</w:t>
            </w:r>
          </w:p>
        </w:tc>
        <w:tc>
          <w:tcPr>
            <w:tcW w:w="420" w:type="dxa"/>
            <w:vAlign w:val="bottom"/>
          </w:tcPr>
          <w:p>
            <w:pPr>
              <w:spacing w:after="0"/>
              <w:rPr>
                <w:sz w:val="15"/>
                <w:szCs w:val="15"/>
                <w:color w:val="auto"/>
              </w:rPr>
            </w:pPr>
          </w:p>
        </w:tc>
        <w:tc>
          <w:tcPr>
            <w:tcW w:w="2860" w:type="dxa"/>
            <w:vAlign w:val="bottom"/>
            <w:gridSpan w:val="2"/>
          </w:tcPr>
          <w:p>
            <w:pPr>
              <w:ind w:left="20"/>
              <w:spacing w:after="0"/>
              <w:rPr>
                <w:sz w:val="20"/>
                <w:szCs w:val="20"/>
                <w:color w:val="auto"/>
              </w:rPr>
            </w:pPr>
            <w:r>
              <w:rPr>
                <w:rFonts w:ascii="Arial" w:cs="Arial" w:eastAsia="Arial" w:hAnsi="Arial"/>
                <w:sz w:val="13"/>
                <w:szCs w:val="13"/>
                <w:color w:val="auto"/>
              </w:rPr>
              <w:t>such as sexual harassment and anti-bullying</w:t>
            </w:r>
          </w:p>
        </w:tc>
        <w:tc>
          <w:tcPr>
            <w:tcW w:w="0" w:type="dxa"/>
            <w:vAlign w:val="bottom"/>
          </w:tcPr>
          <w:p>
            <w:pPr>
              <w:spacing w:after="0"/>
              <w:rPr>
                <w:sz w:val="1"/>
                <w:szCs w:val="1"/>
                <w:color w:val="auto"/>
              </w:rPr>
            </w:pPr>
          </w:p>
        </w:tc>
      </w:tr>
      <w:tr>
        <w:trPr>
          <w:trHeight w:val="58"/>
        </w:trPr>
        <w:tc>
          <w:tcPr>
            <w:tcW w:w="540" w:type="dxa"/>
            <w:vAlign w:val="bottom"/>
            <w:tcBorders>
              <w:bottom w:val="single" w:sz="8" w:color="A1B657"/>
            </w:tcBorders>
          </w:tcPr>
          <w:p>
            <w:pPr>
              <w:spacing w:after="0"/>
              <w:rPr>
                <w:sz w:val="5"/>
                <w:szCs w:val="5"/>
                <w:color w:val="auto"/>
              </w:rPr>
            </w:pPr>
          </w:p>
        </w:tc>
        <w:tc>
          <w:tcPr>
            <w:tcW w:w="2860" w:type="dxa"/>
            <w:vAlign w:val="bottom"/>
            <w:tcBorders>
              <w:bottom w:val="single" w:sz="8" w:color="A1B657"/>
            </w:tcBorders>
          </w:tcPr>
          <w:p>
            <w:pPr>
              <w:spacing w:after="0"/>
              <w:rPr>
                <w:sz w:val="5"/>
                <w:szCs w:val="5"/>
                <w:color w:val="auto"/>
              </w:rPr>
            </w:pPr>
          </w:p>
        </w:tc>
        <w:tc>
          <w:tcPr>
            <w:tcW w:w="220" w:type="dxa"/>
            <w:vAlign w:val="bottom"/>
            <w:tcBorders>
              <w:bottom w:val="single" w:sz="8" w:color="A1B657"/>
            </w:tcBorders>
          </w:tcPr>
          <w:p>
            <w:pPr>
              <w:spacing w:after="0"/>
              <w:rPr>
                <w:sz w:val="5"/>
                <w:szCs w:val="5"/>
                <w:color w:val="auto"/>
              </w:rPr>
            </w:pPr>
          </w:p>
        </w:tc>
        <w:tc>
          <w:tcPr>
            <w:tcW w:w="3020" w:type="dxa"/>
            <w:vAlign w:val="bottom"/>
            <w:tcBorders>
              <w:bottom w:val="single" w:sz="8" w:color="A1B657"/>
            </w:tcBorders>
          </w:tcPr>
          <w:p>
            <w:pPr>
              <w:spacing w:after="0"/>
              <w:rPr>
                <w:sz w:val="5"/>
                <w:szCs w:val="5"/>
                <w:color w:val="auto"/>
              </w:rPr>
            </w:pPr>
          </w:p>
        </w:tc>
        <w:tc>
          <w:tcPr>
            <w:tcW w:w="420" w:type="dxa"/>
            <w:vAlign w:val="bottom"/>
            <w:tcBorders>
              <w:bottom w:val="single" w:sz="8" w:color="A1B657"/>
            </w:tcBorders>
          </w:tcPr>
          <w:p>
            <w:pPr>
              <w:spacing w:after="0"/>
              <w:rPr>
                <w:sz w:val="5"/>
                <w:szCs w:val="5"/>
                <w:color w:val="auto"/>
              </w:rPr>
            </w:pPr>
          </w:p>
        </w:tc>
        <w:tc>
          <w:tcPr>
            <w:tcW w:w="2320" w:type="dxa"/>
            <w:vAlign w:val="bottom"/>
            <w:tcBorders>
              <w:bottom w:val="single" w:sz="8" w:color="A1B657"/>
            </w:tcBorders>
          </w:tcPr>
          <w:p>
            <w:pPr>
              <w:spacing w:after="0"/>
              <w:rPr>
                <w:sz w:val="5"/>
                <w:szCs w:val="5"/>
                <w:color w:val="auto"/>
              </w:rPr>
            </w:pPr>
          </w:p>
        </w:tc>
        <w:tc>
          <w:tcPr>
            <w:tcW w:w="540" w:type="dxa"/>
            <w:vAlign w:val="bottom"/>
            <w:tcBorders>
              <w:bottom w:val="single" w:sz="8" w:color="A1B657"/>
            </w:tcBorders>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400" w:type="dxa"/>
            <w:vAlign w:val="bottom"/>
            <w:gridSpan w:val="2"/>
          </w:tcPr>
          <w:p>
            <w:pPr>
              <w:spacing w:after="0"/>
              <w:rPr>
                <w:sz w:val="20"/>
                <w:szCs w:val="20"/>
                <w:color w:val="auto"/>
              </w:rPr>
            </w:pPr>
            <w:r>
              <w:rPr>
                <w:rFonts w:ascii="Arial" w:cs="Arial" w:eastAsia="Arial" w:hAnsi="Arial"/>
                <w:sz w:val="17"/>
                <w:szCs w:val="17"/>
                <w:b w:val="1"/>
                <w:bCs w:val="1"/>
                <w:color w:val="A1B657"/>
              </w:rPr>
              <w:t>Director Qualifications and Diversity</w:t>
            </w:r>
          </w:p>
        </w:tc>
        <w:tc>
          <w:tcPr>
            <w:tcW w:w="2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286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Board Diversity Matrix (as of March 31, 2023)</w:t>
            </w:r>
          </w:p>
        </w:tc>
        <w:tc>
          <w:tcPr>
            <w:tcW w:w="220" w:type="dxa"/>
            <w:vAlign w:val="bottom"/>
            <w:tcBorders>
              <w:bottom w:val="single" w:sz="8" w:color="405788"/>
            </w:tcBorders>
          </w:tcPr>
          <w:p>
            <w:pPr>
              <w:spacing w:after="0"/>
              <w:rPr>
                <w:sz w:val="21"/>
                <w:szCs w:val="21"/>
                <w:color w:val="auto"/>
              </w:rPr>
            </w:pPr>
          </w:p>
        </w:tc>
        <w:tc>
          <w:tcPr>
            <w:tcW w:w="3020" w:type="dxa"/>
            <w:vAlign w:val="bottom"/>
            <w:tcBorders>
              <w:bottom w:val="single" w:sz="8" w:color="405788"/>
            </w:tcBorders>
          </w:tcPr>
          <w:p>
            <w:pPr>
              <w:spacing w:after="0"/>
              <w:rPr>
                <w:sz w:val="21"/>
                <w:szCs w:val="21"/>
                <w:color w:val="auto"/>
              </w:rPr>
            </w:pPr>
          </w:p>
        </w:tc>
        <w:tc>
          <w:tcPr>
            <w:tcW w:w="420" w:type="dxa"/>
            <w:vAlign w:val="bottom"/>
            <w:tcBorders>
              <w:bottom w:val="single" w:sz="8" w:color="405788"/>
            </w:tcBorders>
          </w:tcPr>
          <w:p>
            <w:pPr>
              <w:spacing w:after="0"/>
              <w:rPr>
                <w:sz w:val="21"/>
                <w:szCs w:val="21"/>
                <w:color w:val="auto"/>
              </w:rPr>
            </w:pPr>
          </w:p>
        </w:tc>
        <w:tc>
          <w:tcPr>
            <w:tcW w:w="2320" w:type="dxa"/>
            <w:vAlign w:val="bottom"/>
            <w:tcBorders>
              <w:bottom w:val="single" w:sz="8" w:color="405788"/>
            </w:tcBorders>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8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Total Number of Directors</w:t>
            </w:r>
          </w:p>
        </w:tc>
        <w:tc>
          <w:tcPr>
            <w:tcW w:w="220" w:type="dxa"/>
            <w:vAlign w:val="bottom"/>
            <w:tcBorders>
              <w:bottom w:val="single" w:sz="8" w:color="D9D9D9"/>
            </w:tcBorders>
          </w:tcPr>
          <w:p>
            <w:pPr>
              <w:spacing w:after="0"/>
              <w:rPr>
                <w:sz w:val="16"/>
                <w:szCs w:val="16"/>
                <w:color w:val="auto"/>
              </w:rPr>
            </w:pPr>
          </w:p>
        </w:tc>
        <w:tc>
          <w:tcPr>
            <w:tcW w:w="302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2320" w:type="dxa"/>
            <w:vAlign w:val="bottom"/>
            <w:tcBorders>
              <w:bottom w:val="single" w:sz="8" w:color="D9D9D9"/>
            </w:tcBorders>
          </w:tcPr>
          <w:p>
            <w:pPr>
              <w:ind w:left="580"/>
              <w:spacing w:after="0" w:line="188" w:lineRule="exact"/>
              <w:rPr>
                <w:sz w:val="20"/>
                <w:szCs w:val="20"/>
                <w:color w:val="auto"/>
              </w:rPr>
            </w:pPr>
            <w:r>
              <w:rPr>
                <w:rFonts w:ascii="Arial" w:cs="Arial" w:eastAsia="Arial" w:hAnsi="Arial"/>
                <w:sz w:val="17"/>
                <w:szCs w:val="17"/>
                <w:color w:val="auto"/>
              </w:rPr>
              <w:t>8</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860" w:type="dxa"/>
            <w:vAlign w:val="bottom"/>
            <w:tcBorders>
              <w:bottom w:val="single" w:sz="8" w:color="D9D9D9"/>
            </w:tcBorders>
          </w:tcPr>
          <w:p>
            <w:pPr>
              <w:spacing w:after="0"/>
              <w:rPr>
                <w:sz w:val="16"/>
                <w:szCs w:val="16"/>
                <w:color w:val="auto"/>
              </w:rPr>
            </w:pPr>
          </w:p>
        </w:tc>
        <w:tc>
          <w:tcPr>
            <w:tcW w:w="220" w:type="dxa"/>
            <w:vAlign w:val="bottom"/>
            <w:tcBorders>
              <w:bottom w:val="single" w:sz="8" w:color="D9D9D9"/>
            </w:tcBorders>
          </w:tcPr>
          <w:p>
            <w:pPr>
              <w:spacing w:after="0"/>
              <w:rPr>
                <w:sz w:val="16"/>
                <w:szCs w:val="16"/>
                <w:color w:val="auto"/>
              </w:rPr>
            </w:pPr>
          </w:p>
        </w:tc>
        <w:tc>
          <w:tcPr>
            <w:tcW w:w="3440" w:type="dxa"/>
            <w:vAlign w:val="bottom"/>
            <w:tcBorders>
              <w:bottom w:val="single" w:sz="8" w:color="D9D9D9"/>
            </w:tcBorders>
            <w:gridSpan w:val="2"/>
          </w:tcPr>
          <w:p>
            <w:pPr>
              <w:ind w:left="2880"/>
              <w:spacing w:after="0" w:line="188" w:lineRule="exact"/>
              <w:rPr>
                <w:sz w:val="20"/>
                <w:szCs w:val="20"/>
                <w:color w:val="auto"/>
              </w:rPr>
            </w:pPr>
            <w:r>
              <w:rPr>
                <w:rFonts w:ascii="Arial" w:cs="Arial" w:eastAsia="Arial" w:hAnsi="Arial"/>
                <w:sz w:val="17"/>
                <w:szCs w:val="17"/>
                <w:color w:val="auto"/>
                <w:w w:val="95"/>
              </w:rPr>
              <w:t>Female</w:t>
            </w:r>
          </w:p>
        </w:tc>
        <w:tc>
          <w:tcPr>
            <w:tcW w:w="2320" w:type="dxa"/>
            <w:vAlign w:val="bottom"/>
            <w:tcBorders>
              <w:bottom w:val="single" w:sz="8" w:color="D9D9D9"/>
            </w:tcBorders>
          </w:tcPr>
          <w:p>
            <w:pPr>
              <w:ind w:left="1360"/>
              <w:spacing w:after="0" w:line="188" w:lineRule="exact"/>
              <w:rPr>
                <w:sz w:val="20"/>
                <w:szCs w:val="20"/>
                <w:color w:val="auto"/>
              </w:rPr>
            </w:pPr>
            <w:r>
              <w:rPr>
                <w:rFonts w:ascii="Arial" w:cs="Arial" w:eastAsia="Arial" w:hAnsi="Arial"/>
                <w:sz w:val="17"/>
                <w:szCs w:val="17"/>
                <w:color w:val="auto"/>
              </w:rPr>
              <w:t>Male</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8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b w:val="1"/>
                <w:bCs w:val="1"/>
                <w:color w:val="auto"/>
              </w:rPr>
              <w:t>Part I: Gender Identity</w:t>
            </w:r>
          </w:p>
        </w:tc>
        <w:tc>
          <w:tcPr>
            <w:tcW w:w="220" w:type="dxa"/>
            <w:vAlign w:val="bottom"/>
            <w:tcBorders>
              <w:bottom w:val="single" w:sz="8" w:color="D9D9D9"/>
            </w:tcBorders>
          </w:tcPr>
          <w:p>
            <w:pPr>
              <w:spacing w:after="0"/>
              <w:rPr>
                <w:sz w:val="16"/>
                <w:szCs w:val="16"/>
                <w:color w:val="auto"/>
              </w:rPr>
            </w:pPr>
          </w:p>
        </w:tc>
        <w:tc>
          <w:tcPr>
            <w:tcW w:w="302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2320" w:type="dxa"/>
            <w:vAlign w:val="bottom"/>
            <w:tcBorders>
              <w:bottom w:val="single" w:sz="8" w:color="D9D9D9"/>
            </w:tcBorders>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8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Directors</w:t>
            </w:r>
          </w:p>
        </w:tc>
        <w:tc>
          <w:tcPr>
            <w:tcW w:w="220" w:type="dxa"/>
            <w:vAlign w:val="bottom"/>
            <w:tcBorders>
              <w:bottom w:val="single" w:sz="8" w:color="D9D9D9"/>
            </w:tcBorders>
          </w:tcPr>
          <w:p>
            <w:pPr>
              <w:spacing w:after="0"/>
              <w:rPr>
                <w:sz w:val="16"/>
                <w:szCs w:val="16"/>
                <w:color w:val="auto"/>
              </w:rPr>
            </w:pPr>
          </w:p>
        </w:tc>
        <w:tc>
          <w:tcPr>
            <w:tcW w:w="302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ind w:left="100"/>
              <w:spacing w:after="0" w:line="188" w:lineRule="exact"/>
              <w:rPr>
                <w:sz w:val="20"/>
                <w:szCs w:val="20"/>
                <w:color w:val="auto"/>
              </w:rPr>
            </w:pPr>
            <w:r>
              <w:rPr>
                <w:rFonts w:ascii="Arial" w:cs="Arial" w:eastAsia="Arial" w:hAnsi="Arial"/>
                <w:sz w:val="17"/>
                <w:szCs w:val="17"/>
                <w:color w:val="auto"/>
              </w:rPr>
              <w:t>2</w:t>
            </w:r>
          </w:p>
        </w:tc>
        <w:tc>
          <w:tcPr>
            <w:tcW w:w="2320" w:type="dxa"/>
            <w:vAlign w:val="bottom"/>
            <w:tcBorders>
              <w:bottom w:val="single" w:sz="8" w:color="D9D9D9"/>
            </w:tcBorders>
          </w:tcPr>
          <w:p>
            <w:pPr>
              <w:ind w:left="1500"/>
              <w:spacing w:after="0" w:line="188" w:lineRule="exact"/>
              <w:rPr>
                <w:sz w:val="20"/>
                <w:szCs w:val="20"/>
                <w:color w:val="auto"/>
              </w:rPr>
            </w:pPr>
            <w:r>
              <w:rPr>
                <w:rFonts w:ascii="Arial" w:cs="Arial" w:eastAsia="Arial" w:hAnsi="Arial"/>
                <w:sz w:val="17"/>
                <w:szCs w:val="17"/>
                <w:color w:val="auto"/>
              </w:rPr>
              <w:t>6</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8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b w:val="1"/>
                <w:bCs w:val="1"/>
                <w:color w:val="auto"/>
              </w:rPr>
              <w:t>Part II: Demographic Background</w:t>
            </w:r>
          </w:p>
        </w:tc>
        <w:tc>
          <w:tcPr>
            <w:tcW w:w="220" w:type="dxa"/>
            <w:vAlign w:val="bottom"/>
            <w:tcBorders>
              <w:bottom w:val="single" w:sz="8" w:color="D9D9D9"/>
            </w:tcBorders>
          </w:tcPr>
          <w:p>
            <w:pPr>
              <w:spacing w:after="0"/>
              <w:rPr>
                <w:sz w:val="16"/>
                <w:szCs w:val="16"/>
                <w:color w:val="auto"/>
              </w:rPr>
            </w:pPr>
          </w:p>
        </w:tc>
        <w:tc>
          <w:tcPr>
            <w:tcW w:w="302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2320" w:type="dxa"/>
            <w:vAlign w:val="bottom"/>
            <w:tcBorders>
              <w:bottom w:val="single" w:sz="8" w:color="D9D9D9"/>
            </w:tcBorders>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8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Asian</w:t>
            </w:r>
          </w:p>
        </w:tc>
        <w:tc>
          <w:tcPr>
            <w:tcW w:w="220" w:type="dxa"/>
            <w:vAlign w:val="bottom"/>
            <w:tcBorders>
              <w:bottom w:val="single" w:sz="8" w:color="D9D9D9"/>
            </w:tcBorders>
          </w:tcPr>
          <w:p>
            <w:pPr>
              <w:spacing w:after="0"/>
              <w:rPr>
                <w:sz w:val="16"/>
                <w:szCs w:val="16"/>
                <w:color w:val="auto"/>
              </w:rPr>
            </w:pPr>
          </w:p>
        </w:tc>
        <w:tc>
          <w:tcPr>
            <w:tcW w:w="302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2320" w:type="dxa"/>
            <w:vAlign w:val="bottom"/>
            <w:tcBorders>
              <w:bottom w:val="single" w:sz="8" w:color="D9D9D9"/>
            </w:tcBorders>
          </w:tcPr>
          <w:p>
            <w:pPr>
              <w:ind w:left="1500"/>
              <w:spacing w:after="0" w:line="188" w:lineRule="exact"/>
              <w:rPr>
                <w:sz w:val="20"/>
                <w:szCs w:val="20"/>
                <w:color w:val="auto"/>
              </w:rPr>
            </w:pPr>
            <w:r>
              <w:rPr>
                <w:rFonts w:ascii="Arial" w:cs="Arial" w:eastAsia="Arial" w:hAnsi="Arial"/>
                <w:sz w:val="17"/>
                <w:szCs w:val="17"/>
                <w:color w:val="auto"/>
              </w:rPr>
              <w:t>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8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African American or Black</w:t>
            </w:r>
          </w:p>
        </w:tc>
        <w:tc>
          <w:tcPr>
            <w:tcW w:w="220" w:type="dxa"/>
            <w:vAlign w:val="bottom"/>
            <w:tcBorders>
              <w:bottom w:val="single" w:sz="8" w:color="D9D9D9"/>
            </w:tcBorders>
          </w:tcPr>
          <w:p>
            <w:pPr>
              <w:spacing w:after="0"/>
              <w:rPr>
                <w:sz w:val="16"/>
                <w:szCs w:val="16"/>
                <w:color w:val="auto"/>
              </w:rPr>
            </w:pPr>
          </w:p>
        </w:tc>
        <w:tc>
          <w:tcPr>
            <w:tcW w:w="3020" w:type="dxa"/>
            <w:vAlign w:val="bottom"/>
            <w:tcBorders>
              <w:bottom w:val="single" w:sz="8" w:color="D9D9D9"/>
            </w:tcBorders>
          </w:tcPr>
          <w:p>
            <w:pPr>
              <w:spacing w:after="0"/>
              <w:rPr>
                <w:sz w:val="16"/>
                <w:szCs w:val="16"/>
                <w:color w:val="auto"/>
              </w:rPr>
            </w:pPr>
          </w:p>
        </w:tc>
        <w:tc>
          <w:tcPr>
            <w:tcW w:w="420" w:type="dxa"/>
            <w:vAlign w:val="bottom"/>
            <w:tcBorders>
              <w:bottom w:val="single" w:sz="8" w:color="D9D9D9"/>
            </w:tcBorders>
          </w:tcPr>
          <w:p>
            <w:pPr>
              <w:spacing w:after="0"/>
              <w:rPr>
                <w:sz w:val="16"/>
                <w:szCs w:val="16"/>
                <w:color w:val="auto"/>
              </w:rPr>
            </w:pPr>
          </w:p>
        </w:tc>
        <w:tc>
          <w:tcPr>
            <w:tcW w:w="2320" w:type="dxa"/>
            <w:vAlign w:val="bottom"/>
            <w:tcBorders>
              <w:bottom w:val="single" w:sz="8" w:color="D9D9D9"/>
            </w:tcBorders>
          </w:tcPr>
          <w:p>
            <w:pPr>
              <w:ind w:left="1500"/>
              <w:spacing w:after="0" w:line="188" w:lineRule="exact"/>
              <w:rPr>
                <w:sz w:val="20"/>
                <w:szCs w:val="20"/>
                <w:color w:val="auto"/>
              </w:rPr>
            </w:pPr>
            <w:r>
              <w:rPr>
                <w:rFonts w:ascii="Arial" w:cs="Arial" w:eastAsia="Arial" w:hAnsi="Arial"/>
                <w:sz w:val="17"/>
                <w:szCs w:val="17"/>
                <w:color w:val="auto"/>
              </w:rPr>
              <w:t>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2860" w:type="dxa"/>
            <w:vAlign w:val="bottom"/>
            <w:tcBorders>
              <w:bottom w:val="single" w:sz="8" w:color="405788"/>
            </w:tcBorders>
          </w:tcPr>
          <w:p>
            <w:pPr>
              <w:ind w:left="300"/>
              <w:spacing w:after="0" w:line="188" w:lineRule="exact"/>
              <w:rPr>
                <w:sz w:val="20"/>
                <w:szCs w:val="20"/>
                <w:color w:val="auto"/>
              </w:rPr>
            </w:pPr>
            <w:r>
              <w:rPr>
                <w:rFonts w:ascii="Arial" w:cs="Arial" w:eastAsia="Arial" w:hAnsi="Arial"/>
                <w:sz w:val="17"/>
                <w:szCs w:val="17"/>
                <w:color w:val="auto"/>
              </w:rPr>
              <w:t>White</w:t>
            </w:r>
          </w:p>
        </w:tc>
        <w:tc>
          <w:tcPr>
            <w:tcW w:w="220" w:type="dxa"/>
            <w:vAlign w:val="bottom"/>
            <w:tcBorders>
              <w:bottom w:val="single" w:sz="8" w:color="405788"/>
            </w:tcBorders>
          </w:tcPr>
          <w:p>
            <w:pPr>
              <w:spacing w:after="0"/>
              <w:rPr>
                <w:sz w:val="16"/>
                <w:szCs w:val="16"/>
                <w:color w:val="auto"/>
              </w:rPr>
            </w:pPr>
          </w:p>
        </w:tc>
        <w:tc>
          <w:tcPr>
            <w:tcW w:w="3020" w:type="dxa"/>
            <w:vAlign w:val="bottom"/>
            <w:tcBorders>
              <w:bottom w:val="single" w:sz="8" w:color="405788"/>
            </w:tcBorders>
          </w:tcPr>
          <w:p>
            <w:pPr>
              <w:spacing w:after="0"/>
              <w:rPr>
                <w:sz w:val="16"/>
                <w:szCs w:val="16"/>
                <w:color w:val="auto"/>
              </w:rPr>
            </w:pPr>
          </w:p>
        </w:tc>
        <w:tc>
          <w:tcPr>
            <w:tcW w:w="420" w:type="dxa"/>
            <w:vAlign w:val="bottom"/>
            <w:tcBorders>
              <w:bottom w:val="single" w:sz="8" w:color="405788"/>
            </w:tcBorders>
          </w:tcPr>
          <w:p>
            <w:pPr>
              <w:ind w:left="100"/>
              <w:spacing w:after="0" w:line="188" w:lineRule="exact"/>
              <w:rPr>
                <w:sz w:val="20"/>
                <w:szCs w:val="20"/>
                <w:color w:val="auto"/>
              </w:rPr>
            </w:pPr>
            <w:r>
              <w:rPr>
                <w:rFonts w:ascii="Arial" w:cs="Arial" w:eastAsia="Arial" w:hAnsi="Arial"/>
                <w:sz w:val="17"/>
                <w:szCs w:val="17"/>
                <w:color w:val="auto"/>
              </w:rPr>
              <w:t>2</w:t>
            </w:r>
          </w:p>
        </w:tc>
        <w:tc>
          <w:tcPr>
            <w:tcW w:w="2320" w:type="dxa"/>
            <w:vAlign w:val="bottom"/>
            <w:tcBorders>
              <w:bottom w:val="single" w:sz="8" w:color="405788"/>
            </w:tcBorders>
          </w:tcPr>
          <w:p>
            <w:pPr>
              <w:ind w:left="1500"/>
              <w:spacing w:after="0" w:line="188" w:lineRule="exact"/>
              <w:rPr>
                <w:sz w:val="20"/>
                <w:szCs w:val="20"/>
                <w:color w:val="auto"/>
              </w:rPr>
            </w:pPr>
            <w:r>
              <w:rPr>
                <w:rFonts w:ascii="Arial" w:cs="Arial" w:eastAsia="Arial" w:hAnsi="Arial"/>
                <w:sz w:val="17"/>
                <w:szCs w:val="17"/>
                <w:color w:val="auto"/>
              </w:rPr>
              <w:t>4</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-3039110</wp:posOffset>
            </wp:positionV>
            <wp:extent cx="222250" cy="229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2250" cy="229870"/>
                    </a:xfrm>
                    <a:prstGeom prst="rect">
                      <a:avLst/>
                    </a:prstGeom>
                    <a:noFill/>
                  </pic:spPr>
                </pic:pic>
              </a:graphicData>
            </a:graphic>
          </wp:anchor>
        </w:drawing>
        <w:drawing>
          <wp:anchor simplePos="0" relativeHeight="251657728" behindDoc="1" locked="0" layoutInCell="0" allowOverlap="1">
            <wp:simplePos x="0" y="0"/>
            <wp:positionH relativeFrom="column">
              <wp:posOffset>2144395</wp:posOffset>
            </wp:positionH>
            <wp:positionV relativeFrom="paragraph">
              <wp:posOffset>-3054985</wp:posOffset>
            </wp:positionV>
            <wp:extent cx="238125" cy="2381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8125" cy="238125"/>
                    </a:xfrm>
                    <a:prstGeom prst="rect">
                      <a:avLst/>
                    </a:prstGeom>
                    <a:noFill/>
                  </pic:spPr>
                </pic:pic>
              </a:graphicData>
            </a:graphic>
          </wp:anchor>
        </w:drawing>
        <w:drawing>
          <wp:anchor simplePos="0" relativeHeight="251657728" behindDoc="1" locked="0" layoutInCell="0" allowOverlap="1">
            <wp:simplePos x="0" y="0"/>
            <wp:positionH relativeFrom="column">
              <wp:posOffset>4271010</wp:posOffset>
            </wp:positionH>
            <wp:positionV relativeFrom="paragraph">
              <wp:posOffset>-3054985</wp:posOffset>
            </wp:positionV>
            <wp:extent cx="222250" cy="2381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2250" cy="238125"/>
                    </a:xfrm>
                    <a:prstGeom prst="rect">
                      <a:avLst/>
                    </a:prstGeom>
                    <a:noFill/>
                  </pic:spPr>
                </pic:pic>
              </a:graphicData>
            </a:graphic>
          </wp:anchor>
        </w:drawing>
      </w:r>
    </w:p>
    <w:p>
      <w:pPr>
        <w:spacing w:after="0" w:line="151"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Our Board believes that the Board, as a whole, should have a diverse range of characteristics and skills to function at an optimal level in exercising its oversight over our Company. When evaluating a person for nomination for election to our Board, the qualifications and skills considered by our Board, including our Nominations and Governance Committee, include:</w:t>
      </w:r>
    </w:p>
    <w:p>
      <w:pPr>
        <w:spacing w:after="0" w:line="66" w:lineRule="exact"/>
        <w:rPr>
          <w:sz w:val="20"/>
          <w:szCs w:val="20"/>
          <w:color w:val="auto"/>
        </w:rPr>
      </w:pPr>
    </w:p>
    <w:p>
      <w:pPr>
        <w:ind w:left="620" w:right="340" w:hanging="294"/>
        <w:spacing w:after="0" w:line="257" w:lineRule="auto"/>
        <w:tabs>
          <w:tab w:leader="none" w:pos="620" w:val="left"/>
        </w:tabs>
        <w:numPr>
          <w:ilvl w:val="0"/>
          <w:numId w:val="43"/>
        </w:numPr>
        <w:rPr>
          <w:rFonts w:ascii="Times New Roman" w:cs="Times New Roman" w:eastAsia="Times New Roman" w:hAnsi="Times New Roman"/>
          <w:sz w:val="17"/>
          <w:szCs w:val="17"/>
          <w:color w:val="3C578C"/>
        </w:rPr>
      </w:pPr>
      <w:r>
        <w:rPr>
          <w:rFonts w:ascii="Arial" w:cs="Arial" w:eastAsia="Arial" w:hAnsi="Arial"/>
          <w:sz w:val="17"/>
          <w:szCs w:val="17"/>
          <w:color w:val="auto"/>
        </w:rPr>
        <w:t>Whether the person will qualify as a director who is “independent” under applicable laws and regulations, and whether the person is qualified under applicable laws and regulations to serve as a director of our Company;</w:t>
      </w:r>
    </w:p>
    <w:p>
      <w:pPr>
        <w:spacing w:after="0" w:line="55" w:lineRule="exact"/>
        <w:rPr>
          <w:rFonts w:ascii="Times New Roman" w:cs="Times New Roman" w:eastAsia="Times New Roman" w:hAnsi="Times New Roman"/>
          <w:sz w:val="17"/>
          <w:szCs w:val="17"/>
          <w:color w:val="3C578C"/>
        </w:rPr>
      </w:pPr>
    </w:p>
    <w:p>
      <w:pPr>
        <w:ind w:left="620" w:right="40" w:hanging="294"/>
        <w:spacing w:after="0" w:line="257" w:lineRule="auto"/>
        <w:tabs>
          <w:tab w:leader="none" w:pos="620" w:val="left"/>
        </w:tabs>
        <w:numPr>
          <w:ilvl w:val="0"/>
          <w:numId w:val="43"/>
        </w:numPr>
        <w:rPr>
          <w:rFonts w:ascii="Times New Roman" w:cs="Times New Roman" w:eastAsia="Times New Roman" w:hAnsi="Times New Roman"/>
          <w:sz w:val="17"/>
          <w:szCs w:val="17"/>
          <w:color w:val="3C578C"/>
        </w:rPr>
      </w:pPr>
      <w:r>
        <w:rPr>
          <w:rFonts w:ascii="Arial" w:cs="Arial" w:eastAsia="Arial" w:hAnsi="Arial"/>
          <w:sz w:val="17"/>
          <w:szCs w:val="17"/>
          <w:color w:val="auto"/>
        </w:rPr>
        <w:t>Whether the person is willing to serve as a director, and willing to commit the time necessary for the performance of the duties of a director;</w:t>
      </w:r>
    </w:p>
    <w:p>
      <w:pPr>
        <w:spacing w:after="0" w:line="55" w:lineRule="exact"/>
        <w:rPr>
          <w:rFonts w:ascii="Times New Roman" w:cs="Times New Roman" w:eastAsia="Times New Roman" w:hAnsi="Times New Roman"/>
          <w:sz w:val="17"/>
          <w:szCs w:val="17"/>
          <w:color w:val="3C578C"/>
        </w:rPr>
      </w:pPr>
    </w:p>
    <w:p>
      <w:pPr>
        <w:ind w:left="620" w:right="140" w:hanging="294"/>
        <w:spacing w:after="0" w:line="244" w:lineRule="auto"/>
        <w:tabs>
          <w:tab w:leader="none" w:pos="620" w:val="left"/>
        </w:tabs>
        <w:numPr>
          <w:ilvl w:val="0"/>
          <w:numId w:val="43"/>
        </w:numPr>
        <w:rPr>
          <w:rFonts w:ascii="Times New Roman" w:cs="Times New Roman" w:eastAsia="Times New Roman" w:hAnsi="Times New Roman"/>
          <w:sz w:val="17"/>
          <w:szCs w:val="17"/>
          <w:color w:val="3C578C"/>
        </w:rPr>
      </w:pPr>
      <w:r>
        <w:rPr>
          <w:rFonts w:ascii="Arial" w:cs="Arial" w:eastAsia="Arial" w:hAnsi="Arial"/>
          <w:sz w:val="17"/>
          <w:szCs w:val="17"/>
          <w:color w:val="auto"/>
        </w:rPr>
        <w:t>The contribution that the person can make to our Board, with consideration being given to the person’s business experience, education and skills, conflicts of interest, the interplay of the candidate’s experience with that of other Board members, and such other factors as our Board may consider relevant; and</w:t>
      </w:r>
    </w:p>
    <w:p>
      <w:pPr>
        <w:spacing w:after="0" w:line="65"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43"/>
        </w:numPr>
        <w:rPr>
          <w:rFonts w:ascii="Times New Roman" w:cs="Times New Roman" w:eastAsia="Times New Roman" w:hAnsi="Times New Roman"/>
          <w:sz w:val="17"/>
          <w:szCs w:val="17"/>
          <w:color w:val="3C578C"/>
        </w:rPr>
      </w:pPr>
      <w:r>
        <w:rPr>
          <w:rFonts w:ascii="Arial" w:cs="Arial" w:eastAsia="Arial" w:hAnsi="Arial"/>
          <w:sz w:val="17"/>
          <w:szCs w:val="17"/>
          <w:color w:val="auto"/>
        </w:rPr>
        <w:t>The character and integrity of the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266700</wp:posOffset>
            </wp:positionV>
            <wp:extent cx="483870" cy="2222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Our Board applies a broad concept of diversity, which includes all of the criteria listed in the paragraph below together with other factors such as the nominee’s experience and leadership abilities. When our Board seeks new director candidates to add to our Board or to replace directors who have resigned or recommends the re-election of incumbent directors, our Board selects director nominees on the basis of all of these criteria with the goal of finding the best match for our Board.</w:t>
      </w:r>
    </w:p>
    <w:p>
      <w:pPr>
        <w:spacing w:after="0" w:line="71"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The Board is also committed to having a membership that reflects a diversity of gender, race, ethnicity, age and background. This commitment is demonstrated by the fact that the Board currently includes two female directors and two directors who are ethnically diverse. Our directors currently range in age from 53 to 72.</w:t>
      </w:r>
    </w:p>
    <w:p>
      <w:pPr>
        <w:spacing w:after="0" w:line="66"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With respect to skill set diversity, our Board seeks to have directors and nominees composed of qualified professionals with a broad range of skills. Our current directors have a broad range of skills, expertise and diversity, some of which have been described in the directors’ profiles. Diversity helps to create a balanced Board to effectively develop strategies for our Company’s growth. In fact, it is the Board’s objective to take affirmative steps to enhance the Board’s diversity. This will be done over time, taking into account the valuable knowledge and experience of the present board members.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Code of Business Conduct and Ethics and Corporate Governance Guidelines</w:t>
      </w:r>
    </w:p>
    <w:p>
      <w:pPr>
        <w:spacing w:after="0" w:line="90"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have adopted a Code of Business Conduct and Ethics that applies to our directors and employees (including our principal executive officer, principal financial officer, principal accounting officer and persons performing similar functions) and Corporate Governance Guidelines applicable to our directors to assist our Board in following corporate guidelines that serve the best interests of our Company and stockholders. The Code of Business Conduct and Ethics and Corporate Governance Guidelines are posted on our website www.cecoenviro.com on the Investor Relations, Governance section. We will post on our website any amendments to or waivers of the Code of Business Conduct and Ethics for executive officers or directors in accordance with applicable laws and regulations. The information on or accessible through our website is not a part of or incorporated by reference into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Insider Trading Policy</w:t>
      </w:r>
    </w:p>
    <w:p>
      <w:pPr>
        <w:spacing w:after="0" w:line="90"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Our Insider Trading Policy, which applies to the Company and all of our directors, officers, employees, and agents, expressly prohibits buying or selling securities while in possession of material, nonpublic information about us or another company and from disclosing such information on to others who might purchase or sell securities on the basis of such information. We consider short-term or speculative transactions by our personnel involving our securities to be inappropriate. We also discourage our personnel from buying or selling our securities in margin accounts. Our Insider Trading Policy expressly prohibits the following activities with respect to our securities: short sales, including short sales against the box, buying or selling puts or calls and frequent trading to take advantage of fluctuations in stock price. The restrictions under our Insider Trading Policy also apply to immediate family and household members of our directors, officers, employees, and agents.</w:t>
      </w:r>
    </w:p>
    <w:p>
      <w:pPr>
        <w:spacing w:after="0" w:line="7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Insider Trading Policy prohibits all members of our Board and all officers and employees of the Company and its subsidiaries from engaging in hedging or monetization transactions, including through the use of financial instruments such as prepaid variable forwards, equity swaps, collars and exchange funds, or through other transactions that hedge or offset, or are designed to hedge or offset, any decrease in the market value of Company securities. The policy further prohibits such persons from pledging, hypothecating or otherwise using the Company’s securities as collateral for a loan or other form of indebtedness.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Communications with Directors</w:t>
      </w:r>
    </w:p>
    <w:p>
      <w:pPr>
        <w:spacing w:after="0" w:line="90"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Our Board has adopted a process by which stockholders may communicate with our Board for matters other than director nominations. Stockholders who would like to communicate with our Board or a committee of our Board should send the communication to: Chairman of the Board, CECO Environmental Corp., 14651 North Dallas Parkway, Suite 500, Dallas Texas, 75254.</w:t>
      </w:r>
    </w:p>
    <w:p>
      <w:pPr>
        <w:spacing w:after="0" w:line="48" w:lineRule="exact"/>
        <w:rPr>
          <w:sz w:val="20"/>
          <w:szCs w:val="20"/>
          <w:color w:val="auto"/>
        </w:rPr>
      </w:pPr>
    </w:p>
    <w:p>
      <w:pPr>
        <w:ind w:right="540"/>
        <w:spacing w:after="0" w:line="239" w:lineRule="auto"/>
        <w:rPr>
          <w:sz w:val="20"/>
          <w:szCs w:val="20"/>
          <w:color w:val="auto"/>
        </w:rPr>
      </w:pPr>
      <w:r>
        <w:rPr>
          <w:rFonts w:ascii="Arial" w:cs="Arial" w:eastAsia="Arial" w:hAnsi="Arial"/>
          <w:sz w:val="17"/>
          <w:szCs w:val="17"/>
          <w:color w:val="auto"/>
        </w:rPr>
        <w:t>Our Chairman of the Board, Mr. DeZwirek, will forward such communications to our Board at or prior to its next regular meeting. Stockholders wishing to communicate only with the independent directors can address their communications to “Independent Directors, c/o Chairman of the Board” at the same address above. These communications will be forwarded to the independent directors at or prior to the next meeting of the independent directors.</w:t>
      </w:r>
    </w:p>
    <w:p>
      <w:pPr>
        <w:spacing w:after="0" w:line="71" w:lineRule="exact"/>
        <w:rPr>
          <w:sz w:val="20"/>
          <w:szCs w:val="20"/>
          <w:color w:val="auto"/>
        </w:rPr>
      </w:pPr>
    </w:p>
    <w:p>
      <w:pPr>
        <w:ind w:right="1120"/>
        <w:spacing w:after="0" w:line="258" w:lineRule="auto"/>
        <w:rPr>
          <w:sz w:val="20"/>
          <w:szCs w:val="20"/>
          <w:color w:val="auto"/>
        </w:rPr>
      </w:pPr>
      <w:r>
        <w:rPr>
          <w:rFonts w:ascii="Arial" w:cs="Arial" w:eastAsia="Arial" w:hAnsi="Arial"/>
          <w:sz w:val="17"/>
          <w:szCs w:val="17"/>
          <w:color w:val="auto"/>
        </w:rPr>
        <w:t>Our Board or the independent directors will determine, in their respective sole discretion, the method by which any such communications will be reviewed and considered.</w:t>
      </w:r>
    </w:p>
    <w:p>
      <w:pPr>
        <w:spacing w:after="0" w:line="335"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14</w:t>
      </w:r>
      <w:r>
        <w:rPr>
          <w:sz w:val="20"/>
          <w:szCs w:val="20"/>
          <w:color w:val="auto"/>
        </w:rPr>
        <w:tab/>
      </w:r>
      <w:r>
        <w:rPr>
          <w:sz w:val="1"/>
          <w:szCs w:val="1"/>
          <w:color w:val="auto"/>
        </w:rPr>
        <w:drawing>
          <wp:inline distT="0" distB="0" distL="0" distR="0">
            <wp:extent cx="476250" cy="22225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2023 Director Compensation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For 2023, our non-management directors received the following compensation for their service on our Board: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06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Director Service</w:t>
            </w:r>
          </w:p>
        </w:tc>
        <w:tc>
          <w:tcPr>
            <w:tcW w:w="386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Compensation ($)</w:t>
            </w:r>
          </w:p>
        </w:tc>
      </w:tr>
      <w:tr>
        <w:trPr>
          <w:trHeight w:val="192"/>
        </w:trPr>
        <w:tc>
          <w:tcPr>
            <w:tcW w:w="60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Annual cash retainer, paid quarterly</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62,000</w:t>
            </w:r>
          </w:p>
        </w:tc>
      </w:tr>
      <w:tr>
        <w:trPr>
          <w:trHeight w:val="192"/>
        </w:trPr>
        <w:tc>
          <w:tcPr>
            <w:tcW w:w="60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Annual equity retainer</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100,000</w:t>
            </w:r>
          </w:p>
        </w:tc>
      </w:tr>
      <w:tr>
        <w:trPr>
          <w:trHeight w:val="192"/>
        </w:trPr>
        <w:tc>
          <w:tcPr>
            <w:tcW w:w="60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Annual Chair supplement</w:t>
            </w:r>
          </w:p>
        </w:tc>
        <w:tc>
          <w:tcPr>
            <w:tcW w:w="3860" w:type="dxa"/>
            <w:vAlign w:val="bottom"/>
            <w:tcBorders>
              <w:bottom w:val="single" w:sz="8" w:color="D9D9D9"/>
            </w:tcBorders>
          </w:tcPr>
          <w:p>
            <w:pPr>
              <w:spacing w:after="0"/>
              <w:rPr>
                <w:sz w:val="16"/>
                <w:szCs w:val="16"/>
                <w:color w:val="auto"/>
              </w:rPr>
            </w:pP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Board Chairman</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100,000</w:t>
            </w: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Audit Committee</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30,000</w:t>
            </w: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Compensation Committee</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15,000</w:t>
            </w: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M&amp;A Committee</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15,000</w:t>
            </w:r>
          </w:p>
        </w:tc>
      </w:tr>
      <w:tr>
        <w:trPr>
          <w:trHeight w:val="192"/>
        </w:trPr>
        <w:tc>
          <w:tcPr>
            <w:tcW w:w="6060" w:type="dxa"/>
            <w:vAlign w:val="bottom"/>
            <w:tcBorders>
              <w:bottom w:val="single" w:sz="8" w:color="D9D9D9"/>
            </w:tcBorders>
          </w:tcPr>
          <w:p>
            <w:pPr>
              <w:ind w:left="300"/>
              <w:spacing w:after="0" w:line="188" w:lineRule="exact"/>
              <w:rPr>
                <w:sz w:val="20"/>
                <w:szCs w:val="20"/>
                <w:color w:val="auto"/>
              </w:rPr>
            </w:pPr>
            <w:r>
              <w:rPr>
                <w:rFonts w:ascii="Arial" w:cs="Arial" w:eastAsia="Arial" w:hAnsi="Arial"/>
                <w:sz w:val="17"/>
                <w:szCs w:val="17"/>
                <w:color w:val="auto"/>
              </w:rPr>
              <w:t>Nominations and Governance Committee</w:t>
            </w:r>
          </w:p>
        </w:tc>
        <w:tc>
          <w:tcPr>
            <w:tcW w:w="3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15,000</w:t>
            </w:r>
          </w:p>
        </w:tc>
      </w:tr>
      <w:tr>
        <w:trPr>
          <w:trHeight w:val="192"/>
        </w:trPr>
        <w:tc>
          <w:tcPr>
            <w:tcW w:w="60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Annual Committee member supplement</w:t>
            </w:r>
          </w:p>
        </w:tc>
        <w:tc>
          <w:tcPr>
            <w:tcW w:w="3860" w:type="dxa"/>
            <w:vAlign w:val="bottom"/>
            <w:tcBorders>
              <w:bottom w:val="single" w:sz="8" w:color="D9D9D9"/>
            </w:tcBorders>
          </w:tcPr>
          <w:p>
            <w:pPr>
              <w:spacing w:after="0"/>
              <w:rPr>
                <w:sz w:val="16"/>
                <w:szCs w:val="16"/>
                <w:color w:val="auto"/>
              </w:rPr>
            </w:pPr>
          </w:p>
        </w:tc>
      </w:tr>
      <w:tr>
        <w:trPr>
          <w:trHeight w:val="187"/>
        </w:trPr>
        <w:tc>
          <w:tcPr>
            <w:tcW w:w="6060" w:type="dxa"/>
            <w:vAlign w:val="bottom"/>
            <w:tcBorders>
              <w:bottom w:val="single" w:sz="8" w:color="405788"/>
            </w:tcBorders>
          </w:tcPr>
          <w:p>
            <w:pPr>
              <w:ind w:left="300"/>
              <w:spacing w:after="0" w:line="188" w:lineRule="exact"/>
              <w:rPr>
                <w:sz w:val="20"/>
                <w:szCs w:val="20"/>
                <w:color w:val="auto"/>
              </w:rPr>
            </w:pPr>
            <w:r>
              <w:rPr>
                <w:rFonts w:ascii="Arial" w:cs="Arial" w:eastAsia="Arial" w:hAnsi="Arial"/>
                <w:sz w:val="17"/>
                <w:szCs w:val="17"/>
                <w:color w:val="auto"/>
              </w:rPr>
              <w:t>Audit Committee member</w:t>
            </w:r>
          </w:p>
        </w:tc>
        <w:tc>
          <w:tcPr>
            <w:tcW w:w="38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5,000</w:t>
            </w:r>
          </w:p>
        </w:tc>
      </w:tr>
    </w:tbl>
    <w:p>
      <w:pPr>
        <w:spacing w:after="0" w:line="35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Our Compensation Committee has determined that granting restricted stock units (“RSUs”) in lieu of cash meeting payments simplifies the directors’ compensation while promoting the ownership of our common stock. Accordingly, in June 2023, we granted to each then-serving non-management director RSUs covering 8,299 shares of our common stock. In September 2023, with her appointment to our Board, we granted Ms. Siegel RSUs covering 5,406 shares of our common stock. The RSUs generally vest on the one-year anniversary of the grant and are settled in shares of Company common stock. We also reimburse or pay our Board members their reasonable travel and out-of-pocket expenses to attend meetings. Our non-management directors are eligible to participate in the Company’s U.S. health plan with 100% of the premium payable by the enrolled director.</w:t>
      </w:r>
    </w:p>
    <w:p>
      <w:pPr>
        <w:spacing w:after="0" w:line="72"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following table reflects the 2023 compensation paid to each of our non-management directors. Directors that are employees of the Company do not receive additional compensation for service on the Board or as members of any of its committees.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80" w:type="dxa"/>
            <w:vAlign w:val="bottom"/>
          </w:tcPr>
          <w:p>
            <w:pPr>
              <w:spacing w:after="0"/>
              <w:rPr>
                <w:sz w:val="18"/>
                <w:szCs w:val="18"/>
                <w:color w:val="auto"/>
              </w:rPr>
            </w:pPr>
          </w:p>
        </w:tc>
        <w:tc>
          <w:tcPr>
            <w:tcW w:w="2660" w:type="dxa"/>
            <w:vAlign w:val="bottom"/>
          </w:tcPr>
          <w:p>
            <w:pPr>
              <w:jc w:val="right"/>
              <w:ind w:right="100"/>
              <w:spacing w:after="0"/>
              <w:rPr>
                <w:sz w:val="20"/>
                <w:szCs w:val="20"/>
                <w:color w:val="auto"/>
              </w:rPr>
            </w:pPr>
            <w:r>
              <w:rPr>
                <w:rFonts w:ascii="Arial" w:cs="Arial" w:eastAsia="Arial" w:hAnsi="Arial"/>
                <w:sz w:val="13"/>
                <w:szCs w:val="13"/>
                <w:b w:val="1"/>
                <w:bCs w:val="1"/>
                <w:color w:val="auto"/>
              </w:rPr>
              <w:t>Paid in Cash</w:t>
            </w:r>
          </w:p>
        </w:tc>
        <w:tc>
          <w:tcPr>
            <w:tcW w:w="1320" w:type="dxa"/>
            <w:vAlign w:val="bottom"/>
          </w:tcPr>
          <w:p>
            <w:pPr>
              <w:jc w:val="right"/>
              <w:ind w:right="100"/>
              <w:spacing w:after="0"/>
              <w:rPr>
                <w:sz w:val="20"/>
                <w:szCs w:val="20"/>
                <w:color w:val="auto"/>
              </w:rPr>
            </w:pPr>
            <w:r>
              <w:rPr>
                <w:rFonts w:ascii="Arial" w:cs="Arial" w:eastAsia="Arial" w:hAnsi="Arial"/>
                <w:sz w:val="13"/>
                <w:szCs w:val="13"/>
                <w:b w:val="1"/>
                <w:bCs w:val="1"/>
                <w:color w:val="auto"/>
              </w:rPr>
              <w:t xml:space="preserve">Stock Awards </w:t>
            </w:r>
            <w:r>
              <w:rPr>
                <w:rFonts w:ascii="Arial" w:cs="Arial" w:eastAsia="Arial" w:hAnsi="Arial"/>
                <w:sz w:val="19"/>
                <w:szCs w:val="19"/>
                <w:b w:val="1"/>
                <w:bCs w:val="1"/>
                <w:color w:val="auto"/>
                <w:vertAlign w:val="superscript"/>
              </w:rPr>
              <w:t>1</w:t>
            </w:r>
          </w:p>
        </w:tc>
        <w:tc>
          <w:tcPr>
            <w:tcW w:w="1460" w:type="dxa"/>
            <w:vAlign w:val="bottom"/>
          </w:tcPr>
          <w:p>
            <w:pPr>
              <w:jc w:val="right"/>
              <w:ind w:right="260"/>
              <w:spacing w:after="0"/>
              <w:rPr>
                <w:sz w:val="20"/>
                <w:szCs w:val="20"/>
                <w:color w:val="auto"/>
              </w:rPr>
            </w:pPr>
            <w:r>
              <w:rPr>
                <w:rFonts w:ascii="Arial" w:cs="Arial" w:eastAsia="Arial" w:hAnsi="Arial"/>
                <w:sz w:val="13"/>
                <w:szCs w:val="13"/>
                <w:b w:val="1"/>
                <w:bCs w:val="1"/>
                <w:color w:val="auto"/>
              </w:rPr>
              <w:t>Compensation</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r>
      <w:tr>
        <w:trPr>
          <w:trHeight w:val="163"/>
        </w:trPr>
        <w:tc>
          <w:tcPr>
            <w:tcW w:w="34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w:t>
            </w:r>
          </w:p>
        </w:tc>
        <w:tc>
          <w:tcPr>
            <w:tcW w:w="2660" w:type="dxa"/>
            <w:vAlign w:val="bottom"/>
            <w:tcBorders>
              <w:bottom w:val="single" w:sz="8" w:color="405788"/>
            </w:tcBorders>
          </w:tcPr>
          <w:p>
            <w:pPr>
              <w:jc w:val="right"/>
              <w:ind w:right="100"/>
              <w:spacing w:after="0"/>
              <w:rPr>
                <w:sz w:val="20"/>
                <w:szCs w:val="20"/>
                <w:color w:val="auto"/>
              </w:rPr>
            </w:pPr>
            <w:r>
              <w:rPr>
                <w:rFonts w:ascii="Arial" w:cs="Arial" w:eastAsia="Arial" w:hAnsi="Arial"/>
                <w:sz w:val="13"/>
                <w:szCs w:val="13"/>
                <w:b w:val="1"/>
                <w:bCs w:val="1"/>
                <w:color w:val="auto"/>
              </w:rPr>
              <w:t>($)</w:t>
            </w:r>
          </w:p>
        </w:tc>
        <w:tc>
          <w:tcPr>
            <w:tcW w:w="1320" w:type="dxa"/>
            <w:vAlign w:val="bottom"/>
            <w:tcBorders>
              <w:bottom w:val="single" w:sz="8" w:color="405788"/>
            </w:tcBorders>
          </w:tcPr>
          <w:p>
            <w:pPr>
              <w:jc w:val="right"/>
              <w:ind w:right="100"/>
              <w:spacing w:after="0"/>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405788"/>
            </w:tcBorders>
          </w:tcPr>
          <w:p>
            <w:pPr>
              <w:jc w:val="right"/>
              <w:ind w:right="260"/>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Jason DeZwirek</w:t>
            </w:r>
          </w:p>
        </w:tc>
        <w:tc>
          <w:tcPr>
            <w:tcW w:w="266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156,000</w:t>
            </w:r>
          </w:p>
        </w:tc>
        <w:tc>
          <w:tcPr>
            <w:tcW w:w="132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100,003</w:t>
            </w:r>
          </w:p>
        </w:tc>
        <w:tc>
          <w:tcPr>
            <w:tcW w:w="1460" w:type="dxa"/>
            <w:vAlign w:val="bottom"/>
            <w:tcBorders>
              <w:bottom w:val="single" w:sz="8" w:color="D9D9D9"/>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256,003</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Valerie Gentile Sachs</w:t>
            </w:r>
          </w:p>
        </w:tc>
        <w:tc>
          <w:tcPr>
            <w:tcW w:w="266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71,000</w:t>
            </w:r>
          </w:p>
        </w:tc>
        <w:tc>
          <w:tcPr>
            <w:tcW w:w="132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100,003</w:t>
            </w:r>
          </w:p>
        </w:tc>
        <w:tc>
          <w:tcPr>
            <w:tcW w:w="1460" w:type="dxa"/>
            <w:vAlign w:val="bottom"/>
            <w:tcBorders>
              <w:bottom w:val="single" w:sz="8" w:color="D9D9D9"/>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171,003</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Robert E. Knowling, Jr. </w:t>
            </w:r>
            <w:r>
              <w:rPr>
                <w:rFonts w:ascii="Arial" w:cs="Arial" w:eastAsia="Arial" w:hAnsi="Arial"/>
                <w:sz w:val="21"/>
                <w:szCs w:val="21"/>
                <w:color w:val="auto"/>
                <w:vertAlign w:val="superscript"/>
              </w:rPr>
              <w:t>2</w:t>
            </w:r>
          </w:p>
        </w:tc>
        <w:tc>
          <w:tcPr>
            <w:tcW w:w="266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63,500</w:t>
            </w:r>
          </w:p>
        </w:tc>
        <w:tc>
          <w:tcPr>
            <w:tcW w:w="132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100,003</w:t>
            </w:r>
          </w:p>
        </w:tc>
        <w:tc>
          <w:tcPr>
            <w:tcW w:w="1460" w:type="dxa"/>
            <w:vAlign w:val="bottom"/>
            <w:tcBorders>
              <w:bottom w:val="single" w:sz="8" w:color="D9D9D9"/>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163,503</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David B. Liner </w:t>
            </w:r>
            <w:r>
              <w:rPr>
                <w:rFonts w:ascii="Arial" w:cs="Arial" w:eastAsia="Arial" w:hAnsi="Arial"/>
                <w:sz w:val="21"/>
                <w:szCs w:val="21"/>
                <w:color w:val="auto"/>
                <w:vertAlign w:val="superscript"/>
              </w:rPr>
              <w:t>3</w:t>
            </w:r>
          </w:p>
        </w:tc>
        <w:tc>
          <w:tcPr>
            <w:tcW w:w="266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30,139</w:t>
            </w:r>
          </w:p>
        </w:tc>
        <w:tc>
          <w:tcPr>
            <w:tcW w:w="132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w:t>
            </w:r>
          </w:p>
        </w:tc>
        <w:tc>
          <w:tcPr>
            <w:tcW w:w="1460" w:type="dxa"/>
            <w:vAlign w:val="bottom"/>
            <w:tcBorders>
              <w:bottom w:val="single" w:sz="8" w:color="D9D9D9"/>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30,139</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Claudio A. Mannarino</w:t>
            </w:r>
          </w:p>
        </w:tc>
        <w:tc>
          <w:tcPr>
            <w:tcW w:w="266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73,500</w:t>
            </w:r>
          </w:p>
        </w:tc>
        <w:tc>
          <w:tcPr>
            <w:tcW w:w="132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100,003</w:t>
            </w:r>
          </w:p>
        </w:tc>
        <w:tc>
          <w:tcPr>
            <w:tcW w:w="1460" w:type="dxa"/>
            <w:vAlign w:val="bottom"/>
            <w:tcBorders>
              <w:bottom w:val="single" w:sz="8" w:color="D9D9D9"/>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173,503</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Munish Nanda</w:t>
            </w:r>
          </w:p>
        </w:tc>
        <w:tc>
          <w:tcPr>
            <w:tcW w:w="266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58,500</w:t>
            </w:r>
          </w:p>
        </w:tc>
        <w:tc>
          <w:tcPr>
            <w:tcW w:w="132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100,003</w:t>
            </w:r>
          </w:p>
        </w:tc>
        <w:tc>
          <w:tcPr>
            <w:tcW w:w="1460" w:type="dxa"/>
            <w:vAlign w:val="bottom"/>
            <w:tcBorders>
              <w:bottom w:val="single" w:sz="8" w:color="D9D9D9"/>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158,503</w:t>
            </w:r>
          </w:p>
        </w:tc>
      </w:tr>
      <w:tr>
        <w:trPr>
          <w:trHeight w:val="192"/>
        </w:trPr>
        <w:tc>
          <w:tcPr>
            <w:tcW w:w="34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Laurie A. Siegel</w:t>
            </w:r>
          </w:p>
        </w:tc>
        <w:tc>
          <w:tcPr>
            <w:tcW w:w="266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19,806</w:t>
            </w:r>
          </w:p>
        </w:tc>
        <w:tc>
          <w:tcPr>
            <w:tcW w:w="1320" w:type="dxa"/>
            <w:vAlign w:val="bottom"/>
            <w:tcBorders>
              <w:bottom w:val="single" w:sz="8" w:color="D9D9D9"/>
            </w:tcBorders>
          </w:tcPr>
          <w:p>
            <w:pPr>
              <w:jc w:val="right"/>
              <w:ind w:right="100"/>
              <w:spacing w:after="0" w:line="188" w:lineRule="exact"/>
              <w:rPr>
                <w:sz w:val="20"/>
                <w:szCs w:val="20"/>
                <w:color w:val="auto"/>
              </w:rPr>
            </w:pPr>
            <w:r>
              <w:rPr>
                <w:rFonts w:ascii="Arial" w:cs="Arial" w:eastAsia="Arial" w:hAnsi="Arial"/>
                <w:sz w:val="17"/>
                <w:szCs w:val="17"/>
                <w:color w:val="auto"/>
              </w:rPr>
              <w:t>74,873</w:t>
            </w:r>
          </w:p>
        </w:tc>
        <w:tc>
          <w:tcPr>
            <w:tcW w:w="1460" w:type="dxa"/>
            <w:vAlign w:val="bottom"/>
            <w:tcBorders>
              <w:bottom w:val="single" w:sz="8" w:color="D9D9D9"/>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94,679</w:t>
            </w:r>
          </w:p>
        </w:tc>
      </w:tr>
      <w:tr>
        <w:trPr>
          <w:trHeight w:val="187"/>
        </w:trPr>
        <w:tc>
          <w:tcPr>
            <w:tcW w:w="3480" w:type="dxa"/>
            <w:vAlign w:val="bottom"/>
            <w:tcBorders>
              <w:bottom w:val="single" w:sz="8" w:color="405788"/>
            </w:tcBorders>
          </w:tcPr>
          <w:p>
            <w:pPr>
              <w:spacing w:after="0" w:line="188" w:lineRule="exact"/>
              <w:rPr>
                <w:sz w:val="20"/>
                <w:szCs w:val="20"/>
                <w:color w:val="auto"/>
              </w:rPr>
            </w:pPr>
            <w:r>
              <w:rPr>
                <w:rFonts w:ascii="Arial" w:cs="Arial" w:eastAsia="Arial" w:hAnsi="Arial"/>
                <w:sz w:val="15"/>
                <w:szCs w:val="15"/>
                <w:color w:val="auto"/>
              </w:rPr>
              <w:t xml:space="preserve">Richard F. Wallman </w:t>
            </w:r>
            <w:r>
              <w:rPr>
                <w:rFonts w:ascii="Arial" w:cs="Arial" w:eastAsia="Arial" w:hAnsi="Arial"/>
                <w:sz w:val="21"/>
                <w:szCs w:val="21"/>
                <w:color w:val="auto"/>
                <w:vertAlign w:val="superscript"/>
              </w:rPr>
              <w:t>4</w:t>
            </w:r>
          </w:p>
        </w:tc>
        <w:tc>
          <w:tcPr>
            <w:tcW w:w="2660" w:type="dxa"/>
            <w:vAlign w:val="bottom"/>
            <w:tcBorders>
              <w:bottom w:val="single" w:sz="8" w:color="405788"/>
            </w:tcBorders>
          </w:tcPr>
          <w:p>
            <w:pPr>
              <w:jc w:val="right"/>
              <w:ind w:right="100"/>
              <w:spacing w:after="0" w:line="188" w:lineRule="exact"/>
              <w:rPr>
                <w:sz w:val="20"/>
                <w:szCs w:val="20"/>
                <w:color w:val="auto"/>
              </w:rPr>
            </w:pPr>
            <w:r>
              <w:rPr>
                <w:rFonts w:ascii="Arial" w:cs="Arial" w:eastAsia="Arial" w:hAnsi="Arial"/>
                <w:sz w:val="17"/>
                <w:szCs w:val="17"/>
                <w:color w:val="auto"/>
              </w:rPr>
              <w:t>73,500</w:t>
            </w:r>
          </w:p>
        </w:tc>
        <w:tc>
          <w:tcPr>
            <w:tcW w:w="1320" w:type="dxa"/>
            <w:vAlign w:val="bottom"/>
            <w:tcBorders>
              <w:bottom w:val="single" w:sz="8" w:color="405788"/>
            </w:tcBorders>
          </w:tcPr>
          <w:p>
            <w:pPr>
              <w:jc w:val="right"/>
              <w:ind w:right="100"/>
              <w:spacing w:after="0" w:line="188" w:lineRule="exact"/>
              <w:rPr>
                <w:sz w:val="20"/>
                <w:szCs w:val="20"/>
                <w:color w:val="auto"/>
              </w:rPr>
            </w:pPr>
            <w:r>
              <w:rPr>
                <w:rFonts w:ascii="Arial" w:cs="Arial" w:eastAsia="Arial" w:hAnsi="Arial"/>
                <w:sz w:val="17"/>
                <w:szCs w:val="17"/>
                <w:color w:val="auto"/>
              </w:rPr>
              <w:t>100,003</w:t>
            </w:r>
          </w:p>
        </w:tc>
        <w:tc>
          <w:tcPr>
            <w:tcW w:w="1460" w:type="dxa"/>
            <w:vAlign w:val="bottom"/>
            <w:tcBorders>
              <w:bottom w:val="single" w:sz="8" w:color="405788"/>
            </w:tcBorders>
          </w:tcPr>
          <w:p>
            <w:pPr>
              <w:jc w:val="right"/>
              <w:ind w:right="260"/>
              <w:spacing w:after="0" w:line="188"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173,503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269875</wp:posOffset>
            </wp:positionV>
            <wp:extent cx="483870" cy="2222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4" w:lineRule="exact"/>
        <w:rPr>
          <w:sz w:val="20"/>
          <w:szCs w:val="20"/>
          <w:color w:val="auto"/>
        </w:rPr>
      </w:pPr>
    </w:p>
    <w:p>
      <w:pPr>
        <w:ind w:left="380" w:hanging="379"/>
        <w:spacing w:after="0" w:line="251" w:lineRule="auto"/>
        <w:tabs>
          <w:tab w:leader="none" w:pos="3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This column reflects the grant date fair value of RSU awards calculated in accordance with Financial Accounting Standards Board Accounting Standards Codification Topic 718 (“FASB ASC Topic 718”), disregarding estimated forfeitures, rather than amounts realized by the named individuals. Assumptions used in calculating these amounts are included in Note 9 to the Company’s consolidated financial statements included in our Annual Report on Form 10-K for the year ended December 31, 2023. The stock awards shown in the table above represent the RSU awards granted to our directors in 2023. The table below shows the aggregate number of unvested RSUs and unexercised options held by each of our non-management directors as of December 31, 2023</w:t>
      </w:r>
      <w:r>
        <w:rPr>
          <w:rFonts w:ascii="Arial" w:cs="Arial" w:eastAsia="Arial" w:hAnsi="Arial"/>
          <w:sz w:val="16"/>
          <w:szCs w:val="16"/>
          <w:color w:val="auto"/>
        </w:rPr>
        <w:t>:</w:t>
      </w:r>
    </w:p>
    <w:p>
      <w:pPr>
        <w:spacing w:after="0" w:line="85" w:lineRule="exact"/>
        <w:rPr>
          <w:sz w:val="20"/>
          <w:szCs w:val="20"/>
          <w:color w:val="auto"/>
        </w:rPr>
      </w:pPr>
    </w:p>
    <w:tbl>
      <w:tblPr>
        <w:tblLayout w:type="fixed"/>
        <w:tblInd w:w="380" w:type="dxa"/>
        <w:tblCellMar>
          <w:top w:w="0" w:type="dxa"/>
          <w:left w:w="0" w:type="dxa"/>
          <w:bottom w:w="0" w:type="dxa"/>
          <w:right w:w="0" w:type="dxa"/>
        </w:tblCellMar>
      </w:tblPr>
      <w:tr>
        <w:trPr>
          <w:trHeight w:val="163"/>
        </w:trPr>
        <w:tc>
          <w:tcPr>
            <w:tcW w:w="390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w:t>
            </w:r>
          </w:p>
        </w:tc>
        <w:tc>
          <w:tcPr>
            <w:tcW w:w="4200" w:type="dxa"/>
            <w:vAlign w:val="bottom"/>
            <w:tcBorders>
              <w:bottom w:val="single" w:sz="8" w:color="405788"/>
            </w:tcBorders>
            <w:gridSpan w:val="2"/>
          </w:tcPr>
          <w:p>
            <w:pPr>
              <w:jc w:val="right"/>
              <w:spacing w:after="0"/>
              <w:rPr>
                <w:sz w:val="20"/>
                <w:szCs w:val="20"/>
                <w:color w:val="auto"/>
              </w:rPr>
            </w:pPr>
            <w:r>
              <w:rPr>
                <w:rFonts w:ascii="Arial" w:cs="Arial" w:eastAsia="Arial" w:hAnsi="Arial"/>
                <w:sz w:val="13"/>
                <w:szCs w:val="13"/>
                <w:b w:val="1"/>
                <w:bCs w:val="1"/>
                <w:color w:val="auto"/>
              </w:rPr>
              <w:t>RSUs (#)Stock Options (#)</w:t>
            </w:r>
          </w:p>
        </w:tc>
      </w:tr>
      <w:tr>
        <w:trPr>
          <w:trHeight w:val="192"/>
        </w:trPr>
        <w:tc>
          <w:tcPr>
            <w:tcW w:w="39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Jason DeZwirek</w:t>
            </w:r>
          </w:p>
        </w:tc>
        <w:tc>
          <w:tcPr>
            <w:tcW w:w="3380" w:type="dxa"/>
            <w:vAlign w:val="bottom"/>
            <w:tcBorders>
              <w:bottom w:val="single" w:sz="8" w:color="D9D9D9"/>
            </w:tcBorders>
          </w:tcPr>
          <w:p>
            <w:pPr>
              <w:jc w:val="right"/>
              <w:ind w:right="527"/>
              <w:spacing w:after="0" w:line="188" w:lineRule="exact"/>
              <w:rPr>
                <w:sz w:val="20"/>
                <w:szCs w:val="20"/>
                <w:color w:val="auto"/>
              </w:rPr>
            </w:pPr>
            <w:r>
              <w:rPr>
                <w:rFonts w:ascii="Arial" w:cs="Arial" w:eastAsia="Arial" w:hAnsi="Arial"/>
                <w:sz w:val="17"/>
                <w:szCs w:val="17"/>
                <w:color w:val="auto"/>
              </w:rPr>
              <w:t>8,299</w:t>
            </w:r>
          </w:p>
        </w:tc>
        <w:tc>
          <w:tcPr>
            <w:tcW w:w="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9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Valerie Gentile Sachs</w:t>
            </w:r>
          </w:p>
        </w:tc>
        <w:tc>
          <w:tcPr>
            <w:tcW w:w="3380" w:type="dxa"/>
            <w:vAlign w:val="bottom"/>
            <w:tcBorders>
              <w:bottom w:val="single" w:sz="8" w:color="D9D9D9"/>
            </w:tcBorders>
          </w:tcPr>
          <w:p>
            <w:pPr>
              <w:jc w:val="right"/>
              <w:ind w:right="527"/>
              <w:spacing w:after="0" w:line="188" w:lineRule="exact"/>
              <w:rPr>
                <w:sz w:val="20"/>
                <w:szCs w:val="20"/>
                <w:color w:val="auto"/>
              </w:rPr>
            </w:pPr>
            <w:r>
              <w:rPr>
                <w:rFonts w:ascii="Arial" w:cs="Arial" w:eastAsia="Arial" w:hAnsi="Arial"/>
                <w:sz w:val="17"/>
                <w:szCs w:val="17"/>
                <w:color w:val="auto"/>
              </w:rPr>
              <w:t>8,299</w:t>
            </w:r>
          </w:p>
        </w:tc>
        <w:tc>
          <w:tcPr>
            <w:tcW w:w="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9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Robert E. Knowling, Jr.</w:t>
            </w:r>
          </w:p>
        </w:tc>
        <w:tc>
          <w:tcPr>
            <w:tcW w:w="3380" w:type="dxa"/>
            <w:vAlign w:val="bottom"/>
            <w:tcBorders>
              <w:bottom w:val="single" w:sz="8" w:color="D9D9D9"/>
            </w:tcBorders>
          </w:tcPr>
          <w:p>
            <w:pPr>
              <w:jc w:val="right"/>
              <w:ind w:right="527"/>
              <w:spacing w:after="0" w:line="188" w:lineRule="exact"/>
              <w:rPr>
                <w:sz w:val="20"/>
                <w:szCs w:val="20"/>
                <w:color w:val="auto"/>
              </w:rPr>
            </w:pPr>
            <w:r>
              <w:rPr>
                <w:rFonts w:ascii="Arial" w:cs="Arial" w:eastAsia="Arial" w:hAnsi="Arial"/>
                <w:sz w:val="17"/>
                <w:szCs w:val="17"/>
                <w:color w:val="auto"/>
              </w:rPr>
              <w:t>8,299</w:t>
            </w:r>
          </w:p>
        </w:tc>
        <w:tc>
          <w:tcPr>
            <w:tcW w:w="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9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David B. Liner</w:t>
            </w:r>
          </w:p>
        </w:tc>
        <w:tc>
          <w:tcPr>
            <w:tcW w:w="3380" w:type="dxa"/>
            <w:vAlign w:val="bottom"/>
            <w:tcBorders>
              <w:bottom w:val="single" w:sz="8" w:color="D9D9D9"/>
            </w:tcBorders>
          </w:tcPr>
          <w:p>
            <w:pPr>
              <w:jc w:val="right"/>
              <w:ind w:right="527"/>
              <w:spacing w:after="0" w:line="188" w:lineRule="exact"/>
              <w:rPr>
                <w:sz w:val="20"/>
                <w:szCs w:val="20"/>
                <w:color w:val="auto"/>
              </w:rPr>
            </w:pPr>
            <w:r>
              <w:rPr>
                <w:rFonts w:ascii="Arial" w:cs="Arial" w:eastAsia="Arial" w:hAnsi="Arial"/>
                <w:sz w:val="17"/>
                <w:szCs w:val="17"/>
                <w:color w:val="auto"/>
              </w:rPr>
              <w:t>—</w:t>
            </w:r>
          </w:p>
        </w:tc>
        <w:tc>
          <w:tcPr>
            <w:tcW w:w="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9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Claudio A. Mannarino</w:t>
            </w:r>
          </w:p>
        </w:tc>
        <w:tc>
          <w:tcPr>
            <w:tcW w:w="3380" w:type="dxa"/>
            <w:vAlign w:val="bottom"/>
            <w:tcBorders>
              <w:bottom w:val="single" w:sz="8" w:color="D9D9D9"/>
            </w:tcBorders>
          </w:tcPr>
          <w:p>
            <w:pPr>
              <w:jc w:val="right"/>
              <w:ind w:right="527"/>
              <w:spacing w:after="0" w:line="188" w:lineRule="exact"/>
              <w:rPr>
                <w:sz w:val="20"/>
                <w:szCs w:val="20"/>
                <w:color w:val="auto"/>
              </w:rPr>
            </w:pPr>
            <w:r>
              <w:rPr>
                <w:rFonts w:ascii="Arial" w:cs="Arial" w:eastAsia="Arial" w:hAnsi="Arial"/>
                <w:sz w:val="17"/>
                <w:szCs w:val="17"/>
                <w:color w:val="auto"/>
              </w:rPr>
              <w:t>8,299</w:t>
            </w:r>
          </w:p>
        </w:tc>
        <w:tc>
          <w:tcPr>
            <w:tcW w:w="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9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Munish Nanda</w:t>
            </w:r>
          </w:p>
        </w:tc>
        <w:tc>
          <w:tcPr>
            <w:tcW w:w="3380" w:type="dxa"/>
            <w:vAlign w:val="bottom"/>
            <w:tcBorders>
              <w:bottom w:val="single" w:sz="8" w:color="D9D9D9"/>
            </w:tcBorders>
          </w:tcPr>
          <w:p>
            <w:pPr>
              <w:jc w:val="right"/>
              <w:ind w:right="527"/>
              <w:spacing w:after="0" w:line="188" w:lineRule="exact"/>
              <w:rPr>
                <w:sz w:val="20"/>
                <w:szCs w:val="20"/>
                <w:color w:val="auto"/>
              </w:rPr>
            </w:pPr>
            <w:r>
              <w:rPr>
                <w:rFonts w:ascii="Arial" w:cs="Arial" w:eastAsia="Arial" w:hAnsi="Arial"/>
                <w:sz w:val="17"/>
                <w:szCs w:val="17"/>
                <w:color w:val="auto"/>
              </w:rPr>
              <w:t>8,299</w:t>
            </w:r>
          </w:p>
        </w:tc>
        <w:tc>
          <w:tcPr>
            <w:tcW w:w="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90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Laurie A. Siegel</w:t>
            </w:r>
          </w:p>
        </w:tc>
        <w:tc>
          <w:tcPr>
            <w:tcW w:w="3380" w:type="dxa"/>
            <w:vAlign w:val="bottom"/>
            <w:tcBorders>
              <w:bottom w:val="single" w:sz="8" w:color="D9D9D9"/>
            </w:tcBorders>
          </w:tcPr>
          <w:p>
            <w:pPr>
              <w:jc w:val="right"/>
              <w:ind w:right="527"/>
              <w:spacing w:after="0" w:line="188" w:lineRule="exact"/>
              <w:rPr>
                <w:sz w:val="20"/>
                <w:szCs w:val="20"/>
                <w:color w:val="auto"/>
              </w:rPr>
            </w:pPr>
            <w:r>
              <w:rPr>
                <w:rFonts w:ascii="Arial" w:cs="Arial" w:eastAsia="Arial" w:hAnsi="Arial"/>
                <w:sz w:val="17"/>
                <w:szCs w:val="17"/>
                <w:color w:val="auto"/>
              </w:rPr>
              <w:t>5,406</w:t>
            </w:r>
          </w:p>
        </w:tc>
        <w:tc>
          <w:tcPr>
            <w:tcW w:w="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87"/>
        </w:trPr>
        <w:tc>
          <w:tcPr>
            <w:tcW w:w="390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Richard F. Wallman</w:t>
            </w:r>
          </w:p>
        </w:tc>
        <w:tc>
          <w:tcPr>
            <w:tcW w:w="3380" w:type="dxa"/>
            <w:vAlign w:val="bottom"/>
            <w:tcBorders>
              <w:bottom w:val="single" w:sz="8" w:color="405788"/>
            </w:tcBorders>
          </w:tcPr>
          <w:p>
            <w:pPr>
              <w:jc w:val="right"/>
              <w:ind w:right="527"/>
              <w:spacing w:after="0" w:line="188" w:lineRule="exact"/>
              <w:rPr>
                <w:sz w:val="20"/>
                <w:szCs w:val="20"/>
                <w:color w:val="auto"/>
              </w:rPr>
            </w:pPr>
            <w:r>
              <w:rPr>
                <w:rFonts w:ascii="Arial" w:cs="Arial" w:eastAsia="Arial" w:hAnsi="Arial"/>
                <w:sz w:val="17"/>
                <w:szCs w:val="17"/>
                <w:color w:val="auto"/>
              </w:rPr>
              <w:t>8,299</w:t>
            </w:r>
          </w:p>
        </w:tc>
        <w:tc>
          <w:tcPr>
            <w:tcW w:w="8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w:t>
            </w:r>
          </w:p>
        </w:tc>
      </w:tr>
    </w:tbl>
    <w:p>
      <w:pPr>
        <w:spacing w:after="0" w:line="100" w:lineRule="exact"/>
        <w:rPr>
          <w:sz w:val="20"/>
          <w:szCs w:val="20"/>
          <w:color w:val="auto"/>
        </w:rPr>
      </w:pPr>
    </w:p>
    <w:p>
      <w:pPr>
        <w:ind w:left="420" w:right="40" w:hanging="419"/>
        <w:spacing w:after="0" w:line="278" w:lineRule="auto"/>
        <w:tabs>
          <w:tab w:leader="none" w:pos="4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Mr. Knowling has elected to forgo receiving compensation for his role as M&amp;A chair and will only accept compensation designated for the Chair of the Compensation Committee.</w:t>
      </w:r>
    </w:p>
    <w:p>
      <w:pPr>
        <w:spacing w:after="0" w:line="125" w:lineRule="exact"/>
        <w:rPr>
          <w:rFonts w:ascii="Arial" w:cs="Arial" w:eastAsia="Arial" w:hAnsi="Arial"/>
          <w:sz w:val="15"/>
          <w:szCs w:val="15"/>
          <w:color w:val="auto"/>
        </w:rPr>
      </w:pPr>
    </w:p>
    <w:p>
      <w:pPr>
        <w:ind w:left="420" w:hanging="419"/>
        <w:spacing w:after="0"/>
        <w:tabs>
          <w:tab w:leader="none" w:pos="4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Mr. Liner ceased serving as a director at our 2023 Annual Meeting of Stockholders.</w:t>
      </w:r>
    </w:p>
    <w:p>
      <w:pPr>
        <w:spacing w:after="0" w:line="177" w:lineRule="exact"/>
        <w:rPr>
          <w:rFonts w:ascii="Arial" w:cs="Arial" w:eastAsia="Arial" w:hAnsi="Arial"/>
          <w:sz w:val="15"/>
          <w:szCs w:val="15"/>
          <w:color w:val="auto"/>
        </w:rPr>
      </w:pPr>
    </w:p>
    <w:p>
      <w:pPr>
        <w:ind w:left="420" w:hanging="419"/>
        <w:spacing w:after="0"/>
        <w:tabs>
          <w:tab w:leader="none" w:pos="4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Mr. Wallman elected to receive the cash component of his director compensation in the form of shares of the Company’s common stock.</w:t>
      </w:r>
    </w:p>
    <w:p>
      <w:pPr>
        <w:spacing w:after="0" w:line="173"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Our Board has implemented mandatory stock ownership guidelines for non-management directors to further align the interests of non-management directors and stockholders. Each non-management director is required to own shares of our common stock having a value equal to five times the non-management director’s regular annual cash retainer (which amount currently equals 310,000). Non-management directors have five years from the date of his or her election or appointment to the Board to attain such ownership levels. As of December 31, 2023, all non-management directors met the stock ownership requirement, except for Ms. Siegel and Mr. Knowling, who have served on the Board for less than five years and thus are not yet subject to the ownership requirement. For purposes of this requirement, a non-management director’s stock ownership includes all shares of our common stock owned by the non-management director outright or held in trust for the director and the director’s immediate family, plus a non-management director’s RSUs. The value of a share is measured as the greater of the then current market price or the closing price of a share of our common stock on the acquisition or grant date.</w:t>
      </w:r>
    </w:p>
    <w:p>
      <w:pPr>
        <w:spacing w:after="0" w:line="200" w:lineRule="exact"/>
        <w:rPr>
          <w:sz w:val="20"/>
          <w:szCs w:val="20"/>
          <w:color w:val="auto"/>
        </w:rPr>
      </w:pPr>
    </w:p>
    <w:p>
      <w:pPr>
        <w:spacing w:after="0" w:line="337"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16</w:t>
      </w:r>
      <w:r>
        <w:rPr>
          <w:sz w:val="20"/>
          <w:szCs w:val="20"/>
          <w:color w:val="auto"/>
        </w:rPr>
        <w:tab/>
      </w:r>
      <w:r>
        <w:rPr>
          <w:sz w:val="1"/>
          <w:szCs w:val="1"/>
          <w:color w:val="auto"/>
        </w:rPr>
        <w:drawing>
          <wp:inline distT="0" distB="0" distL="0" distR="0">
            <wp:extent cx="476250" cy="2222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148590</wp:posOffset>
            </wp:positionV>
            <wp:extent cx="6301105" cy="1793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01105" cy="1793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C578C"/>
        </w:rPr>
        <w:t>PROPOSAL 2</w:t>
      </w:r>
    </w:p>
    <w:p>
      <w:pPr>
        <w:spacing w:after="0" w:line="75" w:lineRule="exact"/>
        <w:rPr>
          <w:sz w:val="20"/>
          <w:szCs w:val="20"/>
          <w:color w:val="auto"/>
        </w:rPr>
      </w:pPr>
    </w:p>
    <w:p>
      <w:pPr>
        <w:ind w:left="120"/>
        <w:spacing w:after="0" w:line="252" w:lineRule="auto"/>
        <w:rPr>
          <w:sz w:val="20"/>
          <w:szCs w:val="20"/>
          <w:color w:val="auto"/>
        </w:rPr>
      </w:pPr>
      <w:r>
        <w:rPr>
          <w:rFonts w:ascii="Arial" w:cs="Arial" w:eastAsia="Arial" w:hAnsi="Arial"/>
          <w:sz w:val="33"/>
          <w:szCs w:val="33"/>
          <w:color w:val="3C578C"/>
        </w:rPr>
        <w:t>APPROVAL OF THE AMENDMENT TO OUR CERTIFICATE OF INCORPORATION TO INCORPORATE DELAWARE LAW PROVISIONS REGARDING OFFICER EXCULPATION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471" w:lineRule="exact"/>
        <w:rPr>
          <w:sz w:val="20"/>
          <w:szCs w:val="20"/>
          <w:color w:val="auto"/>
        </w:rPr>
      </w:pPr>
      <w:r>
        <w:rPr>
          <w:rFonts w:ascii="MS PGothic" w:cs="MS PGothic" w:eastAsia="MS PGothic" w:hAnsi="MS PGothic"/>
          <w:sz w:val="47"/>
          <w:szCs w:val="47"/>
          <w:color w:val="A1B657"/>
        </w:rPr>
        <w:t>✓</w:t>
      </w:r>
    </w:p>
    <w:p>
      <w:pPr>
        <w:spacing w:after="0" w:line="215"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b w:val="1"/>
          <w:bCs w:val="1"/>
          <w:color w:val="3C578C"/>
        </w:rPr>
        <w:t xml:space="preserve">The Board recommends a vote </w:t>
      </w:r>
      <w:r>
        <w:rPr>
          <w:rFonts w:ascii="Arial" w:cs="Arial" w:eastAsia="Arial" w:hAnsi="Arial"/>
          <w:sz w:val="17"/>
          <w:szCs w:val="17"/>
          <w:b w:val="1"/>
          <w:bCs w:val="1"/>
          <w:color w:val="A1B657"/>
        </w:rPr>
        <w:t>FOR</w:t>
      </w:r>
      <w:r>
        <w:rPr>
          <w:rFonts w:ascii="Arial" w:cs="Arial" w:eastAsia="Arial" w:hAnsi="Arial"/>
          <w:sz w:val="17"/>
          <w:szCs w:val="17"/>
          <w:b w:val="1"/>
          <w:bCs w:val="1"/>
          <w:color w:val="3C578C"/>
        </w:rPr>
        <w:t xml:space="preserve"> the approval of the amendment to our Certificate of Incorporation to incorporate Delaware law provisions regarding officer exculpation.</w:t>
      </w:r>
    </w:p>
    <w:p>
      <w:pPr>
        <w:spacing w:after="0" w:line="771" w:lineRule="exact"/>
        <w:rPr>
          <w:sz w:val="20"/>
          <w:szCs w:val="20"/>
          <w:color w:val="auto"/>
        </w:rPr>
      </w:pPr>
    </w:p>
    <w:p>
      <w:pPr>
        <w:sectPr>
          <w:pgSz w:w="11900" w:h="16838" w:orient="portrait"/>
          <w:cols w:equalWidth="0" w:num="2">
            <w:col w:w="6000" w:space="460"/>
            <w:col w:w="3460"/>
          </w:cols>
          <w:pgMar w:left="980" w:top="485" w:right="999" w:bottom="1440" w:gutter="0" w:footer="0" w:header="0"/>
          <w:type w:val="continuous"/>
        </w:sectPr>
      </w:pPr>
    </w:p>
    <w:p>
      <w:pPr>
        <w:spacing w:after="0" w:line="38" w:lineRule="exact"/>
        <w:rPr>
          <w:sz w:val="20"/>
          <w:szCs w:val="20"/>
          <w:color w:val="auto"/>
        </w:rPr>
      </w:pPr>
    </w:p>
    <w:p>
      <w:pPr>
        <w:ind w:right="520"/>
        <w:spacing w:after="0" w:line="244" w:lineRule="auto"/>
        <w:rPr>
          <w:sz w:val="20"/>
          <w:szCs w:val="20"/>
          <w:color w:val="auto"/>
        </w:rPr>
      </w:pPr>
      <w:r>
        <w:rPr>
          <w:rFonts w:ascii="Arial" w:cs="Arial" w:eastAsia="Arial" w:hAnsi="Arial"/>
          <w:sz w:val="17"/>
          <w:szCs w:val="17"/>
          <w:color w:val="auto"/>
        </w:rPr>
        <w:t>We are asking you to approve an amendment to the Company’s Certificate of Incorporation (the “Certificate of Incorporation”) to provide for exculpation of certain officers of the Company as permitted by recent amendments to Delaware law (the “Proposed Amendment”).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BACKGROUND OF THE PROPOSED AMENDMENT</w:t>
      </w:r>
    </w:p>
    <w:p>
      <w:pPr>
        <w:spacing w:after="0" w:line="192"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State of Delaware, our state of incorporation, recently enacted legislation that enables Delaware corporations to limit the liability of certain of their officers in limited circumstances. Specifically, Section 102(b)(7) of the General Corporation Law of the State of Delaware (“DGCL”) was amended to authorize corporations to adopt a provision in their certificate of incorporation to eliminate or limit monetary liability of certain corporate officers, or exculpation, for breach of the fiduciary duty of care. Previously, the DGCL allowed only exculpation of directors for breach of the fiduciary duty of care. As amended, Section 102(b)(7) of the DGCL authorizes corporations to provide for exculpation of the following officers: (i) the corporation’s president, chief executive officer, chief operating officer, chief financial officer, chief legal officer, controller, treasurer or chief accounting officer, (ii) “named executive officers” identified in the corporation’s SEC filings, and (iii) other individuals who have agreed to be identified as officers of the corporation.</w:t>
      </w:r>
    </w:p>
    <w:p>
      <w:pPr>
        <w:spacing w:after="0" w:line="160"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Section 102(b)(7) of the DGCL, as amended, only permits, and the Proposed Amendment would only permit, the exculpation of certain officers in connection with direct claims brought by stockholders, including class actions, but would not eliminate officers’ monetary liability for breach of fiduciary duty claims brought by the Company itself or for derivative claims brought by stockholders in the name of the Company. In addition, as is currently the case with directors under the Certificate of Incorporation, the Proposed Amendment would not limit the liability of officers for any breach of the duty of loyalty to the Company or its stockholders, any acts or omissions not in good faith or which involve intentional misconduct or a knowing violation of the law and any transaction from which the officer derived an improper personal benefit. Article IX in the Certificate of Incorporation currently provides for the exculpation of directors, but it does not include a provision that allows for the exculpation of officers.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RATIONALE FOR THE PROPOSED AMENDMENT</w:t>
      </w:r>
    </w:p>
    <w:p>
      <w:pPr>
        <w:spacing w:after="0" w:line="192" w:lineRule="exact"/>
        <w:rPr>
          <w:sz w:val="20"/>
          <w:szCs w:val="20"/>
          <w:color w:val="auto"/>
        </w:rPr>
      </w:pPr>
    </w:p>
    <w:p>
      <w:pPr>
        <w:jc w:val="both"/>
        <w:ind w:right="240"/>
        <w:spacing w:after="0" w:line="239" w:lineRule="auto"/>
        <w:rPr>
          <w:sz w:val="20"/>
          <w:szCs w:val="20"/>
          <w:color w:val="auto"/>
        </w:rPr>
      </w:pPr>
      <w:r>
        <w:rPr>
          <w:rFonts w:ascii="Arial" w:cs="Arial" w:eastAsia="Arial" w:hAnsi="Arial"/>
          <w:sz w:val="17"/>
          <w:szCs w:val="17"/>
          <w:color w:val="auto"/>
        </w:rPr>
        <w:t>The Board believes that it is important to provide protection from certain liabilities and expenses that may discourage prospective or current officers from accepting or continuing service with corporations. As with directors, officers frequently must make decisions in response to time-sensitive opportunities and challenges, which can create substantial risk of investigations, claims, actions, suits or proceedings seeking to impose liability on the basis of hindsight.</w:t>
      </w:r>
    </w:p>
    <w:p>
      <w:pPr>
        <w:spacing w:after="0" w:line="17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The Board also believes the Proposed Amendment would better position the Company to attract exceptional officer candidates. In the absence of this exculpatory protection, candidates might be deterred from serving as officers due to exposure to personal liability and the risk that substantial expense will be incurred in defending lawsuits, regardless of merit. A number of our peers have adopted exculpation clauses that limit the personal liability of officers in their respective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119380</wp:posOffset>
            </wp:positionV>
            <wp:extent cx="483870" cy="2222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1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certificates of incorporation, and failing to adopt the Proposed Amendment could impact our recruitment and retention of exceptional officer candidates.</w:t>
      </w:r>
    </w:p>
    <w:p>
      <w:pPr>
        <w:spacing w:after="0" w:line="155"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color w:val="auto"/>
        </w:rPr>
        <w:t>In considering the Proposed Amendment, the Board also took into account the narrow class and type of claims from which such officers would be exculpated from liability pursuant to Section 102(b)(7) of the DGCL, the limited number of our officers that would be impacted and the benefits the Board believes would accrue to the Company by providing exculpation in accordance with Section 102(b)(7) of the DGCL, including the ability to further enable our officers to best exercise their business judgment in furtherance of stockholder interests.</w:t>
      </w:r>
    </w:p>
    <w:p>
      <w:pPr>
        <w:spacing w:after="0" w:line="17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After weighing these considerations, the Board approved and declared it advisable to adopt, subject to stockholder approval, the Proposed Amendment to provide for exculpation of certain officers of the Company as permitted by recent amendments to Delaware law.</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ADDITIONAL INFORMATION</w:t>
      </w:r>
    </w:p>
    <w:p>
      <w:pPr>
        <w:spacing w:after="0" w:line="19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Approval of Proposal 2 will constitute approval of the Proposed Amendment to the Certificate of Incorporation, as set forth in Appendix 1 to this Proxy Statement. If Proposal 2 is approved, the Company intends to file the Amendment to the Certificate of Incorporation with the Secretary of State of the State of Delaware promptly following the Annual Meeting, to be effective at the time of that filing. The Board may, at any time prior to the effectiveness of the Proposed Amendment, abandon the Proposed Amendment without further action by the stockholders or the Board (even if the requisite stockholder vote is obtained).</w:t>
      </w:r>
    </w:p>
    <w:p>
      <w:pPr>
        <w:spacing w:after="0" w:line="172" w:lineRule="exact"/>
        <w:rPr>
          <w:sz w:val="20"/>
          <w:szCs w:val="20"/>
          <w:color w:val="auto"/>
        </w:rPr>
      </w:pPr>
    </w:p>
    <w:p>
      <w:pPr>
        <w:ind w:right="320"/>
        <w:spacing w:after="0" w:line="258" w:lineRule="auto"/>
        <w:rPr>
          <w:sz w:val="20"/>
          <w:szCs w:val="20"/>
          <w:color w:val="auto"/>
        </w:rPr>
      </w:pPr>
      <w:r>
        <w:rPr>
          <w:rFonts w:ascii="Arial" w:cs="Arial" w:eastAsia="Arial" w:hAnsi="Arial"/>
          <w:sz w:val="17"/>
          <w:szCs w:val="17"/>
          <w:color w:val="auto"/>
        </w:rPr>
        <w:t>If Proposal 2 is not approved by a majority of the shares of our common stock outstanding on the Record Date, then the Proposed Amendment will not be approved and will not be implemented or become effective.</w:t>
      </w:r>
    </w:p>
    <w:p>
      <w:pPr>
        <w:spacing w:after="0" w:line="155" w:lineRule="exact"/>
        <w:rPr>
          <w:sz w:val="20"/>
          <w:szCs w:val="20"/>
          <w:color w:val="auto"/>
        </w:rPr>
      </w:pPr>
    </w:p>
    <w:p>
      <w:pPr>
        <w:ind w:right="620"/>
        <w:spacing w:after="0" w:line="271" w:lineRule="auto"/>
        <w:rPr>
          <w:sz w:val="20"/>
          <w:szCs w:val="20"/>
          <w:color w:val="auto"/>
        </w:rPr>
      </w:pPr>
      <w:r>
        <w:rPr>
          <w:rFonts w:ascii="Arial" w:cs="Arial" w:eastAsia="Arial" w:hAnsi="Arial"/>
          <w:sz w:val="17"/>
          <w:szCs w:val="17"/>
          <w:b w:val="1"/>
          <w:bCs w:val="1"/>
          <w:color w:val="auto"/>
        </w:rPr>
        <w:t>Our Board recommends a vote “FOR” the approval of the Proposed Amendment to our Certificate of Incorporation to incorporate Delaware law provisions regarding officer exculpation.</w:t>
      </w:r>
    </w:p>
    <w:p>
      <w:pPr>
        <w:spacing w:after="0" w:line="200" w:lineRule="exact"/>
        <w:rPr>
          <w:sz w:val="20"/>
          <w:szCs w:val="20"/>
          <w:color w:val="auto"/>
        </w:rPr>
      </w:pPr>
    </w:p>
    <w:p>
      <w:pPr>
        <w:spacing w:after="0" w:line="302"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18</w:t>
      </w:r>
      <w:r>
        <w:rPr>
          <w:sz w:val="20"/>
          <w:szCs w:val="20"/>
          <w:color w:val="auto"/>
        </w:rPr>
        <w:tab/>
      </w:r>
      <w:r>
        <w:rPr>
          <w:sz w:val="1"/>
          <w:szCs w:val="1"/>
          <w:color w:val="auto"/>
        </w:rPr>
        <w:drawing>
          <wp:inline distT="0" distB="0" distL="0" distR="0">
            <wp:extent cx="476250" cy="22225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880"/>
          </w:cols>
          <w:pgMar w:left="980" w:top="485" w:right="10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ectPr>
          <w:pgSz w:w="11900" w:h="16838" w:orient="portrait"/>
          <w:cols w:equalWidth="0" w:num="1">
            <w:col w:w="9920"/>
          </w:cols>
          <w:pgMar w:left="980" w:top="485" w:right="999" w:bottom="1440" w:gutter="0" w:footer="0" w:header="0"/>
        </w:sect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C578C"/>
        </w:rPr>
        <w:t>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6301105" cy="13652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01105" cy="1365250"/>
                    </a:xfrm>
                    <a:prstGeom prst="rect">
                      <a:avLst/>
                    </a:prstGeom>
                    <a:noFill/>
                  </pic:spPr>
                </pic:pic>
              </a:graphicData>
            </a:graphic>
          </wp:anchor>
        </w:drawing>
      </w:r>
    </w:p>
    <w:p>
      <w:pPr>
        <w:spacing w:after="0" w:line="55" w:lineRule="exact"/>
        <w:rPr>
          <w:sz w:val="20"/>
          <w:szCs w:val="20"/>
          <w:color w:val="auto"/>
        </w:rPr>
      </w:pPr>
    </w:p>
    <w:p>
      <w:pPr>
        <w:ind w:left="120" w:right="1040"/>
        <w:spacing w:after="0" w:line="264" w:lineRule="auto"/>
        <w:rPr>
          <w:sz w:val="20"/>
          <w:szCs w:val="20"/>
          <w:color w:val="auto"/>
        </w:rPr>
      </w:pPr>
      <w:r>
        <w:rPr>
          <w:rFonts w:ascii="Arial" w:cs="Arial" w:eastAsia="Arial" w:hAnsi="Arial"/>
          <w:sz w:val="33"/>
          <w:szCs w:val="33"/>
          <w:color w:val="3C578C"/>
        </w:rPr>
        <w:t>ADVISORY VOTE TO APPROVE THE COMPENSATION OF OUR NAMED EXECUTIVE OFFICERS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471" w:lineRule="exact"/>
        <w:rPr>
          <w:sz w:val="20"/>
          <w:szCs w:val="20"/>
          <w:color w:val="auto"/>
        </w:rPr>
      </w:pPr>
      <w:r>
        <w:rPr>
          <w:rFonts w:ascii="MS PGothic" w:cs="MS PGothic" w:eastAsia="MS PGothic" w:hAnsi="MS PGothic"/>
          <w:sz w:val="47"/>
          <w:szCs w:val="47"/>
          <w:color w:val="A1B657"/>
        </w:rPr>
        <w:t>✓</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b w:val="1"/>
          <w:bCs w:val="1"/>
          <w:color w:val="3C578C"/>
        </w:rPr>
        <w:t xml:space="preserve">The Board recommends a vote </w:t>
      </w:r>
      <w:r>
        <w:rPr>
          <w:rFonts w:ascii="Arial" w:cs="Arial" w:eastAsia="Arial" w:hAnsi="Arial"/>
          <w:sz w:val="20"/>
          <w:szCs w:val="20"/>
          <w:b w:val="1"/>
          <w:bCs w:val="1"/>
          <w:color w:val="A1B657"/>
        </w:rPr>
        <w:t>FOR</w:t>
      </w:r>
      <w:r>
        <w:rPr>
          <w:rFonts w:ascii="Arial" w:cs="Arial" w:eastAsia="Arial" w:hAnsi="Arial"/>
          <w:sz w:val="20"/>
          <w:szCs w:val="20"/>
          <w:b w:val="1"/>
          <w:bCs w:val="1"/>
          <w:color w:val="3C578C"/>
        </w:rPr>
        <w:t xml:space="preserve"> the approval, on an advisory basis, of the compensation of our named executive officers.</w:t>
      </w:r>
    </w:p>
    <w:p>
      <w:pPr>
        <w:spacing w:after="0" w:line="148" w:lineRule="exact"/>
        <w:rPr>
          <w:sz w:val="20"/>
          <w:szCs w:val="20"/>
          <w:color w:val="auto"/>
        </w:rPr>
      </w:pPr>
    </w:p>
    <w:p>
      <w:pPr>
        <w:sectPr>
          <w:pgSz w:w="11900" w:h="16838" w:orient="portrait"/>
          <w:cols w:equalWidth="0" w:num="2">
            <w:col w:w="6880" w:space="720"/>
            <w:col w:w="2320"/>
          </w:cols>
          <w:pgMar w:left="980" w:top="485" w:right="999" w:bottom="1440" w:gutter="0" w:footer="0" w:header="0"/>
          <w:type w:val="continuous"/>
        </w:sectPr>
      </w:pPr>
    </w:p>
    <w:p>
      <w:pPr>
        <w:ind w:right="100"/>
        <w:spacing w:after="0" w:line="237" w:lineRule="auto"/>
        <w:rPr>
          <w:sz w:val="20"/>
          <w:szCs w:val="20"/>
          <w:color w:val="auto"/>
        </w:rPr>
      </w:pPr>
      <w:r>
        <w:rPr>
          <w:rFonts w:ascii="Arial" w:cs="Arial" w:eastAsia="Arial" w:hAnsi="Arial"/>
          <w:sz w:val="17"/>
          <w:szCs w:val="17"/>
          <w:color w:val="auto"/>
        </w:rPr>
        <w:t>We are seeking your advisory (non-binding) vote approving the compensation of our named executive officers. We believe that the structure of our executive officer compensation programs promotes the long-term interests of our stockholders. Our executive officer compensation programs are designed to attract, retain, motivate and reward talented executive officers who will achieve our business objectives and create long-term value for our stockholders. We believe that our compensation program rewards sustained performance that is aligned with long-term stockholder interests.</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This proposal, commonly known as a “Say-on-Pay” proposal, gives our stockholders the opportunity to express their views on our named executive officers’ compensation. This vote is not intended to address any specific item of compensation, but rather the overall compensation of our named executive officers and the philosophy, policies, and practices described in this Proxy Statement. We encourage stockholders to read the Executive Compensation sections of this Proxy Statement, including the Compensation Discussion and Analysis, which discuss our compensation policies and procedures, and the compensation of our named executive officers for 2023.</w:t>
      </w:r>
    </w:p>
    <w:p>
      <w:pPr>
        <w:spacing w:after="0" w:line="71"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At our 2023 Annual Meeting of Stockholders, our Say-on-Pay proposal to approve the compensation of our named executive officers was supported by approximately 97% of all votes represented at the meeting. We believe that this indicates strong support for our continued focus on aligning our named executive officer compensation programs with the interests of our stockholders. During 2023, we continued to focus on pay for performance, and in addition to granting time-based RSUs, we granted PRSUs that only vest if our market performance meets or exceeds the goals established by our Compensation Committee as well as special one-time incentive grants.</w:t>
      </w:r>
    </w:p>
    <w:p>
      <w:pPr>
        <w:spacing w:after="0" w:line="7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This vote is required pursuant to Section 14A of the Exchange Act and is advisory and non-binding; however, our Compensation Committee and our Board are expected to consider the results of the vote when making future determinations regarding our named executive officer compensation programs. Advisory Say-on-Pay votes have been scheduled to be held once every year. We expect to hold the next advisory vote to approve the compensation of our named executive officers in 2025.</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92" w:lineRule="exact"/>
        <w:rPr>
          <w:sz w:val="20"/>
          <w:szCs w:val="20"/>
          <w:color w:val="auto"/>
        </w:rPr>
      </w:pPr>
    </w:p>
    <w:p>
      <w:pPr>
        <w:ind w:right="600"/>
        <w:spacing w:after="0" w:line="258" w:lineRule="auto"/>
        <w:rPr>
          <w:sz w:val="20"/>
          <w:szCs w:val="20"/>
          <w:color w:val="auto"/>
        </w:rPr>
      </w:pPr>
      <w:r>
        <w:rPr>
          <w:rFonts w:ascii="Arial" w:cs="Arial" w:eastAsia="Arial" w:hAnsi="Arial"/>
          <w:sz w:val="17"/>
          <w:szCs w:val="17"/>
          <w:color w:val="auto"/>
        </w:rPr>
        <w:t>This proposal requires an affirmative vote of the majority of shares represented at the Annual Meeting in person or by proxy for advisory approval.</w:t>
      </w:r>
    </w:p>
    <w:p>
      <w:pPr>
        <w:spacing w:after="0" w:line="15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b w:val="1"/>
          <w:bCs w:val="1"/>
          <w:color w:val="auto"/>
        </w:rPr>
        <w:t>Our Board recommends a vote “FOR” the following resolution, providing an advisory approval of the compensation of our named executive officers:</w:t>
      </w:r>
    </w:p>
    <w:p>
      <w:pPr>
        <w:spacing w:after="0" w:line="33" w:lineRule="exact"/>
        <w:rPr>
          <w:sz w:val="20"/>
          <w:szCs w:val="20"/>
          <w:color w:val="auto"/>
        </w:rPr>
      </w:pPr>
    </w:p>
    <w:p>
      <w:pPr>
        <w:ind w:left="600" w:right="220"/>
        <w:spacing w:after="0" w:line="244" w:lineRule="auto"/>
        <w:rPr>
          <w:sz w:val="20"/>
          <w:szCs w:val="20"/>
          <w:color w:val="auto"/>
        </w:rPr>
      </w:pPr>
      <w:r>
        <w:rPr>
          <w:rFonts w:ascii="Arial" w:cs="Arial" w:eastAsia="Arial" w:hAnsi="Arial"/>
          <w:sz w:val="17"/>
          <w:szCs w:val="17"/>
          <w:color w:val="auto"/>
        </w:rPr>
        <w:t>RESOLVED, that the compensation of the Company’s named executive officers, as disclosed pursuant to the compensation disclosure rules of the Securities and Exchange Commission, including the Compensation Discussion and Analysis, the compensation tables and the related material disclosed in this Proxy Statement,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361950</wp:posOffset>
            </wp:positionV>
            <wp:extent cx="483870" cy="2222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EXECUTIVE COMPENSATION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Compensation Discussion and Analysis</w:t>
      </w:r>
    </w:p>
    <w:p>
      <w:pPr>
        <w:spacing w:after="0" w:line="92" w:lineRule="exact"/>
        <w:rPr>
          <w:sz w:val="20"/>
          <w:szCs w:val="20"/>
          <w:color w:val="auto"/>
        </w:rPr>
      </w:pPr>
    </w:p>
    <w:p>
      <w:pPr>
        <w:ind w:right="420"/>
        <w:spacing w:after="0" w:line="237" w:lineRule="auto"/>
        <w:rPr>
          <w:sz w:val="20"/>
          <w:szCs w:val="20"/>
          <w:color w:val="auto"/>
        </w:rPr>
      </w:pPr>
      <w:r>
        <w:rPr>
          <w:rFonts w:ascii="Arial" w:cs="Arial" w:eastAsia="Arial" w:hAnsi="Arial"/>
          <w:sz w:val="17"/>
          <w:szCs w:val="17"/>
          <w:color w:val="auto"/>
        </w:rPr>
        <w:t>Our executive compensation program is designed to attract, motivate, retain and reward executive talent to achieve our business objectives, with the ultimate goal of increasing stockholder value. This Compensation Discussion and Analysis (“CD&amp;A”) provides information about our compensation objectives and policies for our Chief Executive Officer and the other individuals who are considered our “named executive officers” under SEC rules. This CD&amp;A puts in perspective the information set forth in the “2023 Summary Compensation Table” that follows in this Proxy Statement.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this Proxy Statement, the following individuals are considered our 2023 “named executive officers” or “NEOs”.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60" w:type="dxa"/>
            <w:vAlign w:val="bottom"/>
            <w:gridSpan w:val="2"/>
          </w:tcPr>
          <w:p>
            <w:pPr>
              <w:spacing w:after="0"/>
              <w:rPr>
                <w:sz w:val="20"/>
                <w:szCs w:val="20"/>
                <w:color w:val="auto"/>
              </w:rPr>
            </w:pPr>
            <w:r>
              <w:rPr>
                <w:rFonts w:ascii="Arial" w:cs="Arial" w:eastAsia="Arial" w:hAnsi="Arial"/>
                <w:sz w:val="13"/>
                <w:szCs w:val="13"/>
                <w:b w:val="1"/>
                <w:bCs w:val="1"/>
                <w:color w:val="auto"/>
              </w:rPr>
              <w:t>Named Executive Officer*</w:t>
            </w:r>
          </w:p>
        </w:tc>
        <w:tc>
          <w:tcPr>
            <w:tcW w:w="4860" w:type="dxa"/>
            <w:vAlign w:val="bottom"/>
          </w:tcPr>
          <w:p>
            <w:pPr>
              <w:spacing w:after="0"/>
              <w:rPr>
                <w:sz w:val="20"/>
                <w:szCs w:val="20"/>
                <w:color w:val="auto"/>
              </w:rPr>
            </w:pPr>
            <w:r>
              <w:rPr>
                <w:rFonts w:ascii="Arial" w:cs="Arial" w:eastAsia="Arial" w:hAnsi="Arial"/>
                <w:sz w:val="13"/>
                <w:szCs w:val="13"/>
                <w:b w:val="1"/>
                <w:bCs w:val="1"/>
                <w:color w:val="auto"/>
              </w:rPr>
              <w:t>Title</w:t>
            </w:r>
          </w:p>
        </w:tc>
      </w:tr>
      <w:tr>
        <w:trPr>
          <w:trHeight w:val="171"/>
        </w:trPr>
        <w:tc>
          <w:tcPr>
            <w:tcW w:w="4860" w:type="dxa"/>
            <w:vAlign w:val="bottom"/>
            <w:tcBorders>
              <w:top w:val="single" w:sz="8" w:color="3C578C"/>
            </w:tcBorders>
          </w:tcPr>
          <w:p>
            <w:pPr>
              <w:spacing w:after="0" w:line="171" w:lineRule="exact"/>
              <w:rPr>
                <w:sz w:val="20"/>
                <w:szCs w:val="20"/>
                <w:color w:val="auto"/>
              </w:rPr>
            </w:pPr>
            <w:r>
              <w:rPr>
                <w:rFonts w:ascii="Arial" w:cs="Arial" w:eastAsia="Arial" w:hAnsi="Arial"/>
                <w:sz w:val="17"/>
                <w:szCs w:val="17"/>
                <w:color w:val="auto"/>
              </w:rPr>
              <w:t>Todd Gleason</w:t>
            </w:r>
          </w:p>
        </w:tc>
        <w:tc>
          <w:tcPr>
            <w:tcW w:w="200" w:type="dxa"/>
            <w:vAlign w:val="bottom"/>
          </w:tcPr>
          <w:p>
            <w:pPr>
              <w:spacing w:after="0"/>
              <w:rPr>
                <w:sz w:val="14"/>
                <w:szCs w:val="14"/>
                <w:color w:val="auto"/>
              </w:rPr>
            </w:pPr>
          </w:p>
        </w:tc>
        <w:tc>
          <w:tcPr>
            <w:tcW w:w="4860" w:type="dxa"/>
            <w:vAlign w:val="bottom"/>
            <w:tcBorders>
              <w:top w:val="single" w:sz="8" w:color="3C578C"/>
            </w:tcBorders>
          </w:tcPr>
          <w:p>
            <w:pPr>
              <w:spacing w:after="0" w:line="171" w:lineRule="exact"/>
              <w:rPr>
                <w:sz w:val="20"/>
                <w:szCs w:val="20"/>
                <w:color w:val="auto"/>
              </w:rPr>
            </w:pPr>
            <w:r>
              <w:rPr>
                <w:rFonts w:ascii="Arial" w:cs="Arial" w:eastAsia="Arial" w:hAnsi="Arial"/>
                <w:sz w:val="17"/>
                <w:szCs w:val="17"/>
                <w:color w:val="auto"/>
              </w:rPr>
              <w:t>Chief Executive Officer ("CEO")</w:t>
            </w:r>
          </w:p>
        </w:tc>
      </w:tr>
      <w:tr>
        <w:trPr>
          <w:trHeight w:val="187"/>
        </w:trPr>
        <w:tc>
          <w:tcPr>
            <w:tcW w:w="5060" w:type="dxa"/>
            <w:vAlign w:val="bottom"/>
            <w:gridSpan w:val="2"/>
          </w:tcPr>
          <w:p>
            <w:pPr>
              <w:spacing w:after="0" w:line="188" w:lineRule="exact"/>
              <w:rPr>
                <w:sz w:val="20"/>
                <w:szCs w:val="20"/>
                <w:color w:val="auto"/>
              </w:rPr>
            </w:pPr>
            <w:r>
              <w:rPr>
                <w:rFonts w:ascii="Arial" w:cs="Arial" w:eastAsia="Arial" w:hAnsi="Arial"/>
                <w:sz w:val="17"/>
                <w:szCs w:val="17"/>
                <w:color w:val="auto"/>
              </w:rPr>
              <w:t>Peter Johansson</w:t>
            </w:r>
          </w:p>
        </w:tc>
        <w:tc>
          <w:tcPr>
            <w:tcW w:w="4860" w:type="dxa"/>
            <w:vAlign w:val="bottom"/>
          </w:tcPr>
          <w:p>
            <w:pPr>
              <w:spacing w:after="0" w:line="188" w:lineRule="exact"/>
              <w:rPr>
                <w:sz w:val="20"/>
                <w:szCs w:val="20"/>
                <w:color w:val="auto"/>
              </w:rPr>
            </w:pPr>
            <w:r>
              <w:rPr>
                <w:rFonts w:ascii="Arial" w:cs="Arial" w:eastAsia="Arial" w:hAnsi="Arial"/>
                <w:sz w:val="17"/>
                <w:szCs w:val="17"/>
                <w:color w:val="auto"/>
              </w:rPr>
              <w:t>Chief Financial Officer ("CFO")</w:t>
            </w:r>
          </w:p>
        </w:tc>
      </w:tr>
      <w:tr>
        <w:trPr>
          <w:trHeight w:val="219"/>
        </w:trPr>
        <w:tc>
          <w:tcPr>
            <w:tcW w:w="5060" w:type="dxa"/>
            <w:vAlign w:val="bottom"/>
            <w:gridSpan w:val="2"/>
          </w:tcPr>
          <w:p>
            <w:pPr>
              <w:spacing w:after="0"/>
              <w:rPr>
                <w:sz w:val="20"/>
                <w:szCs w:val="20"/>
                <w:color w:val="auto"/>
              </w:rPr>
            </w:pPr>
            <w:r>
              <w:rPr>
                <w:rFonts w:ascii="Arial" w:cs="Arial" w:eastAsia="Arial" w:hAnsi="Arial"/>
                <w:sz w:val="17"/>
                <w:szCs w:val="17"/>
                <w:color w:val="auto"/>
              </w:rPr>
              <w:t>Lynn Watkins-Asiyanbi</w:t>
            </w:r>
          </w:p>
        </w:tc>
        <w:tc>
          <w:tcPr>
            <w:tcW w:w="4860" w:type="dxa"/>
            <w:vAlign w:val="bottom"/>
          </w:tcPr>
          <w:p>
            <w:pPr>
              <w:spacing w:after="0"/>
              <w:rPr>
                <w:sz w:val="20"/>
                <w:szCs w:val="20"/>
                <w:color w:val="auto"/>
              </w:rPr>
            </w:pPr>
            <w:r>
              <w:rPr>
                <w:rFonts w:ascii="Arial" w:cs="Arial" w:eastAsia="Arial" w:hAnsi="Arial"/>
                <w:sz w:val="17"/>
                <w:szCs w:val="17"/>
                <w:color w:val="auto"/>
              </w:rPr>
              <w:t>Chief Administrative and Legal Officer ("CALO")</w:t>
            </w:r>
          </w:p>
        </w:tc>
      </w:tr>
    </w:tbl>
    <w:p>
      <w:pPr>
        <w:spacing w:after="0" w:line="165" w:lineRule="exact"/>
        <w:rPr>
          <w:sz w:val="20"/>
          <w:szCs w:val="20"/>
          <w:color w:val="auto"/>
        </w:rPr>
      </w:pPr>
    </w:p>
    <w:p>
      <w:pPr>
        <w:ind w:right="240"/>
        <w:spacing w:after="0" w:line="281" w:lineRule="auto"/>
        <w:rPr>
          <w:sz w:val="20"/>
          <w:szCs w:val="20"/>
          <w:color w:val="auto"/>
        </w:rPr>
      </w:pPr>
      <w:r>
        <w:rPr>
          <w:rFonts w:ascii="Arial" w:cs="Arial" w:eastAsia="Arial" w:hAnsi="Arial"/>
          <w:sz w:val="13"/>
          <w:szCs w:val="13"/>
          <w:color w:val="auto"/>
        </w:rPr>
        <w:t>*The three listed individuals were our only executive officers as of December 31, 2023. No other individuals met the definition of named executive officer under SEC rules for 2023. Our Board has elected only three executive officers in light of their expansive leadership roles.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Highlights</w:t>
      </w:r>
    </w:p>
    <w:p>
      <w:pPr>
        <w:spacing w:after="0" w:line="90" w:lineRule="exact"/>
        <w:rPr>
          <w:sz w:val="20"/>
          <w:szCs w:val="20"/>
          <w:color w:val="auto"/>
        </w:rPr>
      </w:pPr>
    </w:p>
    <w:p>
      <w:pPr>
        <w:ind w:left="620" w:hanging="294"/>
        <w:spacing w:after="0" w:line="288" w:lineRule="auto"/>
        <w:tabs>
          <w:tab w:leader="none" w:pos="620" w:val="left"/>
        </w:tabs>
        <w:numPr>
          <w:ilvl w:val="0"/>
          <w:numId w:val="46"/>
        </w:numPr>
        <w:rPr>
          <w:rFonts w:ascii="Times New Roman" w:cs="Times New Roman" w:eastAsia="Times New Roman" w:hAnsi="Times New Roman"/>
          <w:sz w:val="16"/>
          <w:szCs w:val="16"/>
          <w:color w:val="3C578C"/>
        </w:rPr>
      </w:pPr>
      <w:r>
        <w:rPr>
          <w:rFonts w:ascii="Arial" w:cs="Arial" w:eastAsia="Arial" w:hAnsi="Arial"/>
          <w:sz w:val="16"/>
          <w:szCs w:val="16"/>
          <w:color w:val="auto"/>
        </w:rPr>
        <w:t>During 2023, our Compensation Committee continued to oversee the executive compensation programs that it considers to be competitive in the market for talent and aligned with industry best practices and the long-term interests of our stockholders.</w:t>
      </w:r>
    </w:p>
    <w:p>
      <w:pPr>
        <w:spacing w:after="0" w:line="7" w:lineRule="exact"/>
        <w:rPr>
          <w:rFonts w:ascii="Times New Roman" w:cs="Times New Roman" w:eastAsia="Times New Roman" w:hAnsi="Times New Roman"/>
          <w:sz w:val="16"/>
          <w:szCs w:val="16"/>
          <w:color w:val="3C578C"/>
        </w:rPr>
      </w:pPr>
    </w:p>
    <w:p>
      <w:pPr>
        <w:ind w:left="620" w:right="140" w:hanging="294"/>
        <w:spacing w:after="0" w:line="259" w:lineRule="auto"/>
        <w:tabs>
          <w:tab w:leader="none" w:pos="620" w:val="left"/>
        </w:tabs>
        <w:numPr>
          <w:ilvl w:val="0"/>
          <w:numId w:val="46"/>
        </w:numPr>
        <w:rPr>
          <w:rFonts w:ascii="Times New Roman" w:cs="Times New Roman" w:eastAsia="Times New Roman" w:hAnsi="Times New Roman"/>
          <w:sz w:val="16"/>
          <w:szCs w:val="16"/>
          <w:color w:val="3C578C"/>
        </w:rPr>
      </w:pPr>
      <w:r>
        <w:rPr>
          <w:rFonts w:ascii="Arial" w:cs="Arial" w:eastAsia="Arial" w:hAnsi="Arial"/>
          <w:sz w:val="16"/>
          <w:szCs w:val="16"/>
          <w:color w:val="auto"/>
        </w:rPr>
        <w:t>Our annual performance-based cash incentive compensation program is typically designed to reward our management team (including our NEOs) for achievement of certain pre-established, short-term financial and/or operational goals. For 2023, the performance objectives under our performance-based incentive program consisted of Adjusted EBITDA (50%), Revenue (25%) and Free Cash Flow (25%), in each case established by reference to the Company’s annual operating plan.</w:t>
      </w:r>
    </w:p>
    <w:p>
      <w:pPr>
        <w:spacing w:after="0" w:line="29" w:lineRule="exact"/>
        <w:rPr>
          <w:rFonts w:ascii="Times New Roman" w:cs="Times New Roman" w:eastAsia="Times New Roman" w:hAnsi="Times New Roman"/>
          <w:sz w:val="16"/>
          <w:szCs w:val="16"/>
          <w:color w:val="3C578C"/>
        </w:rPr>
      </w:pPr>
    </w:p>
    <w:p>
      <w:pPr>
        <w:ind w:left="620" w:right="40" w:hanging="294"/>
        <w:spacing w:after="0" w:line="258" w:lineRule="auto"/>
        <w:tabs>
          <w:tab w:leader="none" w:pos="620" w:val="left"/>
        </w:tabs>
        <w:numPr>
          <w:ilvl w:val="0"/>
          <w:numId w:val="46"/>
        </w:numPr>
        <w:rPr>
          <w:rFonts w:ascii="Times New Roman" w:cs="Times New Roman" w:eastAsia="Times New Roman" w:hAnsi="Times New Roman"/>
          <w:sz w:val="16"/>
          <w:szCs w:val="16"/>
          <w:color w:val="3C578C"/>
        </w:rPr>
      </w:pPr>
      <w:r>
        <w:rPr>
          <w:rFonts w:ascii="Arial" w:cs="Arial" w:eastAsia="Arial" w:hAnsi="Arial"/>
          <w:sz w:val="16"/>
          <w:szCs w:val="16"/>
          <w:color w:val="auto"/>
        </w:rPr>
        <w:t>Our 2023 annual grant of performance-based restricted stock units (“PRSUs”) under our long-term equity incentive program required attainment of relative total shareholder return (“Relative TSR”) goals during the 2023</w:t>
      </w:r>
      <w:r>
        <w:rPr>
          <w:rFonts w:ascii="Courier New" w:cs="Courier New" w:eastAsia="Courier New" w:hAnsi="Courier New"/>
          <w:sz w:val="16"/>
          <w:szCs w:val="16"/>
          <w:color w:val="auto"/>
        </w:rPr>
        <w:t>-</w:t>
      </w:r>
      <w:r>
        <w:rPr>
          <w:rFonts w:ascii="Arial" w:cs="Arial" w:eastAsia="Arial" w:hAnsi="Arial"/>
          <w:sz w:val="16"/>
          <w:szCs w:val="16"/>
          <w:color w:val="auto"/>
        </w:rPr>
        <w:t>2025 performance period for a specific percentage of those PRSUs to vest. We also granted time-based restricted stock units (“RSUs”) in 2023 to our NEOs. These RSUs have a four-year vesting period, with 25% vesting annually on each anniversary of the grant date.</w:t>
      </w:r>
    </w:p>
    <w:p>
      <w:pPr>
        <w:spacing w:after="0" w:line="30" w:lineRule="exact"/>
        <w:rPr>
          <w:rFonts w:ascii="Times New Roman" w:cs="Times New Roman" w:eastAsia="Times New Roman" w:hAnsi="Times New Roman"/>
          <w:sz w:val="16"/>
          <w:szCs w:val="16"/>
          <w:color w:val="3C578C"/>
        </w:rPr>
      </w:pPr>
    </w:p>
    <w:p>
      <w:pPr>
        <w:jc w:val="both"/>
        <w:ind w:left="620" w:right="100" w:hanging="294"/>
        <w:spacing w:after="0" w:line="244" w:lineRule="auto"/>
        <w:tabs>
          <w:tab w:leader="none" w:pos="620" w:val="left"/>
        </w:tabs>
        <w:numPr>
          <w:ilvl w:val="0"/>
          <w:numId w:val="46"/>
        </w:numPr>
        <w:rPr>
          <w:rFonts w:ascii="Times New Roman" w:cs="Times New Roman" w:eastAsia="Times New Roman" w:hAnsi="Times New Roman"/>
          <w:sz w:val="17"/>
          <w:szCs w:val="17"/>
          <w:color w:val="3C578C"/>
        </w:rPr>
      </w:pPr>
      <w:r>
        <w:rPr>
          <w:rFonts w:ascii="Arial" w:cs="Arial" w:eastAsia="Arial" w:hAnsi="Arial"/>
          <w:sz w:val="17"/>
          <w:szCs w:val="17"/>
          <w:color w:val="auto"/>
        </w:rPr>
        <w:t>Our stock ownership guidelines apply to all executive officers, including our named executive officers. Our CEO is required to own shares of our stock or stock equivalents having a value equal to five times his base salary. Our other NEOs are required to own shares of our stock or stock equivalents having a value equal to three times their base salary.</w:t>
      </w:r>
    </w:p>
    <w:p>
      <w:pPr>
        <w:spacing w:after="0" w:line="40" w:lineRule="exact"/>
        <w:rPr>
          <w:rFonts w:ascii="Times New Roman" w:cs="Times New Roman" w:eastAsia="Times New Roman" w:hAnsi="Times New Roman"/>
          <w:sz w:val="17"/>
          <w:szCs w:val="17"/>
          <w:color w:val="3C578C"/>
        </w:rPr>
      </w:pPr>
    </w:p>
    <w:p>
      <w:pPr>
        <w:ind w:left="620" w:right="140" w:hanging="294"/>
        <w:spacing w:after="0" w:line="237" w:lineRule="auto"/>
        <w:tabs>
          <w:tab w:leader="none" w:pos="620" w:val="left"/>
        </w:tabs>
        <w:numPr>
          <w:ilvl w:val="0"/>
          <w:numId w:val="46"/>
        </w:numPr>
        <w:rPr>
          <w:rFonts w:ascii="Times New Roman" w:cs="Times New Roman" w:eastAsia="Times New Roman" w:hAnsi="Times New Roman"/>
          <w:sz w:val="17"/>
          <w:szCs w:val="17"/>
          <w:color w:val="3C578C"/>
        </w:rPr>
      </w:pPr>
      <w:r>
        <w:rPr>
          <w:rFonts w:ascii="Arial" w:cs="Arial" w:eastAsia="Arial" w:hAnsi="Arial"/>
          <w:sz w:val="17"/>
          <w:szCs w:val="17"/>
          <w:color w:val="auto"/>
        </w:rPr>
        <w:t>As noted above, our Compensation Committee has engaged an independent executive compensation consultant to provide advice on compensation matters. In May 2023, we engaged our independent compensation consultant to conduct a market analysis of the compensation of all our executive officers (including the NEOs) and the Board’s total cash compensation and equity retainer against the general market and our peer group. Based on this review, we made changes to the compensation levels, discussed in further detail below.</w:t>
      </w:r>
    </w:p>
    <w:p>
      <w:pPr>
        <w:spacing w:after="0" w:line="46" w:lineRule="exact"/>
        <w:rPr>
          <w:rFonts w:ascii="Times New Roman" w:cs="Times New Roman" w:eastAsia="Times New Roman" w:hAnsi="Times New Roman"/>
          <w:sz w:val="17"/>
          <w:szCs w:val="17"/>
          <w:color w:val="3C578C"/>
        </w:rPr>
      </w:pPr>
    </w:p>
    <w:p>
      <w:pPr>
        <w:ind w:left="620" w:right="20" w:hanging="294"/>
        <w:spacing w:after="0" w:line="234" w:lineRule="auto"/>
        <w:tabs>
          <w:tab w:leader="none" w:pos="620" w:val="left"/>
        </w:tabs>
        <w:numPr>
          <w:ilvl w:val="0"/>
          <w:numId w:val="46"/>
        </w:numPr>
        <w:rPr>
          <w:rFonts w:ascii="Times New Roman" w:cs="Times New Roman" w:eastAsia="Times New Roman" w:hAnsi="Times New Roman"/>
          <w:sz w:val="17"/>
          <w:szCs w:val="17"/>
          <w:color w:val="3C578C"/>
        </w:rPr>
      </w:pPr>
      <w:r>
        <w:rPr>
          <w:rFonts w:ascii="Arial" w:cs="Arial" w:eastAsia="Arial" w:hAnsi="Arial"/>
          <w:sz w:val="17"/>
          <w:szCs w:val="17"/>
          <w:color w:val="auto"/>
        </w:rPr>
        <w:t>During 2023, we adopted an updated compensation recovery policy (the “Clawback Policy”) governing the recovery of erroneously awarded incentive-based compensation consistent with the requirements of the SEC and NASDAQ. The Clawback Policy replaced our existing compensation recovery policy and provides that, if we are required to prepare a qualifying accounting restatement, then, unless an exception applies, we will recover the excess of (1) the amount of incentive-based compensation received by a person who served as a covered officer at any time during the applicable performance period during the three completed years immediately preceding the date we are required to prepare the accounting restatement over (2) the amount that the person would have received had the incentive-based compensation been determined based on the restated financials.</w:t>
      </w:r>
    </w:p>
    <w:p>
      <w:pPr>
        <w:spacing w:after="0" w:line="49"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46"/>
        </w:numPr>
        <w:rPr>
          <w:rFonts w:ascii="Times New Roman" w:cs="Times New Roman" w:eastAsia="Times New Roman" w:hAnsi="Times New Roman"/>
          <w:sz w:val="17"/>
          <w:szCs w:val="17"/>
          <w:color w:val="3C578C"/>
        </w:rPr>
      </w:pPr>
      <w:r>
        <w:rPr>
          <w:rFonts w:ascii="Arial" w:cs="Arial" w:eastAsia="Arial" w:hAnsi="Arial"/>
          <w:sz w:val="17"/>
          <w:szCs w:val="17"/>
          <w:color w:val="auto"/>
        </w:rPr>
        <w:t>We annually review tally sheets to understand historical target and realizable compensation.</w:t>
      </w:r>
    </w:p>
    <w:p>
      <w:pPr>
        <w:spacing w:after="0" w:line="78"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46"/>
        </w:numPr>
        <w:rPr>
          <w:rFonts w:ascii="Times New Roman" w:cs="Times New Roman" w:eastAsia="Times New Roman" w:hAnsi="Times New Roman"/>
          <w:sz w:val="17"/>
          <w:szCs w:val="17"/>
          <w:color w:val="3C578C"/>
        </w:rPr>
      </w:pPr>
      <w:r>
        <w:rPr>
          <w:rFonts w:ascii="Arial" w:cs="Arial" w:eastAsia="Arial" w:hAnsi="Arial"/>
          <w:sz w:val="17"/>
          <w:szCs w:val="17"/>
          <w:color w:val="auto"/>
        </w:rPr>
        <w:t>We provide very few perquisites.</w:t>
      </w:r>
    </w:p>
    <w:p>
      <w:pPr>
        <w:spacing w:after="0" w:line="347"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20</w:t>
      </w:r>
      <w:r>
        <w:rPr>
          <w:sz w:val="20"/>
          <w:szCs w:val="20"/>
          <w:color w:val="auto"/>
        </w:rPr>
        <w:tab/>
      </w:r>
      <w:r>
        <w:rPr>
          <w:sz w:val="1"/>
          <w:szCs w:val="1"/>
          <w:color w:val="auto"/>
        </w:rPr>
        <w:drawing>
          <wp:inline distT="0" distB="0" distL="0" distR="0">
            <wp:extent cx="476250" cy="22225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23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2023 Stockholder Engagement</w:t>
      </w:r>
    </w:p>
    <w:p>
      <w:pPr>
        <w:spacing w:after="0" w:line="90"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At our 2023 Annual Meeting of Stockholders, our advisory “Say-on-Pay” proposal to approve the compensation of our named executive officers was supported by approximately 97% of votes represented at the meeting. Our Compensation Committee believes that this strong approval reflects our continued efforts to improve our compensation practices. During 2023, we had direct contact and discussions with stockholders representing greater than 50% of our investor base, consistent with our experience in 2022. Mr. Gleason, Mr. Johansson, as well as some of our directors, participated in these discussions and provided stockholder feedback to our Board as a whole. Our Compensation Committee considered the 2023 Say-on-Pay voting results at its subsequent meetings and remains dedicated to continuous improvement to our executive compensation programs, although it did not make any changes to our executive compensation policies or practices that were specifically driven by the outcome of that vote.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Policy and Objectives</w:t>
      </w:r>
    </w:p>
    <w:p>
      <w:pPr>
        <w:spacing w:after="0" w:line="90"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Our Compensation Committee believes that an effective executive compensation program generally rewards the achievement of annual, long-term and strategic goals set by the Company and aligns our named executive officers’ interests with those of our other stockholders. Our executive compensation program is designed to attract, motivate, retain and reward highly qualified individuals who are committed to the achievement of solid financial performance and excellence in the management of our Company assets. To accomplish this objective, our typical executive compensation program is designed to provide competitive compensation and to link compensation to our Company’s financial and operational performance. Our Compensation Committee generally evaluates compensation against individual and external market factors to help ensure that we maintain our ability to attract, motivate and retain key executive talent.</w:t>
      </w:r>
    </w:p>
    <w:p>
      <w:pPr>
        <w:spacing w:after="0" w:line="75" w:lineRule="exact"/>
        <w:rPr>
          <w:sz w:val="20"/>
          <w:szCs w:val="20"/>
          <w:color w:val="auto"/>
        </w:rPr>
      </w:pPr>
    </w:p>
    <w:p>
      <w:pPr>
        <w:ind w:right="560"/>
        <w:spacing w:after="0" w:line="239" w:lineRule="auto"/>
        <w:rPr>
          <w:sz w:val="20"/>
          <w:szCs w:val="20"/>
          <w:color w:val="auto"/>
        </w:rPr>
      </w:pPr>
      <w:r>
        <w:rPr>
          <w:rFonts w:ascii="Arial" w:cs="Arial" w:eastAsia="Arial" w:hAnsi="Arial"/>
          <w:sz w:val="17"/>
          <w:szCs w:val="17"/>
          <w:color w:val="auto"/>
        </w:rPr>
        <w:t>Total compensation for our named executive officers generally is comprised of base salary, short-term incentives and long-term incentives, a portion of which is designed to be earned based on our Company’s financial performance. From time to time, our Compensation Committee may approve discretionary cash bonuses or special equity awards to recognize and reward a named executive officer’s individual effort in certain circumstances.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Governance Practices</w:t>
      </w:r>
    </w:p>
    <w:p>
      <w:pPr>
        <w:spacing w:after="0" w:line="90"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In designing our overall compensation program, we endeavor to support good governance, enhance alignment with shareholder value creation, and seek to mitigate excessive risk-taking by our executives. Accordingly, the following details the features implemented within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123825</wp:posOffset>
            </wp:positionV>
            <wp:extent cx="6301105" cy="166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01105" cy="16637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WHAT WE DO</w:t>
      </w:r>
    </w:p>
    <w:p>
      <w:pPr>
        <w:sectPr>
          <w:pgSz w:w="11900" w:h="16838" w:orient="portrait"/>
          <w:cols w:equalWidth="0" w:num="1">
            <w:col w:w="9920"/>
          </w:cols>
          <w:pgMar w:left="980" w:top="485" w:right="999" w:bottom="1440" w:gutter="0" w:footer="0" w:header="0"/>
        </w:sectPr>
      </w:pPr>
    </w:p>
    <w:p>
      <w:pPr>
        <w:spacing w:after="0" w:line="252" w:lineRule="exact"/>
        <w:rPr>
          <w:sz w:val="20"/>
          <w:szCs w:val="20"/>
          <w:color w:val="auto"/>
        </w:rPr>
      </w:pPr>
    </w:p>
    <w:p>
      <w:pPr>
        <w:ind w:left="300" w:right="44" w:firstLine="2"/>
        <w:spacing w:after="0" w:line="295" w:lineRule="auto"/>
        <w:tabs>
          <w:tab w:leader="none" w:pos="479" w:val="left"/>
        </w:tabs>
        <w:numPr>
          <w:ilvl w:val="0"/>
          <w:numId w:val="47"/>
        </w:numPr>
        <w:rPr>
          <w:rFonts w:ascii="MS PGothic" w:cs="MS PGothic" w:eastAsia="MS PGothic" w:hAnsi="MS PGothic"/>
          <w:sz w:val="15"/>
          <w:szCs w:val="15"/>
          <w:color w:val="auto"/>
        </w:rPr>
      </w:pPr>
      <w:r>
        <w:rPr>
          <w:rFonts w:ascii="Arial" w:cs="Arial" w:eastAsia="Arial" w:hAnsi="Arial"/>
          <w:sz w:val="15"/>
          <w:szCs w:val="15"/>
          <w:color w:val="auto"/>
        </w:rPr>
        <w:t>Annual “say-on-pay” advisory vote for shareholders, with robust engagement outreach to understand and respond to feedback</w:t>
      </w:r>
    </w:p>
    <w:p>
      <w:pPr>
        <w:spacing w:after="0" w:line="138" w:lineRule="exact"/>
        <w:rPr>
          <w:rFonts w:ascii="MS PGothic" w:cs="MS PGothic" w:eastAsia="MS PGothic" w:hAnsi="MS PGothic"/>
          <w:sz w:val="15"/>
          <w:szCs w:val="15"/>
          <w:color w:val="auto"/>
        </w:rPr>
      </w:pPr>
    </w:p>
    <w:p>
      <w:pPr>
        <w:ind w:left="300" w:right="124" w:firstLine="2"/>
        <w:spacing w:after="0" w:line="295" w:lineRule="auto"/>
        <w:tabs>
          <w:tab w:leader="none" w:pos="479" w:val="left"/>
        </w:tabs>
        <w:numPr>
          <w:ilvl w:val="0"/>
          <w:numId w:val="47"/>
        </w:numPr>
        <w:rPr>
          <w:rFonts w:ascii="MS PGothic" w:cs="MS PGothic" w:eastAsia="MS PGothic" w:hAnsi="MS PGothic"/>
          <w:sz w:val="15"/>
          <w:szCs w:val="15"/>
          <w:color w:val="auto"/>
        </w:rPr>
      </w:pPr>
      <w:r>
        <w:rPr>
          <w:rFonts w:ascii="Arial" w:cs="Arial" w:eastAsia="Arial" w:hAnsi="Arial"/>
          <w:sz w:val="15"/>
          <w:szCs w:val="15"/>
          <w:color w:val="auto"/>
        </w:rPr>
        <w:t>Alignment of executive compensation with shareholder returns through equity ownership and equity-based awards</w:t>
      </w:r>
    </w:p>
    <w:p>
      <w:pPr>
        <w:spacing w:after="0" w:line="138" w:lineRule="exact"/>
        <w:rPr>
          <w:rFonts w:ascii="MS PGothic" w:cs="MS PGothic" w:eastAsia="MS PGothic" w:hAnsi="MS PGothic"/>
          <w:sz w:val="15"/>
          <w:szCs w:val="15"/>
          <w:color w:val="auto"/>
        </w:rPr>
      </w:pPr>
    </w:p>
    <w:p>
      <w:pPr>
        <w:ind w:left="480" w:hanging="178"/>
        <w:spacing w:after="0"/>
        <w:tabs>
          <w:tab w:leader="none" w:pos="480" w:val="left"/>
        </w:tabs>
        <w:numPr>
          <w:ilvl w:val="0"/>
          <w:numId w:val="47"/>
        </w:numPr>
        <w:rPr>
          <w:rFonts w:ascii="MS PGothic" w:cs="MS PGothic" w:eastAsia="MS PGothic" w:hAnsi="MS PGothic"/>
          <w:sz w:val="15"/>
          <w:szCs w:val="15"/>
          <w:color w:val="auto"/>
        </w:rPr>
      </w:pPr>
      <w:r>
        <w:rPr>
          <w:rFonts w:ascii="Arial" w:cs="Arial" w:eastAsia="Arial" w:hAnsi="Arial"/>
          <w:sz w:val="15"/>
          <w:szCs w:val="15"/>
          <w:color w:val="auto"/>
        </w:rPr>
        <w:t>Long-term incentive compensation tied to relative TSR</w:t>
      </w:r>
    </w:p>
    <w:p>
      <w:pPr>
        <w:spacing w:after="0" w:line="389" w:lineRule="exact"/>
        <w:rPr>
          <w:rFonts w:ascii="MS PGothic" w:cs="MS PGothic" w:eastAsia="MS PGothic" w:hAnsi="MS PGothic"/>
          <w:sz w:val="15"/>
          <w:szCs w:val="15"/>
          <w:color w:val="auto"/>
        </w:rPr>
      </w:pPr>
    </w:p>
    <w:p>
      <w:pPr>
        <w:ind w:left="300" w:right="44" w:firstLine="2"/>
        <w:spacing w:after="0" w:line="295" w:lineRule="auto"/>
        <w:tabs>
          <w:tab w:leader="none" w:pos="479" w:val="left"/>
        </w:tabs>
        <w:numPr>
          <w:ilvl w:val="0"/>
          <w:numId w:val="47"/>
        </w:numPr>
        <w:rPr>
          <w:rFonts w:ascii="MS PGothic" w:cs="MS PGothic" w:eastAsia="MS PGothic" w:hAnsi="MS PGothic"/>
          <w:sz w:val="15"/>
          <w:szCs w:val="15"/>
          <w:color w:val="auto"/>
        </w:rPr>
      </w:pPr>
      <w:r>
        <w:rPr>
          <w:rFonts w:ascii="Arial" w:cs="Arial" w:eastAsia="Arial" w:hAnsi="Arial"/>
          <w:sz w:val="15"/>
          <w:szCs w:val="15"/>
          <w:color w:val="auto"/>
        </w:rPr>
        <w:t>“Double trigger” required for severance under change-in-control agreements and for accelerated vesting of equity awards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4" w:right="240" w:firstLine="4"/>
        <w:spacing w:after="0" w:line="334" w:lineRule="auto"/>
        <w:tabs>
          <w:tab w:leader="none" w:pos="175" w:val="left"/>
        </w:tabs>
        <w:numPr>
          <w:ilvl w:val="0"/>
          <w:numId w:val="48"/>
        </w:numPr>
        <w:rPr>
          <w:rFonts w:ascii="MS PGothic" w:cs="MS PGothic" w:eastAsia="MS PGothic" w:hAnsi="MS PGothic"/>
          <w:sz w:val="14"/>
          <w:szCs w:val="14"/>
          <w:color w:val="auto"/>
        </w:rPr>
      </w:pPr>
      <w:r>
        <w:rPr>
          <w:rFonts w:ascii="Arial" w:cs="Arial" w:eastAsia="Arial" w:hAnsi="Arial"/>
          <w:sz w:val="14"/>
          <w:szCs w:val="14"/>
          <w:color w:val="auto"/>
        </w:rPr>
        <w:t>Pay-for-performance emphasis with a balance of short- and long-term incentives, using an array of key performance metrics</w:t>
      </w:r>
    </w:p>
    <w:p>
      <w:pPr>
        <w:spacing w:after="0" w:line="114" w:lineRule="exact"/>
        <w:rPr>
          <w:rFonts w:ascii="MS PGothic" w:cs="MS PGothic" w:eastAsia="MS PGothic" w:hAnsi="MS PGothic"/>
          <w:sz w:val="14"/>
          <w:szCs w:val="14"/>
          <w:color w:val="auto"/>
        </w:rPr>
      </w:pPr>
    </w:p>
    <w:p>
      <w:pPr>
        <w:ind w:left="176" w:hanging="176"/>
        <w:spacing w:after="0"/>
        <w:tabs>
          <w:tab w:leader="none" w:pos="176" w:val="left"/>
        </w:tabs>
        <w:numPr>
          <w:ilvl w:val="0"/>
          <w:numId w:val="48"/>
        </w:numPr>
        <w:rPr>
          <w:rFonts w:ascii="MS PGothic" w:cs="MS PGothic" w:eastAsia="MS PGothic" w:hAnsi="MS PGothic"/>
          <w:sz w:val="15"/>
          <w:szCs w:val="15"/>
          <w:color w:val="auto"/>
        </w:rPr>
      </w:pPr>
      <w:r>
        <w:rPr>
          <w:rFonts w:ascii="Arial" w:cs="Arial" w:eastAsia="Arial" w:hAnsi="Arial"/>
          <w:sz w:val="15"/>
          <w:szCs w:val="15"/>
          <w:color w:val="auto"/>
        </w:rPr>
        <w:t>Significant stock ownership guidelines for executives</w:t>
      </w:r>
    </w:p>
    <w:p>
      <w:pPr>
        <w:spacing w:after="0" w:line="389" w:lineRule="exact"/>
        <w:rPr>
          <w:rFonts w:ascii="MS PGothic" w:cs="MS PGothic" w:eastAsia="MS PGothic" w:hAnsi="MS PGothic"/>
          <w:sz w:val="15"/>
          <w:szCs w:val="15"/>
          <w:color w:val="auto"/>
        </w:rPr>
      </w:pPr>
    </w:p>
    <w:p>
      <w:pPr>
        <w:ind w:left="-4" w:right="200" w:firstLine="4"/>
        <w:spacing w:after="0" w:line="295" w:lineRule="auto"/>
        <w:tabs>
          <w:tab w:leader="none" w:pos="175" w:val="left"/>
        </w:tabs>
        <w:numPr>
          <w:ilvl w:val="0"/>
          <w:numId w:val="48"/>
        </w:numPr>
        <w:rPr>
          <w:rFonts w:ascii="MS PGothic" w:cs="MS PGothic" w:eastAsia="MS PGothic" w:hAnsi="MS PGothic"/>
          <w:sz w:val="15"/>
          <w:szCs w:val="15"/>
          <w:color w:val="auto"/>
        </w:rPr>
      </w:pPr>
      <w:r>
        <w:rPr>
          <w:rFonts w:ascii="Arial" w:cs="Arial" w:eastAsia="Arial" w:hAnsi="Arial"/>
          <w:sz w:val="15"/>
          <w:szCs w:val="15"/>
          <w:color w:val="auto"/>
        </w:rPr>
        <w:t>Claw-back provisions for cash and equity performance-based compensation</w:t>
      </w:r>
    </w:p>
    <w:p>
      <w:pPr>
        <w:spacing w:after="0" w:line="138" w:lineRule="exact"/>
        <w:rPr>
          <w:rFonts w:ascii="MS PGothic" w:cs="MS PGothic" w:eastAsia="MS PGothic" w:hAnsi="MS PGothic"/>
          <w:sz w:val="15"/>
          <w:szCs w:val="15"/>
          <w:color w:val="auto"/>
        </w:rPr>
      </w:pPr>
    </w:p>
    <w:p>
      <w:pPr>
        <w:ind w:left="-4" w:right="100" w:firstLine="4"/>
        <w:spacing w:after="0" w:line="295" w:lineRule="auto"/>
        <w:tabs>
          <w:tab w:leader="none" w:pos="175" w:val="left"/>
        </w:tabs>
        <w:numPr>
          <w:ilvl w:val="0"/>
          <w:numId w:val="48"/>
        </w:numPr>
        <w:rPr>
          <w:rFonts w:ascii="MS PGothic" w:cs="MS PGothic" w:eastAsia="MS PGothic" w:hAnsi="MS PGothic"/>
          <w:sz w:val="15"/>
          <w:szCs w:val="15"/>
          <w:color w:val="auto"/>
        </w:rPr>
      </w:pPr>
      <w:r>
        <w:rPr>
          <w:rFonts w:ascii="Arial" w:cs="Arial" w:eastAsia="Arial" w:hAnsi="Arial"/>
          <w:sz w:val="15"/>
          <w:szCs w:val="15"/>
          <w:color w:val="auto"/>
        </w:rPr>
        <w:t>Compensation consultant to the Committee is independent and free of conflicts of interest</w:t>
      </w:r>
    </w:p>
    <w:p>
      <w:pPr>
        <w:spacing w:after="0" w:line="151" w:lineRule="exact"/>
        <w:rPr>
          <w:sz w:val="20"/>
          <w:szCs w:val="20"/>
          <w:color w:val="auto"/>
        </w:rPr>
      </w:pPr>
    </w:p>
    <w:p>
      <w:pPr>
        <w:sectPr>
          <w:pgSz w:w="11900" w:h="16838" w:orient="portrait"/>
          <w:cols w:equalWidth="0" w:num="2">
            <w:col w:w="4744" w:space="720"/>
            <w:col w:w="4456"/>
          </w:cols>
          <w:pgMar w:left="980" w:top="485" w:right="999" w:bottom="1440" w:gutter="0" w:footer="0" w:header="0"/>
          <w:type w:val="continuous"/>
        </w:sectPr>
      </w:pPr>
    </w:p>
    <w:tbl>
      <w:tblPr>
        <w:tblLayout w:type="fixed"/>
        <w:tblInd w:w="0" w:type="dxa"/>
        <w:tblCellMar>
          <w:top w:w="0" w:type="dxa"/>
          <w:left w:w="0" w:type="dxa"/>
          <w:bottom w:w="0" w:type="dxa"/>
          <w:right w:w="0" w:type="dxa"/>
        </w:tblCellMar>
      </w:tblPr>
      <w:tr>
        <w:trPr>
          <w:trHeight w:val="242"/>
        </w:trPr>
        <w:tc>
          <w:tcPr>
            <w:tcW w:w="3420" w:type="dxa"/>
            <w:vAlign w:val="bottom"/>
            <w:tcBorders>
              <w:bottom w:val="single" w:sz="8" w:color="B2C8DF"/>
            </w:tcBorders>
            <w:shd w:val="clear" w:color="auto" w:fill="B2C8DF"/>
          </w:tcPr>
          <w:p>
            <w:pPr>
              <w:spacing w:after="0"/>
              <w:rPr>
                <w:sz w:val="21"/>
                <w:szCs w:val="21"/>
                <w:color w:val="auto"/>
              </w:rPr>
            </w:pPr>
          </w:p>
        </w:tc>
        <w:tc>
          <w:tcPr>
            <w:tcW w:w="6500" w:type="dxa"/>
            <w:vAlign w:val="bottom"/>
            <w:tcBorders>
              <w:bottom w:val="single" w:sz="8" w:color="B2C8DF"/>
            </w:tcBorders>
            <w:shd w:val="clear" w:color="auto" w:fill="B2C8DF"/>
          </w:tcPr>
          <w:p>
            <w:pPr>
              <w:ind w:left="720"/>
              <w:spacing w:after="0"/>
              <w:rPr>
                <w:sz w:val="20"/>
                <w:szCs w:val="20"/>
                <w:color w:val="auto"/>
              </w:rPr>
            </w:pPr>
            <w:r>
              <w:rPr>
                <w:rFonts w:ascii="Arial" w:cs="Arial" w:eastAsia="Arial" w:hAnsi="Arial"/>
                <w:sz w:val="15"/>
                <w:szCs w:val="15"/>
                <w:b w:val="1"/>
                <w:bCs w:val="1"/>
                <w:color w:val="auto"/>
              </w:rPr>
              <w:t>WHAT WE DO NOT DO</w:t>
            </w:r>
          </w:p>
        </w:tc>
      </w:tr>
      <w:tr>
        <w:trPr>
          <w:trHeight w:val="438"/>
        </w:trPr>
        <w:tc>
          <w:tcPr>
            <w:tcW w:w="3420" w:type="dxa"/>
            <w:vAlign w:val="bottom"/>
          </w:tcPr>
          <w:p>
            <w:pPr>
              <w:ind w:left="3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excise tax gross-up payments</w:t>
            </w:r>
          </w:p>
        </w:tc>
        <w:tc>
          <w:tcPr>
            <w:tcW w:w="6500" w:type="dxa"/>
            <w:vAlign w:val="bottom"/>
          </w:tcPr>
          <w:p>
            <w:pPr>
              <w:ind w:left="20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No back dating or re-pricing of stock options and stock</w:t>
            </w:r>
          </w:p>
        </w:tc>
      </w:tr>
      <w:tr>
        <w:trPr>
          <w:trHeight w:val="198"/>
        </w:trPr>
        <w:tc>
          <w:tcPr>
            <w:tcW w:w="3420" w:type="dxa"/>
            <w:vAlign w:val="bottom"/>
          </w:tcPr>
          <w:p>
            <w:pPr>
              <w:spacing w:after="0"/>
              <w:rPr>
                <w:sz w:val="17"/>
                <w:szCs w:val="17"/>
                <w:color w:val="auto"/>
              </w:rPr>
            </w:pPr>
          </w:p>
        </w:tc>
        <w:tc>
          <w:tcPr>
            <w:tcW w:w="6500" w:type="dxa"/>
            <w:vAlign w:val="bottom"/>
          </w:tcPr>
          <w:p>
            <w:pPr>
              <w:ind w:left="2040"/>
              <w:spacing w:after="0"/>
              <w:rPr>
                <w:sz w:val="20"/>
                <w:szCs w:val="20"/>
                <w:color w:val="auto"/>
              </w:rPr>
            </w:pPr>
            <w:r>
              <w:rPr>
                <w:rFonts w:ascii="Arial" w:cs="Arial" w:eastAsia="Arial" w:hAnsi="Arial"/>
                <w:sz w:val="15"/>
                <w:szCs w:val="15"/>
                <w:color w:val="auto"/>
              </w:rPr>
              <w:t>appreciation rights</w:t>
            </w:r>
          </w:p>
        </w:tc>
      </w:tr>
    </w:tbl>
    <w:p>
      <w:pPr>
        <w:spacing w:after="0" w:line="177" w:lineRule="exact"/>
        <w:rPr>
          <w:sz w:val="20"/>
          <w:szCs w:val="20"/>
          <w:color w:val="auto"/>
        </w:rPr>
      </w:pPr>
    </w:p>
    <w:p>
      <w:pPr>
        <w:ind w:left="480" w:hanging="178"/>
        <w:spacing w:after="0"/>
        <w:tabs>
          <w:tab w:leader="none" w:pos="480" w:val="left"/>
        </w:tabs>
        <w:numPr>
          <w:ilvl w:val="0"/>
          <w:numId w:val="49"/>
        </w:numPr>
        <w:rPr>
          <w:rFonts w:ascii="MS PGothic" w:cs="MS PGothic" w:eastAsia="MS PGothic" w:hAnsi="MS PGothic"/>
          <w:sz w:val="15"/>
          <w:szCs w:val="15"/>
          <w:color w:val="auto"/>
        </w:rPr>
      </w:pPr>
      <w:r>
        <w:rPr>
          <w:rFonts w:ascii="Arial" w:cs="Arial" w:eastAsia="Arial" w:hAnsi="Arial"/>
          <w:sz w:val="15"/>
          <w:szCs w:val="15"/>
          <w:color w:val="auto"/>
        </w:rPr>
        <w:t>No hedging or pledging of CECO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263525</wp:posOffset>
            </wp:positionV>
            <wp:extent cx="483870" cy="2222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 Role</w:t>
      </w:r>
    </w:p>
    <w:p>
      <w:pPr>
        <w:spacing w:after="0" w:line="90"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Our Compensation Committee oversees our compensation programs, with particular attention paid to the compensation of our CEO and the other named executive officers, to help ensure that our compensation philosophy is consistent with the best interests of the Company and our stockholders. It reviews and approves changes to our executive compensation programs. While our Compensation Committee has historically established and utilized objective, formula-based incentive arrangements, it believes that an effective executive compensation program also requires the use of sound business judgment and the ability to consider qualitative factors to make adjustments when appropriate, though it did not do so during 2023.</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Compensation Consultants in Compensation Decisions</w:t>
      </w:r>
    </w:p>
    <w:p>
      <w:pPr>
        <w:spacing w:after="0" w:line="9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Compensation Committee engaged Meridian Compensation Partners LLC ("Meridian") as its independent executive compensation consultant to advise our Compensation Committee on executive compensation matters. At our Compensation Committee’s direction, Meridian prepared, presented and made recommendations on peer group composition, competitive market pay, compensation structure and general market trends for our NEOs and the Board. More specifically, Meridian provided market and peer group data to give our Compensation Committee context for our Company’s short-term cash and long-term equity compensation. The Compensation Committee sought the advice of Meridian in considering the design of the NEOs’ incentive compensation and the Board’s total cash compensation and equity incentive. In reviewing our executive compensation programs for market-competitiveness and alignment with industry best practices, our Compensation Committee considered the information and advice presented by Meridian.</w:t>
      </w:r>
    </w:p>
    <w:p>
      <w:pPr>
        <w:spacing w:after="0" w:line="60"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Our Compensation Committee assessed the independence of Meridian, as required under the NASDAQ listing requirements, and considered and assessed all relevant factors, including those set forth in Rule 10C-1(b)(4)(i) through (vi) under the Exchange Act, which could give rise to a potential conflict of interest with respect to Meridian during 2023. Based on this review, our Compensation Committee did not identify any conflict of interest raised by the work of Meridian. Meridian does not provide any services to management or any other services to our Company.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Executive Officers in Compensation Decisions</w:t>
      </w:r>
    </w:p>
    <w:p>
      <w:pPr>
        <w:spacing w:after="0" w:line="9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Our annual and long-term incentive-based executive compensation is generally structured to reward our executive officers for achieving our Company’s business goals. From time to time, our Compensation Committee relies upon recommendations made by our CEO, regarding compensation for our executive officers other than our CEO. As part of its review and establishment of the performance criteria and compensation of our named executive officers, our Compensation Committee meets separately with our CEO at least once each year and with our other executive officers as it deems appropriate. Our CEO annually reviews the performance of each of our other named executive officers (other than himself) with our Compensation Committee and makes recommendations to our Compensation Committee regarding such named executive officers’ compensation. Our Compensation Committee makes its compensation decisions for our named executive officers, other than the CEO, based on that review and the recommendations of our CEO. Each year, our CEO’s performance is reviewed by our non-management directors, and based on that review, our Compensation Committee makes a recommendation to the non-management directors regarding the compensation of our CEO.</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Setting Executive Compensation</w:t>
      </w:r>
    </w:p>
    <w:p>
      <w:pPr>
        <w:spacing w:after="0" w:line="90"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Our Compensation Committee evaluates the performance of our CEO and the other named executive officers as described above and reviews and approves the annual salary and any annual cash incentive, bonus, long-term stock-based compensation and other material benefits of our named executive officers other than our CEO, subject to the terms of any applicable employment agreements. Based on the recommendations of our Compensation Committee, our non-management directors approve the annual salary and any annual cash incentive, long-term stock-based compensation and other material benefits of our CEO, subject to the terms of his employment agreement.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External Pay Comparisons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Our Compensation Committee generally considers external pay comparison data as a market check on its compensation decisions. The Compensation Committee referenced our peer group’s market data, as provided by our independent compensation consultant, when establishing pay for our NEOs for 2023. The companies in our 2023 peer group listed below were selected based on having revenue, market capitalization, and overall business characteristics, including product offerings and end markets, similar to ours.</w:t>
      </w:r>
    </w:p>
    <w:p>
      <w:pPr>
        <w:spacing w:after="0" w:line="324"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22</w:t>
      </w:r>
      <w:r>
        <w:rPr>
          <w:sz w:val="20"/>
          <w:szCs w:val="20"/>
          <w:color w:val="auto"/>
        </w:rPr>
        <w:tab/>
      </w:r>
      <w:r>
        <w:rPr>
          <w:sz w:val="1"/>
          <w:szCs w:val="1"/>
          <w:color w:val="auto"/>
        </w:rPr>
        <w:drawing>
          <wp:inline distT="0" distB="0" distL="0" distR="0">
            <wp:extent cx="476250" cy="2222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880" w:type="dxa"/>
            <w:vAlign w:val="bottom"/>
            <w:gridSpan w:val="2"/>
          </w:tcPr>
          <w:p>
            <w:pPr>
              <w:ind w:left="1920"/>
              <w:spacing w:after="0"/>
              <w:rPr>
                <w:sz w:val="20"/>
                <w:szCs w:val="20"/>
                <w:color w:val="auto"/>
              </w:rPr>
            </w:pPr>
            <w:r>
              <w:rPr>
                <w:rFonts w:ascii="Arial" w:cs="Arial" w:eastAsia="Arial" w:hAnsi="Arial"/>
                <w:sz w:val="17"/>
                <w:szCs w:val="17"/>
                <w:color w:val="D9D9D9"/>
                <w:w w:val="96"/>
              </w:rPr>
              <w:t>CECO ENVIRONMENTAL</w:t>
            </w:r>
          </w:p>
        </w:tc>
      </w:tr>
      <w:tr>
        <w:trPr>
          <w:trHeight w:val="378"/>
        </w:trPr>
        <w:tc>
          <w:tcPr>
            <w:tcW w:w="2500" w:type="dxa"/>
            <w:vAlign w:val="bottom"/>
            <w:gridSpan w:val="2"/>
          </w:tcPr>
          <w:p>
            <w:pPr>
              <w:spacing w:after="0"/>
              <w:rPr>
                <w:sz w:val="24"/>
                <w:szCs w:val="24"/>
                <w:color w:val="auto"/>
              </w:rPr>
            </w:pPr>
          </w:p>
        </w:tc>
        <w:tc>
          <w:tcPr>
            <w:tcW w:w="3560" w:type="dxa"/>
            <w:vAlign w:val="bottom"/>
          </w:tcPr>
          <w:p>
            <w:pPr>
              <w:spacing w:after="0"/>
              <w:rPr>
                <w:sz w:val="24"/>
                <w:szCs w:val="24"/>
                <w:color w:val="auto"/>
              </w:rPr>
            </w:pPr>
          </w:p>
        </w:tc>
        <w:tc>
          <w:tcPr>
            <w:tcW w:w="3880" w:type="dxa"/>
            <w:vAlign w:val="bottom"/>
            <w:gridSpan w:val="2"/>
          </w:tcPr>
          <w:p>
            <w:pPr>
              <w:spacing w:after="0"/>
              <w:rPr>
                <w:sz w:val="24"/>
                <w:szCs w:val="24"/>
                <w:color w:val="auto"/>
              </w:rPr>
            </w:pPr>
          </w:p>
        </w:tc>
      </w:tr>
      <w:tr>
        <w:trPr>
          <w:trHeight w:val="192"/>
        </w:trPr>
        <w:tc>
          <w:tcPr>
            <w:tcW w:w="20" w:type="dxa"/>
            <w:vAlign w:val="bottom"/>
            <w:tcBorders>
              <w:bottom w:val="single" w:sz="8" w:color="D9D9D9"/>
            </w:tcBorders>
          </w:tcPr>
          <w:p>
            <w:pPr>
              <w:spacing w:after="0"/>
              <w:rPr>
                <w:sz w:val="16"/>
                <w:szCs w:val="16"/>
                <w:color w:val="auto"/>
              </w:rPr>
            </w:pPr>
          </w:p>
        </w:tc>
        <w:tc>
          <w:tcPr>
            <w:tcW w:w="2480" w:type="dxa"/>
            <w:vAlign w:val="bottom"/>
            <w:tcBorders>
              <w:top w:val="single" w:sz="8" w:color="405788"/>
              <w:bottom w:val="single" w:sz="8" w:color="D9D9D9"/>
            </w:tcBorders>
          </w:tcPr>
          <w:p>
            <w:pPr>
              <w:spacing w:after="0" w:line="188" w:lineRule="exact"/>
              <w:rPr>
                <w:sz w:val="20"/>
                <w:szCs w:val="20"/>
                <w:color w:val="auto"/>
              </w:rPr>
            </w:pPr>
            <w:r>
              <w:rPr>
                <w:rFonts w:ascii="Arial" w:cs="Arial" w:eastAsia="Arial" w:hAnsi="Arial"/>
                <w:sz w:val="17"/>
                <w:szCs w:val="17"/>
                <w:color w:val="auto"/>
              </w:rPr>
              <w:t>Ameresco, Inc.</w:t>
            </w:r>
          </w:p>
        </w:tc>
        <w:tc>
          <w:tcPr>
            <w:tcW w:w="3560" w:type="dxa"/>
            <w:vAlign w:val="bottom"/>
            <w:tcBorders>
              <w:top w:val="single" w:sz="8" w:color="405788"/>
              <w:bottom w:val="single" w:sz="8" w:color="D9D9D9"/>
            </w:tcBorders>
          </w:tcPr>
          <w:p>
            <w:pPr>
              <w:ind w:left="760"/>
              <w:spacing w:after="0" w:line="188" w:lineRule="exact"/>
              <w:rPr>
                <w:sz w:val="20"/>
                <w:szCs w:val="20"/>
                <w:color w:val="auto"/>
              </w:rPr>
            </w:pPr>
            <w:r>
              <w:rPr>
                <w:rFonts w:ascii="Arial" w:cs="Arial" w:eastAsia="Arial" w:hAnsi="Arial"/>
                <w:sz w:val="17"/>
                <w:szCs w:val="17"/>
                <w:color w:val="auto"/>
              </w:rPr>
              <w:t>ESCO Technologies, Inc.</w:t>
            </w:r>
          </w:p>
        </w:tc>
        <w:tc>
          <w:tcPr>
            <w:tcW w:w="3860" w:type="dxa"/>
            <w:vAlign w:val="bottom"/>
            <w:tcBorders>
              <w:top w:val="single" w:sz="8" w:color="405788"/>
              <w:bottom w:val="single" w:sz="8" w:color="D9D9D9"/>
            </w:tcBorders>
          </w:tcPr>
          <w:p>
            <w:pPr>
              <w:ind w:left="800"/>
              <w:spacing w:after="0" w:line="188" w:lineRule="exact"/>
              <w:rPr>
                <w:sz w:val="20"/>
                <w:szCs w:val="20"/>
                <w:color w:val="auto"/>
              </w:rPr>
            </w:pPr>
            <w:r>
              <w:rPr>
                <w:rFonts w:ascii="Arial" w:cs="Arial" w:eastAsia="Arial" w:hAnsi="Arial"/>
                <w:sz w:val="17"/>
                <w:szCs w:val="17"/>
                <w:color w:val="auto"/>
              </w:rPr>
              <w:t>Powell Industries, Inc.</w:t>
            </w:r>
          </w:p>
        </w:tc>
        <w:tc>
          <w:tcPr>
            <w:tcW w:w="20" w:type="dxa"/>
            <w:vAlign w:val="bottom"/>
          </w:tcPr>
          <w:p>
            <w:pPr>
              <w:spacing w:after="0"/>
              <w:rPr>
                <w:sz w:val="16"/>
                <w:szCs w:val="16"/>
                <w:color w:val="auto"/>
              </w:rPr>
            </w:pPr>
          </w:p>
        </w:tc>
      </w:tr>
      <w:tr>
        <w:trPr>
          <w:trHeight w:val="192"/>
        </w:trPr>
        <w:tc>
          <w:tcPr>
            <w:tcW w:w="25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Argan, Inc.</w:t>
            </w:r>
          </w:p>
        </w:tc>
        <w:tc>
          <w:tcPr>
            <w:tcW w:w="3560" w:type="dxa"/>
            <w:vAlign w:val="bottom"/>
            <w:tcBorders>
              <w:bottom w:val="single" w:sz="8" w:color="D9D9D9"/>
            </w:tcBorders>
          </w:tcPr>
          <w:p>
            <w:pPr>
              <w:ind w:left="760"/>
              <w:spacing w:after="0" w:line="188" w:lineRule="exact"/>
              <w:rPr>
                <w:sz w:val="20"/>
                <w:szCs w:val="20"/>
                <w:color w:val="auto"/>
              </w:rPr>
            </w:pPr>
            <w:r>
              <w:rPr>
                <w:rFonts w:ascii="Arial" w:cs="Arial" w:eastAsia="Arial" w:hAnsi="Arial"/>
                <w:sz w:val="17"/>
                <w:szCs w:val="17"/>
                <w:color w:val="auto"/>
              </w:rPr>
              <w:t>Graham Corporation</w:t>
            </w:r>
          </w:p>
        </w:tc>
        <w:tc>
          <w:tcPr>
            <w:tcW w:w="3860" w:type="dxa"/>
            <w:vAlign w:val="bottom"/>
            <w:tcBorders>
              <w:bottom w:val="single" w:sz="8" w:color="D9D9D9"/>
            </w:tcBorders>
          </w:tcPr>
          <w:p>
            <w:pPr>
              <w:ind w:left="800"/>
              <w:spacing w:after="0" w:line="188" w:lineRule="exact"/>
              <w:rPr>
                <w:sz w:val="20"/>
                <w:szCs w:val="20"/>
                <w:color w:val="auto"/>
              </w:rPr>
            </w:pPr>
            <w:r>
              <w:rPr>
                <w:rFonts w:ascii="Arial" w:cs="Arial" w:eastAsia="Arial" w:hAnsi="Arial"/>
                <w:sz w:val="17"/>
                <w:szCs w:val="17"/>
                <w:color w:val="auto"/>
              </w:rPr>
              <w:t>Preformed Line Products Co.</w:t>
            </w:r>
          </w:p>
        </w:tc>
        <w:tc>
          <w:tcPr>
            <w:tcW w:w="20" w:type="dxa"/>
            <w:vAlign w:val="bottom"/>
          </w:tcPr>
          <w:p>
            <w:pPr>
              <w:spacing w:after="0"/>
              <w:rPr>
                <w:sz w:val="16"/>
                <w:szCs w:val="16"/>
                <w:color w:val="auto"/>
              </w:rPr>
            </w:pPr>
          </w:p>
        </w:tc>
      </w:tr>
      <w:tr>
        <w:trPr>
          <w:trHeight w:val="192"/>
        </w:trPr>
        <w:tc>
          <w:tcPr>
            <w:tcW w:w="25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Aspen Aerogels Inc.</w:t>
            </w:r>
          </w:p>
        </w:tc>
        <w:tc>
          <w:tcPr>
            <w:tcW w:w="3560" w:type="dxa"/>
            <w:vAlign w:val="bottom"/>
            <w:tcBorders>
              <w:bottom w:val="single" w:sz="8" w:color="D9D9D9"/>
            </w:tcBorders>
          </w:tcPr>
          <w:p>
            <w:pPr>
              <w:ind w:left="760"/>
              <w:spacing w:after="0" w:line="188" w:lineRule="exact"/>
              <w:rPr>
                <w:sz w:val="20"/>
                <w:szCs w:val="20"/>
                <w:color w:val="auto"/>
              </w:rPr>
            </w:pPr>
            <w:r>
              <w:rPr>
                <w:rFonts w:ascii="Arial" w:cs="Arial" w:eastAsia="Arial" w:hAnsi="Arial"/>
                <w:sz w:val="17"/>
                <w:szCs w:val="17"/>
                <w:color w:val="auto"/>
              </w:rPr>
              <w:t>Heritage-Crystal Clean Inc.</w:t>
            </w:r>
          </w:p>
        </w:tc>
        <w:tc>
          <w:tcPr>
            <w:tcW w:w="3860" w:type="dxa"/>
            <w:vAlign w:val="bottom"/>
            <w:tcBorders>
              <w:bottom w:val="single" w:sz="8" w:color="D9D9D9"/>
            </w:tcBorders>
          </w:tcPr>
          <w:p>
            <w:pPr>
              <w:ind w:left="800"/>
              <w:spacing w:after="0" w:line="188" w:lineRule="exact"/>
              <w:rPr>
                <w:sz w:val="20"/>
                <w:szCs w:val="20"/>
                <w:color w:val="auto"/>
              </w:rPr>
            </w:pPr>
            <w:r>
              <w:rPr>
                <w:rFonts w:ascii="Arial" w:cs="Arial" w:eastAsia="Arial" w:hAnsi="Arial"/>
                <w:sz w:val="17"/>
                <w:szCs w:val="17"/>
                <w:color w:val="auto"/>
              </w:rPr>
              <w:t>The Gorman-Rupp Co.</w:t>
            </w:r>
          </w:p>
        </w:tc>
        <w:tc>
          <w:tcPr>
            <w:tcW w:w="20" w:type="dxa"/>
            <w:vAlign w:val="bottom"/>
          </w:tcPr>
          <w:p>
            <w:pPr>
              <w:spacing w:after="0"/>
              <w:rPr>
                <w:sz w:val="16"/>
                <w:szCs w:val="16"/>
                <w:color w:val="auto"/>
              </w:rPr>
            </w:pPr>
          </w:p>
        </w:tc>
      </w:tr>
      <w:tr>
        <w:trPr>
          <w:trHeight w:val="192"/>
        </w:trPr>
        <w:tc>
          <w:tcPr>
            <w:tcW w:w="25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Douglas Dynamics, Inc.</w:t>
            </w:r>
          </w:p>
        </w:tc>
        <w:tc>
          <w:tcPr>
            <w:tcW w:w="3560" w:type="dxa"/>
            <w:vAlign w:val="bottom"/>
            <w:tcBorders>
              <w:bottom w:val="single" w:sz="8" w:color="D9D9D9"/>
            </w:tcBorders>
          </w:tcPr>
          <w:p>
            <w:pPr>
              <w:ind w:left="760"/>
              <w:spacing w:after="0" w:line="188" w:lineRule="exact"/>
              <w:rPr>
                <w:sz w:val="20"/>
                <w:szCs w:val="20"/>
                <w:color w:val="auto"/>
              </w:rPr>
            </w:pPr>
            <w:r>
              <w:rPr>
                <w:rFonts w:ascii="Arial" w:cs="Arial" w:eastAsia="Arial" w:hAnsi="Arial"/>
                <w:sz w:val="17"/>
                <w:szCs w:val="17"/>
                <w:color w:val="auto"/>
              </w:rPr>
              <w:t>Hurco Companies, Inc.</w:t>
            </w:r>
          </w:p>
        </w:tc>
        <w:tc>
          <w:tcPr>
            <w:tcW w:w="3860" w:type="dxa"/>
            <w:vAlign w:val="bottom"/>
            <w:tcBorders>
              <w:bottom w:val="single" w:sz="8" w:color="D9D9D9"/>
            </w:tcBorders>
          </w:tcPr>
          <w:p>
            <w:pPr>
              <w:ind w:left="800"/>
              <w:spacing w:after="0" w:line="188" w:lineRule="exact"/>
              <w:rPr>
                <w:sz w:val="20"/>
                <w:szCs w:val="20"/>
                <w:color w:val="auto"/>
              </w:rPr>
            </w:pPr>
            <w:r>
              <w:rPr>
                <w:rFonts w:ascii="Arial" w:cs="Arial" w:eastAsia="Arial" w:hAnsi="Arial"/>
                <w:sz w:val="17"/>
                <w:szCs w:val="17"/>
                <w:color w:val="auto"/>
              </w:rPr>
              <w:t>Thermon Group Holdings Inc.</w:t>
            </w:r>
          </w:p>
        </w:tc>
        <w:tc>
          <w:tcPr>
            <w:tcW w:w="20" w:type="dxa"/>
            <w:vAlign w:val="bottom"/>
          </w:tcPr>
          <w:p>
            <w:pPr>
              <w:spacing w:after="0"/>
              <w:rPr>
                <w:sz w:val="16"/>
                <w:szCs w:val="16"/>
                <w:color w:val="auto"/>
              </w:rPr>
            </w:pPr>
          </w:p>
        </w:tc>
      </w:tr>
      <w:tr>
        <w:trPr>
          <w:trHeight w:val="192"/>
        </w:trPr>
        <w:tc>
          <w:tcPr>
            <w:tcW w:w="25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DMC Global, Inc.</w:t>
            </w:r>
          </w:p>
        </w:tc>
        <w:tc>
          <w:tcPr>
            <w:tcW w:w="3560" w:type="dxa"/>
            <w:vAlign w:val="bottom"/>
            <w:tcBorders>
              <w:bottom w:val="single" w:sz="8" w:color="D9D9D9"/>
            </w:tcBorders>
          </w:tcPr>
          <w:p>
            <w:pPr>
              <w:ind w:left="760"/>
              <w:spacing w:after="0" w:line="188" w:lineRule="exact"/>
              <w:rPr>
                <w:sz w:val="20"/>
                <w:szCs w:val="20"/>
                <w:color w:val="auto"/>
              </w:rPr>
            </w:pPr>
            <w:r>
              <w:rPr>
                <w:rFonts w:ascii="Arial" w:cs="Arial" w:eastAsia="Arial" w:hAnsi="Arial"/>
                <w:sz w:val="17"/>
                <w:szCs w:val="17"/>
                <w:color w:val="auto"/>
              </w:rPr>
              <w:t>L.B. Foster Company</w:t>
            </w:r>
          </w:p>
        </w:tc>
        <w:tc>
          <w:tcPr>
            <w:tcW w:w="3860" w:type="dxa"/>
            <w:vAlign w:val="bottom"/>
            <w:tcBorders>
              <w:bottom w:val="single" w:sz="8" w:color="D9D9D9"/>
            </w:tcBorders>
          </w:tcPr>
          <w:p>
            <w:pPr>
              <w:ind w:left="800"/>
              <w:spacing w:after="0" w:line="188" w:lineRule="exact"/>
              <w:rPr>
                <w:sz w:val="20"/>
                <w:szCs w:val="20"/>
                <w:color w:val="auto"/>
              </w:rPr>
            </w:pPr>
            <w:r>
              <w:rPr>
                <w:rFonts w:ascii="Arial" w:cs="Arial" w:eastAsia="Arial" w:hAnsi="Arial"/>
                <w:sz w:val="17"/>
                <w:szCs w:val="17"/>
                <w:color w:val="auto"/>
              </w:rPr>
              <w:t>US Ecology, Inc.</w:t>
            </w:r>
          </w:p>
        </w:tc>
        <w:tc>
          <w:tcPr>
            <w:tcW w:w="20" w:type="dxa"/>
            <w:vAlign w:val="bottom"/>
          </w:tcPr>
          <w:p>
            <w:pPr>
              <w:spacing w:after="0"/>
              <w:rPr>
                <w:sz w:val="16"/>
                <w:szCs w:val="16"/>
                <w:color w:val="auto"/>
              </w:rPr>
            </w:pPr>
          </w:p>
        </w:tc>
      </w:tr>
      <w:tr>
        <w:trPr>
          <w:trHeight w:val="187"/>
        </w:trPr>
        <w:tc>
          <w:tcPr>
            <w:tcW w:w="2500" w:type="dxa"/>
            <w:vAlign w:val="bottom"/>
            <w:tcBorders>
              <w:bottom w:val="single" w:sz="8" w:color="405788"/>
            </w:tcBorders>
            <w:gridSpan w:val="2"/>
          </w:tcPr>
          <w:p>
            <w:pPr>
              <w:spacing w:after="0" w:line="188" w:lineRule="exact"/>
              <w:rPr>
                <w:sz w:val="20"/>
                <w:szCs w:val="20"/>
                <w:color w:val="auto"/>
              </w:rPr>
            </w:pPr>
            <w:r>
              <w:rPr>
                <w:rFonts w:ascii="Arial" w:cs="Arial" w:eastAsia="Arial" w:hAnsi="Arial"/>
                <w:sz w:val="17"/>
                <w:szCs w:val="17"/>
                <w:color w:val="auto"/>
              </w:rPr>
              <w:t>Enphase Energy, Inc.</w:t>
            </w:r>
          </w:p>
        </w:tc>
        <w:tc>
          <w:tcPr>
            <w:tcW w:w="3560" w:type="dxa"/>
            <w:vAlign w:val="bottom"/>
            <w:tcBorders>
              <w:bottom w:val="single" w:sz="8" w:color="405788"/>
            </w:tcBorders>
          </w:tcPr>
          <w:p>
            <w:pPr>
              <w:ind w:left="760"/>
              <w:spacing w:after="0" w:line="188" w:lineRule="exact"/>
              <w:rPr>
                <w:sz w:val="20"/>
                <w:szCs w:val="20"/>
                <w:color w:val="auto"/>
              </w:rPr>
            </w:pPr>
            <w:r>
              <w:rPr>
                <w:rFonts w:ascii="Arial" w:cs="Arial" w:eastAsia="Arial" w:hAnsi="Arial"/>
                <w:sz w:val="17"/>
                <w:szCs w:val="17"/>
                <w:color w:val="auto"/>
              </w:rPr>
              <w:t>Manitex International, Inc.</w:t>
            </w:r>
          </w:p>
        </w:tc>
        <w:tc>
          <w:tcPr>
            <w:tcW w:w="3860" w:type="dxa"/>
            <w:vAlign w:val="bottom"/>
            <w:tcBorders>
              <w:bottom w:val="single" w:sz="8" w:color="405788"/>
            </w:tcBorders>
          </w:tcPr>
          <w:p>
            <w:pPr>
              <w:spacing w:after="0"/>
              <w:rPr>
                <w:sz w:val="16"/>
                <w:szCs w:val="16"/>
                <w:color w:val="auto"/>
              </w:rPr>
            </w:pPr>
          </w:p>
        </w:tc>
        <w:tc>
          <w:tcPr>
            <w:tcW w:w="20" w:type="dxa"/>
            <w:vAlign w:val="bottom"/>
          </w:tcPr>
          <w:p>
            <w:pPr>
              <w:spacing w:after="0"/>
              <w:rPr>
                <w:sz w:val="16"/>
                <w:szCs w:val="16"/>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Highlights of 2023 Executive Compensation</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Throughout 2023, the management team remained focused on growth and effectively managed our business through significant market challenges, organizational change, and the competition for talent. As a result, we had a capstone, high-growth transformational year, setting a record and exceeding targets in Revenue, Adjusted EBITDA and Free Cash Flow metrics. As a result of this performance, our named executive officers earned cash incentive compensation for 2023 at a payout percentage of 200% of target.</w:t>
      </w:r>
    </w:p>
    <w:p>
      <w:pPr>
        <w:spacing w:after="0" w:line="56"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In April 2023, as incentive for future performance, Messrs. Gleason and Johansson and Ms. Watkins-Asiyanbi were awarded an annual grant of PRSUs that gives them the opportunity to earn shares based on our Company’s future performance. As in prior years, each named executive officer also received a grant of timed-based RSUs that vest over four years, so that the value an executive officer may actually realize depends on our future stock performance. As discussed in more detail below, each of our NEOs also received a special PRSU award in 2023 that vests based on our stock price performance.</w:t>
      </w:r>
    </w:p>
    <w:p>
      <w:pPr>
        <w:spacing w:after="0" w:line="72"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The charts below show how each NEO’s target direct compensation for 2023 was divided between base salary, annual cash incentive awards, and RSUs and PRSUs granted in 2023 (showing the cash incentive awards and PRSUs at target). As reflected below, we weigh a significant portion of each NEO’s target compensation toward incentive-based compensation elements. These charts do not include the special incentive PRSU awards mentioned above that we granted in 2023 as such award represents a one-time grant that was not taken into account when setting target pay at the beginning of 2023 and is also not representative of our normal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72390</wp:posOffset>
            </wp:positionV>
            <wp:extent cx="6062980" cy="1801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62980" cy="180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60"/>
        <w:spacing w:after="0"/>
        <w:tabs>
          <w:tab w:leader="none" w:pos="4280" w:val="left"/>
          <w:tab w:leader="none" w:pos="7340" w:val="left"/>
        </w:tabs>
        <w:rPr>
          <w:sz w:val="20"/>
          <w:szCs w:val="20"/>
          <w:color w:val="auto"/>
        </w:rPr>
      </w:pPr>
      <w:r>
        <w:rPr>
          <w:rFonts w:ascii="Arial" w:cs="Arial" w:eastAsia="Arial" w:hAnsi="Arial"/>
          <w:sz w:val="15"/>
          <w:szCs w:val="15"/>
          <w:b w:val="1"/>
          <w:bCs w:val="1"/>
          <w:color w:val="auto"/>
        </w:rPr>
        <w:t>Todd Gleason</w:t>
      </w:r>
      <w:r>
        <w:rPr>
          <w:sz w:val="20"/>
          <w:szCs w:val="20"/>
          <w:color w:val="auto"/>
        </w:rPr>
        <w:tab/>
      </w:r>
      <w:r>
        <w:rPr>
          <w:rFonts w:ascii="Arial" w:cs="Arial" w:eastAsia="Arial" w:hAnsi="Arial"/>
          <w:sz w:val="17"/>
          <w:szCs w:val="17"/>
          <w:b w:val="1"/>
          <w:bCs w:val="1"/>
          <w:color w:val="auto"/>
        </w:rPr>
        <w:t>Peter Johansson</w:t>
      </w:r>
      <w:r>
        <w:rPr>
          <w:sz w:val="20"/>
          <w:szCs w:val="20"/>
          <w:color w:val="auto"/>
        </w:rPr>
        <w:tab/>
      </w:r>
      <w:r>
        <w:rPr>
          <w:rFonts w:ascii="Arial" w:cs="Arial" w:eastAsia="Arial" w:hAnsi="Arial"/>
          <w:sz w:val="16"/>
          <w:szCs w:val="16"/>
          <w:b w:val="1"/>
          <w:bCs w:val="1"/>
          <w:color w:val="auto"/>
        </w:rPr>
        <w:t>Lynn Watkins-Asiyanbi</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Elements of 2023 Compensation</w:t>
      </w:r>
    </w:p>
    <w:p>
      <w:pPr>
        <w:spacing w:after="0" w:line="90"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Our 2023 executive compensation program consisted of cash, with a fixed base salary and an annual cash incentive opportunity, and equity in the form of RSUs and PRSUs.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Base Salary</w:t>
      </w:r>
    </w:p>
    <w:p>
      <w:pPr>
        <w:spacing w:after="0" w:line="90"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color w:val="auto"/>
        </w:rPr>
        <w:t>We provide our named executive officers with a base salary to compensate them for the expertise and value they bring to us. Base salary is determined for each individual based on the executive’s position and responsibility, taking into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108585</wp:posOffset>
            </wp:positionV>
            <wp:extent cx="483870" cy="2222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19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color w:val="auto"/>
        </w:rPr>
        <w:t>the executive’s impact level, external market data, scope of responsibility, prior experience, past accomplishments and other similar factors, and whether the particular executive is entitled to a minimum base salary under any existing employment agreement.</w:t>
      </w:r>
    </w:p>
    <w:p>
      <w:pPr>
        <w:spacing w:after="0" w:line="3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Salary levels for our named executive officers are reviewed and approved by the Compensation Committee annually as well as upon joining the Company or upon a promotion or other change in job responsibility. The salary levels, including any increases, are also based on our Compensation Committee’s evaluation of the individual’s strengths, development, and expected future contributions with respect to the corporate goals and objectives relevant to the individual’s compensation, including individual performance. In 2023, our Compensation Committee approved merit increases ranging from 5% to 9% of the base salaries for each of Messrs. Gleason and Johansson, and Ms. Watkins-Asiyanbi to help achieve market competitiveness.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740" w:type="dxa"/>
            <w:vAlign w:val="bottom"/>
          </w:tcPr>
          <w:p>
            <w:pPr>
              <w:spacing w:after="0"/>
              <w:rPr>
                <w:sz w:val="20"/>
                <w:szCs w:val="20"/>
                <w:color w:val="auto"/>
              </w:rPr>
            </w:pPr>
            <w:r>
              <w:rPr>
                <w:rFonts w:ascii="Arial" w:cs="Arial" w:eastAsia="Arial" w:hAnsi="Arial"/>
                <w:sz w:val="13"/>
                <w:szCs w:val="13"/>
                <w:b w:val="1"/>
                <w:bCs w:val="1"/>
                <w:color w:val="auto"/>
              </w:rPr>
              <w:t>Named Executive</w:t>
            </w:r>
          </w:p>
        </w:tc>
        <w:tc>
          <w:tcPr>
            <w:tcW w:w="3540" w:type="dxa"/>
            <w:vAlign w:val="bottom"/>
          </w:tcPr>
          <w:p>
            <w:pPr>
              <w:jc w:val="right"/>
              <w:ind w:right="103"/>
              <w:spacing w:after="0"/>
              <w:rPr>
                <w:sz w:val="20"/>
                <w:szCs w:val="20"/>
                <w:color w:val="auto"/>
              </w:rPr>
            </w:pPr>
            <w:r>
              <w:rPr>
                <w:rFonts w:ascii="Arial" w:cs="Arial" w:eastAsia="Arial" w:hAnsi="Arial"/>
                <w:sz w:val="13"/>
                <w:szCs w:val="13"/>
                <w:b w:val="1"/>
                <w:bCs w:val="1"/>
                <w:color w:val="auto"/>
              </w:rPr>
              <w:t>Base Salary Rate ($)</w:t>
            </w:r>
          </w:p>
        </w:tc>
        <w:tc>
          <w:tcPr>
            <w:tcW w:w="1600" w:type="dxa"/>
            <w:vAlign w:val="bottom"/>
          </w:tcPr>
          <w:p>
            <w:pPr>
              <w:jc w:val="right"/>
              <w:ind w:right="63"/>
              <w:spacing w:after="0"/>
              <w:rPr>
                <w:sz w:val="20"/>
                <w:szCs w:val="20"/>
                <w:color w:val="auto"/>
              </w:rPr>
            </w:pPr>
            <w:r>
              <w:rPr>
                <w:rFonts w:ascii="Arial" w:cs="Arial" w:eastAsia="Arial" w:hAnsi="Arial"/>
                <w:sz w:val="13"/>
                <w:szCs w:val="13"/>
                <w:b w:val="1"/>
                <w:bCs w:val="1"/>
                <w:color w:val="auto"/>
              </w:rPr>
              <w:t>Base Salary Rate ($)</w:t>
            </w:r>
          </w:p>
        </w:tc>
        <w:tc>
          <w:tcPr>
            <w:tcW w:w="1040" w:type="dxa"/>
            <w:vAlign w:val="bottom"/>
          </w:tcPr>
          <w:p>
            <w:pPr>
              <w:spacing w:after="0"/>
              <w:rPr>
                <w:sz w:val="13"/>
                <w:szCs w:val="13"/>
                <w:color w:val="auto"/>
              </w:rPr>
            </w:pPr>
          </w:p>
        </w:tc>
      </w:tr>
      <w:tr>
        <w:trPr>
          <w:trHeight w:val="163"/>
        </w:trPr>
        <w:tc>
          <w:tcPr>
            <w:tcW w:w="374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Officer</w:t>
            </w:r>
          </w:p>
        </w:tc>
        <w:tc>
          <w:tcPr>
            <w:tcW w:w="3540" w:type="dxa"/>
            <w:vAlign w:val="bottom"/>
            <w:tcBorders>
              <w:bottom w:val="single" w:sz="8" w:color="405788"/>
            </w:tcBorders>
          </w:tcPr>
          <w:p>
            <w:pPr>
              <w:jc w:val="right"/>
              <w:ind w:right="103"/>
              <w:spacing w:after="0"/>
              <w:rPr>
                <w:sz w:val="20"/>
                <w:szCs w:val="20"/>
                <w:color w:val="auto"/>
              </w:rPr>
            </w:pPr>
            <w:r>
              <w:rPr>
                <w:rFonts w:ascii="Arial" w:cs="Arial" w:eastAsia="Arial" w:hAnsi="Arial"/>
                <w:sz w:val="13"/>
                <w:szCs w:val="13"/>
                <w:b w:val="1"/>
                <w:bCs w:val="1"/>
                <w:color w:val="auto"/>
              </w:rPr>
              <w:t>(as of 12/31/22)</w:t>
            </w:r>
          </w:p>
        </w:tc>
        <w:tc>
          <w:tcPr>
            <w:tcW w:w="1600" w:type="dxa"/>
            <w:vAlign w:val="bottom"/>
            <w:tcBorders>
              <w:bottom w:val="single" w:sz="8" w:color="405788"/>
            </w:tcBorders>
          </w:tcPr>
          <w:p>
            <w:pPr>
              <w:jc w:val="right"/>
              <w:ind w:right="63"/>
              <w:spacing w:after="0"/>
              <w:rPr>
                <w:sz w:val="20"/>
                <w:szCs w:val="20"/>
                <w:color w:val="auto"/>
              </w:rPr>
            </w:pPr>
            <w:r>
              <w:rPr>
                <w:rFonts w:ascii="Arial" w:cs="Arial" w:eastAsia="Arial" w:hAnsi="Arial"/>
                <w:sz w:val="13"/>
                <w:szCs w:val="13"/>
                <w:b w:val="1"/>
                <w:bCs w:val="1"/>
                <w:color w:val="auto"/>
              </w:rPr>
              <w:t>(as of 12/31/23)</w:t>
            </w:r>
          </w:p>
        </w:tc>
        <w:tc>
          <w:tcPr>
            <w:tcW w:w="1040" w:type="dxa"/>
            <w:vAlign w:val="bottom"/>
            <w:tcBorders>
              <w:bottom w:val="single" w:sz="8" w:color="405788"/>
            </w:tcBorders>
          </w:tcPr>
          <w:p>
            <w:pPr>
              <w:jc w:val="right"/>
              <w:ind w:right="121"/>
              <w:spacing w:after="0"/>
              <w:rPr>
                <w:sz w:val="20"/>
                <w:szCs w:val="20"/>
                <w:color w:val="auto"/>
              </w:rPr>
            </w:pPr>
            <w:r>
              <w:rPr>
                <w:rFonts w:ascii="Arial" w:cs="Arial" w:eastAsia="Arial" w:hAnsi="Arial"/>
                <w:sz w:val="13"/>
                <w:szCs w:val="13"/>
                <w:b w:val="1"/>
                <w:bCs w:val="1"/>
                <w:color w:val="auto"/>
              </w:rPr>
              <w:t>% Increase</w:t>
            </w:r>
          </w:p>
        </w:tc>
      </w:tr>
      <w:tr>
        <w:trPr>
          <w:trHeight w:val="192"/>
        </w:trPr>
        <w:tc>
          <w:tcPr>
            <w:tcW w:w="374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3540" w:type="dxa"/>
            <w:vAlign w:val="bottom"/>
            <w:tcBorders>
              <w:bottom w:val="single" w:sz="8" w:color="D9D9D9"/>
            </w:tcBorders>
          </w:tcPr>
          <w:p>
            <w:pPr>
              <w:jc w:val="right"/>
              <w:ind w:right="103"/>
              <w:spacing w:after="0" w:line="188" w:lineRule="exact"/>
              <w:rPr>
                <w:sz w:val="20"/>
                <w:szCs w:val="20"/>
                <w:color w:val="auto"/>
              </w:rPr>
            </w:pPr>
            <w:r>
              <w:rPr>
                <w:rFonts w:ascii="Arial" w:cs="Arial" w:eastAsia="Arial" w:hAnsi="Arial"/>
                <w:sz w:val="17"/>
                <w:szCs w:val="17"/>
                <w:color w:val="auto"/>
              </w:rPr>
              <w:t>481,950</w:t>
            </w:r>
          </w:p>
        </w:tc>
        <w:tc>
          <w:tcPr>
            <w:tcW w:w="1600" w:type="dxa"/>
            <w:vAlign w:val="bottom"/>
            <w:tcBorders>
              <w:bottom w:val="single" w:sz="8" w:color="D9D9D9"/>
            </w:tcBorders>
          </w:tcPr>
          <w:p>
            <w:pPr>
              <w:jc w:val="right"/>
              <w:ind w:right="63"/>
              <w:spacing w:after="0" w:line="188" w:lineRule="exact"/>
              <w:rPr>
                <w:sz w:val="20"/>
                <w:szCs w:val="20"/>
                <w:color w:val="auto"/>
              </w:rPr>
            </w:pPr>
            <w:r>
              <w:rPr>
                <w:rFonts w:ascii="Arial" w:cs="Arial" w:eastAsia="Arial" w:hAnsi="Arial"/>
                <w:sz w:val="17"/>
                <w:szCs w:val="17"/>
                <w:color w:val="auto"/>
              </w:rPr>
              <w:t>525,326</w:t>
            </w:r>
          </w:p>
        </w:tc>
        <w:tc>
          <w:tcPr>
            <w:tcW w:w="10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9.0 %</w:t>
            </w:r>
          </w:p>
        </w:tc>
      </w:tr>
      <w:tr>
        <w:trPr>
          <w:trHeight w:val="192"/>
        </w:trPr>
        <w:tc>
          <w:tcPr>
            <w:tcW w:w="374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3540" w:type="dxa"/>
            <w:vAlign w:val="bottom"/>
            <w:tcBorders>
              <w:bottom w:val="single" w:sz="8" w:color="D9D9D9"/>
            </w:tcBorders>
          </w:tcPr>
          <w:p>
            <w:pPr>
              <w:jc w:val="right"/>
              <w:ind w:right="103"/>
              <w:spacing w:after="0" w:line="188" w:lineRule="exact"/>
              <w:rPr>
                <w:sz w:val="20"/>
                <w:szCs w:val="20"/>
                <w:color w:val="auto"/>
              </w:rPr>
            </w:pPr>
            <w:r>
              <w:rPr>
                <w:rFonts w:ascii="Arial" w:cs="Arial" w:eastAsia="Arial" w:hAnsi="Arial"/>
                <w:sz w:val="17"/>
                <w:szCs w:val="17"/>
                <w:color w:val="auto"/>
              </w:rPr>
              <w:t>375,000</w:t>
            </w:r>
          </w:p>
        </w:tc>
        <w:tc>
          <w:tcPr>
            <w:tcW w:w="1600" w:type="dxa"/>
            <w:vAlign w:val="bottom"/>
            <w:tcBorders>
              <w:bottom w:val="single" w:sz="8" w:color="D9D9D9"/>
            </w:tcBorders>
          </w:tcPr>
          <w:p>
            <w:pPr>
              <w:jc w:val="right"/>
              <w:ind w:right="63"/>
              <w:spacing w:after="0" w:line="188" w:lineRule="exact"/>
              <w:rPr>
                <w:sz w:val="20"/>
                <w:szCs w:val="20"/>
                <w:color w:val="auto"/>
              </w:rPr>
            </w:pPr>
            <w:r>
              <w:rPr>
                <w:rFonts w:ascii="Arial" w:cs="Arial" w:eastAsia="Arial" w:hAnsi="Arial"/>
                <w:sz w:val="17"/>
                <w:szCs w:val="17"/>
                <w:color w:val="auto"/>
              </w:rPr>
              <w:t>393,750</w:t>
            </w:r>
          </w:p>
        </w:tc>
        <w:tc>
          <w:tcPr>
            <w:tcW w:w="10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5.0 %</w:t>
            </w:r>
          </w:p>
        </w:tc>
      </w:tr>
      <w:tr>
        <w:trPr>
          <w:trHeight w:val="187"/>
        </w:trPr>
        <w:tc>
          <w:tcPr>
            <w:tcW w:w="3740" w:type="dxa"/>
            <w:vAlign w:val="bottom"/>
            <w:tcBorders>
              <w:bottom w:val="single" w:sz="8" w:color="44546A"/>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3540" w:type="dxa"/>
            <w:vAlign w:val="bottom"/>
            <w:tcBorders>
              <w:bottom w:val="single" w:sz="8" w:color="44546A"/>
            </w:tcBorders>
          </w:tcPr>
          <w:p>
            <w:pPr>
              <w:jc w:val="right"/>
              <w:ind w:right="103"/>
              <w:spacing w:after="0" w:line="188" w:lineRule="exact"/>
              <w:rPr>
                <w:sz w:val="20"/>
                <w:szCs w:val="20"/>
                <w:color w:val="auto"/>
              </w:rPr>
            </w:pPr>
            <w:r>
              <w:rPr>
                <w:rFonts w:ascii="Arial" w:cs="Arial" w:eastAsia="Arial" w:hAnsi="Arial"/>
                <w:sz w:val="17"/>
                <w:szCs w:val="17"/>
                <w:color w:val="auto"/>
              </w:rPr>
              <w:t>350,000</w:t>
            </w:r>
          </w:p>
        </w:tc>
        <w:tc>
          <w:tcPr>
            <w:tcW w:w="1600" w:type="dxa"/>
            <w:vAlign w:val="bottom"/>
            <w:tcBorders>
              <w:bottom w:val="single" w:sz="8" w:color="44546A"/>
            </w:tcBorders>
          </w:tcPr>
          <w:p>
            <w:pPr>
              <w:jc w:val="right"/>
              <w:ind w:right="63"/>
              <w:spacing w:after="0" w:line="188" w:lineRule="exact"/>
              <w:rPr>
                <w:sz w:val="20"/>
                <w:szCs w:val="20"/>
                <w:color w:val="auto"/>
              </w:rPr>
            </w:pPr>
            <w:r>
              <w:rPr>
                <w:rFonts w:ascii="Arial" w:cs="Arial" w:eastAsia="Arial" w:hAnsi="Arial"/>
                <w:sz w:val="17"/>
                <w:szCs w:val="17"/>
                <w:color w:val="auto"/>
              </w:rPr>
              <w:t>367,500</w:t>
            </w:r>
          </w:p>
        </w:tc>
        <w:tc>
          <w:tcPr>
            <w:tcW w:w="1040" w:type="dxa"/>
            <w:vAlign w:val="bottom"/>
            <w:tcBorders>
              <w:bottom w:val="single" w:sz="8" w:color="44546A"/>
            </w:tcBorders>
          </w:tcPr>
          <w:p>
            <w:pPr>
              <w:jc w:val="right"/>
              <w:spacing w:after="0" w:line="188" w:lineRule="exact"/>
              <w:rPr>
                <w:sz w:val="20"/>
                <w:szCs w:val="20"/>
                <w:color w:val="auto"/>
              </w:rPr>
            </w:pPr>
            <w:r>
              <w:rPr>
                <w:rFonts w:ascii="Arial" w:cs="Arial" w:eastAsia="Arial" w:hAnsi="Arial"/>
                <w:sz w:val="17"/>
                <w:szCs w:val="17"/>
                <w:color w:val="auto"/>
              </w:rPr>
              <w:t>5.0 %</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Cash Incentive Compensation</w:t>
      </w:r>
    </w:p>
    <w:p>
      <w:pPr>
        <w:spacing w:after="0" w:line="90"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We believe that, in typical circumstances, a portion of our named executive officers’ cash compensation should be earned based on our annual performance, so that our executive officers are appropriately motivated to maximize our financial and operating performance each year. Early each year, our Compensation Committee typically selects executive officers to participate in the annual incentive program and determines the amount of the award opportunity and the performance goals for the participant.</w:t>
      </w:r>
    </w:p>
    <w:p>
      <w:pPr>
        <w:spacing w:after="0" w:line="71"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For 2023, the performance objectives under our annual incentive program were established in the first quarter of 2023 by our Compensation Committee after consultation with our CEO and CALO and consisted of objectives of Adjusted EBITDA (50%), Revenue (25%) and Free Cash Flow (25%), in each case established by reference to the Company’s annual operating plan. The payout with respect to each metric could range from 0% to a maximum of 200% of target. In early 2024, the Compensation Committee determined that the Company’s performance in 2023 resulted in total payout of 200% of target for each named executive officer under the annual incentive program as shown below:</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80" w:type="dxa"/>
            <w:vAlign w:val="bottom"/>
          </w:tcPr>
          <w:p>
            <w:pPr>
              <w:spacing w:after="0"/>
              <w:rPr>
                <w:sz w:val="20"/>
                <w:szCs w:val="20"/>
                <w:color w:val="auto"/>
              </w:rPr>
            </w:pPr>
            <w:r>
              <w:rPr>
                <w:rFonts w:ascii="Arial" w:cs="Arial" w:eastAsia="Arial" w:hAnsi="Arial"/>
                <w:sz w:val="13"/>
                <w:szCs w:val="13"/>
                <w:b w:val="1"/>
                <w:bCs w:val="1"/>
                <w:color w:val="auto"/>
              </w:rPr>
              <w:t>Performance Measures</w:t>
            </w:r>
          </w:p>
        </w:tc>
        <w:tc>
          <w:tcPr>
            <w:tcW w:w="154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Arial" w:cs="Arial" w:eastAsia="Arial" w:hAnsi="Arial"/>
                <w:sz w:val="13"/>
                <w:szCs w:val="13"/>
                <w:b w:val="1"/>
                <w:bCs w:val="1"/>
                <w:color w:val="auto"/>
              </w:rPr>
              <w:t>Threshold</w:t>
            </w:r>
          </w:p>
        </w:tc>
        <w:tc>
          <w:tcPr>
            <w:tcW w:w="1280" w:type="dxa"/>
            <w:vAlign w:val="bottom"/>
          </w:tcPr>
          <w:p>
            <w:pPr>
              <w:jc w:val="right"/>
              <w:ind w:right="3"/>
              <w:spacing w:after="0"/>
              <w:rPr>
                <w:sz w:val="20"/>
                <w:szCs w:val="20"/>
                <w:color w:val="auto"/>
              </w:rPr>
            </w:pPr>
            <w:r>
              <w:rPr>
                <w:rFonts w:ascii="Arial" w:cs="Arial" w:eastAsia="Arial" w:hAnsi="Arial"/>
                <w:sz w:val="13"/>
                <w:szCs w:val="13"/>
                <w:b w:val="1"/>
                <w:bCs w:val="1"/>
                <w:color w:val="auto"/>
              </w:rPr>
              <w:t>Target</w:t>
            </w:r>
          </w:p>
        </w:tc>
        <w:tc>
          <w:tcPr>
            <w:tcW w:w="1300" w:type="dxa"/>
            <w:vAlign w:val="bottom"/>
          </w:tcPr>
          <w:p>
            <w:pPr>
              <w:jc w:val="right"/>
              <w:ind w:right="43"/>
              <w:spacing w:after="0"/>
              <w:rPr>
                <w:sz w:val="20"/>
                <w:szCs w:val="20"/>
                <w:color w:val="auto"/>
              </w:rPr>
            </w:pPr>
            <w:r>
              <w:rPr>
                <w:rFonts w:ascii="Arial" w:cs="Arial" w:eastAsia="Arial" w:hAnsi="Arial"/>
                <w:sz w:val="13"/>
                <w:szCs w:val="13"/>
                <w:b w:val="1"/>
                <w:bCs w:val="1"/>
                <w:color w:val="auto"/>
              </w:rPr>
              <w:t>Maximum</w:t>
            </w:r>
          </w:p>
        </w:tc>
        <w:tc>
          <w:tcPr>
            <w:tcW w:w="1400" w:type="dxa"/>
            <w:vAlign w:val="bottom"/>
          </w:tcPr>
          <w:p>
            <w:pPr>
              <w:jc w:val="right"/>
              <w:ind w:right="203"/>
              <w:spacing w:after="0"/>
              <w:rPr>
                <w:sz w:val="20"/>
                <w:szCs w:val="20"/>
                <w:color w:val="auto"/>
              </w:rPr>
            </w:pPr>
            <w:r>
              <w:rPr>
                <w:rFonts w:ascii="Arial" w:cs="Arial" w:eastAsia="Arial" w:hAnsi="Arial"/>
                <w:sz w:val="13"/>
                <w:szCs w:val="13"/>
                <w:b w:val="1"/>
                <w:bCs w:val="1"/>
                <w:color w:val="auto"/>
              </w:rPr>
              <w:t>Actual</w:t>
            </w:r>
          </w:p>
        </w:tc>
        <w:tc>
          <w:tcPr>
            <w:tcW w:w="122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rPr>
              <w:t>Payout</w:t>
            </w:r>
          </w:p>
        </w:tc>
      </w:tr>
      <w:tr>
        <w:trPr>
          <w:trHeight w:val="163"/>
        </w:trPr>
        <w:tc>
          <w:tcPr>
            <w:tcW w:w="208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540" w:type="dxa"/>
            <w:vAlign w:val="bottom"/>
          </w:tcPr>
          <w:p>
            <w:pPr>
              <w:jc w:val="right"/>
              <w:ind w:right="161"/>
              <w:spacing w:after="0"/>
              <w:rPr>
                <w:sz w:val="20"/>
                <w:szCs w:val="20"/>
                <w:color w:val="auto"/>
              </w:rPr>
            </w:pPr>
            <w:r>
              <w:rPr>
                <w:rFonts w:ascii="Arial" w:cs="Arial" w:eastAsia="Arial" w:hAnsi="Arial"/>
                <w:sz w:val="13"/>
                <w:szCs w:val="13"/>
                <w:b w:val="1"/>
                <w:bCs w:val="1"/>
                <w:color w:val="auto"/>
              </w:rPr>
              <w:t>Weight (%)</w:t>
            </w:r>
          </w:p>
        </w:tc>
        <w:tc>
          <w:tcPr>
            <w:tcW w:w="1100" w:type="dxa"/>
            <w:vAlign w:val="bottom"/>
          </w:tcPr>
          <w:p>
            <w:pPr>
              <w:jc w:val="right"/>
              <w:ind w:right="3"/>
              <w:spacing w:after="0"/>
              <w:rPr>
                <w:sz w:val="20"/>
                <w:szCs w:val="20"/>
                <w:color w:val="auto"/>
              </w:rPr>
            </w:pPr>
            <w:r>
              <w:rPr>
                <w:rFonts w:ascii="Arial" w:cs="Arial" w:eastAsia="Arial" w:hAnsi="Arial"/>
                <w:sz w:val="13"/>
                <w:szCs w:val="13"/>
                <w:b w:val="1"/>
                <w:bCs w:val="1"/>
                <w:color w:val="auto"/>
              </w:rPr>
              <w:t>(0% Payout) ($)</w:t>
            </w:r>
          </w:p>
        </w:tc>
        <w:tc>
          <w:tcPr>
            <w:tcW w:w="1280" w:type="dxa"/>
            <w:vAlign w:val="bottom"/>
          </w:tcPr>
          <w:p>
            <w:pPr>
              <w:jc w:val="right"/>
              <w:ind w:right="3"/>
              <w:spacing w:after="0"/>
              <w:rPr>
                <w:sz w:val="20"/>
                <w:szCs w:val="20"/>
                <w:color w:val="auto"/>
              </w:rPr>
            </w:pPr>
            <w:r>
              <w:rPr>
                <w:rFonts w:ascii="Arial" w:cs="Arial" w:eastAsia="Arial" w:hAnsi="Arial"/>
                <w:sz w:val="13"/>
                <w:szCs w:val="13"/>
                <w:b w:val="1"/>
                <w:bCs w:val="1"/>
                <w:color w:val="auto"/>
              </w:rPr>
              <w:t>(100% Payout) ($)</w:t>
            </w:r>
          </w:p>
        </w:tc>
        <w:tc>
          <w:tcPr>
            <w:tcW w:w="1300" w:type="dxa"/>
            <w:vAlign w:val="bottom"/>
          </w:tcPr>
          <w:p>
            <w:pPr>
              <w:jc w:val="right"/>
              <w:ind w:right="43"/>
              <w:spacing w:after="0"/>
              <w:rPr>
                <w:sz w:val="20"/>
                <w:szCs w:val="20"/>
                <w:color w:val="auto"/>
              </w:rPr>
            </w:pPr>
            <w:r>
              <w:rPr>
                <w:rFonts w:ascii="Arial" w:cs="Arial" w:eastAsia="Arial" w:hAnsi="Arial"/>
                <w:sz w:val="13"/>
                <w:szCs w:val="13"/>
                <w:b w:val="1"/>
                <w:bCs w:val="1"/>
                <w:color w:val="auto"/>
              </w:rPr>
              <w:t>(200% Payout) ($)</w:t>
            </w:r>
          </w:p>
        </w:tc>
        <w:tc>
          <w:tcPr>
            <w:tcW w:w="1400" w:type="dxa"/>
            <w:vAlign w:val="bottom"/>
          </w:tcPr>
          <w:p>
            <w:pPr>
              <w:jc w:val="right"/>
              <w:ind w:right="203"/>
              <w:spacing w:after="0"/>
              <w:rPr>
                <w:sz w:val="20"/>
                <w:szCs w:val="20"/>
                <w:color w:val="auto"/>
              </w:rPr>
            </w:pPr>
            <w:r>
              <w:rPr>
                <w:rFonts w:ascii="Arial" w:cs="Arial" w:eastAsia="Arial" w:hAnsi="Arial"/>
                <w:sz w:val="13"/>
                <w:szCs w:val="13"/>
                <w:b w:val="1"/>
                <w:bCs w:val="1"/>
                <w:color w:val="auto"/>
              </w:rPr>
              <w:t>Achievement ($)</w:t>
            </w:r>
          </w:p>
        </w:tc>
        <w:tc>
          <w:tcPr>
            <w:tcW w:w="122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rPr>
              <w:t>Earned (%)</w:t>
            </w:r>
          </w:p>
        </w:tc>
      </w:tr>
      <w:tr>
        <w:trPr>
          <w:trHeight w:val="192"/>
        </w:trPr>
        <w:tc>
          <w:tcPr>
            <w:tcW w:w="2080" w:type="dxa"/>
            <w:vAlign w:val="bottom"/>
            <w:tcBorders>
              <w:top w:val="single" w:sz="8" w:color="405788"/>
              <w:bottom w:val="single" w:sz="8" w:color="D9D9D9"/>
            </w:tcBorders>
          </w:tcPr>
          <w:p>
            <w:pPr>
              <w:spacing w:after="0" w:line="188" w:lineRule="exact"/>
              <w:rPr>
                <w:sz w:val="20"/>
                <w:szCs w:val="20"/>
                <w:color w:val="auto"/>
              </w:rPr>
            </w:pPr>
            <w:r>
              <w:rPr>
                <w:rFonts w:ascii="Arial" w:cs="Arial" w:eastAsia="Arial" w:hAnsi="Arial"/>
                <w:sz w:val="17"/>
                <w:szCs w:val="17"/>
                <w:color w:val="auto"/>
              </w:rPr>
              <w:t>Revenue</w:t>
            </w:r>
          </w:p>
        </w:tc>
        <w:tc>
          <w:tcPr>
            <w:tcW w:w="1540" w:type="dxa"/>
            <w:vAlign w:val="bottom"/>
            <w:tcBorders>
              <w:top w:val="single" w:sz="8" w:color="405788"/>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25 %</w:t>
            </w:r>
          </w:p>
        </w:tc>
        <w:tc>
          <w:tcPr>
            <w:tcW w:w="1100" w:type="dxa"/>
            <w:vAlign w:val="bottom"/>
            <w:tcBorders>
              <w:top w:val="single" w:sz="8" w:color="405788"/>
              <w:bottom w:val="single" w:sz="8" w:color="D9D9D9"/>
            </w:tcBorders>
          </w:tcPr>
          <w:p>
            <w:pPr>
              <w:jc w:val="right"/>
              <w:ind w:right="3"/>
              <w:spacing w:after="0" w:line="188" w:lineRule="exact"/>
              <w:rPr>
                <w:sz w:val="20"/>
                <w:szCs w:val="20"/>
                <w:color w:val="auto"/>
              </w:rPr>
            </w:pPr>
            <w:r>
              <w:rPr>
                <w:rFonts w:ascii="Arial" w:cs="Arial" w:eastAsia="Arial" w:hAnsi="Arial"/>
                <w:sz w:val="17"/>
                <w:szCs w:val="17"/>
                <w:color w:val="auto"/>
              </w:rPr>
              <w:t>450.0</w:t>
            </w:r>
          </w:p>
        </w:tc>
        <w:tc>
          <w:tcPr>
            <w:tcW w:w="1280" w:type="dxa"/>
            <w:vAlign w:val="bottom"/>
            <w:tcBorders>
              <w:top w:val="single" w:sz="8" w:color="405788"/>
              <w:bottom w:val="single" w:sz="8" w:color="D9D9D9"/>
            </w:tcBorders>
          </w:tcPr>
          <w:p>
            <w:pPr>
              <w:jc w:val="right"/>
              <w:ind w:right="3"/>
              <w:spacing w:after="0" w:line="188" w:lineRule="exact"/>
              <w:rPr>
                <w:sz w:val="20"/>
                <w:szCs w:val="20"/>
                <w:color w:val="auto"/>
              </w:rPr>
            </w:pPr>
            <w:r>
              <w:rPr>
                <w:rFonts w:ascii="Arial" w:cs="Arial" w:eastAsia="Arial" w:hAnsi="Arial"/>
                <w:sz w:val="17"/>
                <w:szCs w:val="17"/>
                <w:color w:val="auto"/>
              </w:rPr>
              <w:t>475.0</w:t>
            </w:r>
          </w:p>
        </w:tc>
        <w:tc>
          <w:tcPr>
            <w:tcW w:w="1300" w:type="dxa"/>
            <w:vAlign w:val="bottom"/>
            <w:tcBorders>
              <w:top w:val="single" w:sz="8" w:color="405788"/>
              <w:bottom w:val="single" w:sz="8" w:color="D9D9D9"/>
            </w:tcBorders>
          </w:tcPr>
          <w:p>
            <w:pPr>
              <w:jc w:val="right"/>
              <w:ind w:right="43"/>
              <w:spacing w:after="0" w:line="188" w:lineRule="exact"/>
              <w:rPr>
                <w:sz w:val="20"/>
                <w:szCs w:val="20"/>
                <w:color w:val="auto"/>
              </w:rPr>
            </w:pPr>
            <w:r>
              <w:rPr>
                <w:rFonts w:ascii="Arial" w:cs="Arial" w:eastAsia="Arial" w:hAnsi="Arial"/>
                <w:sz w:val="17"/>
                <w:szCs w:val="17"/>
                <w:color w:val="auto"/>
              </w:rPr>
              <w:t>510.0</w:t>
            </w:r>
          </w:p>
        </w:tc>
        <w:tc>
          <w:tcPr>
            <w:tcW w:w="1400" w:type="dxa"/>
            <w:vAlign w:val="bottom"/>
            <w:tcBorders>
              <w:top w:val="single" w:sz="8" w:color="405788"/>
              <w:bottom w:val="single" w:sz="8" w:color="D9D9D9"/>
            </w:tcBorders>
          </w:tcPr>
          <w:p>
            <w:pPr>
              <w:jc w:val="right"/>
              <w:ind w:right="203"/>
              <w:spacing w:after="0" w:line="188" w:lineRule="exact"/>
              <w:rPr>
                <w:sz w:val="20"/>
                <w:szCs w:val="20"/>
                <w:color w:val="auto"/>
              </w:rPr>
            </w:pPr>
            <w:r>
              <w:rPr>
                <w:rFonts w:ascii="Arial" w:cs="Arial" w:eastAsia="Arial" w:hAnsi="Arial"/>
                <w:sz w:val="17"/>
                <w:szCs w:val="17"/>
                <w:color w:val="auto"/>
              </w:rPr>
              <w:t>544.8</w:t>
            </w:r>
          </w:p>
        </w:tc>
        <w:tc>
          <w:tcPr>
            <w:tcW w:w="1020" w:type="dxa"/>
            <w:vAlign w:val="bottom"/>
            <w:tcBorders>
              <w:top w:val="single" w:sz="8" w:color="405788"/>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200</w:t>
            </w:r>
          </w:p>
        </w:tc>
        <w:tc>
          <w:tcPr>
            <w:tcW w:w="200" w:type="dxa"/>
            <w:vAlign w:val="bottom"/>
            <w:tcBorders>
              <w:top w:val="single" w:sz="8" w:color="D9D9D9"/>
              <w:bottom w:val="single" w:sz="8" w:color="D9D9D9"/>
            </w:tcBorders>
          </w:tcPr>
          <w:p>
            <w:pPr>
              <w:jc w:val="right"/>
              <w:spacing w:after="0" w:line="188" w:lineRule="exact"/>
              <w:rPr>
                <w:sz w:val="20"/>
                <w:szCs w:val="20"/>
                <w:color w:val="auto"/>
              </w:rPr>
            </w:pPr>
            <w:r>
              <w:rPr>
                <w:rFonts w:ascii="Arial" w:cs="Arial" w:eastAsia="Arial" w:hAnsi="Arial"/>
                <w:sz w:val="17"/>
                <w:szCs w:val="17"/>
                <w:color w:val="auto"/>
                <w:w w:val="92"/>
              </w:rPr>
              <w:t>%</w:t>
            </w:r>
          </w:p>
        </w:tc>
      </w:tr>
      <w:tr>
        <w:trPr>
          <w:trHeight w:val="192"/>
        </w:trPr>
        <w:tc>
          <w:tcPr>
            <w:tcW w:w="20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Adjusted EBITDA*</w:t>
            </w:r>
          </w:p>
        </w:tc>
        <w:tc>
          <w:tcPr>
            <w:tcW w:w="15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50 %</w:t>
            </w:r>
          </w:p>
        </w:tc>
        <w:tc>
          <w:tcPr>
            <w:tcW w:w="1100" w:type="dxa"/>
            <w:vAlign w:val="bottom"/>
            <w:tcBorders>
              <w:bottom w:val="single" w:sz="8" w:color="D9D9D9"/>
            </w:tcBorders>
          </w:tcPr>
          <w:p>
            <w:pPr>
              <w:jc w:val="right"/>
              <w:ind w:right="3"/>
              <w:spacing w:after="0" w:line="188" w:lineRule="exact"/>
              <w:rPr>
                <w:sz w:val="20"/>
                <w:szCs w:val="20"/>
                <w:color w:val="auto"/>
              </w:rPr>
            </w:pPr>
            <w:r>
              <w:rPr>
                <w:rFonts w:ascii="Arial" w:cs="Arial" w:eastAsia="Arial" w:hAnsi="Arial"/>
                <w:sz w:val="17"/>
                <w:szCs w:val="17"/>
                <w:color w:val="auto"/>
              </w:rPr>
              <w:t>45.0</w:t>
            </w:r>
          </w:p>
        </w:tc>
        <w:tc>
          <w:tcPr>
            <w:tcW w:w="1280" w:type="dxa"/>
            <w:vAlign w:val="bottom"/>
            <w:tcBorders>
              <w:bottom w:val="single" w:sz="8" w:color="D9D9D9"/>
            </w:tcBorders>
          </w:tcPr>
          <w:p>
            <w:pPr>
              <w:jc w:val="right"/>
              <w:ind w:right="3"/>
              <w:spacing w:after="0" w:line="188" w:lineRule="exact"/>
              <w:rPr>
                <w:sz w:val="20"/>
                <w:szCs w:val="20"/>
                <w:color w:val="auto"/>
              </w:rPr>
            </w:pPr>
            <w:r>
              <w:rPr>
                <w:rFonts w:ascii="Arial" w:cs="Arial" w:eastAsia="Arial" w:hAnsi="Arial"/>
                <w:sz w:val="17"/>
                <w:szCs w:val="17"/>
                <w:color w:val="auto"/>
              </w:rPr>
              <w:t>48.0</w:t>
            </w:r>
          </w:p>
        </w:tc>
        <w:tc>
          <w:tcPr>
            <w:tcW w:w="1300" w:type="dxa"/>
            <w:vAlign w:val="bottom"/>
            <w:tcBorders>
              <w:bottom w:val="single" w:sz="8" w:color="D9D9D9"/>
            </w:tcBorders>
          </w:tcPr>
          <w:p>
            <w:pPr>
              <w:jc w:val="right"/>
              <w:ind w:right="43"/>
              <w:spacing w:after="0" w:line="188" w:lineRule="exact"/>
              <w:rPr>
                <w:sz w:val="20"/>
                <w:szCs w:val="20"/>
                <w:color w:val="auto"/>
              </w:rPr>
            </w:pPr>
            <w:r>
              <w:rPr>
                <w:rFonts w:ascii="Arial" w:cs="Arial" w:eastAsia="Arial" w:hAnsi="Arial"/>
                <w:sz w:val="17"/>
                <w:szCs w:val="17"/>
                <w:color w:val="auto"/>
              </w:rPr>
              <w:t>52.0</w:t>
            </w:r>
          </w:p>
        </w:tc>
        <w:tc>
          <w:tcPr>
            <w:tcW w:w="1400" w:type="dxa"/>
            <w:vAlign w:val="bottom"/>
            <w:tcBorders>
              <w:bottom w:val="single" w:sz="8" w:color="D9D9D9"/>
            </w:tcBorders>
          </w:tcPr>
          <w:p>
            <w:pPr>
              <w:jc w:val="right"/>
              <w:ind w:right="203"/>
              <w:spacing w:after="0" w:line="188" w:lineRule="exact"/>
              <w:rPr>
                <w:sz w:val="20"/>
                <w:szCs w:val="20"/>
                <w:color w:val="auto"/>
              </w:rPr>
            </w:pPr>
            <w:r>
              <w:rPr>
                <w:rFonts w:ascii="Arial" w:cs="Arial" w:eastAsia="Arial" w:hAnsi="Arial"/>
                <w:sz w:val="17"/>
                <w:szCs w:val="17"/>
                <w:color w:val="auto"/>
              </w:rPr>
              <w:t>57.6</w:t>
            </w:r>
          </w:p>
        </w:tc>
        <w:tc>
          <w:tcPr>
            <w:tcW w:w="1220" w:type="dxa"/>
            <w:vAlign w:val="bottom"/>
            <w:tcBorders>
              <w:bottom w:val="single" w:sz="8" w:color="D9D9D9"/>
            </w:tcBorders>
            <w:gridSpan w:val="2"/>
          </w:tcPr>
          <w:p>
            <w:pPr>
              <w:jc w:val="right"/>
              <w:spacing w:after="0" w:line="188" w:lineRule="exact"/>
              <w:rPr>
                <w:sz w:val="20"/>
                <w:szCs w:val="20"/>
                <w:color w:val="auto"/>
              </w:rPr>
            </w:pPr>
            <w:r>
              <w:rPr>
                <w:rFonts w:ascii="Arial" w:cs="Arial" w:eastAsia="Arial" w:hAnsi="Arial"/>
                <w:sz w:val="17"/>
                <w:szCs w:val="17"/>
                <w:color w:val="auto"/>
              </w:rPr>
              <w:t>200 %</w:t>
            </w:r>
          </w:p>
        </w:tc>
      </w:tr>
      <w:tr>
        <w:trPr>
          <w:trHeight w:val="192"/>
        </w:trPr>
        <w:tc>
          <w:tcPr>
            <w:tcW w:w="20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Free Cash Flow</w:t>
            </w:r>
          </w:p>
        </w:tc>
        <w:tc>
          <w:tcPr>
            <w:tcW w:w="15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25 %</w:t>
            </w:r>
          </w:p>
        </w:tc>
        <w:tc>
          <w:tcPr>
            <w:tcW w:w="1100" w:type="dxa"/>
            <w:vAlign w:val="bottom"/>
            <w:tcBorders>
              <w:bottom w:val="single" w:sz="8" w:color="D9D9D9"/>
            </w:tcBorders>
          </w:tcPr>
          <w:p>
            <w:pPr>
              <w:jc w:val="right"/>
              <w:ind w:right="3"/>
              <w:spacing w:after="0" w:line="188" w:lineRule="exact"/>
              <w:rPr>
                <w:sz w:val="20"/>
                <w:szCs w:val="20"/>
                <w:color w:val="auto"/>
              </w:rPr>
            </w:pPr>
            <w:r>
              <w:rPr>
                <w:rFonts w:ascii="Arial" w:cs="Arial" w:eastAsia="Arial" w:hAnsi="Arial"/>
                <w:sz w:val="17"/>
                <w:szCs w:val="17"/>
                <w:color w:val="auto"/>
              </w:rPr>
              <w:t>25.0</w:t>
            </w:r>
          </w:p>
        </w:tc>
        <w:tc>
          <w:tcPr>
            <w:tcW w:w="1280" w:type="dxa"/>
            <w:vAlign w:val="bottom"/>
            <w:tcBorders>
              <w:bottom w:val="single" w:sz="8" w:color="D9D9D9"/>
            </w:tcBorders>
          </w:tcPr>
          <w:p>
            <w:pPr>
              <w:jc w:val="right"/>
              <w:ind w:right="3"/>
              <w:spacing w:after="0" w:line="188" w:lineRule="exact"/>
              <w:rPr>
                <w:sz w:val="20"/>
                <w:szCs w:val="20"/>
                <w:color w:val="auto"/>
              </w:rPr>
            </w:pPr>
            <w:r>
              <w:rPr>
                <w:rFonts w:ascii="Arial" w:cs="Arial" w:eastAsia="Arial" w:hAnsi="Arial"/>
                <w:sz w:val="17"/>
                <w:szCs w:val="17"/>
                <w:color w:val="auto"/>
              </w:rPr>
              <w:t>28.0</w:t>
            </w:r>
          </w:p>
        </w:tc>
        <w:tc>
          <w:tcPr>
            <w:tcW w:w="1300" w:type="dxa"/>
            <w:vAlign w:val="bottom"/>
            <w:tcBorders>
              <w:bottom w:val="single" w:sz="8" w:color="D9D9D9"/>
            </w:tcBorders>
          </w:tcPr>
          <w:p>
            <w:pPr>
              <w:jc w:val="right"/>
              <w:ind w:right="43"/>
              <w:spacing w:after="0" w:line="188" w:lineRule="exact"/>
              <w:rPr>
                <w:sz w:val="20"/>
                <w:szCs w:val="20"/>
                <w:color w:val="auto"/>
              </w:rPr>
            </w:pPr>
            <w:r>
              <w:rPr>
                <w:rFonts w:ascii="Arial" w:cs="Arial" w:eastAsia="Arial" w:hAnsi="Arial"/>
                <w:sz w:val="17"/>
                <w:szCs w:val="17"/>
                <w:color w:val="auto"/>
              </w:rPr>
              <w:t>33.0</w:t>
            </w:r>
          </w:p>
        </w:tc>
        <w:tc>
          <w:tcPr>
            <w:tcW w:w="1400" w:type="dxa"/>
            <w:vAlign w:val="bottom"/>
            <w:tcBorders>
              <w:bottom w:val="single" w:sz="8" w:color="D9D9D9"/>
            </w:tcBorders>
          </w:tcPr>
          <w:p>
            <w:pPr>
              <w:jc w:val="right"/>
              <w:ind w:right="203"/>
              <w:spacing w:after="0" w:line="188" w:lineRule="exact"/>
              <w:rPr>
                <w:sz w:val="20"/>
                <w:szCs w:val="20"/>
                <w:color w:val="auto"/>
              </w:rPr>
            </w:pPr>
            <w:r>
              <w:rPr>
                <w:rFonts w:ascii="Arial" w:cs="Arial" w:eastAsia="Arial" w:hAnsi="Arial"/>
                <w:sz w:val="17"/>
                <w:szCs w:val="17"/>
                <w:color w:val="auto"/>
              </w:rPr>
              <w:t>34.4</w:t>
            </w:r>
          </w:p>
        </w:tc>
        <w:tc>
          <w:tcPr>
            <w:tcW w:w="1220" w:type="dxa"/>
            <w:vAlign w:val="bottom"/>
            <w:tcBorders>
              <w:bottom w:val="single" w:sz="8" w:color="D9D9D9"/>
            </w:tcBorders>
            <w:gridSpan w:val="2"/>
          </w:tcPr>
          <w:p>
            <w:pPr>
              <w:jc w:val="right"/>
              <w:spacing w:after="0" w:line="188" w:lineRule="exact"/>
              <w:rPr>
                <w:sz w:val="20"/>
                <w:szCs w:val="20"/>
                <w:color w:val="auto"/>
              </w:rPr>
            </w:pPr>
            <w:r>
              <w:rPr>
                <w:rFonts w:ascii="Arial" w:cs="Arial" w:eastAsia="Arial" w:hAnsi="Arial"/>
                <w:sz w:val="17"/>
                <w:szCs w:val="17"/>
                <w:color w:val="auto"/>
              </w:rPr>
              <w:t>200 %</w:t>
            </w:r>
          </w:p>
        </w:tc>
      </w:tr>
      <w:tr>
        <w:trPr>
          <w:trHeight w:val="387"/>
        </w:trPr>
        <w:tc>
          <w:tcPr>
            <w:tcW w:w="2080" w:type="dxa"/>
            <w:vAlign w:val="bottom"/>
            <w:tcBorders>
              <w:bottom w:val="single" w:sz="8" w:color="405788"/>
            </w:tcBorders>
          </w:tcPr>
          <w:p>
            <w:pPr>
              <w:spacing w:after="0"/>
              <w:rPr>
                <w:sz w:val="20"/>
                <w:szCs w:val="20"/>
                <w:color w:val="auto"/>
              </w:rPr>
            </w:pPr>
            <w:r>
              <w:rPr>
                <w:rFonts w:ascii="Arial" w:cs="Arial" w:eastAsia="Arial" w:hAnsi="Arial"/>
                <w:sz w:val="17"/>
                <w:szCs w:val="17"/>
                <w:b w:val="1"/>
                <w:bCs w:val="1"/>
                <w:color w:val="auto"/>
              </w:rPr>
              <w:t>Total Payout</w:t>
            </w:r>
          </w:p>
        </w:tc>
        <w:tc>
          <w:tcPr>
            <w:tcW w:w="1540" w:type="dxa"/>
            <w:vAlign w:val="bottom"/>
            <w:tcBorders>
              <w:bottom w:val="single" w:sz="8" w:color="405788"/>
            </w:tcBorders>
          </w:tcPr>
          <w:p>
            <w:pPr>
              <w:spacing w:after="0"/>
              <w:rPr>
                <w:sz w:val="24"/>
                <w:szCs w:val="24"/>
                <w:color w:val="auto"/>
              </w:rPr>
            </w:pPr>
          </w:p>
        </w:tc>
        <w:tc>
          <w:tcPr>
            <w:tcW w:w="1100" w:type="dxa"/>
            <w:vAlign w:val="bottom"/>
            <w:tcBorders>
              <w:bottom w:val="single" w:sz="8" w:color="405788"/>
            </w:tcBorders>
          </w:tcPr>
          <w:p>
            <w:pPr>
              <w:spacing w:after="0"/>
              <w:rPr>
                <w:sz w:val="24"/>
                <w:szCs w:val="24"/>
                <w:color w:val="auto"/>
              </w:rPr>
            </w:pPr>
          </w:p>
        </w:tc>
        <w:tc>
          <w:tcPr>
            <w:tcW w:w="1280" w:type="dxa"/>
            <w:vAlign w:val="bottom"/>
            <w:tcBorders>
              <w:bottom w:val="single" w:sz="8" w:color="405788"/>
            </w:tcBorders>
          </w:tcPr>
          <w:p>
            <w:pPr>
              <w:spacing w:after="0"/>
              <w:rPr>
                <w:sz w:val="24"/>
                <w:szCs w:val="24"/>
                <w:color w:val="auto"/>
              </w:rPr>
            </w:pPr>
          </w:p>
        </w:tc>
        <w:tc>
          <w:tcPr>
            <w:tcW w:w="1300" w:type="dxa"/>
            <w:vAlign w:val="bottom"/>
            <w:tcBorders>
              <w:bottom w:val="single" w:sz="8" w:color="405788"/>
            </w:tcBorders>
          </w:tcPr>
          <w:p>
            <w:pPr>
              <w:spacing w:after="0"/>
              <w:rPr>
                <w:sz w:val="24"/>
                <w:szCs w:val="24"/>
                <w:color w:val="auto"/>
              </w:rPr>
            </w:pPr>
          </w:p>
        </w:tc>
        <w:tc>
          <w:tcPr>
            <w:tcW w:w="1400" w:type="dxa"/>
            <w:vAlign w:val="bottom"/>
            <w:tcBorders>
              <w:bottom w:val="single" w:sz="8" w:color="405788"/>
            </w:tcBorders>
          </w:tcPr>
          <w:p>
            <w:pPr>
              <w:spacing w:after="0"/>
              <w:rPr>
                <w:sz w:val="24"/>
                <w:szCs w:val="24"/>
                <w:color w:val="auto"/>
              </w:rPr>
            </w:pPr>
          </w:p>
        </w:tc>
        <w:tc>
          <w:tcPr>
            <w:tcW w:w="1220" w:type="dxa"/>
            <w:vAlign w:val="bottom"/>
            <w:tcBorders>
              <w:bottom w:val="single" w:sz="8" w:color="405788"/>
            </w:tcBorders>
            <w:gridSpan w:val="2"/>
          </w:tcPr>
          <w:p>
            <w:pPr>
              <w:jc w:val="right"/>
              <w:spacing w:after="0"/>
              <w:rPr>
                <w:sz w:val="20"/>
                <w:szCs w:val="20"/>
                <w:color w:val="auto"/>
              </w:rPr>
            </w:pPr>
            <w:r>
              <w:rPr>
                <w:rFonts w:ascii="Arial" w:cs="Arial" w:eastAsia="Arial" w:hAnsi="Arial"/>
                <w:sz w:val="17"/>
                <w:szCs w:val="17"/>
                <w:b w:val="1"/>
                <w:bCs w:val="1"/>
                <w:color w:val="auto"/>
              </w:rPr>
              <w:t xml:space="preserve">200 </w:t>
            </w:r>
            <w:r>
              <w:rPr>
                <w:rFonts w:ascii="Arial" w:cs="Arial" w:eastAsia="Arial" w:hAnsi="Arial"/>
                <w:sz w:val="17"/>
                <w:szCs w:val="17"/>
                <w:color w:val="auto"/>
              </w:rPr>
              <w:t>%</w:t>
            </w:r>
          </w:p>
        </w:tc>
      </w:tr>
    </w:tbl>
    <w:p>
      <w:pPr>
        <w:spacing w:after="0" w:line="105" w:lineRule="exact"/>
        <w:rPr>
          <w:sz w:val="20"/>
          <w:szCs w:val="20"/>
          <w:color w:val="auto"/>
        </w:rPr>
      </w:pPr>
    </w:p>
    <w:p>
      <w:pPr>
        <w:ind w:right="20"/>
        <w:spacing w:after="0" w:line="248" w:lineRule="auto"/>
        <w:rPr>
          <w:sz w:val="20"/>
          <w:szCs w:val="20"/>
          <w:color w:val="auto"/>
        </w:rPr>
      </w:pPr>
      <w:r>
        <w:rPr>
          <w:rFonts w:ascii="Arial" w:cs="Arial" w:eastAsia="Arial" w:hAnsi="Arial"/>
          <w:sz w:val="12"/>
          <w:szCs w:val="12"/>
          <w:color w:val="auto"/>
        </w:rPr>
        <w:t>*</w:t>
      </w:r>
      <w:r>
        <w:rPr>
          <w:rFonts w:ascii="Arial" w:cs="Arial" w:eastAsia="Arial" w:hAnsi="Arial"/>
          <w:sz w:val="13"/>
          <w:szCs w:val="13"/>
          <w:color w:val="auto"/>
        </w:rPr>
        <w:t>Adjusted EBITDA and Free Cash Flow are non-GAAP measures. Adjusted EBITDA for purposes of our annual incentive program can be calculated from our audited</w:t>
      </w:r>
      <w:r>
        <w:rPr>
          <w:rFonts w:ascii="Arial" w:cs="Arial" w:eastAsia="Arial" w:hAnsi="Arial"/>
          <w:sz w:val="12"/>
          <w:szCs w:val="12"/>
          <w:color w:val="auto"/>
        </w:rPr>
        <w:t xml:space="preserve"> </w:t>
      </w:r>
      <w:r>
        <w:rPr>
          <w:rFonts w:ascii="Arial" w:cs="Arial" w:eastAsia="Arial" w:hAnsi="Arial"/>
          <w:sz w:val="13"/>
          <w:szCs w:val="13"/>
          <w:color w:val="auto"/>
        </w:rPr>
        <w:t>financial statements as follows: Net income adjusted for the effects of amortization and earnouts expenses, acquisition and integration expenses, executive transition expenses, depreciation, non-cash stock compensation, other income &amp; expense, interest expense, income tax expense, and noncontrolling interest. Free Cash Flow for purposes of our annual incentive program can be calculated from our audited financial statements as follows: Cash provided by operating activities adjusted for the effects of earnout payments (within operating activities) and acquisitions of property and equipment. Please refer to Appendix 3 to this Proxy Statement for reconciliation information relating to the non-GAAP measures presented herein.</w:t>
      </w:r>
    </w:p>
    <w:p>
      <w:pPr>
        <w:spacing w:after="0" w:line="264" w:lineRule="exact"/>
        <w:rPr>
          <w:sz w:val="20"/>
          <w:szCs w:val="20"/>
          <w:color w:val="auto"/>
        </w:rPr>
      </w:pPr>
    </w:p>
    <w:p>
      <w:pPr>
        <w:jc w:val="both"/>
        <w:ind w:right="160"/>
        <w:spacing w:after="0" w:line="239" w:lineRule="auto"/>
        <w:rPr>
          <w:sz w:val="20"/>
          <w:szCs w:val="20"/>
          <w:color w:val="auto"/>
        </w:rPr>
      </w:pPr>
      <w:r>
        <w:rPr>
          <w:rFonts w:ascii="Arial" w:cs="Arial" w:eastAsia="Arial" w:hAnsi="Arial"/>
          <w:sz w:val="17"/>
          <w:szCs w:val="17"/>
          <w:color w:val="auto"/>
        </w:rPr>
        <w:t>Based on such achievement, the payouts of the annual incentive awards for 2023 are set forth in the table below and reflected in our 2023 Summary Compensation Table under the column captioned “"Non-Equity Incentive Plan Compensation." We did not make any discretionary adjustments to the payouts for 2023 and based the amounts solely on achievement of the pre-established performance goals.</w:t>
      </w:r>
    </w:p>
    <w:p>
      <w:pPr>
        <w:spacing w:after="0" w:line="200" w:lineRule="exact"/>
        <w:rPr>
          <w:sz w:val="20"/>
          <w:szCs w:val="20"/>
          <w:color w:val="auto"/>
        </w:rPr>
      </w:pPr>
    </w:p>
    <w:p>
      <w:pPr>
        <w:spacing w:after="0" w:line="239"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24</w:t>
      </w:r>
      <w:r>
        <w:rPr>
          <w:sz w:val="20"/>
          <w:szCs w:val="20"/>
          <w:color w:val="auto"/>
        </w:rPr>
        <w:tab/>
      </w:r>
      <w:r>
        <w:rPr>
          <w:sz w:val="1"/>
          <w:szCs w:val="1"/>
          <w:color w:val="auto"/>
        </w:rPr>
        <w:drawing>
          <wp:inline distT="0" distB="0" distL="0" distR="0">
            <wp:extent cx="476250" cy="22225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1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7"/>
                <w:szCs w:val="17"/>
                <w:color w:val="D9D9D9"/>
              </w:rPr>
              <w:t>CECO ENVIRONMENTAL</w:t>
            </w:r>
          </w:p>
        </w:tc>
      </w:tr>
      <w:tr>
        <w:trPr>
          <w:trHeight w:val="528"/>
        </w:trPr>
        <w:tc>
          <w:tcPr>
            <w:tcW w:w="316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3140" w:type="dxa"/>
            <w:vAlign w:val="bottom"/>
            <w:tcBorders>
              <w:bottom w:val="single" w:sz="8" w:color="405788"/>
            </w:tcBorders>
          </w:tcPr>
          <w:p>
            <w:pPr>
              <w:jc w:val="right"/>
              <w:ind w:right="441"/>
              <w:spacing w:after="0"/>
              <w:rPr>
                <w:sz w:val="20"/>
                <w:szCs w:val="20"/>
                <w:color w:val="auto"/>
              </w:rPr>
            </w:pPr>
            <w:r>
              <w:rPr>
                <w:rFonts w:ascii="Arial" w:cs="Arial" w:eastAsia="Arial" w:hAnsi="Arial"/>
                <w:sz w:val="13"/>
                <w:szCs w:val="13"/>
                <w:b w:val="1"/>
                <w:bCs w:val="1"/>
                <w:color w:val="auto"/>
              </w:rPr>
              <w:t>Target Amount ($)</w:t>
            </w:r>
          </w:p>
        </w:tc>
        <w:tc>
          <w:tcPr>
            <w:tcW w:w="1400" w:type="dxa"/>
            <w:vAlign w:val="bottom"/>
            <w:tcBorders>
              <w:bottom w:val="single" w:sz="8" w:color="405788"/>
            </w:tcBorders>
          </w:tcPr>
          <w:p>
            <w:pPr>
              <w:jc w:val="right"/>
              <w:ind w:right="141"/>
              <w:spacing w:after="0"/>
              <w:rPr>
                <w:sz w:val="20"/>
                <w:szCs w:val="20"/>
                <w:color w:val="auto"/>
              </w:rPr>
            </w:pPr>
            <w:r>
              <w:rPr>
                <w:rFonts w:ascii="Arial" w:cs="Arial" w:eastAsia="Arial" w:hAnsi="Arial"/>
                <w:sz w:val="13"/>
                <w:szCs w:val="13"/>
                <w:b w:val="1"/>
                <w:bCs w:val="1"/>
                <w:color w:val="auto"/>
              </w:rPr>
              <w:t>Payout (%)</w:t>
            </w:r>
          </w:p>
        </w:tc>
        <w:tc>
          <w:tcPr>
            <w:tcW w:w="2220" w:type="dxa"/>
            <w:vAlign w:val="bottom"/>
            <w:tcBorders>
              <w:bottom w:val="single" w:sz="8" w:color="405788"/>
            </w:tcBorders>
          </w:tcPr>
          <w:p>
            <w:pPr>
              <w:jc w:val="right"/>
              <w:ind w:right="120"/>
              <w:spacing w:after="0"/>
              <w:rPr>
                <w:sz w:val="20"/>
                <w:szCs w:val="20"/>
                <w:color w:val="auto"/>
              </w:rPr>
            </w:pPr>
            <w:r>
              <w:rPr>
                <w:rFonts w:ascii="Arial" w:cs="Arial" w:eastAsia="Arial" w:hAnsi="Arial"/>
                <w:sz w:val="13"/>
                <w:szCs w:val="13"/>
                <w:b w:val="1"/>
                <w:bCs w:val="1"/>
                <w:color w:val="auto"/>
              </w:rPr>
              <w:t>Amount of Final Payment ($)</w:t>
            </w:r>
          </w:p>
        </w:tc>
      </w:tr>
      <w:tr>
        <w:trPr>
          <w:trHeight w:val="192"/>
        </w:trPr>
        <w:tc>
          <w:tcPr>
            <w:tcW w:w="31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3140" w:type="dxa"/>
            <w:vAlign w:val="bottom"/>
            <w:tcBorders>
              <w:bottom w:val="single" w:sz="8" w:color="D9D9D9"/>
            </w:tcBorders>
          </w:tcPr>
          <w:p>
            <w:pPr>
              <w:jc w:val="right"/>
              <w:ind w:right="441"/>
              <w:spacing w:after="0" w:line="188" w:lineRule="exact"/>
              <w:rPr>
                <w:sz w:val="20"/>
                <w:szCs w:val="20"/>
                <w:color w:val="auto"/>
              </w:rPr>
            </w:pPr>
            <w:r>
              <w:rPr>
                <w:rFonts w:ascii="Arial" w:cs="Arial" w:eastAsia="Arial" w:hAnsi="Arial"/>
                <w:sz w:val="17"/>
                <w:szCs w:val="17"/>
                <w:color w:val="auto"/>
              </w:rPr>
              <w:t>525,326</w:t>
            </w:r>
          </w:p>
        </w:tc>
        <w:tc>
          <w:tcPr>
            <w:tcW w:w="1400" w:type="dxa"/>
            <w:vAlign w:val="bottom"/>
            <w:tcBorders>
              <w:bottom w:val="single" w:sz="8" w:color="D9D9D9"/>
            </w:tcBorders>
          </w:tcPr>
          <w:p>
            <w:pPr>
              <w:jc w:val="right"/>
              <w:ind w:right="141"/>
              <w:spacing w:after="0" w:line="188" w:lineRule="exact"/>
              <w:rPr>
                <w:sz w:val="20"/>
                <w:szCs w:val="20"/>
                <w:color w:val="auto"/>
              </w:rPr>
            </w:pPr>
            <w:r>
              <w:rPr>
                <w:rFonts w:ascii="Arial" w:cs="Arial" w:eastAsia="Arial" w:hAnsi="Arial"/>
                <w:sz w:val="17"/>
                <w:szCs w:val="17"/>
                <w:color w:val="auto"/>
              </w:rPr>
              <w:t>200</w:t>
            </w:r>
          </w:p>
        </w:tc>
        <w:tc>
          <w:tcPr>
            <w:tcW w:w="2220" w:type="dxa"/>
            <w:vAlign w:val="bottom"/>
            <w:tcBorders>
              <w:bottom w:val="single" w:sz="8" w:color="D9D9D9"/>
            </w:tcBorders>
          </w:tcPr>
          <w:p>
            <w:pPr>
              <w:jc w:val="right"/>
              <w:ind w:right="120"/>
              <w:spacing w:after="0" w:line="188" w:lineRule="exact"/>
              <w:rPr>
                <w:sz w:val="20"/>
                <w:szCs w:val="20"/>
                <w:color w:val="auto"/>
              </w:rPr>
            </w:pPr>
            <w:r>
              <w:rPr>
                <w:rFonts w:ascii="Arial" w:cs="Arial" w:eastAsia="Arial" w:hAnsi="Arial"/>
                <w:sz w:val="17"/>
                <w:szCs w:val="17"/>
                <w:color w:val="auto"/>
              </w:rPr>
              <w:t>1,050,652</w:t>
            </w:r>
          </w:p>
        </w:tc>
      </w:tr>
      <w:tr>
        <w:trPr>
          <w:trHeight w:val="192"/>
        </w:trPr>
        <w:tc>
          <w:tcPr>
            <w:tcW w:w="31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3140" w:type="dxa"/>
            <w:vAlign w:val="bottom"/>
            <w:tcBorders>
              <w:bottom w:val="single" w:sz="8" w:color="D9D9D9"/>
            </w:tcBorders>
          </w:tcPr>
          <w:p>
            <w:pPr>
              <w:jc w:val="right"/>
              <w:ind w:right="441"/>
              <w:spacing w:after="0" w:line="188" w:lineRule="exact"/>
              <w:rPr>
                <w:sz w:val="20"/>
                <w:szCs w:val="20"/>
                <w:color w:val="auto"/>
              </w:rPr>
            </w:pPr>
            <w:r>
              <w:rPr>
                <w:rFonts w:ascii="Arial" w:cs="Arial" w:eastAsia="Arial" w:hAnsi="Arial"/>
                <w:sz w:val="17"/>
                <w:szCs w:val="17"/>
                <w:color w:val="auto"/>
              </w:rPr>
              <w:t>236,250</w:t>
            </w:r>
          </w:p>
        </w:tc>
        <w:tc>
          <w:tcPr>
            <w:tcW w:w="1400" w:type="dxa"/>
            <w:vAlign w:val="bottom"/>
            <w:tcBorders>
              <w:bottom w:val="single" w:sz="8" w:color="D9D9D9"/>
            </w:tcBorders>
          </w:tcPr>
          <w:p>
            <w:pPr>
              <w:jc w:val="right"/>
              <w:ind w:right="141"/>
              <w:spacing w:after="0" w:line="188" w:lineRule="exact"/>
              <w:rPr>
                <w:sz w:val="20"/>
                <w:szCs w:val="20"/>
                <w:color w:val="auto"/>
              </w:rPr>
            </w:pPr>
            <w:r>
              <w:rPr>
                <w:rFonts w:ascii="Arial" w:cs="Arial" w:eastAsia="Arial" w:hAnsi="Arial"/>
                <w:sz w:val="17"/>
                <w:szCs w:val="17"/>
                <w:color w:val="auto"/>
              </w:rPr>
              <w:t>200</w:t>
            </w:r>
          </w:p>
        </w:tc>
        <w:tc>
          <w:tcPr>
            <w:tcW w:w="2220" w:type="dxa"/>
            <w:vAlign w:val="bottom"/>
            <w:tcBorders>
              <w:bottom w:val="single" w:sz="8" w:color="D9D9D9"/>
            </w:tcBorders>
          </w:tcPr>
          <w:p>
            <w:pPr>
              <w:jc w:val="right"/>
              <w:ind w:right="120"/>
              <w:spacing w:after="0" w:line="188" w:lineRule="exact"/>
              <w:rPr>
                <w:sz w:val="20"/>
                <w:szCs w:val="20"/>
                <w:color w:val="auto"/>
              </w:rPr>
            </w:pPr>
            <w:r>
              <w:rPr>
                <w:rFonts w:ascii="Arial" w:cs="Arial" w:eastAsia="Arial" w:hAnsi="Arial"/>
                <w:sz w:val="17"/>
                <w:szCs w:val="17"/>
                <w:color w:val="auto"/>
              </w:rPr>
              <w:t>472,500</w:t>
            </w:r>
          </w:p>
        </w:tc>
      </w:tr>
      <w:tr>
        <w:trPr>
          <w:trHeight w:val="187"/>
        </w:trPr>
        <w:tc>
          <w:tcPr>
            <w:tcW w:w="316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3140" w:type="dxa"/>
            <w:vAlign w:val="bottom"/>
            <w:tcBorders>
              <w:bottom w:val="single" w:sz="8" w:color="405788"/>
            </w:tcBorders>
          </w:tcPr>
          <w:p>
            <w:pPr>
              <w:jc w:val="right"/>
              <w:ind w:right="441"/>
              <w:spacing w:after="0" w:line="188" w:lineRule="exact"/>
              <w:rPr>
                <w:sz w:val="20"/>
                <w:szCs w:val="20"/>
                <w:color w:val="auto"/>
              </w:rPr>
            </w:pPr>
            <w:r>
              <w:rPr>
                <w:rFonts w:ascii="Arial" w:cs="Arial" w:eastAsia="Arial" w:hAnsi="Arial"/>
                <w:sz w:val="17"/>
                <w:szCs w:val="17"/>
                <w:color w:val="auto"/>
              </w:rPr>
              <w:t>183,750</w:t>
            </w:r>
          </w:p>
        </w:tc>
        <w:tc>
          <w:tcPr>
            <w:tcW w:w="1400" w:type="dxa"/>
            <w:vAlign w:val="bottom"/>
            <w:tcBorders>
              <w:bottom w:val="single" w:sz="8" w:color="405788"/>
            </w:tcBorders>
          </w:tcPr>
          <w:p>
            <w:pPr>
              <w:jc w:val="right"/>
              <w:ind w:right="141"/>
              <w:spacing w:after="0" w:line="188" w:lineRule="exact"/>
              <w:rPr>
                <w:sz w:val="20"/>
                <w:szCs w:val="20"/>
                <w:color w:val="auto"/>
              </w:rPr>
            </w:pPr>
            <w:r>
              <w:rPr>
                <w:rFonts w:ascii="Arial" w:cs="Arial" w:eastAsia="Arial" w:hAnsi="Arial"/>
                <w:sz w:val="17"/>
                <w:szCs w:val="17"/>
                <w:color w:val="auto"/>
              </w:rPr>
              <w:t>200</w:t>
            </w:r>
          </w:p>
        </w:tc>
        <w:tc>
          <w:tcPr>
            <w:tcW w:w="2220" w:type="dxa"/>
            <w:vAlign w:val="bottom"/>
            <w:tcBorders>
              <w:bottom w:val="single" w:sz="8" w:color="405788"/>
            </w:tcBorders>
          </w:tcPr>
          <w:p>
            <w:pPr>
              <w:jc w:val="right"/>
              <w:ind w:right="120"/>
              <w:spacing w:after="0" w:line="188" w:lineRule="exact"/>
              <w:rPr>
                <w:sz w:val="20"/>
                <w:szCs w:val="20"/>
                <w:color w:val="auto"/>
              </w:rPr>
            </w:pPr>
            <w:r>
              <w:rPr>
                <w:rFonts w:ascii="Arial" w:cs="Arial" w:eastAsia="Arial" w:hAnsi="Arial"/>
                <w:sz w:val="17"/>
                <w:szCs w:val="17"/>
                <w:color w:val="auto"/>
              </w:rPr>
              <w:t>367,500</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Equity Compensation</w:t>
      </w:r>
    </w:p>
    <w:p>
      <w:pPr>
        <w:spacing w:after="0" w:line="9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Our Compensation Committee believes that granting stock-based awards on an annual basis provides our executive officers with a strong economic interest in maximizing stockholder returns over the longer term and is important in retaining and recruiting the key talent necessary to ensure our Company’s continued success. As a result, our equity compensation programs have been designed to promote the long-term financial interests and growth of our Company by: (i) helping attract and retain management with the ability to contribute to the success of the business; (ii) providing an opportunity for increased equity ownership by our executive officers and (iii) maintaining competitive levels of total compensation.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 Annual Equity Grants</w:t>
      </w:r>
    </w:p>
    <w:p>
      <w:pPr>
        <w:spacing w:after="0" w:line="90"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Our 2023 annual grants consisted of RSUs that vest over time based on continued employment and PRSUs that vest only to the extent our Company attains the performance goals established by our Compensation Committee. To the extent stock units vest, the recipient receives one share of our common stock for each vested stock unit and an amount in cash equal to the dividends, if any, that would have been paid on the underlying common stock since the date of the stock unit grant.</w:t>
      </w:r>
    </w:p>
    <w:p>
      <w:pPr>
        <w:spacing w:after="0" w:line="7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For 2023, the value of the total stock units awarded to each named executive officer serving at the beginning of the year was based on a fixed dollar amount determined by our Compensation Committee with Meridian’s guidance. To determine the number of stock units then granted to each NEO, we divided the target value of the NEO’s award by $13.99, the closing stock price on the date of grant. We then divide such number of stock units between RSUs and PRSUs based on the proportion approved by the Compensation Committee for each NEO, reflected in the table below.</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840" w:type="dxa"/>
            <w:vAlign w:val="bottom"/>
            <w:tcBorders>
              <w:bottom w:val="single" w:sz="8" w:color="405788"/>
            </w:tcBorders>
          </w:tcPr>
          <w:p>
            <w:pPr>
              <w:spacing w:after="0"/>
              <w:rPr>
                <w:sz w:val="14"/>
                <w:szCs w:val="14"/>
                <w:color w:val="auto"/>
              </w:rPr>
            </w:pPr>
          </w:p>
        </w:tc>
        <w:tc>
          <w:tcPr>
            <w:tcW w:w="2480" w:type="dxa"/>
            <w:vAlign w:val="bottom"/>
            <w:tcBorders>
              <w:bottom w:val="single" w:sz="8" w:color="405788"/>
            </w:tcBorders>
          </w:tcPr>
          <w:p>
            <w:pPr>
              <w:jc w:val="center"/>
              <w:ind w:left="40"/>
              <w:spacing w:after="0"/>
              <w:rPr>
                <w:sz w:val="20"/>
                <w:szCs w:val="20"/>
                <w:color w:val="auto"/>
              </w:rPr>
            </w:pPr>
            <w:r>
              <w:rPr>
                <w:rFonts w:ascii="Arial" w:cs="Arial" w:eastAsia="Arial" w:hAnsi="Arial"/>
                <w:sz w:val="13"/>
                <w:szCs w:val="13"/>
                <w:b w:val="1"/>
                <w:bCs w:val="1"/>
                <w:color w:val="auto"/>
              </w:rPr>
              <w:t>Todd Gleason</w:t>
            </w:r>
          </w:p>
        </w:tc>
        <w:tc>
          <w:tcPr>
            <w:tcW w:w="2360" w:type="dxa"/>
            <w:vAlign w:val="bottom"/>
            <w:tcBorders>
              <w:bottom w:val="single" w:sz="8" w:color="405788"/>
            </w:tcBorders>
          </w:tcPr>
          <w:p>
            <w:pPr>
              <w:jc w:val="center"/>
              <w:spacing w:after="0"/>
              <w:rPr>
                <w:sz w:val="20"/>
                <w:szCs w:val="20"/>
                <w:color w:val="auto"/>
              </w:rPr>
            </w:pPr>
            <w:r>
              <w:rPr>
                <w:rFonts w:ascii="Arial" w:cs="Arial" w:eastAsia="Arial" w:hAnsi="Arial"/>
                <w:sz w:val="13"/>
                <w:szCs w:val="13"/>
                <w:b w:val="1"/>
                <w:bCs w:val="1"/>
                <w:color w:val="auto"/>
              </w:rPr>
              <w:t>Peter Johansson</w:t>
            </w:r>
          </w:p>
        </w:tc>
        <w:tc>
          <w:tcPr>
            <w:tcW w:w="2240" w:type="dxa"/>
            <w:vAlign w:val="bottom"/>
            <w:tcBorders>
              <w:bottom w:val="single" w:sz="8" w:color="405788"/>
            </w:tcBorders>
          </w:tcPr>
          <w:p>
            <w:pPr>
              <w:jc w:val="center"/>
              <w:ind w:left="40"/>
              <w:spacing w:after="0"/>
              <w:rPr>
                <w:sz w:val="20"/>
                <w:szCs w:val="20"/>
                <w:color w:val="auto"/>
              </w:rPr>
            </w:pPr>
            <w:r>
              <w:rPr>
                <w:rFonts w:ascii="Arial" w:cs="Arial" w:eastAsia="Arial" w:hAnsi="Arial"/>
                <w:sz w:val="13"/>
                <w:szCs w:val="13"/>
                <w:b w:val="1"/>
                <w:bCs w:val="1"/>
                <w:color w:val="auto"/>
              </w:rPr>
              <w:t>Lynn Watkins-Asiyanbi</w:t>
            </w:r>
          </w:p>
        </w:tc>
      </w:tr>
      <w:tr>
        <w:trPr>
          <w:trHeight w:val="192"/>
        </w:trPr>
        <w:tc>
          <w:tcPr>
            <w:tcW w:w="284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4"/>
              </w:rPr>
              <w:t>Target LTI ($)</w:t>
            </w:r>
          </w:p>
        </w:tc>
        <w:tc>
          <w:tcPr>
            <w:tcW w:w="2480" w:type="dxa"/>
            <w:vAlign w:val="bottom"/>
            <w:tcBorders>
              <w:bottom w:val="single" w:sz="8" w:color="D9D9D9"/>
            </w:tcBorders>
          </w:tcPr>
          <w:p>
            <w:pPr>
              <w:jc w:val="center"/>
              <w:ind w:left="20"/>
              <w:spacing w:after="0" w:line="188" w:lineRule="exact"/>
              <w:rPr>
                <w:sz w:val="20"/>
                <w:szCs w:val="20"/>
                <w:color w:val="auto"/>
              </w:rPr>
            </w:pPr>
            <w:r>
              <w:rPr>
                <w:rFonts w:ascii="Arial" w:cs="Arial" w:eastAsia="Arial" w:hAnsi="Arial"/>
                <w:sz w:val="17"/>
                <w:szCs w:val="17"/>
                <w:color w:val="auto"/>
                <w:w w:val="96"/>
              </w:rPr>
              <w:t>$1,000,000</w:t>
            </w:r>
          </w:p>
        </w:tc>
        <w:tc>
          <w:tcPr>
            <w:tcW w:w="236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8"/>
              </w:rPr>
              <w:t>$300,000</w:t>
            </w:r>
          </w:p>
        </w:tc>
        <w:tc>
          <w:tcPr>
            <w:tcW w:w="2240" w:type="dxa"/>
            <w:vAlign w:val="bottom"/>
            <w:tcBorders>
              <w:bottom w:val="single" w:sz="8" w:color="D9D9D9"/>
            </w:tcBorders>
          </w:tcPr>
          <w:p>
            <w:pPr>
              <w:jc w:val="center"/>
              <w:ind w:left="40"/>
              <w:spacing w:after="0" w:line="188" w:lineRule="exact"/>
              <w:rPr>
                <w:sz w:val="20"/>
                <w:szCs w:val="20"/>
                <w:color w:val="auto"/>
              </w:rPr>
            </w:pPr>
            <w:r>
              <w:rPr>
                <w:rFonts w:ascii="Arial" w:cs="Arial" w:eastAsia="Arial" w:hAnsi="Arial"/>
                <w:sz w:val="17"/>
                <w:szCs w:val="17"/>
                <w:color w:val="auto"/>
                <w:w w:val="95"/>
              </w:rPr>
              <w:t>$262,500</w:t>
            </w:r>
          </w:p>
        </w:tc>
      </w:tr>
      <w:tr>
        <w:trPr>
          <w:trHeight w:val="192"/>
        </w:trPr>
        <w:tc>
          <w:tcPr>
            <w:tcW w:w="284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7"/>
              </w:rPr>
              <w:t>Vehicle Split (%)</w:t>
            </w:r>
          </w:p>
        </w:tc>
        <w:tc>
          <w:tcPr>
            <w:tcW w:w="2480" w:type="dxa"/>
            <w:vAlign w:val="bottom"/>
            <w:tcBorders>
              <w:bottom w:val="single" w:sz="8" w:color="D9D9D9"/>
            </w:tcBorders>
          </w:tcPr>
          <w:p>
            <w:pPr>
              <w:jc w:val="center"/>
              <w:ind w:left="20"/>
              <w:spacing w:after="0" w:line="188" w:lineRule="exact"/>
              <w:rPr>
                <w:sz w:val="20"/>
                <w:szCs w:val="20"/>
                <w:color w:val="auto"/>
              </w:rPr>
            </w:pPr>
            <w:r>
              <w:rPr>
                <w:rFonts w:ascii="Arial" w:cs="Arial" w:eastAsia="Arial" w:hAnsi="Arial"/>
                <w:sz w:val="17"/>
                <w:szCs w:val="17"/>
                <w:color w:val="auto"/>
                <w:w w:val="97"/>
              </w:rPr>
              <w:t>70% PRSUs/30% RSUs</w:t>
            </w:r>
          </w:p>
        </w:tc>
        <w:tc>
          <w:tcPr>
            <w:tcW w:w="236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7"/>
              </w:rPr>
              <w:t>50% PRSUs/50% RSUs</w:t>
            </w:r>
          </w:p>
        </w:tc>
        <w:tc>
          <w:tcPr>
            <w:tcW w:w="2240" w:type="dxa"/>
            <w:vAlign w:val="bottom"/>
            <w:tcBorders>
              <w:bottom w:val="single" w:sz="8" w:color="D9D9D9"/>
            </w:tcBorders>
          </w:tcPr>
          <w:p>
            <w:pPr>
              <w:jc w:val="center"/>
              <w:ind w:left="40"/>
              <w:spacing w:after="0" w:line="188" w:lineRule="exact"/>
              <w:rPr>
                <w:sz w:val="20"/>
                <w:szCs w:val="20"/>
                <w:color w:val="auto"/>
              </w:rPr>
            </w:pPr>
            <w:r>
              <w:rPr>
                <w:rFonts w:ascii="Arial" w:cs="Arial" w:eastAsia="Arial" w:hAnsi="Arial"/>
                <w:sz w:val="17"/>
                <w:szCs w:val="17"/>
                <w:color w:val="auto"/>
                <w:w w:val="98"/>
              </w:rPr>
              <w:t>50% PRSUs/ 50%RSUs</w:t>
            </w:r>
          </w:p>
        </w:tc>
      </w:tr>
      <w:tr>
        <w:trPr>
          <w:trHeight w:val="192"/>
        </w:trPr>
        <w:tc>
          <w:tcPr>
            <w:tcW w:w="284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8"/>
              </w:rPr>
              <w:t># of RSUs Granted</w:t>
            </w:r>
          </w:p>
        </w:tc>
        <w:tc>
          <w:tcPr>
            <w:tcW w:w="2480" w:type="dxa"/>
            <w:vAlign w:val="bottom"/>
            <w:tcBorders>
              <w:bottom w:val="single" w:sz="8" w:color="D9D9D9"/>
            </w:tcBorders>
          </w:tcPr>
          <w:p>
            <w:pPr>
              <w:jc w:val="center"/>
              <w:ind w:left="20"/>
              <w:spacing w:after="0" w:line="188" w:lineRule="exact"/>
              <w:rPr>
                <w:sz w:val="20"/>
                <w:szCs w:val="20"/>
                <w:color w:val="auto"/>
              </w:rPr>
            </w:pPr>
            <w:r>
              <w:rPr>
                <w:rFonts w:ascii="Arial" w:cs="Arial" w:eastAsia="Arial" w:hAnsi="Arial"/>
                <w:sz w:val="17"/>
                <w:szCs w:val="17"/>
                <w:color w:val="auto"/>
                <w:w w:val="96"/>
              </w:rPr>
              <w:t>21,444</w:t>
            </w:r>
          </w:p>
        </w:tc>
        <w:tc>
          <w:tcPr>
            <w:tcW w:w="2360" w:type="dxa"/>
            <w:vAlign w:val="bottom"/>
            <w:tcBorders>
              <w:bottom w:val="single" w:sz="8" w:color="D9D9D9"/>
            </w:tcBorders>
          </w:tcPr>
          <w:p>
            <w:pPr>
              <w:jc w:val="center"/>
              <w:spacing w:after="0" w:line="188" w:lineRule="exact"/>
              <w:rPr>
                <w:sz w:val="20"/>
                <w:szCs w:val="20"/>
                <w:color w:val="auto"/>
              </w:rPr>
            </w:pPr>
            <w:r>
              <w:rPr>
                <w:rFonts w:ascii="Arial" w:cs="Arial" w:eastAsia="Arial" w:hAnsi="Arial"/>
                <w:sz w:val="17"/>
                <w:szCs w:val="17"/>
                <w:color w:val="auto"/>
                <w:w w:val="96"/>
              </w:rPr>
              <w:t>10,722</w:t>
            </w:r>
          </w:p>
        </w:tc>
        <w:tc>
          <w:tcPr>
            <w:tcW w:w="2240" w:type="dxa"/>
            <w:vAlign w:val="bottom"/>
            <w:tcBorders>
              <w:bottom w:val="single" w:sz="8" w:color="D9D9D9"/>
            </w:tcBorders>
          </w:tcPr>
          <w:p>
            <w:pPr>
              <w:jc w:val="center"/>
              <w:ind w:left="60"/>
              <w:spacing w:after="0" w:line="188" w:lineRule="exact"/>
              <w:rPr>
                <w:sz w:val="20"/>
                <w:szCs w:val="20"/>
                <w:color w:val="auto"/>
              </w:rPr>
            </w:pPr>
            <w:r>
              <w:rPr>
                <w:rFonts w:ascii="Arial" w:cs="Arial" w:eastAsia="Arial" w:hAnsi="Arial"/>
                <w:sz w:val="17"/>
                <w:szCs w:val="17"/>
                <w:color w:val="auto"/>
                <w:w w:val="98"/>
              </w:rPr>
              <w:t>9,382</w:t>
            </w:r>
          </w:p>
        </w:tc>
      </w:tr>
      <w:tr>
        <w:trPr>
          <w:trHeight w:val="187"/>
        </w:trPr>
        <w:tc>
          <w:tcPr>
            <w:tcW w:w="2840" w:type="dxa"/>
            <w:vAlign w:val="bottom"/>
            <w:tcBorders>
              <w:bottom w:val="single" w:sz="8" w:color="405788"/>
            </w:tcBorders>
          </w:tcPr>
          <w:p>
            <w:pPr>
              <w:jc w:val="center"/>
              <w:spacing w:after="0" w:line="188" w:lineRule="exact"/>
              <w:rPr>
                <w:sz w:val="20"/>
                <w:szCs w:val="20"/>
                <w:color w:val="auto"/>
              </w:rPr>
            </w:pPr>
            <w:r>
              <w:rPr>
                <w:rFonts w:ascii="Arial" w:cs="Arial" w:eastAsia="Arial" w:hAnsi="Arial"/>
                <w:sz w:val="17"/>
                <w:szCs w:val="17"/>
                <w:color w:val="auto"/>
                <w:w w:val="96"/>
              </w:rPr>
              <w:t>Target # of PRSUs Granted</w:t>
            </w:r>
          </w:p>
        </w:tc>
        <w:tc>
          <w:tcPr>
            <w:tcW w:w="2480" w:type="dxa"/>
            <w:vAlign w:val="bottom"/>
            <w:tcBorders>
              <w:bottom w:val="single" w:sz="8" w:color="405788"/>
            </w:tcBorders>
          </w:tcPr>
          <w:p>
            <w:pPr>
              <w:jc w:val="center"/>
              <w:ind w:left="20"/>
              <w:spacing w:after="0" w:line="188" w:lineRule="exact"/>
              <w:rPr>
                <w:sz w:val="20"/>
                <w:szCs w:val="20"/>
                <w:color w:val="auto"/>
              </w:rPr>
            </w:pPr>
            <w:r>
              <w:rPr>
                <w:rFonts w:ascii="Arial" w:cs="Arial" w:eastAsia="Arial" w:hAnsi="Arial"/>
                <w:sz w:val="17"/>
                <w:szCs w:val="17"/>
                <w:color w:val="auto"/>
                <w:w w:val="96"/>
              </w:rPr>
              <w:t>50,036</w:t>
            </w:r>
          </w:p>
        </w:tc>
        <w:tc>
          <w:tcPr>
            <w:tcW w:w="2360" w:type="dxa"/>
            <w:vAlign w:val="bottom"/>
            <w:tcBorders>
              <w:bottom w:val="single" w:sz="8" w:color="405788"/>
            </w:tcBorders>
          </w:tcPr>
          <w:p>
            <w:pPr>
              <w:jc w:val="center"/>
              <w:spacing w:after="0" w:line="188" w:lineRule="exact"/>
              <w:rPr>
                <w:sz w:val="20"/>
                <w:szCs w:val="20"/>
                <w:color w:val="auto"/>
              </w:rPr>
            </w:pPr>
            <w:r>
              <w:rPr>
                <w:rFonts w:ascii="Arial" w:cs="Arial" w:eastAsia="Arial" w:hAnsi="Arial"/>
                <w:sz w:val="17"/>
                <w:szCs w:val="17"/>
                <w:color w:val="auto"/>
                <w:w w:val="96"/>
              </w:rPr>
              <w:t>10,722</w:t>
            </w:r>
          </w:p>
        </w:tc>
        <w:tc>
          <w:tcPr>
            <w:tcW w:w="2240" w:type="dxa"/>
            <w:vAlign w:val="bottom"/>
            <w:tcBorders>
              <w:bottom w:val="single" w:sz="8" w:color="405788"/>
            </w:tcBorders>
          </w:tcPr>
          <w:p>
            <w:pPr>
              <w:jc w:val="center"/>
              <w:ind w:left="60"/>
              <w:spacing w:after="0" w:line="188" w:lineRule="exact"/>
              <w:rPr>
                <w:sz w:val="20"/>
                <w:szCs w:val="20"/>
                <w:color w:val="auto"/>
              </w:rPr>
            </w:pPr>
            <w:r>
              <w:rPr>
                <w:rFonts w:ascii="Arial" w:cs="Arial" w:eastAsia="Arial" w:hAnsi="Arial"/>
                <w:sz w:val="17"/>
                <w:szCs w:val="17"/>
                <w:color w:val="auto"/>
                <w:w w:val="98"/>
              </w:rPr>
              <w:t>9,382</w:t>
            </w:r>
          </w:p>
        </w:tc>
      </w:tr>
    </w:tbl>
    <w:p>
      <w:pPr>
        <w:spacing w:after="0" w:line="258" w:lineRule="exact"/>
        <w:rPr>
          <w:sz w:val="20"/>
          <w:szCs w:val="20"/>
          <w:color w:val="auto"/>
        </w:rPr>
      </w:pPr>
    </w:p>
    <w:p>
      <w:pPr>
        <w:jc w:val="both"/>
        <w:ind w:right="80"/>
        <w:spacing w:after="0" w:line="244" w:lineRule="auto"/>
        <w:rPr>
          <w:sz w:val="20"/>
          <w:szCs w:val="20"/>
          <w:color w:val="auto"/>
        </w:rPr>
      </w:pPr>
      <w:r>
        <w:rPr>
          <w:rFonts w:ascii="Arial" w:cs="Arial" w:eastAsia="Arial" w:hAnsi="Arial"/>
          <w:sz w:val="17"/>
          <w:szCs w:val="17"/>
          <w:color w:val="auto"/>
        </w:rPr>
        <w:t>The RSUs that were granted to the named executive officers in March 2023 vest in equal annual installments on each of the first four anniversaries of the grant date. All of the 2023 RSU awards granted to our named executive officers are shown in the “2023 Grants of Plan-Based Awards Table” below in this Proxy Statement.</w:t>
      </w:r>
    </w:p>
    <w:p>
      <w:pPr>
        <w:spacing w:after="0" w:line="4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PRSUs that we granted to the NEOs in March 2023 vest on March 15, 2026, to the extent our Company attains the Relative TSR (as defined below) goals for the performance period beginning on January 1, 2023, and ending on December 31, 2025, as established by our Compensation Committee. The Compensation Committee determined to use Relative TSR for the 2023 PRSU awards because this metric keeps the focus on creating value (i.e., alignment with shareholder interests) even in challenging times. The target number of PRSUs granted to each NEO and noted above can be earned from 0% to 150% of target levels based on actual performance.</w:t>
      </w:r>
    </w:p>
    <w:p>
      <w:pPr>
        <w:spacing w:after="0" w:line="160"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For purposes of the 2023 PRSU awards, Relative TSR is the percentile rank of the Company’s total shareholder return as compared to the total shareholder returns of all members of a designated peer group at the end of the relevant performance period. “Total shareholder return” is a rate of return reflecting stock price appreciation, plus the reinvestment of dividends in additional shares of stock (with appropriate adjustments for certain changes in capital structure), from the beginning of the performance period through the end of the performance period, where (1) the beginning stock price is based on the average closing stock price for the twenty (20) calendar days preceding January 1, 2023 and (2) the ending stock price is based on the average closing stock price for the twenty (20) calendar days preceding and including the last day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175895</wp:posOffset>
            </wp:positionV>
            <wp:extent cx="483870" cy="2222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30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For purposes of calculating Relative TSR, the relevant peer group is 104 publicly traded companies that, at the time of selection by the Compensation Committee, were U.S. companies classified in the Materials or Industrials sector with a market capitalization from $200 million to $ 800 million and revenue greater than $100 million. The list of Relative TSR peer companies is included with this Proxy Statement as Appendix 2. The peer group is subject to adjustment in the event of certain significant events that occur with respect to a peer company, including bankruptcy, delisting, liquidation, certain acquisitions, or “going private” transactions.</w:t>
      </w:r>
    </w:p>
    <w:p>
      <w:pPr>
        <w:spacing w:after="0" w:line="47"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The target PRSUs are divided into three equal tranches. Each one-third tranche has a specific "Performance Period" from January 1, 2023, until December 31 of each “Performance Period” as outlined in the table below. All three tranches vest on March 15, 2026, based on achievement of relative TSR during the applicable Performance Period and generally contingent on the NEO’s continued employment through such vesting date.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4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80" w:type="dxa"/>
            <w:vAlign w:val="bottom"/>
          </w:tcPr>
          <w:p>
            <w:pPr>
              <w:jc w:val="center"/>
              <w:ind w:right="65"/>
              <w:spacing w:after="0"/>
              <w:rPr>
                <w:sz w:val="20"/>
                <w:szCs w:val="20"/>
                <w:color w:val="auto"/>
              </w:rPr>
            </w:pPr>
            <w:r>
              <w:rPr>
                <w:rFonts w:ascii="Arial" w:cs="Arial" w:eastAsia="Arial" w:hAnsi="Arial"/>
                <w:sz w:val="13"/>
                <w:szCs w:val="13"/>
                <w:b w:val="1"/>
                <w:bCs w:val="1"/>
                <w:color w:val="auto"/>
              </w:rPr>
              <w:t>Performance</w:t>
            </w:r>
          </w:p>
        </w:tc>
        <w:tc>
          <w:tcPr>
            <w:tcW w:w="1660" w:type="dxa"/>
            <w:vAlign w:val="bottom"/>
          </w:tcPr>
          <w:p>
            <w:pPr>
              <w:ind w:left="320"/>
              <w:spacing w:after="0"/>
              <w:rPr>
                <w:sz w:val="20"/>
                <w:szCs w:val="20"/>
                <w:color w:val="auto"/>
              </w:rPr>
            </w:pPr>
            <w:r>
              <w:rPr>
                <w:rFonts w:ascii="Arial" w:cs="Arial" w:eastAsia="Arial" w:hAnsi="Arial"/>
                <w:sz w:val="13"/>
                <w:szCs w:val="13"/>
                <w:b w:val="1"/>
                <w:bCs w:val="1"/>
                <w:color w:val="auto"/>
              </w:rPr>
              <w:t>Performance</w:t>
            </w:r>
          </w:p>
        </w:tc>
        <w:tc>
          <w:tcPr>
            <w:tcW w:w="1500" w:type="dxa"/>
            <w:vAlign w:val="bottom"/>
          </w:tcPr>
          <w:p>
            <w:pPr>
              <w:spacing w:after="0"/>
              <w:rPr>
                <w:sz w:val="13"/>
                <w:szCs w:val="13"/>
                <w:color w:val="auto"/>
              </w:rPr>
            </w:pPr>
          </w:p>
        </w:tc>
      </w:tr>
      <w:tr>
        <w:trPr>
          <w:trHeight w:val="150"/>
        </w:trPr>
        <w:tc>
          <w:tcPr>
            <w:tcW w:w="34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80" w:type="dxa"/>
            <w:vAlign w:val="bottom"/>
          </w:tcPr>
          <w:p>
            <w:pPr>
              <w:jc w:val="center"/>
              <w:ind w:right="65"/>
              <w:spacing w:after="0"/>
              <w:rPr>
                <w:sz w:val="20"/>
                <w:szCs w:val="20"/>
                <w:color w:val="auto"/>
              </w:rPr>
            </w:pPr>
            <w:r>
              <w:rPr>
                <w:rFonts w:ascii="Arial" w:cs="Arial" w:eastAsia="Arial" w:hAnsi="Arial"/>
                <w:sz w:val="13"/>
                <w:szCs w:val="13"/>
                <w:b w:val="1"/>
                <w:bCs w:val="1"/>
                <w:color w:val="auto"/>
              </w:rPr>
              <w:t>Period</w:t>
            </w:r>
          </w:p>
        </w:tc>
        <w:tc>
          <w:tcPr>
            <w:tcW w:w="1660" w:type="dxa"/>
            <w:vAlign w:val="bottom"/>
          </w:tcPr>
          <w:p>
            <w:pPr>
              <w:ind w:left="520"/>
              <w:spacing w:after="0"/>
              <w:rPr>
                <w:sz w:val="20"/>
                <w:szCs w:val="20"/>
                <w:color w:val="auto"/>
              </w:rPr>
            </w:pPr>
            <w:r>
              <w:rPr>
                <w:rFonts w:ascii="Arial" w:cs="Arial" w:eastAsia="Arial" w:hAnsi="Arial"/>
                <w:sz w:val="13"/>
                <w:szCs w:val="13"/>
                <w:b w:val="1"/>
                <w:bCs w:val="1"/>
                <w:color w:val="auto"/>
              </w:rPr>
              <w:t>Period</w:t>
            </w:r>
          </w:p>
        </w:tc>
        <w:tc>
          <w:tcPr>
            <w:tcW w:w="1500" w:type="dxa"/>
            <w:vAlign w:val="bottom"/>
          </w:tcPr>
          <w:p>
            <w:pPr>
              <w:spacing w:after="0"/>
              <w:rPr>
                <w:sz w:val="13"/>
                <w:szCs w:val="13"/>
                <w:color w:val="auto"/>
              </w:rPr>
            </w:pPr>
          </w:p>
        </w:tc>
      </w:tr>
      <w:tr>
        <w:trPr>
          <w:trHeight w:val="163"/>
        </w:trPr>
        <w:tc>
          <w:tcPr>
            <w:tcW w:w="3420" w:type="dxa"/>
            <w:vAlign w:val="bottom"/>
            <w:tcBorders>
              <w:bottom w:val="single" w:sz="8" w:color="405788"/>
            </w:tcBorders>
          </w:tcPr>
          <w:p>
            <w:pPr>
              <w:jc w:val="center"/>
              <w:ind w:left="81"/>
              <w:spacing w:after="0"/>
              <w:rPr>
                <w:sz w:val="20"/>
                <w:szCs w:val="20"/>
                <w:color w:val="auto"/>
              </w:rPr>
            </w:pPr>
            <w:r>
              <w:rPr>
                <w:rFonts w:ascii="Arial" w:cs="Arial" w:eastAsia="Arial" w:hAnsi="Arial"/>
                <w:sz w:val="13"/>
                <w:szCs w:val="13"/>
                <w:b w:val="1"/>
                <w:bCs w:val="1"/>
                <w:color w:val="auto"/>
              </w:rPr>
              <w:t>Performance Period</w:t>
            </w:r>
          </w:p>
        </w:tc>
        <w:tc>
          <w:tcPr>
            <w:tcW w:w="1660" w:type="dxa"/>
            <w:vAlign w:val="bottom"/>
            <w:tcBorders>
              <w:bottom w:val="single" w:sz="8" w:color="405788"/>
            </w:tcBorders>
          </w:tcPr>
          <w:p>
            <w:pPr>
              <w:jc w:val="center"/>
              <w:ind w:left="181"/>
              <w:spacing w:after="0"/>
              <w:rPr>
                <w:sz w:val="20"/>
                <w:szCs w:val="20"/>
                <w:color w:val="auto"/>
              </w:rPr>
            </w:pPr>
            <w:r>
              <w:rPr>
                <w:rFonts w:ascii="Arial" w:cs="Arial" w:eastAsia="Arial" w:hAnsi="Arial"/>
                <w:sz w:val="13"/>
                <w:szCs w:val="13"/>
                <w:b w:val="1"/>
                <w:bCs w:val="1"/>
                <w:color w:val="auto"/>
              </w:rPr>
              <w:t>Weighting</w:t>
            </w:r>
          </w:p>
        </w:tc>
        <w:tc>
          <w:tcPr>
            <w:tcW w:w="1680" w:type="dxa"/>
            <w:vAlign w:val="bottom"/>
            <w:tcBorders>
              <w:bottom w:val="single" w:sz="8" w:color="405788"/>
            </w:tcBorders>
          </w:tcPr>
          <w:p>
            <w:pPr>
              <w:jc w:val="center"/>
              <w:ind w:right="65"/>
              <w:spacing w:after="0"/>
              <w:rPr>
                <w:sz w:val="20"/>
                <w:szCs w:val="20"/>
                <w:color w:val="auto"/>
              </w:rPr>
            </w:pPr>
            <w:r>
              <w:rPr>
                <w:rFonts w:ascii="Arial" w:cs="Arial" w:eastAsia="Arial" w:hAnsi="Arial"/>
                <w:sz w:val="13"/>
                <w:szCs w:val="13"/>
                <w:b w:val="1"/>
                <w:bCs w:val="1"/>
                <w:color w:val="auto"/>
              </w:rPr>
              <w:t>Beginning</w:t>
            </w:r>
          </w:p>
        </w:tc>
        <w:tc>
          <w:tcPr>
            <w:tcW w:w="1660" w:type="dxa"/>
            <w:vAlign w:val="bottom"/>
            <w:tcBorders>
              <w:bottom w:val="single" w:sz="8" w:color="405788"/>
            </w:tcBorders>
          </w:tcPr>
          <w:p>
            <w:pPr>
              <w:ind w:left="500"/>
              <w:spacing w:after="0"/>
              <w:rPr>
                <w:sz w:val="20"/>
                <w:szCs w:val="20"/>
                <w:color w:val="auto"/>
              </w:rPr>
            </w:pPr>
            <w:r>
              <w:rPr>
                <w:rFonts w:ascii="Arial" w:cs="Arial" w:eastAsia="Arial" w:hAnsi="Arial"/>
                <w:sz w:val="13"/>
                <w:szCs w:val="13"/>
                <w:b w:val="1"/>
                <w:bCs w:val="1"/>
                <w:color w:val="auto"/>
              </w:rPr>
              <w:t>Ending</w:t>
            </w:r>
          </w:p>
        </w:tc>
        <w:tc>
          <w:tcPr>
            <w:tcW w:w="1500" w:type="dxa"/>
            <w:vAlign w:val="bottom"/>
            <w:tcBorders>
              <w:bottom w:val="single" w:sz="8" w:color="405788"/>
            </w:tcBorders>
          </w:tcPr>
          <w:p>
            <w:pPr>
              <w:jc w:val="right"/>
              <w:ind w:right="301"/>
              <w:spacing w:after="0"/>
              <w:rPr>
                <w:sz w:val="20"/>
                <w:szCs w:val="20"/>
                <w:color w:val="auto"/>
              </w:rPr>
            </w:pPr>
            <w:r>
              <w:rPr>
                <w:rFonts w:ascii="Arial" w:cs="Arial" w:eastAsia="Arial" w:hAnsi="Arial"/>
                <w:sz w:val="13"/>
                <w:szCs w:val="13"/>
                <w:b w:val="1"/>
                <w:bCs w:val="1"/>
                <w:color w:val="auto"/>
              </w:rPr>
              <w:t>Vesting Date</w:t>
            </w:r>
          </w:p>
        </w:tc>
      </w:tr>
      <w:tr>
        <w:trPr>
          <w:trHeight w:val="192"/>
        </w:trPr>
        <w:tc>
          <w:tcPr>
            <w:tcW w:w="3420" w:type="dxa"/>
            <w:vAlign w:val="bottom"/>
            <w:tcBorders>
              <w:bottom w:val="single" w:sz="8" w:color="D9D9D9"/>
            </w:tcBorders>
          </w:tcPr>
          <w:p>
            <w:pPr>
              <w:jc w:val="center"/>
              <w:ind w:left="61"/>
              <w:spacing w:after="0" w:line="188" w:lineRule="exact"/>
              <w:rPr>
                <w:sz w:val="20"/>
                <w:szCs w:val="20"/>
                <w:color w:val="auto"/>
              </w:rPr>
            </w:pPr>
            <w:r>
              <w:rPr>
                <w:rFonts w:ascii="Arial" w:cs="Arial" w:eastAsia="Arial" w:hAnsi="Arial"/>
                <w:sz w:val="17"/>
                <w:szCs w:val="17"/>
                <w:b w:val="1"/>
                <w:bCs w:val="1"/>
                <w:color w:val="auto"/>
                <w:w w:val="97"/>
              </w:rPr>
              <w:t>1-Year TSR Measurement</w:t>
            </w:r>
          </w:p>
        </w:tc>
        <w:tc>
          <w:tcPr>
            <w:tcW w:w="1660" w:type="dxa"/>
            <w:vAlign w:val="bottom"/>
            <w:tcBorders>
              <w:bottom w:val="single" w:sz="8" w:color="D9D9D9"/>
            </w:tcBorders>
          </w:tcPr>
          <w:p>
            <w:pPr>
              <w:jc w:val="center"/>
              <w:ind w:left="201"/>
              <w:spacing w:after="0" w:line="188" w:lineRule="exact"/>
              <w:rPr>
                <w:sz w:val="20"/>
                <w:szCs w:val="20"/>
                <w:color w:val="auto"/>
              </w:rPr>
            </w:pPr>
            <w:r>
              <w:rPr>
                <w:rFonts w:ascii="Arial" w:cs="Arial" w:eastAsia="Arial" w:hAnsi="Arial"/>
                <w:sz w:val="17"/>
                <w:szCs w:val="17"/>
                <w:color w:val="auto"/>
                <w:w w:val="92"/>
              </w:rPr>
              <w:t>1/3</w:t>
            </w:r>
          </w:p>
        </w:tc>
        <w:tc>
          <w:tcPr>
            <w:tcW w:w="1680" w:type="dxa"/>
            <w:vAlign w:val="bottom"/>
            <w:tcBorders>
              <w:bottom w:val="single" w:sz="8" w:color="D9D9D9"/>
            </w:tcBorders>
          </w:tcPr>
          <w:p>
            <w:pPr>
              <w:jc w:val="right"/>
              <w:ind w:right="225"/>
              <w:spacing w:after="0" w:line="188" w:lineRule="exact"/>
              <w:rPr>
                <w:sz w:val="20"/>
                <w:szCs w:val="20"/>
                <w:color w:val="auto"/>
              </w:rPr>
            </w:pPr>
            <w:r>
              <w:rPr>
                <w:rFonts w:ascii="Arial" w:cs="Arial" w:eastAsia="Arial" w:hAnsi="Arial"/>
                <w:sz w:val="17"/>
                <w:szCs w:val="17"/>
                <w:color w:val="auto"/>
              </w:rPr>
              <w:t>1/1/2023</w:t>
            </w:r>
          </w:p>
        </w:tc>
        <w:tc>
          <w:tcPr>
            <w:tcW w:w="1660" w:type="dxa"/>
            <w:vAlign w:val="bottom"/>
            <w:tcBorders>
              <w:bottom w:val="single" w:sz="8" w:color="D9D9D9"/>
            </w:tcBorders>
          </w:tcPr>
          <w:p>
            <w:pPr>
              <w:ind w:left="520"/>
              <w:spacing w:after="0" w:line="188" w:lineRule="exact"/>
              <w:rPr>
                <w:sz w:val="20"/>
                <w:szCs w:val="20"/>
                <w:color w:val="auto"/>
              </w:rPr>
            </w:pPr>
            <w:r>
              <w:rPr>
                <w:rFonts w:ascii="Arial" w:cs="Arial" w:eastAsia="Arial" w:hAnsi="Arial"/>
                <w:sz w:val="17"/>
                <w:szCs w:val="17"/>
                <w:color w:val="auto"/>
              </w:rPr>
              <w:t>12/31/2023</w:t>
            </w:r>
          </w:p>
        </w:tc>
        <w:tc>
          <w:tcPr>
            <w:tcW w:w="1500" w:type="dxa"/>
            <w:vAlign w:val="bottom"/>
            <w:tcBorders>
              <w:bottom w:val="single" w:sz="8" w:color="D9D9D9"/>
            </w:tcBorders>
          </w:tcPr>
          <w:p>
            <w:pPr>
              <w:jc w:val="right"/>
              <w:ind w:right="81"/>
              <w:spacing w:after="0" w:line="188" w:lineRule="exact"/>
              <w:rPr>
                <w:sz w:val="20"/>
                <w:szCs w:val="20"/>
                <w:color w:val="auto"/>
              </w:rPr>
            </w:pPr>
            <w:r>
              <w:rPr>
                <w:rFonts w:ascii="Arial" w:cs="Arial" w:eastAsia="Arial" w:hAnsi="Arial"/>
                <w:sz w:val="17"/>
                <w:szCs w:val="17"/>
                <w:color w:val="auto"/>
              </w:rPr>
              <w:t>3/15/2026</w:t>
            </w:r>
          </w:p>
        </w:tc>
      </w:tr>
      <w:tr>
        <w:trPr>
          <w:trHeight w:val="192"/>
        </w:trPr>
        <w:tc>
          <w:tcPr>
            <w:tcW w:w="3420" w:type="dxa"/>
            <w:vAlign w:val="bottom"/>
            <w:tcBorders>
              <w:bottom w:val="single" w:sz="8" w:color="D9D9D9"/>
            </w:tcBorders>
          </w:tcPr>
          <w:p>
            <w:pPr>
              <w:jc w:val="center"/>
              <w:ind w:left="61"/>
              <w:spacing w:after="0" w:line="188" w:lineRule="exact"/>
              <w:rPr>
                <w:sz w:val="20"/>
                <w:szCs w:val="20"/>
                <w:color w:val="auto"/>
              </w:rPr>
            </w:pPr>
            <w:r>
              <w:rPr>
                <w:rFonts w:ascii="Arial" w:cs="Arial" w:eastAsia="Arial" w:hAnsi="Arial"/>
                <w:sz w:val="17"/>
                <w:szCs w:val="17"/>
                <w:b w:val="1"/>
                <w:bCs w:val="1"/>
                <w:color w:val="auto"/>
                <w:w w:val="97"/>
              </w:rPr>
              <w:t>2-Year TSR Measurement</w:t>
            </w:r>
          </w:p>
        </w:tc>
        <w:tc>
          <w:tcPr>
            <w:tcW w:w="1660" w:type="dxa"/>
            <w:vAlign w:val="bottom"/>
            <w:tcBorders>
              <w:bottom w:val="single" w:sz="8" w:color="D9D9D9"/>
            </w:tcBorders>
          </w:tcPr>
          <w:p>
            <w:pPr>
              <w:jc w:val="center"/>
              <w:ind w:left="201"/>
              <w:spacing w:after="0" w:line="188" w:lineRule="exact"/>
              <w:rPr>
                <w:sz w:val="20"/>
                <w:szCs w:val="20"/>
                <w:color w:val="auto"/>
              </w:rPr>
            </w:pPr>
            <w:r>
              <w:rPr>
                <w:rFonts w:ascii="Arial" w:cs="Arial" w:eastAsia="Arial" w:hAnsi="Arial"/>
                <w:sz w:val="17"/>
                <w:szCs w:val="17"/>
                <w:color w:val="auto"/>
                <w:w w:val="92"/>
              </w:rPr>
              <w:t>1/3</w:t>
            </w:r>
          </w:p>
        </w:tc>
        <w:tc>
          <w:tcPr>
            <w:tcW w:w="1680" w:type="dxa"/>
            <w:vAlign w:val="bottom"/>
            <w:tcBorders>
              <w:bottom w:val="single" w:sz="8" w:color="D9D9D9"/>
            </w:tcBorders>
          </w:tcPr>
          <w:p>
            <w:pPr>
              <w:jc w:val="right"/>
              <w:ind w:right="225"/>
              <w:spacing w:after="0" w:line="188" w:lineRule="exact"/>
              <w:rPr>
                <w:sz w:val="20"/>
                <w:szCs w:val="20"/>
                <w:color w:val="auto"/>
              </w:rPr>
            </w:pPr>
            <w:r>
              <w:rPr>
                <w:rFonts w:ascii="Arial" w:cs="Arial" w:eastAsia="Arial" w:hAnsi="Arial"/>
                <w:sz w:val="17"/>
                <w:szCs w:val="17"/>
                <w:color w:val="auto"/>
              </w:rPr>
              <w:t>1/1/2023</w:t>
            </w:r>
          </w:p>
        </w:tc>
        <w:tc>
          <w:tcPr>
            <w:tcW w:w="1660" w:type="dxa"/>
            <w:vAlign w:val="bottom"/>
            <w:tcBorders>
              <w:bottom w:val="single" w:sz="8" w:color="D9D9D9"/>
            </w:tcBorders>
          </w:tcPr>
          <w:p>
            <w:pPr>
              <w:ind w:left="520"/>
              <w:spacing w:after="0" w:line="188" w:lineRule="exact"/>
              <w:rPr>
                <w:sz w:val="20"/>
                <w:szCs w:val="20"/>
                <w:color w:val="auto"/>
              </w:rPr>
            </w:pPr>
            <w:r>
              <w:rPr>
                <w:rFonts w:ascii="Arial" w:cs="Arial" w:eastAsia="Arial" w:hAnsi="Arial"/>
                <w:sz w:val="17"/>
                <w:szCs w:val="17"/>
                <w:color w:val="auto"/>
              </w:rPr>
              <w:t>12/31/2024</w:t>
            </w:r>
          </w:p>
        </w:tc>
        <w:tc>
          <w:tcPr>
            <w:tcW w:w="1500" w:type="dxa"/>
            <w:vAlign w:val="bottom"/>
            <w:tcBorders>
              <w:bottom w:val="single" w:sz="8" w:color="D9D9D9"/>
            </w:tcBorders>
          </w:tcPr>
          <w:p>
            <w:pPr>
              <w:jc w:val="right"/>
              <w:ind w:right="81"/>
              <w:spacing w:after="0" w:line="188" w:lineRule="exact"/>
              <w:rPr>
                <w:sz w:val="20"/>
                <w:szCs w:val="20"/>
                <w:color w:val="auto"/>
              </w:rPr>
            </w:pPr>
            <w:r>
              <w:rPr>
                <w:rFonts w:ascii="Arial" w:cs="Arial" w:eastAsia="Arial" w:hAnsi="Arial"/>
                <w:sz w:val="17"/>
                <w:szCs w:val="17"/>
                <w:color w:val="auto"/>
              </w:rPr>
              <w:t>3/15/2026</w:t>
            </w:r>
          </w:p>
        </w:tc>
      </w:tr>
      <w:tr>
        <w:trPr>
          <w:trHeight w:val="187"/>
        </w:trPr>
        <w:tc>
          <w:tcPr>
            <w:tcW w:w="3420" w:type="dxa"/>
            <w:vAlign w:val="bottom"/>
            <w:tcBorders>
              <w:bottom w:val="single" w:sz="8" w:color="405788"/>
            </w:tcBorders>
          </w:tcPr>
          <w:p>
            <w:pPr>
              <w:jc w:val="center"/>
              <w:ind w:left="61"/>
              <w:spacing w:after="0" w:line="188" w:lineRule="exact"/>
              <w:rPr>
                <w:sz w:val="20"/>
                <w:szCs w:val="20"/>
                <w:color w:val="auto"/>
              </w:rPr>
            </w:pPr>
            <w:r>
              <w:rPr>
                <w:rFonts w:ascii="Arial" w:cs="Arial" w:eastAsia="Arial" w:hAnsi="Arial"/>
                <w:sz w:val="17"/>
                <w:szCs w:val="17"/>
                <w:b w:val="1"/>
                <w:bCs w:val="1"/>
                <w:color w:val="auto"/>
                <w:w w:val="97"/>
              </w:rPr>
              <w:t>3-Year TSR Measurement</w:t>
            </w:r>
          </w:p>
        </w:tc>
        <w:tc>
          <w:tcPr>
            <w:tcW w:w="1660" w:type="dxa"/>
            <w:vAlign w:val="bottom"/>
            <w:tcBorders>
              <w:bottom w:val="single" w:sz="8" w:color="405788"/>
            </w:tcBorders>
          </w:tcPr>
          <w:p>
            <w:pPr>
              <w:jc w:val="center"/>
              <w:ind w:left="201"/>
              <w:spacing w:after="0" w:line="188" w:lineRule="exact"/>
              <w:rPr>
                <w:sz w:val="20"/>
                <w:szCs w:val="20"/>
                <w:color w:val="auto"/>
              </w:rPr>
            </w:pPr>
            <w:r>
              <w:rPr>
                <w:rFonts w:ascii="Arial" w:cs="Arial" w:eastAsia="Arial" w:hAnsi="Arial"/>
                <w:sz w:val="17"/>
                <w:szCs w:val="17"/>
                <w:color w:val="auto"/>
                <w:w w:val="92"/>
              </w:rPr>
              <w:t>1/3</w:t>
            </w:r>
          </w:p>
        </w:tc>
        <w:tc>
          <w:tcPr>
            <w:tcW w:w="1680" w:type="dxa"/>
            <w:vAlign w:val="bottom"/>
            <w:tcBorders>
              <w:bottom w:val="single" w:sz="8" w:color="405788"/>
            </w:tcBorders>
          </w:tcPr>
          <w:p>
            <w:pPr>
              <w:jc w:val="right"/>
              <w:ind w:right="225"/>
              <w:spacing w:after="0" w:line="188" w:lineRule="exact"/>
              <w:rPr>
                <w:sz w:val="20"/>
                <w:szCs w:val="20"/>
                <w:color w:val="auto"/>
              </w:rPr>
            </w:pPr>
            <w:r>
              <w:rPr>
                <w:rFonts w:ascii="Arial" w:cs="Arial" w:eastAsia="Arial" w:hAnsi="Arial"/>
                <w:sz w:val="17"/>
                <w:szCs w:val="17"/>
                <w:color w:val="auto"/>
              </w:rPr>
              <w:t>1/1/2023</w:t>
            </w:r>
          </w:p>
        </w:tc>
        <w:tc>
          <w:tcPr>
            <w:tcW w:w="1660" w:type="dxa"/>
            <w:vAlign w:val="bottom"/>
            <w:tcBorders>
              <w:bottom w:val="single" w:sz="8" w:color="405788"/>
            </w:tcBorders>
          </w:tcPr>
          <w:p>
            <w:pPr>
              <w:ind w:left="520"/>
              <w:spacing w:after="0" w:line="188" w:lineRule="exact"/>
              <w:rPr>
                <w:sz w:val="20"/>
                <w:szCs w:val="20"/>
                <w:color w:val="auto"/>
              </w:rPr>
            </w:pPr>
            <w:r>
              <w:rPr>
                <w:rFonts w:ascii="Arial" w:cs="Arial" w:eastAsia="Arial" w:hAnsi="Arial"/>
                <w:sz w:val="17"/>
                <w:szCs w:val="17"/>
                <w:color w:val="auto"/>
              </w:rPr>
              <w:t>12/31/2025</w:t>
            </w:r>
          </w:p>
        </w:tc>
        <w:tc>
          <w:tcPr>
            <w:tcW w:w="1500" w:type="dxa"/>
            <w:vAlign w:val="bottom"/>
            <w:tcBorders>
              <w:bottom w:val="single" w:sz="8" w:color="405788"/>
            </w:tcBorders>
          </w:tcPr>
          <w:p>
            <w:pPr>
              <w:jc w:val="right"/>
              <w:ind w:right="81"/>
              <w:spacing w:after="0" w:line="188" w:lineRule="exact"/>
              <w:rPr>
                <w:sz w:val="20"/>
                <w:szCs w:val="20"/>
                <w:color w:val="auto"/>
              </w:rPr>
            </w:pPr>
            <w:r>
              <w:rPr>
                <w:rFonts w:ascii="Arial" w:cs="Arial" w:eastAsia="Arial" w:hAnsi="Arial"/>
                <w:sz w:val="17"/>
                <w:szCs w:val="17"/>
                <w:color w:val="auto"/>
              </w:rPr>
              <w:t>3/15/2026</w:t>
            </w:r>
          </w:p>
        </w:tc>
      </w:tr>
    </w:tbl>
    <w:p>
      <w:pPr>
        <w:spacing w:after="0" w:line="171" w:lineRule="exact"/>
        <w:rPr>
          <w:sz w:val="20"/>
          <w:szCs w:val="20"/>
          <w:color w:val="auto"/>
        </w:rPr>
      </w:pPr>
    </w:p>
    <w:p>
      <w:pPr>
        <w:ind w:right="400"/>
        <w:spacing w:after="0" w:line="244" w:lineRule="auto"/>
        <w:rPr>
          <w:sz w:val="20"/>
          <w:szCs w:val="20"/>
          <w:color w:val="auto"/>
        </w:rPr>
      </w:pPr>
      <w:r>
        <w:rPr>
          <w:rFonts w:ascii="Arial" w:cs="Arial" w:eastAsia="Arial" w:hAnsi="Arial"/>
          <w:sz w:val="17"/>
          <w:szCs w:val="17"/>
          <w:color w:val="auto"/>
        </w:rPr>
        <w:t>For each one-third tranche, a percentage of the PRSUs subject to such one-third tranche will be earned based on achievement of Relative TSR during the performance period for such one-third tranche as follows (with straight line mathematical interpolation between performance levels):</w:t>
      </w:r>
    </w:p>
    <w:p>
      <w:pPr>
        <w:spacing w:after="0" w:line="88" w:lineRule="exact"/>
        <w:rPr>
          <w:sz w:val="20"/>
          <w:szCs w:val="20"/>
          <w:color w:val="auto"/>
        </w:rPr>
      </w:pPr>
    </w:p>
    <w:tbl>
      <w:tblPr>
        <w:tblLayout w:type="fixed"/>
        <w:tblInd w:w="1000" w:type="dxa"/>
        <w:tblCellMar>
          <w:top w:w="0" w:type="dxa"/>
          <w:left w:w="0" w:type="dxa"/>
          <w:bottom w:w="0" w:type="dxa"/>
          <w:right w:w="0" w:type="dxa"/>
        </w:tblCellMar>
      </w:tblPr>
      <w:tr>
        <w:trPr>
          <w:trHeight w:val="163"/>
        </w:trPr>
        <w:tc>
          <w:tcPr>
            <w:tcW w:w="2880" w:type="dxa"/>
            <w:vAlign w:val="bottom"/>
            <w:tcBorders>
              <w:bottom w:val="single" w:sz="8" w:color="405788"/>
            </w:tcBorders>
          </w:tcPr>
          <w:p>
            <w:pPr>
              <w:jc w:val="center"/>
              <w:ind w:left="240"/>
              <w:spacing w:after="0"/>
              <w:rPr>
                <w:sz w:val="20"/>
                <w:szCs w:val="20"/>
                <w:color w:val="auto"/>
              </w:rPr>
            </w:pPr>
            <w:r>
              <w:rPr>
                <w:rFonts w:ascii="Arial" w:cs="Arial" w:eastAsia="Arial" w:hAnsi="Arial"/>
                <w:sz w:val="13"/>
                <w:szCs w:val="13"/>
                <w:b w:val="1"/>
                <w:bCs w:val="1"/>
                <w:color w:val="auto"/>
              </w:rPr>
              <w:t>Performance Level</w:t>
            </w:r>
          </w:p>
        </w:tc>
        <w:tc>
          <w:tcPr>
            <w:tcW w:w="2780" w:type="dxa"/>
            <w:vAlign w:val="bottom"/>
            <w:tcBorders>
              <w:bottom w:val="single" w:sz="8" w:color="405788"/>
            </w:tcBorders>
          </w:tcPr>
          <w:p>
            <w:pPr>
              <w:jc w:val="center"/>
              <w:ind w:left="327"/>
              <w:spacing w:after="0"/>
              <w:rPr>
                <w:sz w:val="20"/>
                <w:szCs w:val="20"/>
                <w:color w:val="auto"/>
              </w:rPr>
            </w:pPr>
            <w:r>
              <w:rPr>
                <w:rFonts w:ascii="Arial" w:cs="Arial" w:eastAsia="Arial" w:hAnsi="Arial"/>
                <w:sz w:val="13"/>
                <w:szCs w:val="13"/>
                <w:b w:val="1"/>
                <w:bCs w:val="1"/>
                <w:color w:val="auto"/>
              </w:rPr>
              <w:t>Relative TSR</w:t>
            </w:r>
          </w:p>
        </w:tc>
        <w:tc>
          <w:tcPr>
            <w:tcW w:w="2280" w:type="dxa"/>
            <w:vAlign w:val="bottom"/>
            <w:tcBorders>
              <w:bottom w:val="single" w:sz="8" w:color="405788"/>
            </w:tcBorders>
          </w:tcPr>
          <w:p>
            <w:pPr>
              <w:jc w:val="right"/>
              <w:ind w:right="280"/>
              <w:spacing w:after="0"/>
              <w:rPr>
                <w:sz w:val="20"/>
                <w:szCs w:val="20"/>
                <w:color w:val="auto"/>
              </w:rPr>
            </w:pPr>
            <w:r>
              <w:rPr>
                <w:rFonts w:ascii="Arial" w:cs="Arial" w:eastAsia="Arial" w:hAnsi="Arial"/>
                <w:sz w:val="13"/>
                <w:szCs w:val="13"/>
                <w:b w:val="1"/>
                <w:bCs w:val="1"/>
                <w:color w:val="auto"/>
              </w:rPr>
              <w:t>% of Target PRSUs Earned</w:t>
            </w:r>
          </w:p>
        </w:tc>
      </w:tr>
      <w:tr>
        <w:trPr>
          <w:trHeight w:val="192"/>
        </w:trPr>
        <w:tc>
          <w:tcPr>
            <w:tcW w:w="2880" w:type="dxa"/>
            <w:vAlign w:val="bottom"/>
            <w:tcBorders>
              <w:bottom w:val="single" w:sz="8" w:color="D9D9D9"/>
            </w:tcBorders>
          </w:tcPr>
          <w:p>
            <w:pPr>
              <w:jc w:val="center"/>
              <w:ind w:left="260"/>
              <w:spacing w:after="0" w:line="188" w:lineRule="exact"/>
              <w:rPr>
                <w:sz w:val="20"/>
                <w:szCs w:val="20"/>
                <w:color w:val="auto"/>
              </w:rPr>
            </w:pPr>
            <w:r>
              <w:rPr>
                <w:rFonts w:ascii="Arial" w:cs="Arial" w:eastAsia="Arial" w:hAnsi="Arial"/>
                <w:sz w:val="17"/>
                <w:szCs w:val="17"/>
                <w:b w:val="1"/>
                <w:bCs w:val="1"/>
                <w:color w:val="auto"/>
                <w:w w:val="97"/>
              </w:rPr>
              <w:t>Below Threshold</w:t>
            </w:r>
          </w:p>
        </w:tc>
        <w:tc>
          <w:tcPr>
            <w:tcW w:w="2780" w:type="dxa"/>
            <w:vAlign w:val="bottom"/>
            <w:tcBorders>
              <w:bottom w:val="single" w:sz="8" w:color="D9D9D9"/>
            </w:tcBorders>
          </w:tcPr>
          <w:p>
            <w:pPr>
              <w:jc w:val="center"/>
              <w:ind w:left="307"/>
              <w:spacing w:after="0" w:line="188" w:lineRule="exact"/>
              <w:rPr>
                <w:sz w:val="20"/>
                <w:szCs w:val="20"/>
                <w:color w:val="auto"/>
              </w:rPr>
            </w:pPr>
            <w:r>
              <w:rPr>
                <w:rFonts w:ascii="Arial" w:cs="Arial" w:eastAsia="Arial" w:hAnsi="Arial"/>
                <w:sz w:val="15"/>
                <w:szCs w:val="15"/>
                <w:color w:val="auto"/>
              </w:rPr>
              <w:t>Below 25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 %</w:t>
            </w:r>
          </w:p>
        </w:tc>
      </w:tr>
      <w:tr>
        <w:trPr>
          <w:trHeight w:val="192"/>
        </w:trPr>
        <w:tc>
          <w:tcPr>
            <w:tcW w:w="2880" w:type="dxa"/>
            <w:vAlign w:val="bottom"/>
            <w:tcBorders>
              <w:bottom w:val="single" w:sz="8" w:color="D9D9D9"/>
            </w:tcBorders>
          </w:tcPr>
          <w:p>
            <w:pPr>
              <w:jc w:val="center"/>
              <w:ind w:left="240"/>
              <w:spacing w:after="0" w:line="188" w:lineRule="exact"/>
              <w:rPr>
                <w:sz w:val="20"/>
                <w:szCs w:val="20"/>
                <w:color w:val="auto"/>
              </w:rPr>
            </w:pPr>
            <w:r>
              <w:rPr>
                <w:rFonts w:ascii="Arial" w:cs="Arial" w:eastAsia="Arial" w:hAnsi="Arial"/>
                <w:sz w:val="17"/>
                <w:szCs w:val="17"/>
                <w:b w:val="1"/>
                <w:bCs w:val="1"/>
                <w:color w:val="auto"/>
                <w:w w:val="97"/>
              </w:rPr>
              <w:t>Threshold</w:t>
            </w:r>
          </w:p>
        </w:tc>
        <w:tc>
          <w:tcPr>
            <w:tcW w:w="2780" w:type="dxa"/>
            <w:vAlign w:val="bottom"/>
            <w:tcBorders>
              <w:bottom w:val="single" w:sz="8" w:color="D9D9D9"/>
            </w:tcBorders>
          </w:tcPr>
          <w:p>
            <w:pPr>
              <w:jc w:val="center"/>
              <w:ind w:left="327"/>
              <w:spacing w:after="0" w:line="188" w:lineRule="exact"/>
              <w:rPr>
                <w:sz w:val="20"/>
                <w:szCs w:val="20"/>
                <w:color w:val="auto"/>
              </w:rPr>
            </w:pPr>
            <w:r>
              <w:rPr>
                <w:rFonts w:ascii="Arial" w:cs="Arial" w:eastAsia="Arial" w:hAnsi="Arial"/>
                <w:sz w:val="15"/>
                <w:szCs w:val="15"/>
                <w:color w:val="auto"/>
              </w:rPr>
              <w:t>At 25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50 %</w:t>
            </w:r>
          </w:p>
        </w:tc>
      </w:tr>
      <w:tr>
        <w:trPr>
          <w:trHeight w:val="192"/>
        </w:trPr>
        <w:tc>
          <w:tcPr>
            <w:tcW w:w="2880" w:type="dxa"/>
            <w:vAlign w:val="bottom"/>
            <w:tcBorders>
              <w:bottom w:val="single" w:sz="8" w:color="D9D9D9"/>
            </w:tcBorders>
          </w:tcPr>
          <w:p>
            <w:pPr>
              <w:jc w:val="center"/>
              <w:ind w:left="260"/>
              <w:spacing w:after="0" w:line="188" w:lineRule="exact"/>
              <w:rPr>
                <w:sz w:val="20"/>
                <w:szCs w:val="20"/>
                <w:color w:val="auto"/>
              </w:rPr>
            </w:pPr>
            <w:r>
              <w:rPr>
                <w:rFonts w:ascii="Arial" w:cs="Arial" w:eastAsia="Arial" w:hAnsi="Arial"/>
                <w:sz w:val="17"/>
                <w:szCs w:val="17"/>
                <w:b w:val="1"/>
                <w:bCs w:val="1"/>
                <w:color w:val="auto"/>
                <w:w w:val="96"/>
              </w:rPr>
              <w:t>Target</w:t>
            </w:r>
          </w:p>
        </w:tc>
        <w:tc>
          <w:tcPr>
            <w:tcW w:w="2780" w:type="dxa"/>
            <w:vAlign w:val="bottom"/>
            <w:tcBorders>
              <w:bottom w:val="single" w:sz="8" w:color="D9D9D9"/>
            </w:tcBorders>
          </w:tcPr>
          <w:p>
            <w:pPr>
              <w:jc w:val="center"/>
              <w:ind w:left="327"/>
              <w:spacing w:after="0" w:line="188" w:lineRule="exact"/>
              <w:rPr>
                <w:sz w:val="20"/>
                <w:szCs w:val="20"/>
                <w:color w:val="auto"/>
              </w:rPr>
            </w:pPr>
            <w:r>
              <w:rPr>
                <w:rFonts w:ascii="Arial" w:cs="Arial" w:eastAsia="Arial" w:hAnsi="Arial"/>
                <w:sz w:val="15"/>
                <w:szCs w:val="15"/>
                <w:color w:val="auto"/>
              </w:rPr>
              <w:t>At 50</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100 %</w:t>
            </w:r>
          </w:p>
        </w:tc>
      </w:tr>
      <w:tr>
        <w:trPr>
          <w:trHeight w:val="187"/>
        </w:trPr>
        <w:tc>
          <w:tcPr>
            <w:tcW w:w="2880" w:type="dxa"/>
            <w:vAlign w:val="bottom"/>
            <w:tcBorders>
              <w:bottom w:val="single" w:sz="8" w:color="405788"/>
            </w:tcBorders>
          </w:tcPr>
          <w:p>
            <w:pPr>
              <w:jc w:val="center"/>
              <w:ind w:left="240"/>
              <w:spacing w:after="0" w:line="188" w:lineRule="exact"/>
              <w:rPr>
                <w:sz w:val="20"/>
                <w:szCs w:val="20"/>
                <w:color w:val="auto"/>
              </w:rPr>
            </w:pPr>
            <w:r>
              <w:rPr>
                <w:rFonts w:ascii="Arial" w:cs="Arial" w:eastAsia="Arial" w:hAnsi="Arial"/>
                <w:sz w:val="17"/>
                <w:szCs w:val="17"/>
                <w:b w:val="1"/>
                <w:bCs w:val="1"/>
                <w:color w:val="auto"/>
                <w:w w:val="96"/>
              </w:rPr>
              <w:t>Maximum</w:t>
            </w:r>
          </w:p>
        </w:tc>
        <w:tc>
          <w:tcPr>
            <w:tcW w:w="2780" w:type="dxa"/>
            <w:vAlign w:val="bottom"/>
            <w:tcBorders>
              <w:bottom w:val="single" w:sz="8" w:color="405788"/>
            </w:tcBorders>
          </w:tcPr>
          <w:p>
            <w:pPr>
              <w:jc w:val="center"/>
              <w:ind w:left="307"/>
              <w:spacing w:after="0" w:line="188" w:lineRule="exact"/>
              <w:rPr>
                <w:sz w:val="20"/>
                <w:szCs w:val="20"/>
                <w:color w:val="auto"/>
              </w:rPr>
            </w:pPr>
            <w:r>
              <w:rPr>
                <w:rFonts w:ascii="Arial" w:cs="Arial" w:eastAsia="Arial" w:hAnsi="Arial"/>
                <w:sz w:val="15"/>
                <w:szCs w:val="15"/>
                <w:color w:val="auto"/>
              </w:rPr>
              <w:t>At or above 75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228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150 %</w:t>
            </w:r>
          </w:p>
        </w:tc>
      </w:tr>
    </w:tbl>
    <w:p>
      <w:pPr>
        <w:spacing w:after="0" w:line="96"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However, regardless of the level of Relative TSR performance, if the Company’s absolute total shareholder return at the end of the last Performance Period is negative, the percentage of target PRSUs earned will not exceed 100% of target.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Special One-Time Retention Awards Granted in 2023</w:t>
      </w:r>
    </w:p>
    <w:p>
      <w:pPr>
        <w:spacing w:after="0" w:line="177"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In connection with the expiration of Mr. Gleason’s employment agreement (which is discussed in more detail below under the heading “Agreement with Mr. Gleason,”) on July 5, 2023, we granted Mr. Gleason a retention equity grant of 225,000 PRSUs under the Company’s 2021 Equity and Incentive Compensation Plan. The award vests on the fourth anniversary of the grant date based on the achievement of stock price performance goals, but only if Mr. Gleason is still employed by the Company on the vesting date. The number of PRSUs that are earned on the vesting date will be calculated based on the highest stock price that we achieve for any twenty (20) or more consecutive trading days during the four-year vesting period according to the table below (with no interpolation for stock prices between the levels set forth in the table below):</w:t>
      </w:r>
    </w:p>
    <w:p>
      <w:pPr>
        <w:spacing w:after="0" w:line="2" w:lineRule="exact"/>
        <w:rPr>
          <w:sz w:val="20"/>
          <w:szCs w:val="20"/>
          <w:color w:val="auto"/>
        </w:rPr>
      </w:pPr>
    </w:p>
    <w:tbl>
      <w:tblPr>
        <w:tblLayout w:type="fixed"/>
        <w:tblInd w:w="2480" w:type="dxa"/>
        <w:tblCellMar>
          <w:top w:w="0" w:type="dxa"/>
          <w:left w:w="0" w:type="dxa"/>
          <w:bottom w:w="0" w:type="dxa"/>
          <w:right w:w="0" w:type="dxa"/>
        </w:tblCellMar>
      </w:tblPr>
      <w:tr>
        <w:trPr>
          <w:trHeight w:val="154"/>
        </w:trPr>
        <w:tc>
          <w:tcPr>
            <w:tcW w:w="2520" w:type="dxa"/>
            <w:vAlign w:val="bottom"/>
            <w:tcBorders>
              <w:bottom w:val="single" w:sz="8" w:color="405788"/>
            </w:tcBorders>
          </w:tcPr>
          <w:p>
            <w:pPr>
              <w:jc w:val="center"/>
              <w:ind w:right="39"/>
              <w:spacing w:after="0"/>
              <w:rPr>
                <w:sz w:val="20"/>
                <w:szCs w:val="20"/>
                <w:color w:val="auto"/>
              </w:rPr>
            </w:pPr>
            <w:r>
              <w:rPr>
                <w:rFonts w:ascii="Arial" w:cs="Arial" w:eastAsia="Arial" w:hAnsi="Arial"/>
                <w:sz w:val="13"/>
                <w:szCs w:val="13"/>
                <w:b w:val="1"/>
                <w:bCs w:val="1"/>
                <w:color w:val="auto"/>
              </w:rPr>
              <w:t>Stock Price</w:t>
            </w:r>
          </w:p>
        </w:tc>
        <w:tc>
          <w:tcPr>
            <w:tcW w:w="2460" w:type="dxa"/>
            <w:vAlign w:val="bottom"/>
            <w:tcBorders>
              <w:bottom w:val="single" w:sz="8" w:color="405788"/>
            </w:tcBorders>
          </w:tcPr>
          <w:p>
            <w:pPr>
              <w:ind w:left="680"/>
              <w:spacing w:after="0"/>
              <w:rPr>
                <w:sz w:val="20"/>
                <w:szCs w:val="20"/>
                <w:color w:val="auto"/>
              </w:rPr>
            </w:pPr>
            <w:r>
              <w:rPr>
                <w:rFonts w:ascii="Arial" w:cs="Arial" w:eastAsia="Arial" w:hAnsi="Arial"/>
                <w:sz w:val="13"/>
                <w:szCs w:val="13"/>
                <w:b w:val="1"/>
                <w:bCs w:val="1"/>
                <w:color w:val="auto"/>
              </w:rPr>
              <w:t>%of PRSUs Earned</w:t>
            </w:r>
          </w:p>
        </w:tc>
      </w:tr>
      <w:tr>
        <w:trPr>
          <w:trHeight w:val="192"/>
        </w:trPr>
        <w:tc>
          <w:tcPr>
            <w:tcW w:w="2520" w:type="dxa"/>
            <w:vAlign w:val="bottom"/>
            <w:tcBorders>
              <w:bottom w:val="single" w:sz="8" w:color="D9D9D9"/>
            </w:tcBorders>
          </w:tcPr>
          <w:p>
            <w:pPr>
              <w:jc w:val="center"/>
              <w:ind w:right="39"/>
              <w:spacing w:after="0" w:line="188" w:lineRule="exact"/>
              <w:rPr>
                <w:sz w:val="20"/>
                <w:szCs w:val="20"/>
                <w:color w:val="auto"/>
              </w:rPr>
            </w:pPr>
            <w:r>
              <w:rPr>
                <w:rFonts w:ascii="Arial" w:cs="Arial" w:eastAsia="Arial" w:hAnsi="Arial"/>
                <w:sz w:val="17"/>
                <w:szCs w:val="17"/>
                <w:color w:val="auto"/>
                <w:w w:val="98"/>
              </w:rPr>
              <w:t>Less than $22.00</w:t>
            </w:r>
          </w:p>
        </w:tc>
        <w:tc>
          <w:tcPr>
            <w:tcW w:w="2460" w:type="dxa"/>
            <w:vAlign w:val="bottom"/>
            <w:tcBorders>
              <w:bottom w:val="single" w:sz="8" w:color="D9D9D9"/>
            </w:tcBorders>
          </w:tcPr>
          <w:p>
            <w:pPr>
              <w:jc w:val="center"/>
              <w:ind w:left="19"/>
              <w:spacing w:after="0" w:line="188" w:lineRule="exact"/>
              <w:rPr>
                <w:sz w:val="20"/>
                <w:szCs w:val="20"/>
                <w:color w:val="auto"/>
              </w:rPr>
            </w:pPr>
            <w:r>
              <w:rPr>
                <w:rFonts w:ascii="Arial" w:cs="Arial" w:eastAsia="Arial" w:hAnsi="Arial"/>
                <w:sz w:val="17"/>
                <w:szCs w:val="17"/>
                <w:color w:val="auto"/>
                <w:w w:val="97"/>
              </w:rPr>
              <w:t>0%</w:t>
            </w:r>
          </w:p>
        </w:tc>
      </w:tr>
      <w:tr>
        <w:trPr>
          <w:trHeight w:val="192"/>
        </w:trPr>
        <w:tc>
          <w:tcPr>
            <w:tcW w:w="2520" w:type="dxa"/>
            <w:vAlign w:val="bottom"/>
            <w:tcBorders>
              <w:bottom w:val="single" w:sz="8" w:color="D9D9D9"/>
            </w:tcBorders>
          </w:tcPr>
          <w:p>
            <w:pPr>
              <w:jc w:val="center"/>
              <w:ind w:right="39"/>
              <w:spacing w:after="0" w:line="188" w:lineRule="exact"/>
              <w:rPr>
                <w:sz w:val="20"/>
                <w:szCs w:val="20"/>
                <w:color w:val="auto"/>
              </w:rPr>
            </w:pPr>
            <w:r>
              <w:rPr>
                <w:rFonts w:ascii="Arial" w:cs="Arial" w:eastAsia="Arial" w:hAnsi="Arial"/>
                <w:sz w:val="17"/>
                <w:szCs w:val="17"/>
                <w:color w:val="auto"/>
                <w:w w:val="99"/>
              </w:rPr>
              <w:t>$22.00</w:t>
            </w:r>
          </w:p>
        </w:tc>
        <w:tc>
          <w:tcPr>
            <w:tcW w:w="2460" w:type="dxa"/>
            <w:vAlign w:val="bottom"/>
            <w:tcBorders>
              <w:bottom w:val="single" w:sz="8" w:color="D9D9D9"/>
            </w:tcBorders>
          </w:tcPr>
          <w:p>
            <w:pPr>
              <w:jc w:val="center"/>
              <w:ind w:left="39"/>
              <w:spacing w:after="0" w:line="188" w:lineRule="exact"/>
              <w:rPr>
                <w:sz w:val="20"/>
                <w:szCs w:val="20"/>
                <w:color w:val="auto"/>
              </w:rPr>
            </w:pPr>
            <w:r>
              <w:rPr>
                <w:rFonts w:ascii="Arial" w:cs="Arial" w:eastAsia="Arial" w:hAnsi="Arial"/>
                <w:sz w:val="17"/>
                <w:szCs w:val="17"/>
                <w:color w:val="auto"/>
                <w:w w:val="96"/>
              </w:rPr>
              <w:t>100%</w:t>
            </w:r>
          </w:p>
        </w:tc>
      </w:tr>
      <w:tr>
        <w:trPr>
          <w:trHeight w:val="192"/>
        </w:trPr>
        <w:tc>
          <w:tcPr>
            <w:tcW w:w="2520" w:type="dxa"/>
            <w:vAlign w:val="bottom"/>
            <w:tcBorders>
              <w:bottom w:val="single" w:sz="8" w:color="D9D9D9"/>
            </w:tcBorders>
          </w:tcPr>
          <w:p>
            <w:pPr>
              <w:jc w:val="center"/>
              <w:ind w:right="39"/>
              <w:spacing w:after="0" w:line="188" w:lineRule="exact"/>
              <w:rPr>
                <w:sz w:val="20"/>
                <w:szCs w:val="20"/>
                <w:color w:val="auto"/>
              </w:rPr>
            </w:pPr>
            <w:r>
              <w:rPr>
                <w:rFonts w:ascii="Arial" w:cs="Arial" w:eastAsia="Arial" w:hAnsi="Arial"/>
                <w:sz w:val="17"/>
                <w:szCs w:val="17"/>
                <w:color w:val="auto"/>
                <w:w w:val="99"/>
              </w:rPr>
              <w:t>$25.25</w:t>
            </w:r>
          </w:p>
        </w:tc>
        <w:tc>
          <w:tcPr>
            <w:tcW w:w="2460" w:type="dxa"/>
            <w:vAlign w:val="bottom"/>
            <w:tcBorders>
              <w:bottom w:val="single" w:sz="8" w:color="D9D9D9"/>
            </w:tcBorders>
          </w:tcPr>
          <w:p>
            <w:pPr>
              <w:jc w:val="center"/>
              <w:ind w:left="39"/>
              <w:spacing w:after="0" w:line="188" w:lineRule="exact"/>
              <w:rPr>
                <w:sz w:val="20"/>
                <w:szCs w:val="20"/>
                <w:color w:val="auto"/>
              </w:rPr>
            </w:pPr>
            <w:r>
              <w:rPr>
                <w:rFonts w:ascii="Arial" w:cs="Arial" w:eastAsia="Arial" w:hAnsi="Arial"/>
                <w:sz w:val="17"/>
                <w:szCs w:val="17"/>
                <w:color w:val="auto"/>
                <w:w w:val="96"/>
              </w:rPr>
              <w:t>125%</w:t>
            </w:r>
          </w:p>
        </w:tc>
      </w:tr>
      <w:tr>
        <w:trPr>
          <w:trHeight w:val="192"/>
        </w:trPr>
        <w:tc>
          <w:tcPr>
            <w:tcW w:w="2520" w:type="dxa"/>
            <w:vAlign w:val="bottom"/>
            <w:tcBorders>
              <w:bottom w:val="single" w:sz="8" w:color="D9D9D9"/>
            </w:tcBorders>
          </w:tcPr>
          <w:p>
            <w:pPr>
              <w:jc w:val="center"/>
              <w:ind w:right="39"/>
              <w:spacing w:after="0" w:line="188" w:lineRule="exact"/>
              <w:rPr>
                <w:sz w:val="20"/>
                <w:szCs w:val="20"/>
                <w:color w:val="auto"/>
              </w:rPr>
            </w:pPr>
            <w:r>
              <w:rPr>
                <w:rFonts w:ascii="Arial" w:cs="Arial" w:eastAsia="Arial" w:hAnsi="Arial"/>
                <w:sz w:val="17"/>
                <w:szCs w:val="17"/>
                <w:color w:val="auto"/>
                <w:w w:val="99"/>
              </w:rPr>
              <w:t>$28.50</w:t>
            </w:r>
          </w:p>
        </w:tc>
        <w:tc>
          <w:tcPr>
            <w:tcW w:w="2460" w:type="dxa"/>
            <w:vAlign w:val="bottom"/>
            <w:tcBorders>
              <w:bottom w:val="single" w:sz="8" w:color="D9D9D9"/>
            </w:tcBorders>
          </w:tcPr>
          <w:p>
            <w:pPr>
              <w:jc w:val="center"/>
              <w:ind w:left="39"/>
              <w:spacing w:after="0" w:line="188" w:lineRule="exact"/>
              <w:rPr>
                <w:sz w:val="20"/>
                <w:szCs w:val="20"/>
                <w:color w:val="auto"/>
              </w:rPr>
            </w:pPr>
            <w:r>
              <w:rPr>
                <w:rFonts w:ascii="Arial" w:cs="Arial" w:eastAsia="Arial" w:hAnsi="Arial"/>
                <w:sz w:val="17"/>
                <w:szCs w:val="17"/>
                <w:color w:val="auto"/>
                <w:w w:val="96"/>
              </w:rPr>
              <w:t>150%</w:t>
            </w:r>
          </w:p>
        </w:tc>
      </w:tr>
      <w:tr>
        <w:trPr>
          <w:trHeight w:val="192"/>
        </w:trPr>
        <w:tc>
          <w:tcPr>
            <w:tcW w:w="2520" w:type="dxa"/>
            <w:vAlign w:val="bottom"/>
            <w:tcBorders>
              <w:bottom w:val="single" w:sz="8" w:color="D9D9D9"/>
            </w:tcBorders>
          </w:tcPr>
          <w:p>
            <w:pPr>
              <w:jc w:val="center"/>
              <w:ind w:right="39"/>
              <w:spacing w:after="0" w:line="188" w:lineRule="exact"/>
              <w:rPr>
                <w:sz w:val="20"/>
                <w:szCs w:val="20"/>
                <w:color w:val="auto"/>
              </w:rPr>
            </w:pPr>
            <w:r>
              <w:rPr>
                <w:rFonts w:ascii="Arial" w:cs="Arial" w:eastAsia="Arial" w:hAnsi="Arial"/>
                <w:sz w:val="17"/>
                <w:szCs w:val="17"/>
                <w:color w:val="auto"/>
                <w:w w:val="99"/>
              </w:rPr>
              <w:t>$31.75</w:t>
            </w:r>
          </w:p>
        </w:tc>
        <w:tc>
          <w:tcPr>
            <w:tcW w:w="2460" w:type="dxa"/>
            <w:vAlign w:val="bottom"/>
            <w:tcBorders>
              <w:bottom w:val="single" w:sz="8" w:color="D9D9D9"/>
            </w:tcBorders>
          </w:tcPr>
          <w:p>
            <w:pPr>
              <w:jc w:val="center"/>
              <w:ind w:left="39"/>
              <w:spacing w:after="0" w:line="188" w:lineRule="exact"/>
              <w:rPr>
                <w:sz w:val="20"/>
                <w:szCs w:val="20"/>
                <w:color w:val="auto"/>
              </w:rPr>
            </w:pPr>
            <w:r>
              <w:rPr>
                <w:rFonts w:ascii="Arial" w:cs="Arial" w:eastAsia="Arial" w:hAnsi="Arial"/>
                <w:sz w:val="17"/>
                <w:szCs w:val="17"/>
                <w:color w:val="auto"/>
                <w:w w:val="96"/>
              </w:rPr>
              <w:t>175%</w:t>
            </w:r>
          </w:p>
        </w:tc>
      </w:tr>
      <w:tr>
        <w:trPr>
          <w:trHeight w:val="187"/>
        </w:trPr>
        <w:tc>
          <w:tcPr>
            <w:tcW w:w="2520" w:type="dxa"/>
            <w:vAlign w:val="bottom"/>
            <w:tcBorders>
              <w:bottom w:val="single" w:sz="8" w:color="405788"/>
            </w:tcBorders>
          </w:tcPr>
          <w:p>
            <w:pPr>
              <w:jc w:val="center"/>
              <w:ind w:right="39"/>
              <w:spacing w:after="0" w:line="188" w:lineRule="exact"/>
              <w:rPr>
                <w:sz w:val="20"/>
                <w:szCs w:val="20"/>
                <w:color w:val="auto"/>
              </w:rPr>
            </w:pPr>
            <w:r>
              <w:rPr>
                <w:rFonts w:ascii="Arial" w:cs="Arial" w:eastAsia="Arial" w:hAnsi="Arial"/>
                <w:sz w:val="17"/>
                <w:szCs w:val="17"/>
                <w:color w:val="auto"/>
                <w:w w:val="99"/>
              </w:rPr>
              <w:t>$35.00</w:t>
            </w:r>
          </w:p>
        </w:tc>
        <w:tc>
          <w:tcPr>
            <w:tcW w:w="2460" w:type="dxa"/>
            <w:vAlign w:val="bottom"/>
            <w:tcBorders>
              <w:bottom w:val="single" w:sz="8" w:color="405788"/>
            </w:tcBorders>
          </w:tcPr>
          <w:p>
            <w:pPr>
              <w:jc w:val="center"/>
              <w:ind w:left="39"/>
              <w:spacing w:after="0" w:line="188" w:lineRule="exact"/>
              <w:rPr>
                <w:sz w:val="20"/>
                <w:szCs w:val="20"/>
                <w:color w:val="auto"/>
              </w:rPr>
            </w:pPr>
            <w:r>
              <w:rPr>
                <w:rFonts w:ascii="Arial" w:cs="Arial" w:eastAsia="Arial" w:hAnsi="Arial"/>
                <w:sz w:val="17"/>
                <w:szCs w:val="17"/>
                <w:color w:val="auto"/>
                <w:w w:val="96"/>
              </w:rPr>
              <w:t>200%</w:t>
            </w:r>
          </w:p>
        </w:tc>
      </w:tr>
    </w:tbl>
    <w:p>
      <w:pPr>
        <w:spacing w:after="0" w:line="171"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In September 2023, the Compensation Committee decided to make a special PRSU grant to each of Mr. Johansson and Ms. Watkins-Asiyanbi in the amount of 47,247 and 41,341 target shares, respectively, on substantially the same terms as the award made to Mr. Gleason to provide them enhanced retention and performance incentives. This grant is intended to unify the executive team and motivate them to achieve significant shareholder value creation. These awards, which were granted on September 29, 2023, vest on July 5, 2027, based on the performance schedule set forth in the table above, provided that the NEO is employed by the Company on the vesting date.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The target and maximum number of shares that each NEO could earn pursuant to these awards are set forth below:</w:t>
      </w:r>
    </w:p>
    <w:p>
      <w:pPr>
        <w:spacing w:after="0" w:line="360"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26</w:t>
      </w:r>
      <w:r>
        <w:rPr>
          <w:sz w:val="20"/>
          <w:szCs w:val="20"/>
          <w:color w:val="auto"/>
        </w:rPr>
        <w:tab/>
      </w:r>
      <w:r>
        <w:rPr>
          <w:sz w:val="1"/>
          <w:szCs w:val="1"/>
          <w:color w:val="auto"/>
        </w:rPr>
        <w:drawing>
          <wp:inline distT="0" distB="0" distL="0" distR="0">
            <wp:extent cx="476250" cy="22225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234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80" w:type="dxa"/>
            <w:vAlign w:val="bottom"/>
            <w:gridSpan w:val="2"/>
          </w:tcPr>
          <w:p>
            <w:pPr>
              <w:ind w:left="120"/>
              <w:spacing w:after="0"/>
              <w:rPr>
                <w:sz w:val="20"/>
                <w:szCs w:val="20"/>
                <w:color w:val="auto"/>
              </w:rPr>
            </w:pPr>
            <w:r>
              <w:rPr>
                <w:rFonts w:ascii="Arial" w:cs="Arial" w:eastAsia="Arial" w:hAnsi="Arial"/>
                <w:sz w:val="17"/>
                <w:szCs w:val="17"/>
                <w:color w:val="D9D9D9"/>
                <w:w w:val="96"/>
              </w:rPr>
              <w:t>CECO ENVIRONMENTAL</w:t>
            </w:r>
          </w:p>
        </w:tc>
      </w:tr>
      <w:tr>
        <w:trPr>
          <w:trHeight w:val="340"/>
        </w:trPr>
        <w:tc>
          <w:tcPr>
            <w:tcW w:w="6220" w:type="dxa"/>
            <w:vAlign w:val="bottom"/>
          </w:tcPr>
          <w:p>
            <w:pPr>
              <w:spacing w:after="0"/>
              <w:rPr>
                <w:sz w:val="24"/>
                <w:szCs w:val="24"/>
                <w:color w:val="auto"/>
              </w:rPr>
            </w:pPr>
          </w:p>
        </w:tc>
        <w:tc>
          <w:tcPr>
            <w:tcW w:w="3720" w:type="dxa"/>
            <w:vAlign w:val="bottom"/>
            <w:gridSpan w:val="3"/>
          </w:tcPr>
          <w:p>
            <w:pPr>
              <w:ind w:left="1040"/>
              <w:spacing w:after="0"/>
              <w:rPr>
                <w:sz w:val="20"/>
                <w:szCs w:val="20"/>
                <w:color w:val="auto"/>
              </w:rPr>
            </w:pPr>
            <w:r>
              <w:rPr>
                <w:rFonts w:ascii="Arial" w:cs="Arial" w:eastAsia="Arial" w:hAnsi="Arial"/>
                <w:sz w:val="13"/>
                <w:szCs w:val="13"/>
                <w:b w:val="1"/>
                <w:bCs w:val="1"/>
                <w:color w:val="auto"/>
              </w:rPr>
              <w:t>PRSU Award Opportunity</w:t>
            </w:r>
          </w:p>
        </w:tc>
      </w:tr>
      <w:tr>
        <w:trPr>
          <w:trHeight w:val="142"/>
        </w:trPr>
        <w:tc>
          <w:tcPr>
            <w:tcW w:w="6220" w:type="dxa"/>
            <w:vAlign w:val="bottom"/>
          </w:tcPr>
          <w:p>
            <w:pPr>
              <w:spacing w:after="0"/>
              <w:rPr>
                <w:sz w:val="12"/>
                <w:szCs w:val="12"/>
                <w:color w:val="auto"/>
              </w:rPr>
            </w:pPr>
          </w:p>
        </w:tc>
        <w:tc>
          <w:tcPr>
            <w:tcW w:w="1640" w:type="dxa"/>
            <w:vAlign w:val="bottom"/>
            <w:tcBorders>
              <w:top w:val="single" w:sz="8" w:color="405788"/>
            </w:tcBorders>
          </w:tcPr>
          <w:p>
            <w:pPr>
              <w:jc w:val="right"/>
              <w:ind w:right="45"/>
              <w:spacing w:after="0" w:line="143" w:lineRule="exact"/>
              <w:rPr>
                <w:sz w:val="20"/>
                <w:szCs w:val="20"/>
                <w:color w:val="auto"/>
              </w:rPr>
            </w:pPr>
            <w:r>
              <w:rPr>
                <w:rFonts w:ascii="Arial" w:cs="Arial" w:eastAsia="Arial" w:hAnsi="Arial"/>
                <w:sz w:val="13"/>
                <w:szCs w:val="13"/>
                <w:b w:val="1"/>
                <w:bCs w:val="1"/>
                <w:color w:val="auto"/>
              </w:rPr>
              <w:t>Target Number of</w:t>
            </w:r>
          </w:p>
        </w:tc>
        <w:tc>
          <w:tcPr>
            <w:tcW w:w="2060" w:type="dxa"/>
            <w:vAlign w:val="bottom"/>
            <w:tcBorders>
              <w:top w:val="single" w:sz="8" w:color="405788"/>
            </w:tcBorders>
          </w:tcPr>
          <w:p>
            <w:pPr>
              <w:jc w:val="right"/>
              <w:spacing w:after="0" w:line="143" w:lineRule="exact"/>
              <w:rPr>
                <w:sz w:val="20"/>
                <w:szCs w:val="20"/>
                <w:color w:val="auto"/>
              </w:rPr>
            </w:pPr>
            <w:r>
              <w:rPr>
                <w:rFonts w:ascii="Arial" w:cs="Arial" w:eastAsia="Arial" w:hAnsi="Arial"/>
                <w:sz w:val="13"/>
                <w:szCs w:val="13"/>
                <w:b w:val="1"/>
                <w:bCs w:val="1"/>
                <w:color w:val="auto"/>
              </w:rPr>
              <w:t>Maximum Number of</w:t>
            </w:r>
          </w:p>
        </w:tc>
        <w:tc>
          <w:tcPr>
            <w:tcW w:w="20" w:type="dxa"/>
            <w:vAlign w:val="bottom"/>
          </w:tcPr>
          <w:p>
            <w:pPr>
              <w:spacing w:after="0"/>
              <w:rPr>
                <w:sz w:val="12"/>
                <w:szCs w:val="12"/>
                <w:color w:val="auto"/>
              </w:rPr>
            </w:pPr>
          </w:p>
        </w:tc>
      </w:tr>
      <w:tr>
        <w:trPr>
          <w:trHeight w:val="163"/>
        </w:trPr>
        <w:tc>
          <w:tcPr>
            <w:tcW w:w="62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1640" w:type="dxa"/>
            <w:vAlign w:val="bottom"/>
          </w:tcPr>
          <w:p>
            <w:pPr>
              <w:jc w:val="right"/>
              <w:ind w:right="25"/>
              <w:spacing w:after="0"/>
              <w:rPr>
                <w:sz w:val="20"/>
                <w:szCs w:val="20"/>
                <w:color w:val="auto"/>
              </w:rPr>
            </w:pPr>
            <w:r>
              <w:rPr>
                <w:rFonts w:ascii="Arial" w:cs="Arial" w:eastAsia="Arial" w:hAnsi="Arial"/>
                <w:sz w:val="13"/>
                <w:szCs w:val="13"/>
                <w:b w:val="1"/>
                <w:bCs w:val="1"/>
                <w:color w:val="auto"/>
              </w:rPr>
              <w:t>Shares</w:t>
            </w:r>
          </w:p>
        </w:tc>
        <w:tc>
          <w:tcPr>
            <w:tcW w:w="20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Shares</w:t>
            </w:r>
          </w:p>
        </w:tc>
      </w:tr>
      <w:tr>
        <w:trPr>
          <w:trHeight w:val="192"/>
        </w:trPr>
        <w:tc>
          <w:tcPr>
            <w:tcW w:w="6220" w:type="dxa"/>
            <w:vAlign w:val="bottom"/>
            <w:tcBorders>
              <w:top w:val="single" w:sz="8" w:color="405788"/>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1640" w:type="dxa"/>
            <w:vAlign w:val="bottom"/>
            <w:tcBorders>
              <w:top w:val="single" w:sz="8" w:color="405788"/>
              <w:bottom w:val="single" w:sz="8" w:color="D9D9D9"/>
            </w:tcBorders>
          </w:tcPr>
          <w:p>
            <w:pPr>
              <w:jc w:val="right"/>
              <w:ind w:right="25"/>
              <w:spacing w:after="0" w:line="188" w:lineRule="exact"/>
              <w:rPr>
                <w:sz w:val="20"/>
                <w:szCs w:val="20"/>
                <w:color w:val="auto"/>
              </w:rPr>
            </w:pPr>
            <w:r>
              <w:rPr>
                <w:rFonts w:ascii="Arial" w:cs="Arial" w:eastAsia="Arial" w:hAnsi="Arial"/>
                <w:sz w:val="17"/>
                <w:szCs w:val="17"/>
                <w:color w:val="auto"/>
              </w:rPr>
              <w:t>225,000</w:t>
            </w:r>
          </w:p>
        </w:tc>
        <w:tc>
          <w:tcPr>
            <w:tcW w:w="2060" w:type="dxa"/>
            <w:vAlign w:val="bottom"/>
            <w:tcBorders>
              <w:top w:val="single" w:sz="8" w:color="405788"/>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450,000</w:t>
            </w:r>
          </w:p>
        </w:tc>
        <w:tc>
          <w:tcPr>
            <w:tcW w:w="20" w:type="dxa"/>
            <w:vAlign w:val="bottom"/>
          </w:tcPr>
          <w:p>
            <w:pPr>
              <w:spacing w:after="0"/>
              <w:rPr>
                <w:sz w:val="16"/>
                <w:szCs w:val="16"/>
                <w:color w:val="auto"/>
              </w:rPr>
            </w:pPr>
          </w:p>
        </w:tc>
      </w:tr>
      <w:tr>
        <w:trPr>
          <w:trHeight w:val="192"/>
        </w:trPr>
        <w:tc>
          <w:tcPr>
            <w:tcW w:w="622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1640" w:type="dxa"/>
            <w:vAlign w:val="bottom"/>
            <w:tcBorders>
              <w:bottom w:val="single" w:sz="8" w:color="D9D9D9"/>
            </w:tcBorders>
          </w:tcPr>
          <w:p>
            <w:pPr>
              <w:jc w:val="right"/>
              <w:ind w:right="25"/>
              <w:spacing w:after="0" w:line="188" w:lineRule="exact"/>
              <w:rPr>
                <w:sz w:val="20"/>
                <w:szCs w:val="20"/>
                <w:color w:val="auto"/>
              </w:rPr>
            </w:pPr>
            <w:r>
              <w:rPr>
                <w:rFonts w:ascii="Arial" w:cs="Arial" w:eastAsia="Arial" w:hAnsi="Arial"/>
                <w:sz w:val="17"/>
                <w:szCs w:val="17"/>
                <w:color w:val="auto"/>
              </w:rPr>
              <w:t>47,247</w:t>
            </w:r>
          </w:p>
        </w:tc>
        <w:tc>
          <w:tcPr>
            <w:tcW w:w="20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94,494</w:t>
            </w:r>
          </w:p>
        </w:tc>
        <w:tc>
          <w:tcPr>
            <w:tcW w:w="20" w:type="dxa"/>
            <w:vAlign w:val="bottom"/>
          </w:tcPr>
          <w:p>
            <w:pPr>
              <w:spacing w:after="0"/>
              <w:rPr>
                <w:sz w:val="16"/>
                <w:szCs w:val="16"/>
                <w:color w:val="auto"/>
              </w:rPr>
            </w:pPr>
          </w:p>
        </w:tc>
      </w:tr>
      <w:tr>
        <w:trPr>
          <w:trHeight w:val="187"/>
        </w:trPr>
        <w:tc>
          <w:tcPr>
            <w:tcW w:w="622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1640" w:type="dxa"/>
            <w:vAlign w:val="bottom"/>
            <w:tcBorders>
              <w:bottom w:val="single" w:sz="8" w:color="405788"/>
            </w:tcBorders>
          </w:tcPr>
          <w:p>
            <w:pPr>
              <w:jc w:val="right"/>
              <w:ind w:right="25"/>
              <w:spacing w:after="0" w:line="188" w:lineRule="exact"/>
              <w:rPr>
                <w:sz w:val="20"/>
                <w:szCs w:val="20"/>
                <w:color w:val="auto"/>
              </w:rPr>
            </w:pPr>
            <w:r>
              <w:rPr>
                <w:rFonts w:ascii="Arial" w:cs="Arial" w:eastAsia="Arial" w:hAnsi="Arial"/>
                <w:sz w:val="17"/>
                <w:szCs w:val="17"/>
                <w:color w:val="auto"/>
              </w:rPr>
              <w:t>41,341</w:t>
            </w:r>
          </w:p>
        </w:tc>
        <w:tc>
          <w:tcPr>
            <w:tcW w:w="20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82,682</w:t>
            </w:r>
          </w:p>
        </w:tc>
        <w:tc>
          <w:tcPr>
            <w:tcW w:w="20" w:type="dxa"/>
            <w:vAlign w:val="bottom"/>
          </w:tcPr>
          <w:p>
            <w:pPr>
              <w:spacing w:after="0"/>
              <w:rPr>
                <w:sz w:val="16"/>
                <w:szCs w:val="16"/>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PRSUs Earned for 2021-2023 Performance Cycle</w:t>
      </w:r>
    </w:p>
    <w:p>
      <w:pPr>
        <w:spacing w:after="0" w:line="90"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In 2021, we made an annual grant of PRSUs to Mr. Gleason having a performance period that ran from January 1, 2021 to December 31, 2023 and which vested on March 15, 2024 by their terms as a result of Mr. Gleason’s continuous employment through the vesting date. Mr. Johansson and Ms. Watkins-Asiyanbi were not serving with the Company when these PRSUs were granted and did not receive an award opportunity for this particular cycle.</w:t>
      </w:r>
    </w:p>
    <w:p>
      <w:pPr>
        <w:spacing w:after="0" w:line="171"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The Compensation Committee determined to use Relative TSR as the sole performance metric for the 2021 PRSU awards with the payout being determined by comparing our total shareholder return against a peer group of 107 publicly traded companies that, at the time of selection by the Compensation Committee, were U.S. companies classified in the Materials or Industrials sector with a market capitalization from $100 million to $500 million and revenue greater than $100 million. The chart below details the performance goals and achievement levels of the 2021 PRSUs.</w:t>
      </w:r>
    </w:p>
    <w:p>
      <w:pPr>
        <w:spacing w:after="0" w:line="194" w:lineRule="exact"/>
        <w:rPr>
          <w:sz w:val="20"/>
          <w:szCs w:val="20"/>
          <w:color w:val="auto"/>
        </w:rPr>
      </w:pPr>
    </w:p>
    <w:tbl>
      <w:tblPr>
        <w:tblLayout w:type="fixed"/>
        <w:tblInd w:w="1280" w:type="dxa"/>
        <w:tblCellMar>
          <w:top w:w="0" w:type="dxa"/>
          <w:left w:w="0" w:type="dxa"/>
          <w:bottom w:w="0" w:type="dxa"/>
          <w:right w:w="0" w:type="dxa"/>
        </w:tblCellMar>
      </w:tblPr>
      <w:tr>
        <w:trPr>
          <w:trHeight w:val="163"/>
        </w:trPr>
        <w:tc>
          <w:tcPr>
            <w:tcW w:w="2020" w:type="dxa"/>
            <w:vAlign w:val="bottom"/>
            <w:tcBorders>
              <w:bottom w:val="single" w:sz="8" w:color="405788"/>
            </w:tcBorders>
          </w:tcPr>
          <w:p>
            <w:pPr>
              <w:jc w:val="center"/>
              <w:ind w:left="60"/>
              <w:spacing w:after="0"/>
              <w:rPr>
                <w:sz w:val="20"/>
                <w:szCs w:val="20"/>
                <w:color w:val="auto"/>
              </w:rPr>
            </w:pPr>
            <w:r>
              <w:rPr>
                <w:rFonts w:ascii="Arial" w:cs="Arial" w:eastAsia="Arial" w:hAnsi="Arial"/>
                <w:sz w:val="13"/>
                <w:szCs w:val="13"/>
                <w:b w:val="1"/>
                <w:bCs w:val="1"/>
                <w:color w:val="auto"/>
              </w:rPr>
              <w:t>Performance Level</w:t>
            </w:r>
          </w:p>
        </w:tc>
        <w:tc>
          <w:tcPr>
            <w:tcW w:w="2320" w:type="dxa"/>
            <w:vAlign w:val="bottom"/>
            <w:tcBorders>
              <w:bottom w:val="single" w:sz="8" w:color="405788"/>
            </w:tcBorders>
          </w:tcPr>
          <w:p>
            <w:pPr>
              <w:jc w:val="center"/>
              <w:ind w:left="147"/>
              <w:spacing w:after="0"/>
              <w:rPr>
                <w:sz w:val="20"/>
                <w:szCs w:val="20"/>
                <w:color w:val="auto"/>
              </w:rPr>
            </w:pPr>
            <w:r>
              <w:rPr>
                <w:rFonts w:ascii="Arial" w:cs="Arial" w:eastAsia="Arial" w:hAnsi="Arial"/>
                <w:sz w:val="13"/>
                <w:szCs w:val="13"/>
                <w:b w:val="1"/>
                <w:bCs w:val="1"/>
                <w:color w:val="auto"/>
              </w:rPr>
              <w:t>Relative TSR</w:t>
            </w:r>
          </w:p>
        </w:tc>
        <w:tc>
          <w:tcPr>
            <w:tcW w:w="1920" w:type="dxa"/>
            <w:vAlign w:val="bottom"/>
            <w:tcBorders>
              <w:bottom w:val="single" w:sz="8" w:color="405788"/>
            </w:tcBorders>
          </w:tcPr>
          <w:p>
            <w:pPr>
              <w:jc w:val="right"/>
              <w:ind w:right="80"/>
              <w:spacing w:after="0"/>
              <w:rPr>
                <w:sz w:val="20"/>
                <w:szCs w:val="20"/>
                <w:color w:val="auto"/>
              </w:rPr>
            </w:pPr>
            <w:r>
              <w:rPr>
                <w:rFonts w:ascii="Arial" w:cs="Arial" w:eastAsia="Arial" w:hAnsi="Arial"/>
                <w:sz w:val="13"/>
                <w:szCs w:val="13"/>
                <w:b w:val="1"/>
                <w:bCs w:val="1"/>
                <w:color w:val="auto"/>
              </w:rPr>
              <w:t>% of Target PRSUs Earned</w:t>
            </w:r>
          </w:p>
        </w:tc>
      </w:tr>
      <w:tr>
        <w:trPr>
          <w:trHeight w:val="192"/>
        </w:trPr>
        <w:tc>
          <w:tcPr>
            <w:tcW w:w="2020" w:type="dxa"/>
            <w:vAlign w:val="bottom"/>
            <w:tcBorders>
              <w:bottom w:val="single" w:sz="8" w:color="D9D9D9"/>
            </w:tcBorders>
          </w:tcPr>
          <w:p>
            <w:pPr>
              <w:jc w:val="center"/>
              <w:ind w:left="40"/>
              <w:spacing w:after="0" w:line="188" w:lineRule="exact"/>
              <w:rPr>
                <w:sz w:val="20"/>
                <w:szCs w:val="20"/>
                <w:color w:val="auto"/>
              </w:rPr>
            </w:pPr>
            <w:r>
              <w:rPr>
                <w:rFonts w:ascii="Arial" w:cs="Arial" w:eastAsia="Arial" w:hAnsi="Arial"/>
                <w:sz w:val="17"/>
                <w:szCs w:val="17"/>
                <w:b w:val="1"/>
                <w:bCs w:val="1"/>
                <w:color w:val="auto"/>
                <w:w w:val="97"/>
              </w:rPr>
              <w:t>Below Threshold</w:t>
            </w:r>
          </w:p>
        </w:tc>
        <w:tc>
          <w:tcPr>
            <w:tcW w:w="2320" w:type="dxa"/>
            <w:vAlign w:val="bottom"/>
            <w:tcBorders>
              <w:bottom w:val="single" w:sz="8" w:color="D9D9D9"/>
            </w:tcBorders>
          </w:tcPr>
          <w:p>
            <w:pPr>
              <w:jc w:val="center"/>
              <w:ind w:left="147"/>
              <w:spacing w:after="0" w:line="188" w:lineRule="exact"/>
              <w:rPr>
                <w:sz w:val="20"/>
                <w:szCs w:val="20"/>
                <w:color w:val="auto"/>
              </w:rPr>
            </w:pPr>
            <w:r>
              <w:rPr>
                <w:rFonts w:ascii="Arial" w:cs="Arial" w:eastAsia="Arial" w:hAnsi="Arial"/>
                <w:sz w:val="15"/>
                <w:szCs w:val="15"/>
                <w:color w:val="auto"/>
              </w:rPr>
              <w:t>Below 25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19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 %</w:t>
            </w:r>
          </w:p>
        </w:tc>
      </w:tr>
      <w:tr>
        <w:trPr>
          <w:trHeight w:val="192"/>
        </w:trPr>
        <w:tc>
          <w:tcPr>
            <w:tcW w:w="2020" w:type="dxa"/>
            <w:vAlign w:val="bottom"/>
            <w:tcBorders>
              <w:bottom w:val="single" w:sz="8" w:color="D9D9D9"/>
            </w:tcBorders>
          </w:tcPr>
          <w:p>
            <w:pPr>
              <w:jc w:val="center"/>
              <w:ind w:left="60"/>
              <w:spacing w:after="0" w:line="188" w:lineRule="exact"/>
              <w:rPr>
                <w:sz w:val="20"/>
                <w:szCs w:val="20"/>
                <w:color w:val="auto"/>
              </w:rPr>
            </w:pPr>
            <w:r>
              <w:rPr>
                <w:rFonts w:ascii="Arial" w:cs="Arial" w:eastAsia="Arial" w:hAnsi="Arial"/>
                <w:sz w:val="17"/>
                <w:szCs w:val="17"/>
                <w:b w:val="1"/>
                <w:bCs w:val="1"/>
                <w:color w:val="auto"/>
                <w:w w:val="97"/>
              </w:rPr>
              <w:t>Threshold</w:t>
            </w:r>
          </w:p>
        </w:tc>
        <w:tc>
          <w:tcPr>
            <w:tcW w:w="2320" w:type="dxa"/>
            <w:vAlign w:val="bottom"/>
            <w:tcBorders>
              <w:bottom w:val="single" w:sz="8" w:color="D9D9D9"/>
            </w:tcBorders>
          </w:tcPr>
          <w:p>
            <w:pPr>
              <w:jc w:val="center"/>
              <w:ind w:left="147"/>
              <w:spacing w:after="0" w:line="188" w:lineRule="exact"/>
              <w:rPr>
                <w:sz w:val="20"/>
                <w:szCs w:val="20"/>
                <w:color w:val="auto"/>
              </w:rPr>
            </w:pPr>
            <w:r>
              <w:rPr>
                <w:rFonts w:ascii="Arial" w:cs="Arial" w:eastAsia="Arial" w:hAnsi="Arial"/>
                <w:sz w:val="15"/>
                <w:szCs w:val="15"/>
                <w:color w:val="auto"/>
              </w:rPr>
              <w:t>At 25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19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50 %</w:t>
            </w:r>
          </w:p>
        </w:tc>
      </w:tr>
      <w:tr>
        <w:trPr>
          <w:trHeight w:val="192"/>
        </w:trPr>
        <w:tc>
          <w:tcPr>
            <w:tcW w:w="2020" w:type="dxa"/>
            <w:vAlign w:val="bottom"/>
            <w:tcBorders>
              <w:bottom w:val="single" w:sz="8" w:color="D9D9D9"/>
            </w:tcBorders>
          </w:tcPr>
          <w:p>
            <w:pPr>
              <w:jc w:val="center"/>
              <w:ind w:left="40"/>
              <w:spacing w:after="0" w:line="188" w:lineRule="exact"/>
              <w:rPr>
                <w:sz w:val="20"/>
                <w:szCs w:val="20"/>
                <w:color w:val="auto"/>
              </w:rPr>
            </w:pPr>
            <w:r>
              <w:rPr>
                <w:rFonts w:ascii="Arial" w:cs="Arial" w:eastAsia="Arial" w:hAnsi="Arial"/>
                <w:sz w:val="17"/>
                <w:szCs w:val="17"/>
                <w:b w:val="1"/>
                <w:bCs w:val="1"/>
                <w:color w:val="auto"/>
                <w:w w:val="96"/>
              </w:rPr>
              <w:t>Target</w:t>
            </w:r>
          </w:p>
        </w:tc>
        <w:tc>
          <w:tcPr>
            <w:tcW w:w="2320" w:type="dxa"/>
            <w:vAlign w:val="bottom"/>
            <w:tcBorders>
              <w:bottom w:val="single" w:sz="8" w:color="D9D9D9"/>
            </w:tcBorders>
          </w:tcPr>
          <w:p>
            <w:pPr>
              <w:jc w:val="center"/>
              <w:ind w:left="147"/>
              <w:spacing w:after="0" w:line="188" w:lineRule="exact"/>
              <w:rPr>
                <w:sz w:val="20"/>
                <w:szCs w:val="20"/>
                <w:color w:val="auto"/>
              </w:rPr>
            </w:pPr>
            <w:r>
              <w:rPr>
                <w:rFonts w:ascii="Arial" w:cs="Arial" w:eastAsia="Arial" w:hAnsi="Arial"/>
                <w:sz w:val="15"/>
                <w:szCs w:val="15"/>
                <w:color w:val="auto"/>
              </w:rPr>
              <w:t>At 50</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19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100 %</w:t>
            </w:r>
          </w:p>
        </w:tc>
      </w:tr>
      <w:tr>
        <w:trPr>
          <w:trHeight w:val="187"/>
        </w:trPr>
        <w:tc>
          <w:tcPr>
            <w:tcW w:w="2020" w:type="dxa"/>
            <w:vAlign w:val="bottom"/>
            <w:tcBorders>
              <w:bottom w:val="single" w:sz="8" w:color="405788"/>
            </w:tcBorders>
          </w:tcPr>
          <w:p>
            <w:pPr>
              <w:jc w:val="center"/>
              <w:ind w:left="60"/>
              <w:spacing w:after="0" w:line="188" w:lineRule="exact"/>
              <w:rPr>
                <w:sz w:val="20"/>
                <w:szCs w:val="20"/>
                <w:color w:val="auto"/>
              </w:rPr>
            </w:pPr>
            <w:r>
              <w:rPr>
                <w:rFonts w:ascii="Arial" w:cs="Arial" w:eastAsia="Arial" w:hAnsi="Arial"/>
                <w:sz w:val="17"/>
                <w:szCs w:val="17"/>
                <w:b w:val="1"/>
                <w:bCs w:val="1"/>
                <w:color w:val="auto"/>
                <w:w w:val="96"/>
              </w:rPr>
              <w:t>Maximum</w:t>
            </w:r>
          </w:p>
        </w:tc>
        <w:tc>
          <w:tcPr>
            <w:tcW w:w="2320" w:type="dxa"/>
            <w:vAlign w:val="bottom"/>
            <w:tcBorders>
              <w:bottom w:val="single" w:sz="8" w:color="405788"/>
            </w:tcBorders>
          </w:tcPr>
          <w:p>
            <w:pPr>
              <w:jc w:val="center"/>
              <w:ind w:left="147"/>
              <w:spacing w:after="0" w:line="188" w:lineRule="exact"/>
              <w:rPr>
                <w:sz w:val="20"/>
                <w:szCs w:val="20"/>
                <w:color w:val="auto"/>
              </w:rPr>
            </w:pPr>
            <w:r>
              <w:rPr>
                <w:rFonts w:ascii="Arial" w:cs="Arial" w:eastAsia="Arial" w:hAnsi="Arial"/>
                <w:sz w:val="15"/>
                <w:szCs w:val="15"/>
                <w:color w:val="auto"/>
              </w:rPr>
              <w:t>At or above 75</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percentile</w:t>
            </w:r>
          </w:p>
        </w:tc>
        <w:tc>
          <w:tcPr>
            <w:tcW w:w="19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150 %</w:t>
            </w:r>
          </w:p>
        </w:tc>
      </w:tr>
    </w:tbl>
    <w:p>
      <w:pPr>
        <w:spacing w:after="0" w:line="362" w:lineRule="exact"/>
        <w:rPr>
          <w:sz w:val="20"/>
          <w:szCs w:val="20"/>
          <w:color w:val="auto"/>
        </w:rPr>
      </w:pPr>
    </w:p>
    <w:p>
      <w:pPr>
        <w:ind w:right="200"/>
        <w:spacing w:after="0" w:line="211" w:lineRule="auto"/>
        <w:rPr>
          <w:sz w:val="20"/>
          <w:szCs w:val="20"/>
          <w:color w:val="auto"/>
        </w:rPr>
      </w:pPr>
      <w:r>
        <w:rPr>
          <w:rFonts w:ascii="Arial" w:cs="Arial" w:eastAsia="Arial" w:hAnsi="Arial"/>
          <w:sz w:val="17"/>
          <w:szCs w:val="17"/>
          <w:color w:val="auto"/>
        </w:rPr>
        <w:t>At the end of the performance period, we had achieved a calculated TSR of 193.26% which ranked just over the 80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percentile and resulted in a payout of 150% of the target number of shares granted to Mr. Gleason.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target and actual earned shares under the PRSUs granted to Mr. Gleason in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480" w:type="dxa"/>
            <w:vAlign w:val="bottom"/>
          </w:tcPr>
          <w:p>
            <w:pPr>
              <w:spacing w:after="0"/>
              <w:rPr>
                <w:sz w:val="14"/>
                <w:szCs w:val="14"/>
                <w:color w:val="auto"/>
              </w:rPr>
            </w:pPr>
          </w:p>
        </w:tc>
        <w:tc>
          <w:tcPr>
            <w:tcW w:w="3420" w:type="dxa"/>
            <w:vAlign w:val="bottom"/>
            <w:gridSpan w:val="3"/>
          </w:tcPr>
          <w:p>
            <w:pPr>
              <w:ind w:left="840"/>
              <w:spacing w:after="0"/>
              <w:rPr>
                <w:sz w:val="20"/>
                <w:szCs w:val="20"/>
                <w:color w:val="auto"/>
              </w:rPr>
            </w:pPr>
            <w:r>
              <w:rPr>
                <w:rFonts w:ascii="Arial" w:cs="Arial" w:eastAsia="Arial" w:hAnsi="Arial"/>
                <w:sz w:val="13"/>
                <w:szCs w:val="13"/>
                <w:b w:val="1"/>
                <w:bCs w:val="1"/>
                <w:color w:val="auto"/>
              </w:rPr>
              <w:t>PRSU Award Opportunity</w:t>
            </w:r>
          </w:p>
        </w:tc>
        <w:tc>
          <w:tcPr>
            <w:tcW w:w="3020" w:type="dxa"/>
            <w:vAlign w:val="bottom"/>
            <w:gridSpan w:val="2"/>
          </w:tcPr>
          <w:p>
            <w:pPr>
              <w:jc w:val="right"/>
              <w:ind w:right="688"/>
              <w:spacing w:after="0"/>
              <w:rPr>
                <w:sz w:val="20"/>
                <w:szCs w:val="20"/>
                <w:color w:val="auto"/>
              </w:rPr>
            </w:pPr>
            <w:r>
              <w:rPr>
                <w:rFonts w:ascii="Arial" w:cs="Arial" w:eastAsia="Arial" w:hAnsi="Arial"/>
                <w:sz w:val="13"/>
                <w:szCs w:val="13"/>
                <w:b w:val="1"/>
                <w:bCs w:val="1"/>
                <w:color w:val="auto"/>
              </w:rPr>
              <w:t>2021-2023 Performance</w:t>
            </w:r>
          </w:p>
        </w:tc>
      </w:tr>
      <w:tr>
        <w:trPr>
          <w:trHeight w:val="142"/>
        </w:trPr>
        <w:tc>
          <w:tcPr>
            <w:tcW w:w="3480" w:type="dxa"/>
            <w:vAlign w:val="bottom"/>
          </w:tcPr>
          <w:p>
            <w:pPr>
              <w:spacing w:after="0"/>
              <w:rPr>
                <w:sz w:val="12"/>
                <w:szCs w:val="12"/>
                <w:color w:val="auto"/>
              </w:rPr>
            </w:pPr>
          </w:p>
        </w:tc>
        <w:tc>
          <w:tcPr>
            <w:tcW w:w="1720" w:type="dxa"/>
            <w:vAlign w:val="bottom"/>
            <w:tcBorders>
              <w:top w:val="single" w:sz="8" w:color="405788"/>
            </w:tcBorders>
          </w:tcPr>
          <w:p>
            <w:pPr>
              <w:jc w:val="right"/>
              <w:ind w:right="129"/>
              <w:spacing w:after="0" w:line="143" w:lineRule="exact"/>
              <w:rPr>
                <w:sz w:val="20"/>
                <w:szCs w:val="20"/>
                <w:color w:val="auto"/>
              </w:rPr>
            </w:pPr>
            <w:r>
              <w:rPr>
                <w:rFonts w:ascii="Arial" w:cs="Arial" w:eastAsia="Arial" w:hAnsi="Arial"/>
                <w:sz w:val="13"/>
                <w:szCs w:val="13"/>
                <w:b w:val="1"/>
                <w:bCs w:val="1"/>
                <w:color w:val="auto"/>
              </w:rPr>
              <w:t>Target Number of</w:t>
            </w:r>
          </w:p>
        </w:tc>
        <w:tc>
          <w:tcPr>
            <w:tcW w:w="1560" w:type="dxa"/>
            <w:vAlign w:val="bottom"/>
            <w:tcBorders>
              <w:top w:val="single" w:sz="8" w:color="405788"/>
            </w:tcBorders>
          </w:tcPr>
          <w:p>
            <w:pPr>
              <w:jc w:val="right"/>
              <w:spacing w:after="0" w:line="143" w:lineRule="exact"/>
              <w:rPr>
                <w:sz w:val="20"/>
                <w:szCs w:val="20"/>
                <w:color w:val="auto"/>
              </w:rPr>
            </w:pPr>
            <w:r>
              <w:rPr>
                <w:rFonts w:ascii="Arial" w:cs="Arial" w:eastAsia="Arial" w:hAnsi="Arial"/>
                <w:sz w:val="13"/>
                <w:szCs w:val="13"/>
                <w:b w:val="1"/>
                <w:bCs w:val="1"/>
                <w:color w:val="auto"/>
              </w:rPr>
              <w:t>Maximum Number of</w:t>
            </w:r>
          </w:p>
        </w:tc>
        <w:tc>
          <w:tcPr>
            <w:tcW w:w="140" w:type="dxa"/>
            <w:vAlign w:val="bottom"/>
          </w:tcPr>
          <w:p>
            <w:pPr>
              <w:spacing w:after="0"/>
              <w:rPr>
                <w:sz w:val="12"/>
                <w:szCs w:val="12"/>
                <w:color w:val="auto"/>
              </w:rPr>
            </w:pPr>
          </w:p>
        </w:tc>
        <w:tc>
          <w:tcPr>
            <w:tcW w:w="1700" w:type="dxa"/>
            <w:vAlign w:val="bottom"/>
            <w:tcBorders>
              <w:top w:val="single" w:sz="8" w:color="405788"/>
            </w:tcBorders>
          </w:tcPr>
          <w:p>
            <w:pPr>
              <w:jc w:val="right"/>
              <w:ind w:right="249"/>
              <w:spacing w:after="0" w:line="143" w:lineRule="exact"/>
              <w:rPr>
                <w:sz w:val="20"/>
                <w:szCs w:val="20"/>
                <w:color w:val="auto"/>
              </w:rPr>
            </w:pPr>
            <w:r>
              <w:rPr>
                <w:rFonts w:ascii="Arial" w:cs="Arial" w:eastAsia="Arial" w:hAnsi="Arial"/>
                <w:sz w:val="13"/>
                <w:szCs w:val="13"/>
                <w:b w:val="1"/>
                <w:bCs w:val="1"/>
                <w:color w:val="auto"/>
              </w:rPr>
              <w:t>% of Target</w:t>
            </w:r>
          </w:p>
        </w:tc>
        <w:tc>
          <w:tcPr>
            <w:tcW w:w="1320" w:type="dxa"/>
            <w:vAlign w:val="bottom"/>
            <w:tcBorders>
              <w:top w:val="single" w:sz="8" w:color="405788"/>
            </w:tcBorders>
          </w:tcPr>
          <w:p>
            <w:pPr>
              <w:jc w:val="right"/>
              <w:spacing w:after="0" w:line="143" w:lineRule="exact"/>
              <w:rPr>
                <w:sz w:val="20"/>
                <w:szCs w:val="20"/>
                <w:color w:val="auto"/>
              </w:rPr>
            </w:pPr>
            <w:r>
              <w:rPr>
                <w:rFonts w:ascii="Arial" w:cs="Arial" w:eastAsia="Arial" w:hAnsi="Arial"/>
                <w:sz w:val="13"/>
                <w:szCs w:val="13"/>
                <w:b w:val="1"/>
                <w:bCs w:val="1"/>
                <w:color w:val="auto"/>
              </w:rPr>
              <w:t>Number of Shares</w:t>
            </w:r>
          </w:p>
        </w:tc>
      </w:tr>
      <w:tr>
        <w:trPr>
          <w:trHeight w:val="163"/>
        </w:trPr>
        <w:tc>
          <w:tcPr>
            <w:tcW w:w="34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w:t>
            </w:r>
          </w:p>
        </w:tc>
        <w:tc>
          <w:tcPr>
            <w:tcW w:w="1720" w:type="dxa"/>
            <w:vAlign w:val="bottom"/>
            <w:tcBorders>
              <w:bottom w:val="single" w:sz="8" w:color="405788"/>
            </w:tcBorders>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1700" w:type="dxa"/>
            <w:vAlign w:val="bottom"/>
            <w:tcBorders>
              <w:bottom w:val="single" w:sz="8" w:color="405788"/>
            </w:tcBorders>
            <w:gridSpan w:val="2"/>
          </w:tcPr>
          <w:p>
            <w:pPr>
              <w:jc w:val="right"/>
              <w:ind w:right="200"/>
              <w:spacing w:after="0"/>
              <w:rPr>
                <w:sz w:val="20"/>
                <w:szCs w:val="20"/>
                <w:color w:val="auto"/>
              </w:rPr>
            </w:pPr>
            <w:r>
              <w:rPr>
                <w:rFonts w:ascii="Arial" w:cs="Arial" w:eastAsia="Arial" w:hAnsi="Arial"/>
                <w:sz w:val="13"/>
                <w:szCs w:val="13"/>
                <w:b w:val="1"/>
                <w:bCs w:val="1"/>
                <w:color w:val="auto"/>
              </w:rPr>
              <w:t>Shares</w:t>
            </w:r>
          </w:p>
        </w:tc>
        <w:tc>
          <w:tcPr>
            <w:tcW w:w="1700" w:type="dxa"/>
            <w:vAlign w:val="bottom"/>
            <w:tcBorders>
              <w:bottom w:val="single" w:sz="8" w:color="405788"/>
            </w:tcBorders>
          </w:tcPr>
          <w:p>
            <w:pPr>
              <w:jc w:val="right"/>
              <w:ind w:right="249"/>
              <w:spacing w:after="0"/>
              <w:rPr>
                <w:sz w:val="20"/>
                <w:szCs w:val="20"/>
                <w:color w:val="auto"/>
              </w:rPr>
            </w:pPr>
            <w:r>
              <w:rPr>
                <w:rFonts w:ascii="Arial" w:cs="Arial" w:eastAsia="Arial" w:hAnsi="Arial"/>
                <w:sz w:val="13"/>
                <w:szCs w:val="13"/>
                <w:b w:val="1"/>
                <w:bCs w:val="1"/>
                <w:color w:val="auto"/>
              </w:rPr>
              <w:t>Earned</w:t>
            </w:r>
          </w:p>
        </w:tc>
        <w:tc>
          <w:tcPr>
            <w:tcW w:w="132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Earned</w:t>
            </w:r>
          </w:p>
        </w:tc>
      </w:tr>
      <w:tr>
        <w:trPr>
          <w:trHeight w:val="187"/>
        </w:trPr>
        <w:tc>
          <w:tcPr>
            <w:tcW w:w="34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Todd Gleason</w:t>
            </w:r>
          </w:p>
        </w:tc>
        <w:tc>
          <w:tcPr>
            <w:tcW w:w="1720" w:type="dxa"/>
            <w:vAlign w:val="bottom"/>
            <w:tcBorders>
              <w:bottom w:val="single" w:sz="8" w:color="405788"/>
            </w:tcBorders>
          </w:tcPr>
          <w:p>
            <w:pPr>
              <w:jc w:val="right"/>
              <w:ind w:right="129"/>
              <w:spacing w:after="0" w:line="188" w:lineRule="exact"/>
              <w:rPr>
                <w:sz w:val="20"/>
                <w:szCs w:val="20"/>
                <w:color w:val="auto"/>
              </w:rPr>
            </w:pPr>
            <w:r>
              <w:rPr>
                <w:rFonts w:ascii="Arial" w:cs="Arial" w:eastAsia="Arial" w:hAnsi="Arial"/>
                <w:sz w:val="17"/>
                <w:szCs w:val="17"/>
                <w:color w:val="auto"/>
              </w:rPr>
              <w:t>85,785</w:t>
            </w:r>
          </w:p>
        </w:tc>
        <w:tc>
          <w:tcPr>
            <w:tcW w:w="15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128,678</w:t>
            </w:r>
          </w:p>
        </w:tc>
        <w:tc>
          <w:tcPr>
            <w:tcW w:w="140" w:type="dxa"/>
            <w:vAlign w:val="bottom"/>
            <w:tcBorders>
              <w:bottom w:val="single" w:sz="8" w:color="405788"/>
            </w:tcBorders>
          </w:tcPr>
          <w:p>
            <w:pPr>
              <w:spacing w:after="0"/>
              <w:rPr>
                <w:sz w:val="16"/>
                <w:szCs w:val="16"/>
                <w:color w:val="auto"/>
              </w:rPr>
            </w:pPr>
          </w:p>
        </w:tc>
        <w:tc>
          <w:tcPr>
            <w:tcW w:w="1700" w:type="dxa"/>
            <w:vAlign w:val="bottom"/>
            <w:tcBorders>
              <w:bottom w:val="single" w:sz="8" w:color="405788"/>
            </w:tcBorders>
          </w:tcPr>
          <w:p>
            <w:pPr>
              <w:jc w:val="right"/>
              <w:ind w:right="49"/>
              <w:spacing w:after="0" w:line="188" w:lineRule="exact"/>
              <w:rPr>
                <w:sz w:val="20"/>
                <w:szCs w:val="20"/>
                <w:color w:val="auto"/>
              </w:rPr>
            </w:pPr>
            <w:r>
              <w:rPr>
                <w:rFonts w:ascii="Arial" w:cs="Arial" w:eastAsia="Arial" w:hAnsi="Arial"/>
                <w:sz w:val="17"/>
                <w:szCs w:val="17"/>
                <w:color w:val="auto"/>
              </w:rPr>
              <w:t>150.0 %</w:t>
            </w:r>
          </w:p>
        </w:tc>
        <w:tc>
          <w:tcPr>
            <w:tcW w:w="13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128,678</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Personal Benefits and Perquisites</w:t>
      </w:r>
    </w:p>
    <w:p>
      <w:pPr>
        <w:spacing w:after="0" w:line="9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We provide our named executive officers with very few perquisites that we believe are reasonable and consistent with our overall compensation program and better enable us to attract and retain employees for key positions. These perquisites generally consist of a car allowance and payment of life insurance premiums</w:t>
      </w:r>
      <w:r>
        <w:rPr>
          <w:rFonts w:ascii="Arial" w:cs="Arial" w:eastAsia="Arial" w:hAnsi="Arial"/>
          <w:sz w:val="17"/>
          <w:szCs w:val="17"/>
          <w:color w:val="FF0000"/>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Retirement Benefits</w:t>
      </w:r>
    </w:p>
    <w:p>
      <w:pPr>
        <w:spacing w:after="0" w:line="90"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Our Company sponsors a 401(k) retirement plan for substantially all of our U.S. employees (the “401(k) Plan”), pursuant to which we generally match contributions each pay period at 100% of the employee’s contributions for the first 3% of eligible compensation, and 50% of the employee’s contribution on the next 3% of eligible compensation, for a maximum match of 4.5% of eligible compensation. Our named executive officers generally participate in the 401(k) Plan on the same terms as our other eligible employees. We believe the 401(k) Plan, which has limited cost to our Company, is set at a reasonable level, is highly valued by participants, and is part of a competitive compensation program consistent with our overall goal of attracting and retaining qualified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358775</wp:posOffset>
            </wp:positionV>
            <wp:extent cx="483870" cy="2222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Severance Benefits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Agreement with Mr. Gleason</w:t>
      </w:r>
    </w:p>
    <w:p>
      <w:pPr>
        <w:spacing w:after="0" w:line="19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As mentioned above, prior to July 5, 2023, we had in place an employment agreement with Mr. Gleason, which we had previously entered into effective July 6, 2020, in connection with his appointment as our CEO. This employment agreement set forth the basic terms and conditions of his employment, including initial base salary, annual incentive opportunity, and long-term incentive opportunity, as well as certain sign-on equity and cash bonus compensation and certain perquisites and personal benefits. The employment agreement also included customary restrictive covenants and provided for severance benefits in connection with certain terminations of employment. Specifically, the agreement provided that if his employment was terminated by the Company without “cause” or by Mr. Gleason for “good reason” other than during the two-year period following a change in control, he would have been entitled to a lump sum cash payment equal to his annual base salary plus a pro-rated annual cash incentive payment based on actual performance for the year of termination. In addition, if his employment was terminated by the Company without cause or by Mr. Gleason for good reason within a period of two years after a change in control, then he would have been entitled to receive a lump sum payment equal to the sum of his annual base salary plus his target annual cash incentive for the year in which termination occurs.</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During 2023, the Company and Mr. Gleason mutually decided not to renew his employment agreement that was expiring as of July 6, 2023. Instead, Mr. Gleason and the Company entered into a letter agreement that provides for the following retention-focused benefits in addition to the other elements of compensation and employee benefits provided generally to executive officers of the Company:</w:t>
      </w:r>
    </w:p>
    <w:p>
      <w:pPr>
        <w:spacing w:after="0" w:line="48" w:lineRule="exact"/>
        <w:rPr>
          <w:sz w:val="20"/>
          <w:szCs w:val="20"/>
          <w:color w:val="auto"/>
        </w:rPr>
      </w:pPr>
    </w:p>
    <w:p>
      <w:pPr>
        <w:ind w:left="600" w:right="600" w:hanging="599"/>
        <w:spacing w:after="0" w:line="258" w:lineRule="auto"/>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one-time special retention PRSU award described above under the heading “Special One-Time Retention Awards Granted in 2023”;</w:t>
      </w:r>
    </w:p>
    <w:p>
      <w:pPr>
        <w:spacing w:after="0" w:line="54" w:lineRule="exact"/>
        <w:rPr>
          <w:rFonts w:ascii="Arial" w:cs="Arial" w:eastAsia="Arial" w:hAnsi="Arial"/>
          <w:sz w:val="17"/>
          <w:szCs w:val="17"/>
          <w:color w:val="auto"/>
        </w:rPr>
      </w:pPr>
    </w:p>
    <w:p>
      <w:pPr>
        <w:ind w:left="600" w:hanging="599"/>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housing allowance of $5,000 per month for six months in the Dallas, Texas area; and</w:t>
      </w:r>
    </w:p>
    <w:p>
      <w:pPr>
        <w:spacing w:after="0" w:line="91" w:lineRule="exact"/>
        <w:rPr>
          <w:rFonts w:ascii="Arial" w:cs="Arial" w:eastAsia="Arial" w:hAnsi="Arial"/>
          <w:sz w:val="17"/>
          <w:szCs w:val="17"/>
          <w:color w:val="auto"/>
        </w:rPr>
      </w:pPr>
    </w:p>
    <w:p>
      <w:pPr>
        <w:ind w:left="600" w:hanging="599"/>
        <w:spacing w:after="0"/>
        <w:tabs>
          <w:tab w:leader="none" w:pos="6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Participation in the Company’s Executive Change in Control Severance Plan (“CIC Severance Plan”).</w:t>
      </w:r>
    </w:p>
    <w:p>
      <w:pPr>
        <w:spacing w:after="0" w:line="92"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decision not to renew Mr. Gleason’s employment agreement was done to move away from employment agreements in general. The decision to move away from the use of employment agreements was motivated by the Company’s desire to (1) align with prevailing market trends, (2) negate the need for one-off negotiations with prospective new hires, and (3) streamline our severance and change in control benefits through our CIC Severance Plan described below. As amended, the CIC Severance Plan provides market-aligned severance and change-in-control protections (from both an individual and Company perspective) that would be duplicative if restated in an employment agreement. Having a unified policy is also administratively less burdensome than if such benefits differed from one employment agreement to another and promotes internal pay equity through the provision of similar benefits to similar levels of executives and other key employees.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 in Control Severance Plan</w:t>
      </w:r>
    </w:p>
    <w:p>
      <w:pPr>
        <w:spacing w:after="0" w:line="19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maintain the CIC Severance Plan, which provides our executive officers and other eligible participants with certain severance benefits in the event of certain qualifying terminations of employment. The Severance Plan is designed to address organizational leadership needs to attract and retain senior level executives in the Company and remove barriers and distractions of executives by providing limited protection to senior level leaders should a potential change in control occur. Offering continuity for these leaders while not tying the organization to an employment contract allows the Company to recruit, retain and demonstrate the value our senior level leaders contribute to our organization.</w:t>
      </w:r>
    </w:p>
    <w:p>
      <w:pPr>
        <w:spacing w:after="0" w:line="71" w:lineRule="exact"/>
        <w:rPr>
          <w:sz w:val="20"/>
          <w:szCs w:val="20"/>
          <w:color w:val="auto"/>
        </w:rPr>
      </w:pPr>
    </w:p>
    <w:p>
      <w:pPr>
        <w:ind w:right="120"/>
        <w:spacing w:after="0" w:line="239" w:lineRule="auto"/>
        <w:rPr>
          <w:sz w:val="20"/>
          <w:szCs w:val="20"/>
          <w:color w:val="auto"/>
        </w:rPr>
      </w:pPr>
      <w:r>
        <w:rPr>
          <w:rFonts w:ascii="Arial" w:cs="Arial" w:eastAsia="Arial" w:hAnsi="Arial"/>
          <w:sz w:val="17"/>
          <w:szCs w:val="17"/>
          <w:color w:val="auto"/>
        </w:rPr>
        <w:t>During 2023, we amended the plan to (1) include a resignation for good reason outside the change in control period as a qualifying termination event, (2) replace the Company-paid outplacement benefits with a cash payment of $20,000 intended for the executive to find his or her own outplacement services, and (3) revise the severance benefit payout formulas to be more in line with market best practices. Following such amendments, the CIC Severance Plan provides for the following benefits:</w:t>
      </w:r>
    </w:p>
    <w:p>
      <w:pPr>
        <w:spacing w:after="0" w:line="71" w:lineRule="exact"/>
        <w:rPr>
          <w:sz w:val="20"/>
          <w:szCs w:val="20"/>
          <w:color w:val="auto"/>
        </w:rPr>
      </w:pPr>
    </w:p>
    <w:p>
      <w:pPr>
        <w:ind w:left="620" w:right="100" w:hanging="294"/>
        <w:spacing w:after="0" w:line="236" w:lineRule="auto"/>
        <w:tabs>
          <w:tab w:leader="none" w:pos="620" w:val="left"/>
        </w:tabs>
        <w:numPr>
          <w:ilvl w:val="0"/>
          <w:numId w:val="51"/>
        </w:numPr>
        <w:rPr>
          <w:rFonts w:ascii="Times New Roman" w:cs="Times New Roman" w:eastAsia="Times New Roman" w:hAnsi="Times New Roman"/>
          <w:sz w:val="17"/>
          <w:szCs w:val="17"/>
          <w:color w:val="3C578C"/>
        </w:rPr>
      </w:pPr>
      <w:r>
        <w:rPr>
          <w:rFonts w:ascii="Arial" w:cs="Arial" w:eastAsia="Arial" w:hAnsi="Arial"/>
          <w:sz w:val="17"/>
          <w:szCs w:val="17"/>
          <w:color w:val="auto"/>
        </w:rPr>
        <w:t>If the participant’s employment is terminated by the Company without cause, or by the participant for good reason, during the change in control period, then the participant is entitled to receive (1) a pro-rata target bonus for the year of termination, (2) a lump sum cash payment equal to the sum of the Participant’s base salary plus target bonus, multiplied by the applicable “severance multiplier”, (3) a lump sum payment of $20,000 to enable the Participant to obtain executive outplacement services, and (4) subsidized COBRA coverage for the period equal to 12 months multiplied by the Severance Multiplier (but capped at 18 months).</w:t>
      </w:r>
    </w:p>
    <w:p>
      <w:pPr>
        <w:spacing w:after="0" w:line="251"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28</w:t>
      </w:r>
      <w:r>
        <w:rPr>
          <w:sz w:val="20"/>
          <w:szCs w:val="20"/>
          <w:color w:val="auto"/>
        </w:rPr>
        <w:tab/>
      </w:r>
      <w:r>
        <w:rPr>
          <w:sz w:val="1"/>
          <w:szCs w:val="1"/>
          <w:color w:val="auto"/>
        </w:rPr>
        <w:drawing>
          <wp:inline distT="0" distB="0" distL="0" distR="0">
            <wp:extent cx="476250" cy="22225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left="620" w:right="20" w:hanging="294"/>
        <w:spacing w:after="0" w:line="239" w:lineRule="auto"/>
        <w:tabs>
          <w:tab w:leader="none" w:pos="620" w:val="left"/>
        </w:tabs>
        <w:numPr>
          <w:ilvl w:val="0"/>
          <w:numId w:val="52"/>
        </w:numPr>
        <w:rPr>
          <w:rFonts w:ascii="Times New Roman" w:cs="Times New Roman" w:eastAsia="Times New Roman" w:hAnsi="Times New Roman"/>
          <w:sz w:val="17"/>
          <w:szCs w:val="17"/>
          <w:color w:val="3C578C"/>
        </w:rPr>
      </w:pPr>
      <w:r>
        <w:rPr>
          <w:rFonts w:ascii="Arial" w:cs="Arial" w:eastAsia="Arial" w:hAnsi="Arial"/>
          <w:sz w:val="17"/>
          <w:szCs w:val="17"/>
          <w:color w:val="auto"/>
        </w:rPr>
        <w:t>If the participant’s employment is terminated by the Company without cause or by the participant for good reason outside the change in control period, then the participant is also entitled to receive the same benefits described in the bullet above, except that the lump sum cash payment described in (2) shall only equal the Participant’s base salary multiplied by the severance multiplier.</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“severance multiplier” is equal to 2.0 for the CEO, and 1.5 for the other executive officers.</w:t>
      </w:r>
    </w:p>
    <w:p>
      <w:pPr>
        <w:spacing w:after="0" w:line="92" w:lineRule="exact"/>
        <w:rPr>
          <w:sz w:val="20"/>
          <w:szCs w:val="20"/>
          <w:color w:val="auto"/>
        </w:rPr>
      </w:pPr>
    </w:p>
    <w:p>
      <w:pPr>
        <w:ind w:right="200"/>
        <w:spacing w:after="0" w:line="244" w:lineRule="auto"/>
        <w:rPr>
          <w:sz w:val="20"/>
          <w:szCs w:val="20"/>
          <w:color w:val="auto"/>
        </w:rPr>
      </w:pPr>
      <w:r>
        <w:rPr>
          <w:rFonts w:ascii="Arial" w:cs="Arial" w:eastAsia="Arial" w:hAnsi="Arial"/>
          <w:sz w:val="17"/>
          <w:szCs w:val="17"/>
          <w:color w:val="auto"/>
        </w:rPr>
        <w:t>Participation in the Severance Plan requires compliance with certain customary confidentiality, non-disparagement, non-competition, and non-solicitation provisions, and participants are required to execute a release of claims against the Company to receive the severance benefits (unless we waive such requirement).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Under the CIC Severance Plan:</w:t>
      </w:r>
    </w:p>
    <w:p>
      <w:pPr>
        <w:spacing w:after="0" w:line="92" w:lineRule="exact"/>
        <w:rPr>
          <w:sz w:val="20"/>
          <w:szCs w:val="20"/>
          <w:color w:val="auto"/>
        </w:rPr>
      </w:pPr>
    </w:p>
    <w:p>
      <w:pPr>
        <w:ind w:left="620" w:right="140" w:hanging="294"/>
        <w:spacing w:after="0" w:line="266" w:lineRule="auto"/>
        <w:tabs>
          <w:tab w:leader="none" w:pos="620" w:val="left"/>
        </w:tabs>
        <w:numPr>
          <w:ilvl w:val="0"/>
          <w:numId w:val="53"/>
        </w:numPr>
        <w:rPr>
          <w:rFonts w:ascii="Times New Roman" w:cs="Times New Roman" w:eastAsia="Times New Roman" w:hAnsi="Times New Roman"/>
          <w:sz w:val="16"/>
          <w:szCs w:val="16"/>
          <w:color w:val="3C578C"/>
        </w:rPr>
      </w:pPr>
      <w:r>
        <w:rPr>
          <w:rFonts w:ascii="Arial" w:cs="Arial" w:eastAsia="Arial" w:hAnsi="Arial"/>
          <w:sz w:val="16"/>
          <w:szCs w:val="16"/>
          <w:color w:val="auto"/>
        </w:rPr>
        <w:t>“Good reason” means (1) a material diminution of the participant’s duties, authorities or responsibilities; (2) a material reduction in the participant’s base salary or incentive opportunity (other than broad-based reductions applicable to all executives); (3) certain relocations of the participant’s primary workplace; and (4) our material breach of the Severance Plan.</w:t>
      </w:r>
    </w:p>
    <w:p>
      <w:pPr>
        <w:spacing w:after="0" w:line="49" w:lineRule="exact"/>
        <w:rPr>
          <w:rFonts w:ascii="Times New Roman" w:cs="Times New Roman" w:eastAsia="Times New Roman" w:hAnsi="Times New Roman"/>
          <w:sz w:val="16"/>
          <w:szCs w:val="16"/>
          <w:color w:val="3C578C"/>
        </w:rPr>
      </w:pPr>
    </w:p>
    <w:p>
      <w:pPr>
        <w:ind w:left="620" w:right="20" w:hanging="294"/>
        <w:spacing w:after="0" w:line="253" w:lineRule="auto"/>
        <w:tabs>
          <w:tab w:leader="none" w:pos="620" w:val="left"/>
        </w:tabs>
        <w:numPr>
          <w:ilvl w:val="0"/>
          <w:numId w:val="53"/>
        </w:numPr>
        <w:rPr>
          <w:rFonts w:ascii="Times New Roman" w:cs="Times New Roman" w:eastAsia="Times New Roman" w:hAnsi="Times New Roman"/>
          <w:sz w:val="16"/>
          <w:szCs w:val="16"/>
          <w:color w:val="3C578C"/>
        </w:rPr>
      </w:pPr>
      <w:r>
        <w:rPr>
          <w:rFonts w:ascii="Arial" w:cs="Arial" w:eastAsia="Arial" w:hAnsi="Arial"/>
          <w:sz w:val="16"/>
          <w:szCs w:val="16"/>
          <w:color w:val="auto"/>
        </w:rPr>
        <w:t>“Termination without cause” means a termination of employment initiated by us other than due to the participant’s death, disability, or the occurrence of the following events: (1) the participant’s misappropriation of Company assets; (2) the participant’s conviction of a felony or commission of any act of moral turpitude, dishonesty, or fraud; (3) the participant’s failure to perform the lawful instructions of the participant’s superior; (4) the participant’s willful or gross misconduct which could reasonably be expected to be materially injurious to the Company; (5) the participant’s violation of a material Company policy; or (6) the participant’s material breach by the Participant of a material obligation under the Severance Plan.</w:t>
      </w:r>
    </w:p>
    <w:p>
      <w:pPr>
        <w:spacing w:after="0" w:line="60" w:lineRule="exact"/>
        <w:rPr>
          <w:rFonts w:ascii="Times New Roman" w:cs="Times New Roman" w:eastAsia="Times New Roman" w:hAnsi="Times New Roman"/>
          <w:sz w:val="16"/>
          <w:szCs w:val="16"/>
          <w:color w:val="3C578C"/>
        </w:rPr>
      </w:pPr>
    </w:p>
    <w:p>
      <w:pPr>
        <w:jc w:val="both"/>
        <w:ind w:left="620" w:right="140" w:hanging="294"/>
        <w:spacing w:after="0" w:line="259" w:lineRule="auto"/>
        <w:tabs>
          <w:tab w:leader="none" w:pos="666" w:val="left"/>
        </w:tabs>
        <w:numPr>
          <w:ilvl w:val="0"/>
          <w:numId w:val="53"/>
        </w:numPr>
        <w:rPr>
          <w:rFonts w:ascii="Times New Roman" w:cs="Times New Roman" w:eastAsia="Times New Roman" w:hAnsi="Times New Roman"/>
          <w:sz w:val="16"/>
          <w:szCs w:val="16"/>
          <w:color w:val="3C578C"/>
        </w:rPr>
      </w:pPr>
      <w:r>
        <w:rPr>
          <w:rFonts w:ascii="Arial" w:cs="Arial" w:eastAsia="Arial" w:hAnsi="Arial"/>
          <w:sz w:val="16"/>
          <w:szCs w:val="16"/>
          <w:color w:val="auto"/>
        </w:rPr>
        <w:t>A “change in control” is defined as the occurrence of any the following: any person becoming the beneficial owner of 50% or more of our outstanding common stock or voting securities; certain changes in the majority of our Board of Directors that are not approved by a super-majority of the incumbent directors; the consummation of certain mergers or similar transactions or sales of all or substantially all of our assets; and approval by our stockholders of a complete liquidation or dissolution.</w:t>
      </w: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Changes to Executive Compensation Program for 2024</w:t>
      </w:r>
    </w:p>
    <w:p>
      <w:pPr>
        <w:spacing w:after="0" w:line="90" w:lineRule="exact"/>
        <w:rPr>
          <w:sz w:val="20"/>
          <w:szCs w:val="20"/>
          <w:color w:val="auto"/>
        </w:rPr>
      </w:pPr>
    </w:p>
    <w:p>
      <w:pPr>
        <w:ind w:right="180"/>
        <w:spacing w:after="0" w:line="247" w:lineRule="auto"/>
        <w:rPr>
          <w:sz w:val="20"/>
          <w:szCs w:val="20"/>
          <w:color w:val="auto"/>
        </w:rPr>
      </w:pPr>
      <w:r>
        <w:rPr>
          <w:rFonts w:ascii="Arial" w:cs="Arial" w:eastAsia="Arial" w:hAnsi="Arial"/>
          <w:sz w:val="16"/>
          <w:szCs w:val="16"/>
          <w:color w:val="auto"/>
        </w:rPr>
        <w:t>During 2023 and early 2024, our Compensation Committee considered, with the help of Meridian, potential changes to our executive compensation program with the goal of aligning our pay program with current industry best practices and the pay programs of our newly established peer group (as shown below) with whom we compete for talent, as well as continuing to align our executives’ interests with those of our shareholders. Additionally, we have a limited number of senior officers of the company, with our NEOs taking on hybrid roles consisting of multiple functions and added responsibilities. The compensation-related decisions noted below were intended to continue to motivate strong company performance during a time of rapid growth and retain our highly sought after talent. As a result of these discussions, we made the following changes to our executive pay program for 2024:</w:t>
      </w:r>
    </w:p>
    <w:p>
      <w:pPr>
        <w:spacing w:after="0" w:line="3" w:lineRule="exact"/>
        <w:rPr>
          <w:sz w:val="20"/>
          <w:szCs w:val="20"/>
          <w:color w:val="auto"/>
        </w:rPr>
      </w:pPr>
    </w:p>
    <w:p>
      <w:pPr>
        <w:ind w:left="620" w:right="440" w:hanging="294"/>
        <w:spacing w:after="0" w:line="229" w:lineRule="auto"/>
        <w:tabs>
          <w:tab w:leader="none" w:pos="620" w:val="left"/>
        </w:tabs>
        <w:numPr>
          <w:ilvl w:val="0"/>
          <w:numId w:val="54"/>
        </w:numPr>
        <w:rPr>
          <w:rFonts w:ascii="Times New Roman" w:cs="Times New Roman" w:eastAsia="Times New Roman" w:hAnsi="Times New Roman"/>
          <w:sz w:val="17"/>
          <w:szCs w:val="17"/>
          <w:color w:val="3C578C"/>
        </w:rPr>
      </w:pPr>
      <w:r>
        <w:rPr>
          <w:rFonts w:ascii="Arial" w:cs="Arial" w:eastAsia="Arial" w:hAnsi="Arial"/>
          <w:sz w:val="17"/>
          <w:szCs w:val="17"/>
          <w:color w:val="auto"/>
        </w:rPr>
        <w:t>We changed our CEO’s long-term incentive mix from 70% PSUs and 30% RSUs to 75% PSUs and 25% stock options to further tie our CEO’s compensation to shareholder value creation.</w:t>
      </w:r>
    </w:p>
    <w:p>
      <w:pPr>
        <w:spacing w:after="0" w:line="1" w:lineRule="exact"/>
        <w:rPr>
          <w:rFonts w:ascii="Times New Roman" w:cs="Times New Roman" w:eastAsia="Times New Roman" w:hAnsi="Times New Roman"/>
          <w:sz w:val="17"/>
          <w:szCs w:val="17"/>
          <w:color w:val="3C578C"/>
        </w:rPr>
      </w:pPr>
    </w:p>
    <w:p>
      <w:pPr>
        <w:ind w:left="620" w:right="360" w:hanging="294"/>
        <w:spacing w:after="0" w:line="229" w:lineRule="auto"/>
        <w:tabs>
          <w:tab w:leader="none" w:pos="620" w:val="left"/>
        </w:tabs>
        <w:numPr>
          <w:ilvl w:val="0"/>
          <w:numId w:val="54"/>
        </w:numPr>
        <w:rPr>
          <w:rFonts w:ascii="Times New Roman" w:cs="Times New Roman" w:eastAsia="Times New Roman" w:hAnsi="Times New Roman"/>
          <w:sz w:val="17"/>
          <w:szCs w:val="17"/>
          <w:color w:val="3C578C"/>
        </w:rPr>
      </w:pPr>
      <w:r>
        <w:rPr>
          <w:rFonts w:ascii="Arial" w:cs="Arial" w:eastAsia="Arial" w:hAnsi="Arial"/>
          <w:sz w:val="17"/>
          <w:szCs w:val="17"/>
          <w:color w:val="auto"/>
        </w:rPr>
        <w:t>For our other executive officers who will continue to receive RSUs, we updated the vesting period from four years to three years to align with market practice.</w:t>
      </w:r>
    </w:p>
    <w:p>
      <w:pPr>
        <w:spacing w:after="0" w:line="1" w:lineRule="exact"/>
        <w:rPr>
          <w:rFonts w:ascii="Times New Roman" w:cs="Times New Roman" w:eastAsia="Times New Roman" w:hAnsi="Times New Roman"/>
          <w:sz w:val="17"/>
          <w:szCs w:val="17"/>
          <w:color w:val="3C578C"/>
        </w:rPr>
      </w:pPr>
    </w:p>
    <w:p>
      <w:pPr>
        <w:ind w:left="620" w:right="80" w:hanging="294"/>
        <w:spacing w:after="0" w:line="229" w:lineRule="auto"/>
        <w:tabs>
          <w:tab w:leader="none" w:pos="620" w:val="left"/>
        </w:tabs>
        <w:numPr>
          <w:ilvl w:val="0"/>
          <w:numId w:val="54"/>
        </w:numPr>
        <w:rPr>
          <w:rFonts w:ascii="Times New Roman" w:cs="Times New Roman" w:eastAsia="Times New Roman" w:hAnsi="Times New Roman"/>
          <w:sz w:val="17"/>
          <w:szCs w:val="17"/>
          <w:color w:val="3C578C"/>
        </w:rPr>
      </w:pPr>
      <w:r>
        <w:rPr>
          <w:rFonts w:ascii="Arial" w:cs="Arial" w:eastAsia="Arial" w:hAnsi="Arial"/>
          <w:sz w:val="17"/>
          <w:szCs w:val="17"/>
          <w:color w:val="auto"/>
        </w:rPr>
        <w:t>Our PSUs will continue to be based 100% on relative TSR, but we updated the measurement period to be a single three-year performance period (2024-2026) and changed the maximum PSU payout from 150% to 200%, in each case to align with market practice and incentivize our executive team to provide above average long-term shareholder returns.</w:t>
      </w:r>
    </w:p>
    <w:p>
      <w:pPr>
        <w:spacing w:after="0" w:line="2" w:lineRule="exact"/>
        <w:rPr>
          <w:rFonts w:ascii="Times New Roman" w:cs="Times New Roman" w:eastAsia="Times New Roman" w:hAnsi="Times New Roman"/>
          <w:sz w:val="17"/>
          <w:szCs w:val="17"/>
          <w:color w:val="3C578C"/>
        </w:rPr>
      </w:pPr>
    </w:p>
    <w:p>
      <w:pPr>
        <w:ind w:left="620" w:right="60" w:hanging="294"/>
        <w:spacing w:after="0" w:line="229" w:lineRule="auto"/>
        <w:tabs>
          <w:tab w:leader="none" w:pos="620" w:val="left"/>
        </w:tabs>
        <w:numPr>
          <w:ilvl w:val="0"/>
          <w:numId w:val="54"/>
        </w:numPr>
        <w:rPr>
          <w:rFonts w:ascii="Times New Roman" w:cs="Times New Roman" w:eastAsia="Times New Roman" w:hAnsi="Times New Roman"/>
          <w:sz w:val="17"/>
          <w:szCs w:val="17"/>
          <w:color w:val="3C578C"/>
        </w:rPr>
      </w:pPr>
      <w:r>
        <w:rPr>
          <w:rFonts w:ascii="Arial" w:cs="Arial" w:eastAsia="Arial" w:hAnsi="Arial"/>
          <w:sz w:val="17"/>
          <w:szCs w:val="17"/>
          <w:color w:val="auto"/>
        </w:rPr>
        <w:t>Eliminated free cash flow as a metric in our annual incentive plan and instead weighted Revenue and EBITDA equally at 50% to further motivate profitable growth.</w:t>
      </w:r>
    </w:p>
    <w:p>
      <w:pPr>
        <w:spacing w:after="0" w:line="1" w:lineRule="exact"/>
        <w:rPr>
          <w:rFonts w:ascii="Times New Roman" w:cs="Times New Roman" w:eastAsia="Times New Roman" w:hAnsi="Times New Roman"/>
          <w:sz w:val="17"/>
          <w:szCs w:val="17"/>
          <w:color w:val="3C578C"/>
        </w:rPr>
      </w:pPr>
    </w:p>
    <w:p>
      <w:pPr>
        <w:ind w:left="620" w:right="80" w:hanging="294"/>
        <w:spacing w:after="0" w:line="233" w:lineRule="auto"/>
        <w:tabs>
          <w:tab w:leader="none" w:pos="620" w:val="left"/>
        </w:tabs>
        <w:numPr>
          <w:ilvl w:val="0"/>
          <w:numId w:val="54"/>
        </w:numPr>
        <w:rPr>
          <w:rFonts w:ascii="Times New Roman" w:cs="Times New Roman" w:eastAsia="Times New Roman" w:hAnsi="Times New Roman"/>
          <w:sz w:val="17"/>
          <w:szCs w:val="17"/>
          <w:color w:val="3C578C"/>
        </w:rPr>
      </w:pPr>
      <w:r>
        <w:rPr>
          <w:rFonts w:ascii="Arial" w:cs="Arial" w:eastAsia="Arial" w:hAnsi="Arial"/>
          <w:sz w:val="17"/>
          <w:szCs w:val="17"/>
          <w:color w:val="auto"/>
        </w:rPr>
        <w:t>Increased “threshold” payout under our annual incentive plan from 50% of target to 75% of target based on the rigor of our performance goals, as we set our “threshold” goals above our prior year actual results to motivate our executive team to grow the business. This “threshold” performance requirement significantly exceeds 2023 actual results and reflects the desire to continue recent outperformance (i.e., the opportunity to earn a payout for performance that would have resulted in 50-74.99% of target has been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120015</wp:posOffset>
            </wp:positionV>
            <wp:extent cx="483870" cy="2222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14"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left="620" w:right="100" w:hanging="294"/>
        <w:spacing w:after="0" w:line="244" w:lineRule="auto"/>
        <w:tabs>
          <w:tab w:leader="none" w:pos="620" w:val="left"/>
        </w:tabs>
        <w:numPr>
          <w:ilvl w:val="0"/>
          <w:numId w:val="55"/>
        </w:numPr>
        <w:rPr>
          <w:rFonts w:ascii="Times New Roman" w:cs="Times New Roman" w:eastAsia="Times New Roman" w:hAnsi="Times New Roman"/>
          <w:sz w:val="17"/>
          <w:szCs w:val="17"/>
          <w:color w:val="3C578C"/>
        </w:rPr>
      </w:pPr>
      <w:r>
        <w:rPr>
          <w:rFonts w:ascii="Arial" w:cs="Arial" w:eastAsia="Arial" w:hAnsi="Arial"/>
          <w:sz w:val="17"/>
          <w:szCs w:val="17"/>
          <w:color w:val="auto"/>
        </w:rPr>
        <w:t>Increased base salary, target annual bonus, and target long-term incentive grant value for each of our NEOs to position pay more competitively with our new peer group (as shown below) and retain this high performing executive team, which resulted in the following pay values for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680" w:type="dxa"/>
            <w:vAlign w:val="bottom"/>
            <w:tcBorders>
              <w:bottom w:val="single" w:sz="8" w:color="405788"/>
            </w:tcBorders>
          </w:tcPr>
          <w:p>
            <w:pPr>
              <w:spacing w:after="0"/>
              <w:rPr>
                <w:sz w:val="14"/>
                <w:szCs w:val="14"/>
                <w:color w:val="auto"/>
              </w:rPr>
            </w:pPr>
          </w:p>
        </w:tc>
        <w:tc>
          <w:tcPr>
            <w:tcW w:w="2480" w:type="dxa"/>
            <w:vAlign w:val="bottom"/>
            <w:tcBorders>
              <w:bottom w:val="single" w:sz="8" w:color="405788"/>
            </w:tcBorders>
          </w:tcPr>
          <w:p>
            <w:pPr>
              <w:jc w:val="right"/>
              <w:ind w:right="381"/>
              <w:spacing w:after="0"/>
              <w:rPr>
                <w:sz w:val="20"/>
                <w:szCs w:val="20"/>
                <w:color w:val="auto"/>
              </w:rPr>
            </w:pPr>
            <w:r>
              <w:rPr>
                <w:rFonts w:ascii="Arial" w:cs="Arial" w:eastAsia="Arial" w:hAnsi="Arial"/>
                <w:sz w:val="13"/>
                <w:szCs w:val="13"/>
                <w:b w:val="1"/>
                <w:bCs w:val="1"/>
                <w:color w:val="auto"/>
              </w:rPr>
              <w:t>Mr. Gleason</w:t>
            </w:r>
          </w:p>
        </w:tc>
        <w:tc>
          <w:tcPr>
            <w:tcW w:w="1760" w:type="dxa"/>
            <w:vAlign w:val="bottom"/>
            <w:tcBorders>
              <w:bottom w:val="single" w:sz="8" w:color="405788"/>
            </w:tcBorders>
          </w:tcPr>
          <w:p>
            <w:pPr>
              <w:jc w:val="right"/>
              <w:ind w:right="301"/>
              <w:spacing w:after="0"/>
              <w:rPr>
                <w:sz w:val="20"/>
                <w:szCs w:val="20"/>
                <w:color w:val="auto"/>
              </w:rPr>
            </w:pPr>
            <w:r>
              <w:rPr>
                <w:rFonts w:ascii="Arial" w:cs="Arial" w:eastAsia="Arial" w:hAnsi="Arial"/>
                <w:sz w:val="13"/>
                <w:szCs w:val="13"/>
                <w:b w:val="1"/>
                <w:bCs w:val="1"/>
                <w:color w:val="auto"/>
              </w:rPr>
              <w:t>Mr. Johansson</w:t>
            </w:r>
          </w:p>
        </w:tc>
        <w:tc>
          <w:tcPr>
            <w:tcW w:w="1980" w:type="dxa"/>
            <w:vAlign w:val="bottom"/>
            <w:tcBorders>
              <w:bottom w:val="single" w:sz="8" w:color="405788"/>
            </w:tcBorders>
          </w:tcPr>
          <w:p>
            <w:pPr>
              <w:jc w:val="right"/>
              <w:ind w:right="161"/>
              <w:spacing w:after="0"/>
              <w:rPr>
                <w:sz w:val="20"/>
                <w:szCs w:val="20"/>
                <w:color w:val="auto"/>
              </w:rPr>
            </w:pPr>
            <w:r>
              <w:rPr>
                <w:rFonts w:ascii="Arial" w:cs="Arial" w:eastAsia="Arial" w:hAnsi="Arial"/>
                <w:sz w:val="13"/>
                <w:szCs w:val="13"/>
                <w:b w:val="1"/>
                <w:bCs w:val="1"/>
                <w:color w:val="auto"/>
              </w:rPr>
              <w:t>Ms. Watkins-Asiyanbi</w:t>
            </w:r>
          </w:p>
        </w:tc>
      </w:tr>
      <w:tr>
        <w:trPr>
          <w:trHeight w:val="192"/>
        </w:trPr>
        <w:tc>
          <w:tcPr>
            <w:tcW w:w="20" w:type="dxa"/>
            <w:vAlign w:val="bottom"/>
            <w:tcBorders>
              <w:bottom w:val="single" w:sz="8" w:color="D9D9D9"/>
            </w:tcBorders>
          </w:tcPr>
          <w:p>
            <w:pPr>
              <w:spacing w:after="0"/>
              <w:rPr>
                <w:sz w:val="16"/>
                <w:szCs w:val="16"/>
                <w:color w:val="auto"/>
              </w:rPr>
            </w:pPr>
          </w:p>
        </w:tc>
        <w:tc>
          <w:tcPr>
            <w:tcW w:w="36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Base Salary</w:t>
            </w:r>
          </w:p>
        </w:tc>
        <w:tc>
          <w:tcPr>
            <w:tcW w:w="2480" w:type="dxa"/>
            <w:vAlign w:val="bottom"/>
            <w:tcBorders>
              <w:bottom w:val="single" w:sz="8" w:color="D9D9D9"/>
            </w:tcBorders>
          </w:tcPr>
          <w:p>
            <w:pPr>
              <w:jc w:val="right"/>
              <w:ind w:right="381"/>
              <w:spacing w:after="0" w:line="188" w:lineRule="exact"/>
              <w:rPr>
                <w:sz w:val="20"/>
                <w:szCs w:val="20"/>
                <w:color w:val="auto"/>
              </w:rPr>
            </w:pPr>
            <w:r>
              <w:rPr>
                <w:rFonts w:ascii="Arial" w:cs="Arial" w:eastAsia="Arial" w:hAnsi="Arial"/>
                <w:sz w:val="17"/>
                <w:szCs w:val="17"/>
                <w:color w:val="auto"/>
              </w:rPr>
              <w:t>$775,000</w:t>
            </w:r>
          </w:p>
        </w:tc>
        <w:tc>
          <w:tcPr>
            <w:tcW w:w="1760" w:type="dxa"/>
            <w:vAlign w:val="bottom"/>
            <w:tcBorders>
              <w:bottom w:val="single" w:sz="8" w:color="D9D9D9"/>
            </w:tcBorders>
          </w:tcPr>
          <w:p>
            <w:pPr>
              <w:jc w:val="right"/>
              <w:ind w:right="301"/>
              <w:spacing w:after="0" w:line="188" w:lineRule="exact"/>
              <w:rPr>
                <w:sz w:val="20"/>
                <w:szCs w:val="20"/>
                <w:color w:val="auto"/>
              </w:rPr>
            </w:pPr>
            <w:r>
              <w:rPr>
                <w:rFonts w:ascii="Arial" w:cs="Arial" w:eastAsia="Arial" w:hAnsi="Arial"/>
                <w:sz w:val="17"/>
                <w:szCs w:val="17"/>
                <w:color w:val="auto"/>
              </w:rPr>
              <w:t>$450,000</w:t>
            </w:r>
          </w:p>
        </w:tc>
        <w:tc>
          <w:tcPr>
            <w:tcW w:w="1980" w:type="dxa"/>
            <w:vAlign w:val="bottom"/>
            <w:tcBorders>
              <w:bottom w:val="single" w:sz="8" w:color="D9D9D9"/>
            </w:tcBorders>
          </w:tcPr>
          <w:p>
            <w:pPr>
              <w:jc w:val="right"/>
              <w:ind w:right="161"/>
              <w:spacing w:after="0" w:line="188" w:lineRule="exact"/>
              <w:rPr>
                <w:sz w:val="20"/>
                <w:szCs w:val="20"/>
                <w:color w:val="auto"/>
              </w:rPr>
            </w:pPr>
            <w:r>
              <w:rPr>
                <w:rFonts w:ascii="Arial" w:cs="Arial" w:eastAsia="Arial" w:hAnsi="Arial"/>
                <w:sz w:val="17"/>
                <w:szCs w:val="17"/>
                <w:color w:val="auto"/>
              </w:rPr>
              <w:t>$400,000</w:t>
            </w:r>
          </w:p>
        </w:tc>
      </w:tr>
      <w:tr>
        <w:trPr>
          <w:trHeight w:val="192"/>
        </w:trPr>
        <w:tc>
          <w:tcPr>
            <w:tcW w:w="37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Target Bonus (% of Base Salary)</w:t>
            </w:r>
          </w:p>
        </w:tc>
        <w:tc>
          <w:tcPr>
            <w:tcW w:w="2480" w:type="dxa"/>
            <w:vAlign w:val="bottom"/>
            <w:tcBorders>
              <w:bottom w:val="single" w:sz="8" w:color="D9D9D9"/>
            </w:tcBorders>
          </w:tcPr>
          <w:p>
            <w:pPr>
              <w:jc w:val="right"/>
              <w:ind w:right="381"/>
              <w:spacing w:after="0" w:line="188" w:lineRule="exact"/>
              <w:rPr>
                <w:sz w:val="20"/>
                <w:szCs w:val="20"/>
                <w:color w:val="auto"/>
              </w:rPr>
            </w:pPr>
            <w:r>
              <w:rPr>
                <w:rFonts w:ascii="Arial" w:cs="Arial" w:eastAsia="Arial" w:hAnsi="Arial"/>
                <w:sz w:val="17"/>
                <w:szCs w:val="17"/>
                <w:color w:val="auto"/>
              </w:rPr>
              <w:t>125%</w:t>
            </w:r>
          </w:p>
        </w:tc>
        <w:tc>
          <w:tcPr>
            <w:tcW w:w="1760" w:type="dxa"/>
            <w:vAlign w:val="bottom"/>
            <w:tcBorders>
              <w:bottom w:val="single" w:sz="8" w:color="D9D9D9"/>
            </w:tcBorders>
          </w:tcPr>
          <w:p>
            <w:pPr>
              <w:jc w:val="right"/>
              <w:ind w:right="301"/>
              <w:spacing w:after="0" w:line="188" w:lineRule="exact"/>
              <w:rPr>
                <w:sz w:val="20"/>
                <w:szCs w:val="20"/>
                <w:color w:val="auto"/>
              </w:rPr>
            </w:pPr>
            <w:r>
              <w:rPr>
                <w:rFonts w:ascii="Arial" w:cs="Arial" w:eastAsia="Arial" w:hAnsi="Arial"/>
                <w:sz w:val="17"/>
                <w:szCs w:val="17"/>
                <w:color w:val="auto"/>
              </w:rPr>
              <w:t>75%</w:t>
            </w:r>
          </w:p>
        </w:tc>
        <w:tc>
          <w:tcPr>
            <w:tcW w:w="1980" w:type="dxa"/>
            <w:vAlign w:val="bottom"/>
            <w:tcBorders>
              <w:bottom w:val="single" w:sz="8" w:color="D9D9D9"/>
            </w:tcBorders>
          </w:tcPr>
          <w:p>
            <w:pPr>
              <w:jc w:val="right"/>
              <w:ind w:right="161"/>
              <w:spacing w:after="0" w:line="188" w:lineRule="exact"/>
              <w:rPr>
                <w:sz w:val="20"/>
                <w:szCs w:val="20"/>
                <w:color w:val="auto"/>
              </w:rPr>
            </w:pPr>
            <w:r>
              <w:rPr>
                <w:rFonts w:ascii="Arial" w:cs="Arial" w:eastAsia="Arial" w:hAnsi="Arial"/>
                <w:sz w:val="17"/>
                <w:szCs w:val="17"/>
                <w:color w:val="auto"/>
              </w:rPr>
              <w:t>75%</w:t>
            </w:r>
          </w:p>
        </w:tc>
      </w:tr>
      <w:tr>
        <w:trPr>
          <w:trHeight w:val="187"/>
        </w:trPr>
        <w:tc>
          <w:tcPr>
            <w:tcW w:w="3700" w:type="dxa"/>
            <w:vAlign w:val="bottom"/>
            <w:tcBorders>
              <w:bottom w:val="single" w:sz="8" w:color="405788"/>
            </w:tcBorders>
            <w:gridSpan w:val="2"/>
          </w:tcPr>
          <w:p>
            <w:pPr>
              <w:spacing w:after="0" w:line="188" w:lineRule="exact"/>
              <w:rPr>
                <w:sz w:val="20"/>
                <w:szCs w:val="20"/>
                <w:color w:val="auto"/>
              </w:rPr>
            </w:pPr>
            <w:r>
              <w:rPr>
                <w:rFonts w:ascii="Arial" w:cs="Arial" w:eastAsia="Arial" w:hAnsi="Arial"/>
                <w:sz w:val="17"/>
                <w:szCs w:val="17"/>
                <w:color w:val="auto"/>
              </w:rPr>
              <w:t>LTI Target (% of Base Salary)</w:t>
            </w:r>
          </w:p>
        </w:tc>
        <w:tc>
          <w:tcPr>
            <w:tcW w:w="2480" w:type="dxa"/>
            <w:vAlign w:val="bottom"/>
            <w:tcBorders>
              <w:bottom w:val="single" w:sz="8" w:color="405788"/>
            </w:tcBorders>
          </w:tcPr>
          <w:p>
            <w:pPr>
              <w:jc w:val="right"/>
              <w:ind w:right="381"/>
              <w:spacing w:after="0" w:line="188" w:lineRule="exact"/>
              <w:rPr>
                <w:sz w:val="20"/>
                <w:szCs w:val="20"/>
                <w:color w:val="auto"/>
              </w:rPr>
            </w:pPr>
            <w:r>
              <w:rPr>
                <w:rFonts w:ascii="Arial" w:cs="Arial" w:eastAsia="Arial" w:hAnsi="Arial"/>
                <w:sz w:val="17"/>
                <w:szCs w:val="17"/>
                <w:color w:val="auto"/>
              </w:rPr>
              <w:t>280%</w:t>
            </w:r>
          </w:p>
        </w:tc>
        <w:tc>
          <w:tcPr>
            <w:tcW w:w="1760" w:type="dxa"/>
            <w:vAlign w:val="bottom"/>
            <w:tcBorders>
              <w:bottom w:val="single" w:sz="8" w:color="405788"/>
            </w:tcBorders>
          </w:tcPr>
          <w:p>
            <w:pPr>
              <w:jc w:val="right"/>
              <w:ind w:right="301"/>
              <w:spacing w:after="0" w:line="188" w:lineRule="exact"/>
              <w:rPr>
                <w:sz w:val="20"/>
                <w:szCs w:val="20"/>
                <w:color w:val="auto"/>
              </w:rPr>
            </w:pPr>
            <w:r>
              <w:rPr>
                <w:rFonts w:ascii="Arial" w:cs="Arial" w:eastAsia="Arial" w:hAnsi="Arial"/>
                <w:sz w:val="17"/>
                <w:szCs w:val="17"/>
                <w:color w:val="auto"/>
              </w:rPr>
              <w:t>125%</w:t>
            </w:r>
          </w:p>
        </w:tc>
        <w:tc>
          <w:tcPr>
            <w:tcW w:w="1980" w:type="dxa"/>
            <w:vAlign w:val="bottom"/>
            <w:tcBorders>
              <w:bottom w:val="single" w:sz="8" w:color="405788"/>
            </w:tcBorders>
          </w:tcPr>
          <w:p>
            <w:pPr>
              <w:jc w:val="right"/>
              <w:ind w:right="161"/>
              <w:spacing w:after="0" w:line="188" w:lineRule="exact"/>
              <w:rPr>
                <w:sz w:val="20"/>
                <w:szCs w:val="20"/>
                <w:color w:val="auto"/>
              </w:rPr>
            </w:pPr>
            <w:r>
              <w:rPr>
                <w:rFonts w:ascii="Arial" w:cs="Arial" w:eastAsia="Arial" w:hAnsi="Arial"/>
                <w:sz w:val="17"/>
                <w:szCs w:val="17"/>
                <w:color w:val="auto"/>
              </w:rPr>
              <w:t>125%</w:t>
            </w:r>
          </w:p>
        </w:tc>
      </w:tr>
    </w:tbl>
    <w:p>
      <w:pPr>
        <w:spacing w:after="0" w:line="271"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new peer group that Meridian and our Compensation Committee referred to when making the above-mentioned changes is made up of the following companies: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260" w:type="dxa"/>
            <w:vAlign w:val="bottom"/>
            <w:tcBorders>
              <w:top w:val="single" w:sz="8" w:color="405788"/>
              <w:bottom w:val="single" w:sz="8" w:color="D9D9D9"/>
            </w:tcBorders>
          </w:tcPr>
          <w:p>
            <w:pPr>
              <w:spacing w:after="0"/>
              <w:rPr>
                <w:sz w:val="20"/>
                <w:szCs w:val="20"/>
                <w:color w:val="auto"/>
              </w:rPr>
            </w:pPr>
            <w:r>
              <w:rPr>
                <w:rFonts w:ascii="Arial" w:cs="Arial" w:eastAsia="Arial" w:hAnsi="Arial"/>
                <w:sz w:val="17"/>
                <w:szCs w:val="17"/>
                <w:color w:val="auto"/>
              </w:rPr>
              <w:t>Allient Inc.</w:t>
            </w:r>
          </w:p>
        </w:tc>
        <w:tc>
          <w:tcPr>
            <w:tcW w:w="1880" w:type="dxa"/>
            <w:vAlign w:val="bottom"/>
            <w:tcBorders>
              <w:top w:val="single" w:sz="8" w:color="405788"/>
              <w:bottom w:val="single" w:sz="8" w:color="D9D9D9"/>
            </w:tcBorders>
          </w:tcPr>
          <w:p>
            <w:pPr>
              <w:spacing w:after="0"/>
              <w:rPr>
                <w:sz w:val="18"/>
                <w:szCs w:val="18"/>
                <w:color w:val="auto"/>
              </w:rPr>
            </w:pPr>
          </w:p>
        </w:tc>
        <w:tc>
          <w:tcPr>
            <w:tcW w:w="2880" w:type="dxa"/>
            <w:vAlign w:val="bottom"/>
            <w:tcBorders>
              <w:top w:val="single" w:sz="8" w:color="405788"/>
              <w:bottom w:val="single" w:sz="8" w:color="D9D9D9"/>
            </w:tcBorders>
          </w:tcPr>
          <w:p>
            <w:pPr>
              <w:ind w:left="120"/>
              <w:spacing w:after="0"/>
              <w:rPr>
                <w:sz w:val="20"/>
                <w:szCs w:val="20"/>
                <w:color w:val="auto"/>
              </w:rPr>
            </w:pPr>
            <w:r>
              <w:rPr>
                <w:rFonts w:ascii="Arial" w:cs="Arial" w:eastAsia="Arial" w:hAnsi="Arial"/>
                <w:sz w:val="17"/>
                <w:szCs w:val="17"/>
                <w:color w:val="auto"/>
              </w:rPr>
              <w:t>Hudson Technologies Inc.</w:t>
            </w:r>
          </w:p>
        </w:tc>
        <w:tc>
          <w:tcPr>
            <w:tcW w:w="3900" w:type="dxa"/>
            <w:vAlign w:val="bottom"/>
            <w:tcBorders>
              <w:top w:val="single" w:sz="8" w:color="405788"/>
              <w:bottom w:val="single" w:sz="8" w:color="D9D9D9"/>
            </w:tcBorders>
          </w:tcPr>
          <w:p>
            <w:pPr>
              <w:ind w:left="840"/>
              <w:spacing w:after="0"/>
              <w:rPr>
                <w:sz w:val="20"/>
                <w:szCs w:val="20"/>
                <w:color w:val="auto"/>
              </w:rPr>
            </w:pPr>
            <w:r>
              <w:rPr>
                <w:rFonts w:ascii="Arial" w:cs="Arial" w:eastAsia="Arial" w:hAnsi="Arial"/>
                <w:sz w:val="17"/>
                <w:szCs w:val="17"/>
                <w:color w:val="auto"/>
              </w:rPr>
              <w:t>Powell Industries, Inc.</w:t>
            </w:r>
          </w:p>
        </w:tc>
      </w:tr>
      <w:tr>
        <w:trPr>
          <w:trHeight w:val="192"/>
        </w:trPr>
        <w:tc>
          <w:tcPr>
            <w:tcW w:w="12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Ameresco, Inc.</w:t>
            </w:r>
          </w:p>
        </w:tc>
        <w:tc>
          <w:tcPr>
            <w:tcW w:w="1880" w:type="dxa"/>
            <w:vAlign w:val="bottom"/>
            <w:tcBorders>
              <w:bottom w:val="single" w:sz="8" w:color="D9D9D9"/>
            </w:tcBorders>
          </w:tcPr>
          <w:p>
            <w:pPr>
              <w:spacing w:after="0"/>
              <w:rPr>
                <w:sz w:val="16"/>
                <w:szCs w:val="16"/>
                <w:color w:val="auto"/>
              </w:rPr>
            </w:pPr>
          </w:p>
        </w:tc>
        <w:tc>
          <w:tcPr>
            <w:tcW w:w="2880" w:type="dxa"/>
            <w:vAlign w:val="bottom"/>
            <w:tcBorders>
              <w:bottom w:val="single" w:sz="8" w:color="D9D9D9"/>
            </w:tcBorders>
          </w:tcPr>
          <w:p>
            <w:pPr>
              <w:ind w:left="120"/>
              <w:spacing w:after="0" w:line="188" w:lineRule="exact"/>
              <w:rPr>
                <w:sz w:val="20"/>
                <w:szCs w:val="20"/>
                <w:color w:val="auto"/>
              </w:rPr>
            </w:pPr>
            <w:r>
              <w:rPr>
                <w:rFonts w:ascii="Arial" w:cs="Arial" w:eastAsia="Arial" w:hAnsi="Arial"/>
                <w:sz w:val="17"/>
                <w:szCs w:val="17"/>
                <w:color w:val="auto"/>
              </w:rPr>
              <w:t>Kadant Inc.</w:t>
            </w:r>
          </w:p>
        </w:tc>
        <w:tc>
          <w:tcPr>
            <w:tcW w:w="3900" w:type="dxa"/>
            <w:vAlign w:val="bottom"/>
            <w:tcBorders>
              <w:bottom w:val="single" w:sz="8" w:color="D9D9D9"/>
            </w:tcBorders>
          </w:tcPr>
          <w:p>
            <w:pPr>
              <w:ind w:left="840"/>
              <w:spacing w:after="0" w:line="188" w:lineRule="exact"/>
              <w:rPr>
                <w:sz w:val="20"/>
                <w:szCs w:val="20"/>
                <w:color w:val="auto"/>
              </w:rPr>
            </w:pPr>
            <w:r>
              <w:rPr>
                <w:rFonts w:ascii="Arial" w:cs="Arial" w:eastAsia="Arial" w:hAnsi="Arial"/>
                <w:sz w:val="17"/>
                <w:szCs w:val="17"/>
                <w:color w:val="auto"/>
              </w:rPr>
              <w:t>Preformed Line Products Co.</w:t>
            </w:r>
          </w:p>
        </w:tc>
      </w:tr>
      <w:tr>
        <w:trPr>
          <w:trHeight w:val="192"/>
        </w:trPr>
        <w:tc>
          <w:tcPr>
            <w:tcW w:w="12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Argan, Inc.</w:t>
            </w:r>
          </w:p>
        </w:tc>
        <w:tc>
          <w:tcPr>
            <w:tcW w:w="1880" w:type="dxa"/>
            <w:vAlign w:val="bottom"/>
            <w:tcBorders>
              <w:bottom w:val="single" w:sz="8" w:color="D9D9D9"/>
            </w:tcBorders>
          </w:tcPr>
          <w:p>
            <w:pPr>
              <w:spacing w:after="0"/>
              <w:rPr>
                <w:sz w:val="16"/>
                <w:szCs w:val="16"/>
                <w:color w:val="auto"/>
              </w:rPr>
            </w:pPr>
          </w:p>
        </w:tc>
        <w:tc>
          <w:tcPr>
            <w:tcW w:w="2880" w:type="dxa"/>
            <w:vAlign w:val="bottom"/>
            <w:tcBorders>
              <w:bottom w:val="single" w:sz="8" w:color="D9D9D9"/>
            </w:tcBorders>
          </w:tcPr>
          <w:p>
            <w:pPr>
              <w:ind w:left="120"/>
              <w:spacing w:after="0" w:line="188" w:lineRule="exact"/>
              <w:rPr>
                <w:sz w:val="20"/>
                <w:szCs w:val="20"/>
                <w:color w:val="auto"/>
              </w:rPr>
            </w:pPr>
            <w:r>
              <w:rPr>
                <w:rFonts w:ascii="Arial" w:cs="Arial" w:eastAsia="Arial" w:hAnsi="Arial"/>
                <w:sz w:val="17"/>
                <w:szCs w:val="17"/>
                <w:color w:val="auto"/>
              </w:rPr>
              <w:t>L.B. Foster Company</w:t>
            </w:r>
          </w:p>
        </w:tc>
        <w:tc>
          <w:tcPr>
            <w:tcW w:w="3900" w:type="dxa"/>
            <w:vAlign w:val="bottom"/>
            <w:tcBorders>
              <w:bottom w:val="single" w:sz="8" w:color="D9D9D9"/>
            </w:tcBorders>
          </w:tcPr>
          <w:p>
            <w:pPr>
              <w:ind w:left="840"/>
              <w:spacing w:after="0" w:line="188" w:lineRule="exact"/>
              <w:rPr>
                <w:sz w:val="20"/>
                <w:szCs w:val="20"/>
                <w:color w:val="auto"/>
              </w:rPr>
            </w:pPr>
            <w:r>
              <w:rPr>
                <w:rFonts w:ascii="Arial" w:cs="Arial" w:eastAsia="Arial" w:hAnsi="Arial"/>
                <w:sz w:val="17"/>
                <w:szCs w:val="17"/>
                <w:color w:val="auto"/>
              </w:rPr>
              <w:t>Standex International Corporation</w:t>
            </w:r>
          </w:p>
        </w:tc>
      </w:tr>
      <w:tr>
        <w:trPr>
          <w:trHeight w:val="192"/>
        </w:trPr>
        <w:tc>
          <w:tcPr>
            <w:tcW w:w="314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Astec Industries Inc..</w:t>
            </w:r>
          </w:p>
        </w:tc>
        <w:tc>
          <w:tcPr>
            <w:tcW w:w="2880" w:type="dxa"/>
            <w:vAlign w:val="bottom"/>
            <w:tcBorders>
              <w:bottom w:val="single" w:sz="8" w:color="D9D9D9"/>
            </w:tcBorders>
          </w:tcPr>
          <w:p>
            <w:pPr>
              <w:ind w:left="120"/>
              <w:spacing w:after="0" w:line="188" w:lineRule="exact"/>
              <w:rPr>
                <w:sz w:val="20"/>
                <w:szCs w:val="20"/>
                <w:color w:val="auto"/>
              </w:rPr>
            </w:pPr>
            <w:r>
              <w:rPr>
                <w:rFonts w:ascii="Arial" w:cs="Arial" w:eastAsia="Arial" w:hAnsi="Arial"/>
                <w:sz w:val="17"/>
                <w:szCs w:val="17"/>
                <w:color w:val="auto"/>
              </w:rPr>
              <w:t>Lindsay Corporation</w:t>
            </w:r>
          </w:p>
        </w:tc>
        <w:tc>
          <w:tcPr>
            <w:tcW w:w="3900" w:type="dxa"/>
            <w:vAlign w:val="bottom"/>
            <w:tcBorders>
              <w:bottom w:val="single" w:sz="8" w:color="D9D9D9"/>
            </w:tcBorders>
          </w:tcPr>
          <w:p>
            <w:pPr>
              <w:ind w:left="840"/>
              <w:spacing w:after="0" w:line="188" w:lineRule="exact"/>
              <w:rPr>
                <w:sz w:val="20"/>
                <w:szCs w:val="20"/>
                <w:color w:val="auto"/>
              </w:rPr>
            </w:pPr>
            <w:r>
              <w:rPr>
                <w:rFonts w:ascii="Arial" w:cs="Arial" w:eastAsia="Arial" w:hAnsi="Arial"/>
                <w:sz w:val="17"/>
                <w:szCs w:val="17"/>
                <w:color w:val="auto"/>
              </w:rPr>
              <w:t>The Gorman-Rupp Co.</w:t>
            </w:r>
          </w:p>
        </w:tc>
      </w:tr>
      <w:tr>
        <w:trPr>
          <w:trHeight w:val="192"/>
        </w:trPr>
        <w:tc>
          <w:tcPr>
            <w:tcW w:w="314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Babcock &amp; Wilcox Enterprises Inc.</w:t>
            </w:r>
          </w:p>
        </w:tc>
        <w:tc>
          <w:tcPr>
            <w:tcW w:w="2880" w:type="dxa"/>
            <w:vAlign w:val="bottom"/>
            <w:tcBorders>
              <w:bottom w:val="single" w:sz="8" w:color="D9D9D9"/>
            </w:tcBorders>
          </w:tcPr>
          <w:p>
            <w:pPr>
              <w:ind w:left="120"/>
              <w:spacing w:after="0" w:line="188" w:lineRule="exact"/>
              <w:rPr>
                <w:sz w:val="20"/>
                <w:szCs w:val="20"/>
                <w:color w:val="auto"/>
              </w:rPr>
            </w:pPr>
            <w:r>
              <w:rPr>
                <w:rFonts w:ascii="Arial" w:cs="Arial" w:eastAsia="Arial" w:hAnsi="Arial"/>
                <w:sz w:val="17"/>
                <w:szCs w:val="17"/>
                <w:color w:val="auto"/>
              </w:rPr>
              <w:t>Luxfer Holdings PLC</w:t>
            </w:r>
          </w:p>
        </w:tc>
        <w:tc>
          <w:tcPr>
            <w:tcW w:w="3900" w:type="dxa"/>
            <w:vAlign w:val="bottom"/>
            <w:tcBorders>
              <w:bottom w:val="single" w:sz="8" w:color="D9D9D9"/>
            </w:tcBorders>
          </w:tcPr>
          <w:p>
            <w:pPr>
              <w:ind w:left="840"/>
              <w:spacing w:after="0" w:line="188" w:lineRule="exact"/>
              <w:rPr>
                <w:sz w:val="20"/>
                <w:szCs w:val="20"/>
                <w:color w:val="auto"/>
              </w:rPr>
            </w:pPr>
            <w:r>
              <w:rPr>
                <w:rFonts w:ascii="Arial" w:cs="Arial" w:eastAsia="Arial" w:hAnsi="Arial"/>
                <w:sz w:val="17"/>
                <w:szCs w:val="17"/>
                <w:color w:val="auto"/>
              </w:rPr>
              <w:t>Thermon Group Holdings Inc.</w:t>
            </w:r>
          </w:p>
        </w:tc>
      </w:tr>
      <w:tr>
        <w:trPr>
          <w:trHeight w:val="187"/>
        </w:trPr>
        <w:tc>
          <w:tcPr>
            <w:tcW w:w="3140" w:type="dxa"/>
            <w:vAlign w:val="bottom"/>
            <w:tcBorders>
              <w:bottom w:val="single" w:sz="8" w:color="405788"/>
            </w:tcBorders>
            <w:gridSpan w:val="2"/>
          </w:tcPr>
          <w:p>
            <w:pPr>
              <w:spacing w:after="0" w:line="188" w:lineRule="exact"/>
              <w:rPr>
                <w:sz w:val="20"/>
                <w:szCs w:val="20"/>
                <w:color w:val="auto"/>
              </w:rPr>
            </w:pPr>
            <w:r>
              <w:rPr>
                <w:rFonts w:ascii="Arial" w:cs="Arial" w:eastAsia="Arial" w:hAnsi="Arial"/>
                <w:sz w:val="17"/>
                <w:szCs w:val="17"/>
                <w:color w:val="auto"/>
              </w:rPr>
              <w:t>ESCO Technologies, Inc.</w:t>
            </w:r>
          </w:p>
        </w:tc>
        <w:tc>
          <w:tcPr>
            <w:tcW w:w="2880" w:type="dxa"/>
            <w:vAlign w:val="bottom"/>
            <w:tcBorders>
              <w:bottom w:val="single" w:sz="8" w:color="405788"/>
            </w:tcBorders>
          </w:tcPr>
          <w:p>
            <w:pPr>
              <w:ind w:left="120"/>
              <w:spacing w:after="0" w:line="188" w:lineRule="exact"/>
              <w:rPr>
                <w:sz w:val="20"/>
                <w:szCs w:val="20"/>
                <w:color w:val="auto"/>
              </w:rPr>
            </w:pPr>
            <w:r>
              <w:rPr>
                <w:rFonts w:ascii="Arial" w:cs="Arial" w:eastAsia="Arial" w:hAnsi="Arial"/>
                <w:sz w:val="17"/>
                <w:szCs w:val="17"/>
                <w:color w:val="auto"/>
              </w:rPr>
              <w:t>Northwest Pipe Company</w:t>
            </w:r>
          </w:p>
        </w:tc>
        <w:tc>
          <w:tcPr>
            <w:tcW w:w="3900" w:type="dxa"/>
            <w:vAlign w:val="bottom"/>
            <w:tcBorders>
              <w:bottom w:val="single" w:sz="8" w:color="405788"/>
            </w:tcBorders>
          </w:tcPr>
          <w:p>
            <w:pPr>
              <w:ind w:left="840"/>
              <w:spacing w:after="0" w:line="188" w:lineRule="exact"/>
              <w:rPr>
                <w:sz w:val="20"/>
                <w:szCs w:val="20"/>
                <w:color w:val="auto"/>
              </w:rPr>
            </w:pPr>
            <w:r>
              <w:rPr>
                <w:rFonts w:ascii="Arial" w:cs="Arial" w:eastAsia="Arial" w:hAnsi="Arial"/>
                <w:sz w:val="17"/>
                <w:szCs w:val="17"/>
                <w:color w:val="auto"/>
              </w:rPr>
              <w:t>Vishay Precision Group Inc</w:t>
            </w:r>
          </w:p>
        </w:tc>
      </w:tr>
      <w:tr>
        <w:trPr>
          <w:trHeight w:val="844"/>
        </w:trPr>
        <w:tc>
          <w:tcPr>
            <w:tcW w:w="1260" w:type="dxa"/>
            <w:vAlign w:val="bottom"/>
          </w:tcPr>
          <w:p>
            <w:pPr>
              <w:spacing w:after="0"/>
              <w:rPr>
                <w:sz w:val="20"/>
                <w:szCs w:val="20"/>
                <w:color w:val="auto"/>
              </w:rPr>
            </w:pPr>
            <w:r>
              <w:rPr>
                <w:rFonts w:ascii="Arial" w:cs="Arial" w:eastAsia="Arial" w:hAnsi="Arial"/>
                <w:sz w:val="17"/>
                <w:szCs w:val="17"/>
                <w:color w:val="7F7F7F"/>
              </w:rPr>
              <w:t>30</w:t>
            </w:r>
          </w:p>
        </w:tc>
        <w:tc>
          <w:tcPr>
            <w:tcW w:w="1880" w:type="dxa"/>
            <w:vAlign w:val="bottom"/>
          </w:tcPr>
          <w:p>
            <w:pPr>
              <w:ind w:left="140"/>
              <w:spacing w:after="0"/>
              <w:rPr>
                <w:sz w:val="20"/>
                <w:szCs w:val="20"/>
                <w:color w:val="auto"/>
              </w:rPr>
            </w:pPr>
            <w:r>
              <w:rPr>
                <w:rFonts w:ascii="Arial" w:cs="Arial" w:eastAsia="Arial" w:hAnsi="Arial"/>
                <w:sz w:val="17"/>
                <w:szCs w:val="17"/>
                <w:color w:val="7F7F7F"/>
              </w:rPr>
              <w:t>2024 Proxy Statement</w:t>
            </w:r>
          </w:p>
        </w:tc>
        <w:tc>
          <w:tcPr>
            <w:tcW w:w="288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590"/>
        </w:trPr>
        <w:tc>
          <w:tcPr>
            <w:tcW w:w="12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-562610</wp:posOffset>
            </wp:positionV>
            <wp:extent cx="476250" cy="2222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6250" cy="222250"/>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Ownership Guidelines</w:t>
      </w:r>
    </w:p>
    <w:p>
      <w:pPr>
        <w:spacing w:after="0" w:line="90"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color w:val="auto"/>
        </w:rPr>
        <w:t>To reinforce the alignment of our executive officers’ long-term financial interests with the interests of our stockholders, we require our executive officers to own shares of our common stock having values equal to the applicable multiple of base salary set forth in the table below:</w:t>
      </w:r>
    </w:p>
    <w:p>
      <w:pPr>
        <w:spacing w:after="0" w:line="188" w:lineRule="exact"/>
        <w:rPr>
          <w:sz w:val="20"/>
          <w:szCs w:val="20"/>
          <w:color w:val="auto"/>
        </w:rPr>
      </w:pPr>
    </w:p>
    <w:tbl>
      <w:tblPr>
        <w:tblLayout w:type="fixed"/>
        <w:tblInd w:w="1240" w:type="dxa"/>
        <w:tblCellMar>
          <w:top w:w="0" w:type="dxa"/>
          <w:left w:w="0" w:type="dxa"/>
          <w:bottom w:w="0" w:type="dxa"/>
          <w:right w:w="0" w:type="dxa"/>
        </w:tblCellMar>
      </w:tblPr>
      <w:tr>
        <w:trPr>
          <w:trHeight w:val="150"/>
        </w:trPr>
        <w:tc>
          <w:tcPr>
            <w:tcW w:w="4680" w:type="dxa"/>
            <w:vAlign w:val="bottom"/>
          </w:tcPr>
          <w:p>
            <w:pPr>
              <w:spacing w:after="0"/>
              <w:rPr>
                <w:sz w:val="13"/>
                <w:szCs w:val="13"/>
                <w:color w:val="auto"/>
              </w:rPr>
            </w:pPr>
          </w:p>
        </w:tc>
        <w:tc>
          <w:tcPr>
            <w:tcW w:w="2760" w:type="dxa"/>
            <w:vAlign w:val="bottom"/>
          </w:tcPr>
          <w:p>
            <w:pPr>
              <w:jc w:val="right"/>
              <w:spacing w:after="0"/>
              <w:rPr>
                <w:sz w:val="20"/>
                <w:szCs w:val="20"/>
                <w:color w:val="auto"/>
              </w:rPr>
            </w:pPr>
            <w:r>
              <w:rPr>
                <w:rFonts w:ascii="Arial" w:cs="Arial" w:eastAsia="Arial" w:hAnsi="Arial"/>
                <w:sz w:val="13"/>
                <w:szCs w:val="13"/>
                <w:b w:val="1"/>
                <w:bCs w:val="1"/>
                <w:color w:val="auto"/>
              </w:rPr>
              <w:t>Ownership</w:t>
            </w:r>
          </w:p>
        </w:tc>
      </w:tr>
      <w:tr>
        <w:trPr>
          <w:trHeight w:val="150"/>
        </w:trPr>
        <w:tc>
          <w:tcPr>
            <w:tcW w:w="4680" w:type="dxa"/>
            <w:vAlign w:val="bottom"/>
          </w:tcPr>
          <w:p>
            <w:pPr>
              <w:spacing w:after="0"/>
              <w:rPr>
                <w:sz w:val="13"/>
                <w:szCs w:val="13"/>
                <w:color w:val="auto"/>
              </w:rPr>
            </w:pPr>
          </w:p>
        </w:tc>
        <w:tc>
          <w:tcPr>
            <w:tcW w:w="2760" w:type="dxa"/>
            <w:vAlign w:val="bottom"/>
          </w:tcPr>
          <w:p>
            <w:pPr>
              <w:jc w:val="right"/>
              <w:spacing w:after="0"/>
              <w:rPr>
                <w:sz w:val="20"/>
                <w:szCs w:val="20"/>
                <w:color w:val="auto"/>
              </w:rPr>
            </w:pPr>
            <w:r>
              <w:rPr>
                <w:rFonts w:ascii="Arial" w:cs="Arial" w:eastAsia="Arial" w:hAnsi="Arial"/>
                <w:sz w:val="13"/>
                <w:szCs w:val="13"/>
                <w:b w:val="1"/>
                <w:bCs w:val="1"/>
                <w:color w:val="auto"/>
              </w:rPr>
              <w:t>Requirement</w:t>
            </w:r>
          </w:p>
        </w:tc>
      </w:tr>
      <w:tr>
        <w:trPr>
          <w:trHeight w:val="150"/>
        </w:trPr>
        <w:tc>
          <w:tcPr>
            <w:tcW w:w="4680" w:type="dxa"/>
            <w:vAlign w:val="bottom"/>
          </w:tcPr>
          <w:p>
            <w:pPr>
              <w:spacing w:after="0"/>
              <w:rPr>
                <w:sz w:val="13"/>
                <w:szCs w:val="13"/>
                <w:color w:val="auto"/>
              </w:rPr>
            </w:pPr>
          </w:p>
        </w:tc>
        <w:tc>
          <w:tcPr>
            <w:tcW w:w="2760" w:type="dxa"/>
            <w:vAlign w:val="bottom"/>
          </w:tcPr>
          <w:p>
            <w:pPr>
              <w:jc w:val="right"/>
              <w:spacing w:after="0"/>
              <w:rPr>
                <w:sz w:val="20"/>
                <w:szCs w:val="20"/>
                <w:color w:val="auto"/>
              </w:rPr>
            </w:pPr>
            <w:r>
              <w:rPr>
                <w:rFonts w:ascii="Arial" w:cs="Arial" w:eastAsia="Arial" w:hAnsi="Arial"/>
                <w:sz w:val="13"/>
                <w:szCs w:val="13"/>
                <w:b w:val="1"/>
                <w:bCs w:val="1"/>
                <w:color w:val="auto"/>
              </w:rPr>
              <w:t>(Multiple of</w:t>
            </w:r>
          </w:p>
        </w:tc>
      </w:tr>
      <w:tr>
        <w:trPr>
          <w:trHeight w:val="163"/>
        </w:trPr>
        <w:tc>
          <w:tcPr>
            <w:tcW w:w="46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276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base salary)</w:t>
            </w:r>
          </w:p>
        </w:tc>
      </w:tr>
      <w:tr>
        <w:trPr>
          <w:trHeight w:val="192"/>
        </w:trPr>
        <w:tc>
          <w:tcPr>
            <w:tcW w:w="46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Chief Executive Officer</w:t>
            </w:r>
          </w:p>
        </w:tc>
        <w:tc>
          <w:tcPr>
            <w:tcW w:w="27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5X</w:t>
            </w:r>
          </w:p>
        </w:tc>
      </w:tr>
      <w:tr>
        <w:trPr>
          <w:trHeight w:val="192"/>
        </w:trPr>
        <w:tc>
          <w:tcPr>
            <w:tcW w:w="46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Chief Financial and Strategy Officer</w:t>
            </w:r>
          </w:p>
        </w:tc>
        <w:tc>
          <w:tcPr>
            <w:tcW w:w="27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3X</w:t>
            </w:r>
          </w:p>
        </w:tc>
      </w:tr>
      <w:tr>
        <w:trPr>
          <w:trHeight w:val="192"/>
        </w:trPr>
        <w:tc>
          <w:tcPr>
            <w:tcW w:w="46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Chief Administrative and Legal Officer</w:t>
            </w:r>
          </w:p>
        </w:tc>
        <w:tc>
          <w:tcPr>
            <w:tcW w:w="27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3X</w:t>
            </w:r>
          </w:p>
        </w:tc>
      </w:tr>
      <w:tr>
        <w:trPr>
          <w:trHeight w:val="187"/>
        </w:trPr>
        <w:tc>
          <w:tcPr>
            <w:tcW w:w="46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Other Executives Officers</w:t>
            </w:r>
          </w:p>
        </w:tc>
        <w:tc>
          <w:tcPr>
            <w:tcW w:w="27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1X</w:t>
            </w:r>
          </w:p>
        </w:tc>
      </w:tr>
    </w:tbl>
    <w:p>
      <w:pPr>
        <w:spacing w:after="0" w:line="96"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executive officers have five years after becoming subject to these guidelines to achieve the stock ownership required. Our Compensation Committee in its discretion may extend the period of time for attainment of such ownership levels in appropriate circumstances. For purposes of this requirement, stock ownership includes all shares of our common stock owned by the named executive officer directly or held in trust for the executive or the executive’s immediate family. In addition, restricted stock and RSUs are also included in determining whether the required level of ownership has been attained. For purposes of the stock ownership requirements, the value of a share is measured as the greater of the then current market price or the closing price of a share of the common stock on the grant date. As of December 31, 2023, Mr. Gleason, who has served as our CEO only since July 2020 had achieved this goal; Mr. Johansson, who has served as our CFO only since August 2022 and Ms. Watkins-Asiyanbi who has served as our Chief Administrative and Legal Officer since August 2022, were not yet in compliance with their stock ownership requirements, but both are still within the applicable five-year compliance period.</w:t>
      </w:r>
    </w:p>
    <w:p>
      <w:pPr>
        <w:spacing w:after="0" w:line="69"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Our executive officers are prohibited under our Insider Trading Policy from engaging in certain transaction in our securities, including short sales against the box, buying or selling puts or calls and frequent trading to take advantage of fluctuations in stock price. Our Insider Trading Policy is described in the “Insider Trading Policy” paragraph under “Our Board and Its Committees” section above.</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Clawback Policy</w:t>
      </w:r>
    </w:p>
    <w:p>
      <w:pPr>
        <w:spacing w:after="0" w:line="90"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During 2023, we adopted an updated compensation recovery policy (the “Clawback Policy”) governing the recovery of erroneously awarded incentive-based compensation consistent with the requirements of the SEC and NASDAQ. The Clawback Policy replaced our existing compensation recovery policy and provides that, if we are required to prepare a qualifying accounting restatement, then, unless an exception applies, we will recover the excess of (1) the amount of incentive-based compensation received by a person who served as a covered officer at any time during the applicable performance period during the three completed years immediately preceding the date we are required to prepare the accounting restatement over (2) the amount that would have been received had it been determined based on the restated financials.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Considerations in our Compensation Program</w:t>
      </w:r>
    </w:p>
    <w:p>
      <w:pPr>
        <w:spacing w:after="0" w:line="9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Our executive compensation consists of both fixed and variable compensation. The fixed (or salary) portion of compensation is designed to provide a steady income so our executive officers are not pressured to focus exclusively on short-term gains, which may be detrimental to long-term stock price appreciation and other business metrics. The variable portions of compensation consist of cash incentives or discretionary cash bonuses and long-term equity incentives (time-based RSUs and PRSUs). In a typical year, incentive compensation is generally tied to the achievement of corporate performance goals based on metrics established by our Compensation Committee. For 2023, we used a Relative TSR goal for long-term equity incentives. We believe that the variable components of compensation motivate our executive officers to produce short- and long-term corporate results while the fixed element of compensation helps provide security so that management is not encouraged to take unnecessary or excessive risks in working to produce such results. Periodically, our Compensation Committee conducts a risk review of the compensation programs for all employees, including our named executive officers. In 2023, a market pay analysis study was conducted, and following discussions held in Compensation Committee meetings that addressed risks associated with our plans and metrics, we believe our compensation policies and practices do not create risks that are reasonably likely to have a material adverse effect on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244475</wp:posOffset>
            </wp:positionV>
            <wp:extent cx="483870" cy="2222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Conclusion</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We recognize the importance of attracting, motivating, retaining and rewarding executive talent who can effectively lead our business. Our Compensation Committee continues to analyze and adjust our compensation programs to emphasize the alignment of our named executive officers’ interests with the long-term interests of our stockholders. It seeks to incentivize our named executive officers to maximize our Company’s performance and reward them for their achievements. With the various components of our executive compensation programs, our Compensation Committee seeks a balance between fixed and at-risk compensation, cash and equity, and short-term and long-term rewards with the ultimate objective of creating long-term value for our stockholders.</w:t>
      </w:r>
    </w:p>
    <w:p>
      <w:pPr>
        <w:spacing w:after="0" w:line="200" w:lineRule="exact"/>
        <w:rPr>
          <w:sz w:val="20"/>
          <w:szCs w:val="20"/>
          <w:color w:val="auto"/>
        </w:rPr>
      </w:pPr>
    </w:p>
    <w:p>
      <w:pPr>
        <w:spacing w:after="0" w:line="340"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32</w:t>
      </w:r>
      <w:r>
        <w:rPr>
          <w:sz w:val="20"/>
          <w:szCs w:val="20"/>
          <w:color w:val="auto"/>
        </w:rPr>
        <w:tab/>
      </w:r>
      <w:r>
        <w:rPr>
          <w:sz w:val="1"/>
          <w:szCs w:val="1"/>
          <w:color w:val="auto"/>
        </w:rPr>
        <w:drawing>
          <wp:inline distT="0" distB="0" distL="0" distR="0">
            <wp:extent cx="476250" cy="22225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860"/>
          </w:cols>
          <w:pgMar w:left="980" w:top="485" w:right="105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Compensation Committee Report</w:t>
      </w:r>
    </w:p>
    <w:p>
      <w:pPr>
        <w:spacing w:after="0" w:line="9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The Compensation Committee has reviewed and discussed the foregoing Compensation Discussion and Analysis with management. Based on this review and discussion, the Compensation Committee recommended to the Board of Directors that the Compensation Discussion and Analysis be included in this Proxy Statement and, by incorporation by reference, in the Company’s Annual Report on Form 10-K for the fiscal year ended December 31, 2023.</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This report is submitted on behalf of the members of the Compensation Committee: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Robert F. Knowling, Jr., Chair</w:t>
      </w:r>
    </w:p>
    <w:p>
      <w:pPr>
        <w:spacing w:after="0"/>
        <w:rPr>
          <w:sz w:val="20"/>
          <w:szCs w:val="20"/>
          <w:color w:val="auto"/>
        </w:rPr>
      </w:pPr>
      <w:r>
        <w:rPr>
          <w:rFonts w:ascii="Arial" w:cs="Arial" w:eastAsia="Arial" w:hAnsi="Arial"/>
          <w:sz w:val="17"/>
          <w:szCs w:val="17"/>
          <w:color w:val="auto"/>
        </w:rPr>
        <w:t>Claudio Mannarino</w:t>
      </w:r>
    </w:p>
    <w:p>
      <w:pPr>
        <w:spacing w:after="0" w:line="230" w:lineRule="auto"/>
        <w:rPr>
          <w:sz w:val="20"/>
          <w:szCs w:val="20"/>
          <w:color w:val="auto"/>
        </w:rPr>
      </w:pPr>
      <w:r>
        <w:rPr>
          <w:rFonts w:ascii="Arial" w:cs="Arial" w:eastAsia="Arial" w:hAnsi="Arial"/>
          <w:sz w:val="17"/>
          <w:szCs w:val="17"/>
          <w:color w:val="auto"/>
        </w:rPr>
        <w:t>Valerie Gentile Sachs</w:t>
      </w:r>
    </w:p>
    <w:p>
      <w:pPr>
        <w:spacing w:after="0"/>
        <w:rPr>
          <w:sz w:val="20"/>
          <w:szCs w:val="20"/>
          <w:color w:val="auto"/>
        </w:rPr>
      </w:pPr>
      <w:r>
        <w:rPr>
          <w:rFonts w:ascii="Arial" w:cs="Arial" w:eastAsia="Arial" w:hAnsi="Arial"/>
          <w:sz w:val="17"/>
          <w:szCs w:val="17"/>
          <w:color w:val="auto"/>
        </w:rPr>
        <w:t>Laurie Siegel</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2023 Summary Compensation Table</w:t>
      </w:r>
    </w:p>
    <w:p>
      <w:pPr>
        <w:spacing w:after="0" w:line="92"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The following table summarizes compensation earned by each of our named executives during the fiscal years indicated. To understand the table below, we encourage a careful reading of the footnotes, which explain the various assumptions and calculations employed in determining the dollar amounts set forth below.</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40" w:type="dxa"/>
            <w:vAlign w:val="bottom"/>
          </w:tcPr>
          <w:p>
            <w:pPr>
              <w:jc w:val="right"/>
              <w:ind w:right="90"/>
              <w:spacing w:after="0"/>
              <w:rPr>
                <w:sz w:val="20"/>
                <w:szCs w:val="20"/>
                <w:color w:val="auto"/>
              </w:rPr>
            </w:pPr>
            <w:r>
              <w:rPr>
                <w:rFonts w:ascii="Arial" w:cs="Arial" w:eastAsia="Arial" w:hAnsi="Arial"/>
                <w:sz w:val="15"/>
                <w:szCs w:val="15"/>
                <w:b w:val="1"/>
                <w:bCs w:val="1"/>
                <w:color w:val="auto"/>
              </w:rPr>
              <w:t>Non-Equity</w:t>
            </w:r>
          </w:p>
        </w:tc>
        <w:tc>
          <w:tcPr>
            <w:tcW w:w="14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jc w:val="right"/>
              <w:ind w:right="151"/>
              <w:spacing w:after="0"/>
              <w:rPr>
                <w:sz w:val="20"/>
                <w:szCs w:val="20"/>
                <w:color w:val="auto"/>
              </w:rPr>
            </w:pPr>
            <w:r>
              <w:rPr>
                <w:rFonts w:ascii="Arial" w:cs="Arial" w:eastAsia="Arial" w:hAnsi="Arial"/>
                <w:sz w:val="15"/>
                <w:szCs w:val="15"/>
                <w:b w:val="1"/>
                <w:bCs w:val="1"/>
                <w:color w:val="auto"/>
              </w:rPr>
              <w:t>Stock</w:t>
            </w:r>
          </w:p>
        </w:tc>
        <w:tc>
          <w:tcPr>
            <w:tcW w:w="920" w:type="dxa"/>
            <w:vAlign w:val="bottom"/>
          </w:tcPr>
          <w:p>
            <w:pPr>
              <w:jc w:val="right"/>
              <w:ind w:right="71"/>
              <w:spacing w:after="0"/>
              <w:rPr>
                <w:sz w:val="20"/>
                <w:szCs w:val="20"/>
                <w:color w:val="auto"/>
              </w:rPr>
            </w:pPr>
            <w:r>
              <w:rPr>
                <w:rFonts w:ascii="Arial" w:cs="Arial" w:eastAsia="Arial" w:hAnsi="Arial"/>
                <w:sz w:val="15"/>
                <w:szCs w:val="15"/>
                <w:b w:val="1"/>
                <w:bCs w:val="1"/>
                <w:color w:val="auto"/>
              </w:rPr>
              <w:t>Option</w:t>
            </w:r>
          </w:p>
        </w:tc>
        <w:tc>
          <w:tcPr>
            <w:tcW w:w="1340" w:type="dxa"/>
            <w:vAlign w:val="bottom"/>
          </w:tcPr>
          <w:p>
            <w:pPr>
              <w:jc w:val="right"/>
              <w:ind w:right="90"/>
              <w:spacing w:after="0"/>
              <w:rPr>
                <w:sz w:val="20"/>
                <w:szCs w:val="20"/>
                <w:color w:val="auto"/>
              </w:rPr>
            </w:pPr>
            <w:r>
              <w:rPr>
                <w:rFonts w:ascii="Arial" w:cs="Arial" w:eastAsia="Arial" w:hAnsi="Arial"/>
                <w:sz w:val="15"/>
                <w:szCs w:val="15"/>
                <w:b w:val="1"/>
                <w:bCs w:val="1"/>
                <w:color w:val="auto"/>
              </w:rPr>
              <w:t>Incentive Plan</w:t>
            </w:r>
          </w:p>
        </w:tc>
        <w:tc>
          <w:tcPr>
            <w:tcW w:w="1400" w:type="dxa"/>
            <w:vAlign w:val="bottom"/>
          </w:tcPr>
          <w:p>
            <w:pPr>
              <w:jc w:val="right"/>
              <w:ind w:right="171"/>
              <w:spacing w:after="0"/>
              <w:rPr>
                <w:sz w:val="20"/>
                <w:szCs w:val="20"/>
                <w:color w:val="auto"/>
              </w:rPr>
            </w:pPr>
            <w:r>
              <w:rPr>
                <w:rFonts w:ascii="Arial" w:cs="Arial" w:eastAsia="Arial" w:hAnsi="Arial"/>
                <w:sz w:val="15"/>
                <w:szCs w:val="15"/>
                <w:b w:val="1"/>
                <w:bCs w:val="1"/>
                <w:color w:val="auto"/>
              </w:rPr>
              <w:t>All Other</w:t>
            </w:r>
          </w:p>
        </w:tc>
        <w:tc>
          <w:tcPr>
            <w:tcW w:w="820" w:type="dxa"/>
            <w:vAlign w:val="bottom"/>
          </w:tcPr>
          <w:p>
            <w:pPr>
              <w:spacing w:after="0"/>
              <w:rPr>
                <w:sz w:val="15"/>
                <w:szCs w:val="15"/>
                <w:color w:val="auto"/>
              </w:rPr>
            </w:pPr>
          </w:p>
        </w:tc>
      </w:tr>
      <w:tr>
        <w:trPr>
          <w:trHeight w:val="163"/>
        </w:trPr>
        <w:tc>
          <w:tcPr>
            <w:tcW w:w="2020" w:type="dxa"/>
            <w:vAlign w:val="bottom"/>
          </w:tcPr>
          <w:p>
            <w:pPr>
              <w:spacing w:after="0" w:line="163" w:lineRule="exact"/>
              <w:rPr>
                <w:sz w:val="20"/>
                <w:szCs w:val="20"/>
                <w:color w:val="auto"/>
              </w:rPr>
            </w:pPr>
            <w:r>
              <w:rPr>
                <w:rFonts w:ascii="Arial" w:cs="Arial" w:eastAsia="Arial" w:hAnsi="Arial"/>
                <w:sz w:val="15"/>
                <w:szCs w:val="15"/>
                <w:b w:val="1"/>
                <w:bCs w:val="1"/>
                <w:color w:val="auto"/>
              </w:rPr>
              <w:t>Name and Principal</w:t>
            </w:r>
          </w:p>
        </w:tc>
        <w:tc>
          <w:tcPr>
            <w:tcW w:w="720" w:type="dxa"/>
            <w:vAlign w:val="bottom"/>
          </w:tcPr>
          <w:p>
            <w:pPr>
              <w:spacing w:after="0"/>
              <w:rPr>
                <w:sz w:val="14"/>
                <w:szCs w:val="14"/>
                <w:color w:val="auto"/>
              </w:rPr>
            </w:pPr>
          </w:p>
        </w:tc>
        <w:tc>
          <w:tcPr>
            <w:tcW w:w="820" w:type="dxa"/>
            <w:vAlign w:val="bottom"/>
          </w:tcPr>
          <w:p>
            <w:pPr>
              <w:jc w:val="right"/>
              <w:ind w:right="112"/>
              <w:spacing w:after="0" w:line="163" w:lineRule="exact"/>
              <w:rPr>
                <w:sz w:val="20"/>
                <w:szCs w:val="20"/>
                <w:color w:val="auto"/>
              </w:rPr>
            </w:pPr>
            <w:r>
              <w:rPr>
                <w:rFonts w:ascii="Arial" w:cs="Arial" w:eastAsia="Arial" w:hAnsi="Arial"/>
                <w:sz w:val="15"/>
                <w:szCs w:val="15"/>
                <w:b w:val="1"/>
                <w:bCs w:val="1"/>
                <w:color w:val="auto"/>
              </w:rPr>
              <w:t>Salary</w:t>
            </w:r>
          </w:p>
        </w:tc>
        <w:tc>
          <w:tcPr>
            <w:tcW w:w="860" w:type="dxa"/>
            <w:vAlign w:val="bottom"/>
          </w:tcPr>
          <w:p>
            <w:pPr>
              <w:jc w:val="right"/>
              <w:ind w:right="132"/>
              <w:spacing w:after="0" w:line="163" w:lineRule="exact"/>
              <w:rPr>
                <w:sz w:val="20"/>
                <w:szCs w:val="20"/>
                <w:color w:val="auto"/>
              </w:rPr>
            </w:pPr>
            <w:r>
              <w:rPr>
                <w:rFonts w:ascii="Arial" w:cs="Arial" w:eastAsia="Arial" w:hAnsi="Arial"/>
                <w:sz w:val="15"/>
                <w:szCs w:val="15"/>
                <w:b w:val="1"/>
                <w:bCs w:val="1"/>
                <w:color w:val="auto"/>
              </w:rPr>
              <w:t>Bonus</w:t>
            </w:r>
          </w:p>
        </w:tc>
        <w:tc>
          <w:tcPr>
            <w:tcW w:w="1020" w:type="dxa"/>
            <w:vAlign w:val="bottom"/>
          </w:tcPr>
          <w:p>
            <w:pPr>
              <w:jc w:val="right"/>
              <w:ind w:right="151"/>
              <w:spacing w:after="0" w:line="163" w:lineRule="exact"/>
              <w:rPr>
                <w:sz w:val="20"/>
                <w:szCs w:val="20"/>
                <w:color w:val="auto"/>
              </w:rPr>
            </w:pPr>
            <w:r>
              <w:rPr>
                <w:rFonts w:ascii="Arial" w:cs="Arial" w:eastAsia="Arial" w:hAnsi="Arial"/>
                <w:sz w:val="15"/>
                <w:szCs w:val="15"/>
                <w:b w:val="1"/>
                <w:bCs w:val="1"/>
                <w:color w:val="auto"/>
              </w:rPr>
              <w:t>Awards</w:t>
            </w:r>
          </w:p>
        </w:tc>
        <w:tc>
          <w:tcPr>
            <w:tcW w:w="920" w:type="dxa"/>
            <w:vAlign w:val="bottom"/>
          </w:tcPr>
          <w:p>
            <w:pPr>
              <w:jc w:val="right"/>
              <w:ind w:right="71"/>
              <w:spacing w:after="0" w:line="163" w:lineRule="exact"/>
              <w:rPr>
                <w:sz w:val="20"/>
                <w:szCs w:val="20"/>
                <w:color w:val="auto"/>
              </w:rPr>
            </w:pPr>
            <w:r>
              <w:rPr>
                <w:rFonts w:ascii="Arial" w:cs="Arial" w:eastAsia="Arial" w:hAnsi="Arial"/>
                <w:sz w:val="15"/>
                <w:szCs w:val="15"/>
                <w:b w:val="1"/>
                <w:bCs w:val="1"/>
                <w:color w:val="auto"/>
              </w:rPr>
              <w:t>Awards</w:t>
            </w:r>
          </w:p>
        </w:tc>
        <w:tc>
          <w:tcPr>
            <w:tcW w:w="1340" w:type="dxa"/>
            <w:vAlign w:val="bottom"/>
          </w:tcPr>
          <w:p>
            <w:pPr>
              <w:jc w:val="right"/>
              <w:ind w:right="90"/>
              <w:spacing w:after="0" w:line="163" w:lineRule="exact"/>
              <w:rPr>
                <w:sz w:val="20"/>
                <w:szCs w:val="20"/>
                <w:color w:val="auto"/>
              </w:rPr>
            </w:pPr>
            <w:r>
              <w:rPr>
                <w:rFonts w:ascii="Arial" w:cs="Arial" w:eastAsia="Arial" w:hAnsi="Arial"/>
                <w:sz w:val="15"/>
                <w:szCs w:val="15"/>
                <w:b w:val="1"/>
                <w:bCs w:val="1"/>
                <w:color w:val="auto"/>
              </w:rPr>
              <w:t>Compensation</w:t>
            </w:r>
          </w:p>
        </w:tc>
        <w:tc>
          <w:tcPr>
            <w:tcW w:w="1400" w:type="dxa"/>
            <w:vAlign w:val="bottom"/>
          </w:tcPr>
          <w:p>
            <w:pPr>
              <w:jc w:val="right"/>
              <w:ind w:right="171"/>
              <w:spacing w:after="0" w:line="163" w:lineRule="exact"/>
              <w:rPr>
                <w:sz w:val="20"/>
                <w:szCs w:val="20"/>
                <w:color w:val="auto"/>
              </w:rPr>
            </w:pPr>
            <w:r>
              <w:rPr>
                <w:rFonts w:ascii="Arial" w:cs="Arial" w:eastAsia="Arial" w:hAnsi="Arial"/>
                <w:sz w:val="15"/>
                <w:szCs w:val="15"/>
                <w:b w:val="1"/>
                <w:bCs w:val="1"/>
                <w:color w:val="auto"/>
              </w:rPr>
              <w:t>Compensation</w:t>
            </w:r>
          </w:p>
        </w:tc>
        <w:tc>
          <w:tcPr>
            <w:tcW w:w="820" w:type="dxa"/>
            <w:vAlign w:val="bottom"/>
          </w:tcPr>
          <w:p>
            <w:pPr>
              <w:jc w:val="right"/>
              <w:spacing w:after="0" w:line="163" w:lineRule="exact"/>
              <w:rPr>
                <w:sz w:val="20"/>
                <w:szCs w:val="20"/>
                <w:color w:val="auto"/>
              </w:rPr>
            </w:pPr>
            <w:r>
              <w:rPr>
                <w:rFonts w:ascii="Arial" w:cs="Arial" w:eastAsia="Arial" w:hAnsi="Arial"/>
                <w:sz w:val="15"/>
                <w:szCs w:val="15"/>
                <w:b w:val="1"/>
                <w:bCs w:val="1"/>
                <w:color w:val="auto"/>
              </w:rPr>
              <w:t>Total</w:t>
            </w:r>
          </w:p>
        </w:tc>
      </w:tr>
      <w:tr>
        <w:trPr>
          <w:trHeight w:val="204"/>
        </w:trPr>
        <w:tc>
          <w:tcPr>
            <w:tcW w:w="2020" w:type="dxa"/>
            <w:vAlign w:val="bottom"/>
            <w:tcBorders>
              <w:bottom w:val="single" w:sz="8" w:color="405788"/>
            </w:tcBorders>
          </w:tcPr>
          <w:p>
            <w:pPr>
              <w:spacing w:after="0"/>
              <w:rPr>
                <w:sz w:val="20"/>
                <w:szCs w:val="20"/>
                <w:color w:val="auto"/>
              </w:rPr>
            </w:pPr>
            <w:r>
              <w:rPr>
                <w:rFonts w:ascii="Arial" w:cs="Arial" w:eastAsia="Arial" w:hAnsi="Arial"/>
                <w:sz w:val="15"/>
                <w:szCs w:val="15"/>
                <w:b w:val="1"/>
                <w:bCs w:val="1"/>
                <w:color w:val="auto"/>
              </w:rPr>
              <w:t>Position</w:t>
            </w:r>
          </w:p>
        </w:tc>
        <w:tc>
          <w:tcPr>
            <w:tcW w:w="720" w:type="dxa"/>
            <w:vAlign w:val="bottom"/>
            <w:tcBorders>
              <w:bottom w:val="single" w:sz="8" w:color="405788"/>
            </w:tcBorders>
          </w:tcPr>
          <w:p>
            <w:pPr>
              <w:jc w:val="right"/>
              <w:ind w:right="92"/>
              <w:spacing w:after="0"/>
              <w:rPr>
                <w:sz w:val="20"/>
                <w:szCs w:val="20"/>
                <w:color w:val="auto"/>
              </w:rPr>
            </w:pPr>
            <w:r>
              <w:rPr>
                <w:rFonts w:ascii="Arial" w:cs="Arial" w:eastAsia="Arial" w:hAnsi="Arial"/>
                <w:sz w:val="15"/>
                <w:szCs w:val="15"/>
                <w:b w:val="1"/>
                <w:bCs w:val="1"/>
                <w:color w:val="auto"/>
              </w:rPr>
              <w:t>Year</w:t>
            </w:r>
          </w:p>
        </w:tc>
        <w:tc>
          <w:tcPr>
            <w:tcW w:w="820" w:type="dxa"/>
            <w:vAlign w:val="bottom"/>
            <w:tcBorders>
              <w:bottom w:val="single" w:sz="8" w:color="405788"/>
            </w:tcBorders>
          </w:tcPr>
          <w:p>
            <w:pPr>
              <w:jc w:val="right"/>
              <w:ind w:right="112"/>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405788"/>
            </w:tcBorders>
          </w:tcPr>
          <w:p>
            <w:pPr>
              <w:jc w:val="right"/>
              <w:ind w:right="132"/>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405788"/>
            </w:tcBorders>
          </w:tcPr>
          <w:p>
            <w:pPr>
              <w:jc w:val="right"/>
              <w:ind w:right="111"/>
              <w:spacing w:after="0" w:line="200"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2"/>
                <w:szCs w:val="22"/>
                <w:b w:val="1"/>
                <w:bCs w:val="1"/>
                <w:color w:val="auto"/>
                <w:vertAlign w:val="superscript"/>
              </w:rPr>
              <w:t>1</w:t>
            </w:r>
          </w:p>
        </w:tc>
        <w:tc>
          <w:tcPr>
            <w:tcW w:w="920" w:type="dxa"/>
            <w:vAlign w:val="bottom"/>
            <w:tcBorders>
              <w:bottom w:val="single" w:sz="8" w:color="405788"/>
            </w:tcBorders>
          </w:tcPr>
          <w:p>
            <w:pPr>
              <w:jc w:val="right"/>
              <w:ind w:right="71"/>
              <w:spacing w:after="0"/>
              <w:rPr>
                <w:sz w:val="20"/>
                <w:szCs w:val="20"/>
                <w:color w:val="auto"/>
              </w:rPr>
            </w:pPr>
            <w:r>
              <w:rPr>
                <w:rFonts w:ascii="Arial" w:cs="Arial" w:eastAsia="Arial" w:hAnsi="Arial"/>
                <w:sz w:val="15"/>
                <w:szCs w:val="15"/>
                <w:b w:val="1"/>
                <w:bCs w:val="1"/>
                <w:color w:val="auto"/>
              </w:rPr>
              <w:t>($)</w:t>
            </w:r>
          </w:p>
        </w:tc>
        <w:tc>
          <w:tcPr>
            <w:tcW w:w="1340" w:type="dxa"/>
            <w:vAlign w:val="bottom"/>
            <w:tcBorders>
              <w:bottom w:val="single" w:sz="8" w:color="405788"/>
            </w:tcBorders>
          </w:tcPr>
          <w:p>
            <w:pPr>
              <w:jc w:val="right"/>
              <w:ind w:right="50"/>
              <w:spacing w:after="0" w:line="200"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2"/>
                <w:szCs w:val="22"/>
                <w:b w:val="1"/>
                <w:bCs w:val="1"/>
                <w:color w:val="auto"/>
                <w:vertAlign w:val="superscript"/>
              </w:rPr>
              <w:t>2</w:t>
            </w:r>
          </w:p>
        </w:tc>
        <w:tc>
          <w:tcPr>
            <w:tcW w:w="1400" w:type="dxa"/>
            <w:vAlign w:val="bottom"/>
            <w:tcBorders>
              <w:bottom w:val="single" w:sz="8" w:color="405788"/>
            </w:tcBorders>
          </w:tcPr>
          <w:p>
            <w:pPr>
              <w:jc w:val="right"/>
              <w:ind w:right="111"/>
              <w:spacing w:after="0" w:line="200"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2"/>
                <w:szCs w:val="22"/>
                <w:b w:val="1"/>
                <w:bCs w:val="1"/>
                <w:color w:val="auto"/>
                <w:vertAlign w:val="superscript"/>
              </w:rPr>
              <w:t>3</w:t>
            </w:r>
          </w:p>
        </w:tc>
        <w:tc>
          <w:tcPr>
            <w:tcW w:w="820" w:type="dxa"/>
            <w:vAlign w:val="bottom"/>
            <w:tcBorders>
              <w:bottom w:val="single" w:sz="8" w:color="405788"/>
            </w:tcBorders>
          </w:tcPr>
          <w:p>
            <w:pPr>
              <w:jc w:val="right"/>
              <w:spacing w:after="0"/>
              <w:rPr>
                <w:sz w:val="20"/>
                <w:szCs w:val="20"/>
                <w:color w:val="auto"/>
              </w:rPr>
            </w:pPr>
            <w:r>
              <w:rPr>
                <w:rFonts w:ascii="Arial" w:cs="Arial" w:eastAsia="Arial" w:hAnsi="Arial"/>
                <w:sz w:val="15"/>
                <w:szCs w:val="15"/>
                <w:b w:val="1"/>
                <w:bCs w:val="1"/>
                <w:color w:val="auto"/>
              </w:rPr>
              <w:t>($)</w:t>
            </w:r>
          </w:p>
        </w:tc>
      </w:tr>
      <w:tr>
        <w:trPr>
          <w:trHeight w:val="180"/>
        </w:trPr>
        <w:tc>
          <w:tcPr>
            <w:tcW w:w="2020" w:type="dxa"/>
            <w:vAlign w:val="bottom"/>
          </w:tcPr>
          <w:p>
            <w:pPr>
              <w:spacing w:after="0"/>
              <w:rPr>
                <w:sz w:val="20"/>
                <w:szCs w:val="20"/>
                <w:color w:val="auto"/>
              </w:rPr>
            </w:pPr>
            <w:r>
              <w:rPr>
                <w:rFonts w:ascii="Arial" w:cs="Arial" w:eastAsia="Arial" w:hAnsi="Arial"/>
                <w:sz w:val="13"/>
                <w:szCs w:val="13"/>
                <w:b w:val="1"/>
                <w:bCs w:val="1"/>
                <w:color w:val="auto"/>
              </w:rPr>
              <w:t>Todd Gleason</w:t>
            </w:r>
          </w:p>
        </w:tc>
        <w:tc>
          <w:tcPr>
            <w:tcW w:w="720" w:type="dxa"/>
            <w:vAlign w:val="bottom"/>
          </w:tcPr>
          <w:p>
            <w:pPr>
              <w:jc w:val="right"/>
              <w:ind w:right="152"/>
              <w:spacing w:after="0"/>
              <w:rPr>
                <w:sz w:val="20"/>
                <w:szCs w:val="20"/>
                <w:color w:val="auto"/>
              </w:rPr>
            </w:pPr>
            <w:r>
              <w:rPr>
                <w:rFonts w:ascii="Arial" w:cs="Arial" w:eastAsia="Arial" w:hAnsi="Arial"/>
                <w:sz w:val="13"/>
                <w:szCs w:val="13"/>
                <w:color w:val="auto"/>
              </w:rPr>
              <w:t>2023</w:t>
            </w:r>
          </w:p>
        </w:tc>
        <w:tc>
          <w:tcPr>
            <w:tcW w:w="820" w:type="dxa"/>
            <w:vAlign w:val="bottom"/>
          </w:tcPr>
          <w:p>
            <w:pPr>
              <w:jc w:val="right"/>
              <w:ind w:right="112"/>
              <w:spacing w:after="0"/>
              <w:rPr>
                <w:sz w:val="20"/>
                <w:szCs w:val="20"/>
                <w:color w:val="auto"/>
              </w:rPr>
            </w:pPr>
            <w:r>
              <w:rPr>
                <w:rFonts w:ascii="Arial" w:cs="Arial" w:eastAsia="Arial" w:hAnsi="Arial"/>
                <w:sz w:val="13"/>
                <w:szCs w:val="13"/>
                <w:color w:val="auto"/>
              </w:rPr>
              <w:t>515,316</w:t>
            </w:r>
          </w:p>
        </w:tc>
        <w:tc>
          <w:tcPr>
            <w:tcW w:w="86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51"/>
              <w:spacing w:after="0"/>
              <w:rPr>
                <w:sz w:val="20"/>
                <w:szCs w:val="20"/>
                <w:color w:val="auto"/>
              </w:rPr>
            </w:pPr>
            <w:r>
              <w:rPr>
                <w:rFonts w:ascii="Arial" w:cs="Arial" w:eastAsia="Arial" w:hAnsi="Arial"/>
                <w:sz w:val="13"/>
                <w:szCs w:val="13"/>
                <w:color w:val="auto"/>
              </w:rPr>
              <w:t>3,981,255</w:t>
            </w: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0"/>
              <w:spacing w:after="0"/>
              <w:rPr>
                <w:sz w:val="20"/>
                <w:szCs w:val="20"/>
                <w:color w:val="auto"/>
              </w:rPr>
            </w:pPr>
            <w:r>
              <w:rPr>
                <w:rFonts w:ascii="Arial" w:cs="Arial" w:eastAsia="Arial" w:hAnsi="Arial"/>
                <w:sz w:val="13"/>
                <w:szCs w:val="13"/>
                <w:color w:val="auto"/>
              </w:rPr>
              <w:t>1,050,652</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30,753</w:t>
            </w:r>
          </w:p>
        </w:tc>
        <w:tc>
          <w:tcPr>
            <w:tcW w:w="820" w:type="dxa"/>
            <w:vAlign w:val="bottom"/>
          </w:tcPr>
          <w:p>
            <w:pPr>
              <w:jc w:val="right"/>
              <w:spacing w:after="0"/>
              <w:rPr>
                <w:sz w:val="20"/>
                <w:szCs w:val="20"/>
                <w:color w:val="auto"/>
              </w:rPr>
            </w:pPr>
            <w:r>
              <w:rPr>
                <w:rFonts w:ascii="Arial" w:cs="Arial" w:eastAsia="Arial" w:hAnsi="Arial"/>
                <w:sz w:val="13"/>
                <w:szCs w:val="13"/>
                <w:color w:val="auto"/>
              </w:rPr>
              <w:t>5,577,976</w:t>
            </w:r>
          </w:p>
        </w:tc>
      </w:tr>
      <w:tr>
        <w:trPr>
          <w:trHeight w:val="187"/>
        </w:trPr>
        <w:tc>
          <w:tcPr>
            <w:tcW w:w="2020" w:type="dxa"/>
            <w:vAlign w:val="bottom"/>
          </w:tcPr>
          <w:p>
            <w:pPr>
              <w:spacing w:after="0"/>
              <w:rPr>
                <w:sz w:val="20"/>
                <w:szCs w:val="20"/>
                <w:color w:val="auto"/>
              </w:rPr>
            </w:pPr>
            <w:r>
              <w:rPr>
                <w:rFonts w:ascii="Arial" w:cs="Arial" w:eastAsia="Arial" w:hAnsi="Arial"/>
                <w:sz w:val="13"/>
                <w:szCs w:val="13"/>
                <w:color w:val="auto"/>
              </w:rPr>
              <w:t>Chief Executive Officer</w:t>
            </w:r>
          </w:p>
        </w:tc>
        <w:tc>
          <w:tcPr>
            <w:tcW w:w="720" w:type="dxa"/>
            <w:vAlign w:val="bottom"/>
          </w:tcPr>
          <w:p>
            <w:pPr>
              <w:jc w:val="right"/>
              <w:ind w:right="152"/>
              <w:spacing w:after="0"/>
              <w:rPr>
                <w:sz w:val="20"/>
                <w:szCs w:val="20"/>
                <w:color w:val="auto"/>
              </w:rPr>
            </w:pPr>
            <w:r>
              <w:rPr>
                <w:rFonts w:ascii="Arial" w:cs="Arial" w:eastAsia="Arial" w:hAnsi="Arial"/>
                <w:sz w:val="13"/>
                <w:szCs w:val="13"/>
                <w:color w:val="auto"/>
              </w:rPr>
              <w:t>2022</w:t>
            </w:r>
          </w:p>
        </w:tc>
        <w:tc>
          <w:tcPr>
            <w:tcW w:w="820" w:type="dxa"/>
            <w:vAlign w:val="bottom"/>
          </w:tcPr>
          <w:p>
            <w:pPr>
              <w:jc w:val="right"/>
              <w:ind w:right="112"/>
              <w:spacing w:after="0"/>
              <w:rPr>
                <w:sz w:val="20"/>
                <w:szCs w:val="20"/>
                <w:color w:val="auto"/>
              </w:rPr>
            </w:pPr>
            <w:r>
              <w:rPr>
                <w:rFonts w:ascii="Arial" w:cs="Arial" w:eastAsia="Arial" w:hAnsi="Arial"/>
                <w:sz w:val="13"/>
                <w:szCs w:val="13"/>
                <w:color w:val="auto"/>
              </w:rPr>
              <w:t>475,771</w:t>
            </w:r>
          </w:p>
        </w:tc>
        <w:tc>
          <w:tcPr>
            <w:tcW w:w="860" w:type="dxa"/>
            <w:vAlign w:val="bottom"/>
          </w:tcPr>
          <w:p>
            <w:pPr>
              <w:jc w:val="right"/>
              <w:ind w:right="132"/>
              <w:spacing w:after="0"/>
              <w:rPr>
                <w:sz w:val="20"/>
                <w:szCs w:val="20"/>
                <w:color w:val="auto"/>
              </w:rPr>
            </w:pPr>
            <w:r>
              <w:rPr>
                <w:rFonts w:ascii="Arial" w:cs="Arial" w:eastAsia="Arial" w:hAnsi="Arial"/>
                <w:sz w:val="13"/>
                <w:szCs w:val="13"/>
                <w:color w:val="auto"/>
              </w:rPr>
              <w:t>25,990</w:t>
            </w:r>
          </w:p>
        </w:tc>
        <w:tc>
          <w:tcPr>
            <w:tcW w:w="1020" w:type="dxa"/>
            <w:vAlign w:val="bottom"/>
          </w:tcPr>
          <w:p>
            <w:pPr>
              <w:jc w:val="right"/>
              <w:ind w:right="151"/>
              <w:spacing w:after="0"/>
              <w:rPr>
                <w:sz w:val="20"/>
                <w:szCs w:val="20"/>
                <w:color w:val="auto"/>
              </w:rPr>
            </w:pPr>
            <w:r>
              <w:rPr>
                <w:rFonts w:ascii="Arial" w:cs="Arial" w:eastAsia="Arial" w:hAnsi="Arial"/>
                <w:sz w:val="13"/>
                <w:szCs w:val="13"/>
                <w:color w:val="auto"/>
              </w:rPr>
              <w:t>1,059,469</w:t>
            </w: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0"/>
              <w:spacing w:after="0"/>
              <w:rPr>
                <w:sz w:val="20"/>
                <w:szCs w:val="20"/>
                <w:color w:val="auto"/>
              </w:rPr>
            </w:pPr>
            <w:r>
              <w:rPr>
                <w:rFonts w:ascii="Arial" w:cs="Arial" w:eastAsia="Arial" w:hAnsi="Arial"/>
                <w:sz w:val="13"/>
                <w:szCs w:val="13"/>
                <w:color w:val="auto"/>
              </w:rPr>
              <w:t>937,910</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35,054</w:t>
            </w:r>
          </w:p>
        </w:tc>
        <w:tc>
          <w:tcPr>
            <w:tcW w:w="820" w:type="dxa"/>
            <w:vAlign w:val="bottom"/>
          </w:tcPr>
          <w:p>
            <w:pPr>
              <w:jc w:val="right"/>
              <w:spacing w:after="0"/>
              <w:rPr>
                <w:sz w:val="20"/>
                <w:szCs w:val="20"/>
                <w:color w:val="auto"/>
              </w:rPr>
            </w:pPr>
            <w:r>
              <w:rPr>
                <w:rFonts w:ascii="Arial" w:cs="Arial" w:eastAsia="Arial" w:hAnsi="Arial"/>
                <w:sz w:val="13"/>
                <w:szCs w:val="13"/>
                <w:color w:val="auto"/>
              </w:rPr>
              <w:t>2,534,194</w:t>
            </w:r>
          </w:p>
        </w:tc>
      </w:tr>
      <w:tr>
        <w:trPr>
          <w:trHeight w:val="187"/>
        </w:trPr>
        <w:tc>
          <w:tcPr>
            <w:tcW w:w="2020" w:type="dxa"/>
            <w:vAlign w:val="bottom"/>
          </w:tcPr>
          <w:p>
            <w:pPr>
              <w:spacing w:after="0"/>
              <w:rPr>
                <w:sz w:val="16"/>
                <w:szCs w:val="16"/>
                <w:color w:val="auto"/>
              </w:rPr>
            </w:pPr>
          </w:p>
        </w:tc>
        <w:tc>
          <w:tcPr>
            <w:tcW w:w="720" w:type="dxa"/>
            <w:vAlign w:val="bottom"/>
          </w:tcPr>
          <w:p>
            <w:pPr>
              <w:jc w:val="right"/>
              <w:ind w:right="152"/>
              <w:spacing w:after="0"/>
              <w:rPr>
                <w:sz w:val="20"/>
                <w:szCs w:val="20"/>
                <w:color w:val="auto"/>
              </w:rPr>
            </w:pPr>
            <w:r>
              <w:rPr>
                <w:rFonts w:ascii="Arial" w:cs="Arial" w:eastAsia="Arial" w:hAnsi="Arial"/>
                <w:sz w:val="13"/>
                <w:szCs w:val="13"/>
                <w:color w:val="auto"/>
              </w:rPr>
              <w:t>2021</w:t>
            </w:r>
          </w:p>
        </w:tc>
        <w:tc>
          <w:tcPr>
            <w:tcW w:w="820" w:type="dxa"/>
            <w:vAlign w:val="bottom"/>
          </w:tcPr>
          <w:p>
            <w:pPr>
              <w:jc w:val="right"/>
              <w:ind w:right="112"/>
              <w:spacing w:after="0"/>
              <w:rPr>
                <w:sz w:val="20"/>
                <w:szCs w:val="20"/>
                <w:color w:val="auto"/>
              </w:rPr>
            </w:pPr>
            <w:r>
              <w:rPr>
                <w:rFonts w:ascii="Arial" w:cs="Arial" w:eastAsia="Arial" w:hAnsi="Arial"/>
                <w:sz w:val="13"/>
                <w:szCs w:val="13"/>
                <w:color w:val="auto"/>
              </w:rPr>
              <w:t>456,577</w:t>
            </w:r>
          </w:p>
        </w:tc>
        <w:tc>
          <w:tcPr>
            <w:tcW w:w="860" w:type="dxa"/>
            <w:vAlign w:val="bottom"/>
          </w:tcPr>
          <w:p>
            <w:pPr>
              <w:jc w:val="right"/>
              <w:ind w:right="132"/>
              <w:spacing w:after="0"/>
              <w:rPr>
                <w:sz w:val="20"/>
                <w:szCs w:val="20"/>
                <w:color w:val="auto"/>
              </w:rPr>
            </w:pPr>
            <w:r>
              <w:rPr>
                <w:rFonts w:ascii="Arial" w:cs="Arial" w:eastAsia="Arial" w:hAnsi="Arial"/>
                <w:sz w:val="13"/>
                <w:szCs w:val="13"/>
                <w:color w:val="auto"/>
              </w:rPr>
              <w:t>156,060</w:t>
            </w:r>
          </w:p>
        </w:tc>
        <w:tc>
          <w:tcPr>
            <w:tcW w:w="1020" w:type="dxa"/>
            <w:vAlign w:val="bottom"/>
          </w:tcPr>
          <w:p>
            <w:pPr>
              <w:jc w:val="right"/>
              <w:ind w:right="151"/>
              <w:spacing w:after="0"/>
              <w:rPr>
                <w:sz w:val="20"/>
                <w:szCs w:val="20"/>
                <w:color w:val="auto"/>
              </w:rPr>
            </w:pPr>
            <w:r>
              <w:rPr>
                <w:rFonts w:ascii="Arial" w:cs="Arial" w:eastAsia="Arial" w:hAnsi="Arial"/>
                <w:sz w:val="13"/>
                <w:szCs w:val="13"/>
                <w:color w:val="auto"/>
              </w:rPr>
              <w:t>1,126,112</w:t>
            </w: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0"/>
              <w:spacing w:after="0"/>
              <w:rPr>
                <w:sz w:val="20"/>
                <w:szCs w:val="20"/>
                <w:color w:val="auto"/>
              </w:rPr>
            </w:pPr>
            <w:r>
              <w:rPr>
                <w:rFonts w:ascii="Arial" w:cs="Arial" w:eastAsia="Arial" w:hAnsi="Arial"/>
                <w:sz w:val="13"/>
                <w:szCs w:val="13"/>
                <w:color w:val="auto"/>
              </w:rPr>
              <w:t>211,140</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29,410</w:t>
            </w:r>
          </w:p>
        </w:tc>
        <w:tc>
          <w:tcPr>
            <w:tcW w:w="820" w:type="dxa"/>
            <w:vAlign w:val="bottom"/>
          </w:tcPr>
          <w:p>
            <w:pPr>
              <w:jc w:val="right"/>
              <w:spacing w:after="0"/>
              <w:rPr>
                <w:sz w:val="20"/>
                <w:szCs w:val="20"/>
                <w:color w:val="auto"/>
              </w:rPr>
            </w:pPr>
            <w:r>
              <w:rPr>
                <w:rFonts w:ascii="Arial" w:cs="Arial" w:eastAsia="Arial" w:hAnsi="Arial"/>
                <w:sz w:val="13"/>
                <w:szCs w:val="13"/>
                <w:color w:val="auto"/>
              </w:rPr>
              <w:t>1,979,299</w:t>
            </w:r>
          </w:p>
        </w:tc>
      </w:tr>
      <w:tr>
        <w:trPr>
          <w:trHeight w:val="163"/>
        </w:trPr>
        <w:tc>
          <w:tcPr>
            <w:tcW w:w="2020" w:type="dxa"/>
            <w:vAlign w:val="bottom"/>
            <w:tcBorders>
              <w:bottom w:val="single" w:sz="8" w:color="D9D9D9"/>
            </w:tcBorders>
          </w:tcPr>
          <w:p>
            <w:pPr>
              <w:spacing w:after="0"/>
              <w:rPr>
                <w:sz w:val="14"/>
                <w:szCs w:val="14"/>
                <w:color w:val="auto"/>
              </w:rPr>
            </w:pPr>
          </w:p>
        </w:tc>
        <w:tc>
          <w:tcPr>
            <w:tcW w:w="720" w:type="dxa"/>
            <w:vAlign w:val="bottom"/>
            <w:tcBorders>
              <w:bottom w:val="single" w:sz="8" w:color="D9D9D9"/>
            </w:tcBorders>
          </w:tcPr>
          <w:p>
            <w:pPr>
              <w:jc w:val="right"/>
              <w:ind w:right="152"/>
              <w:spacing w:after="0"/>
              <w:rPr>
                <w:sz w:val="20"/>
                <w:szCs w:val="20"/>
                <w:color w:val="auto"/>
              </w:rPr>
            </w:pPr>
            <w:r>
              <w:rPr>
                <w:rFonts w:ascii="Arial" w:cs="Arial" w:eastAsia="Arial" w:hAnsi="Arial"/>
                <w:sz w:val="13"/>
                <w:szCs w:val="13"/>
                <w:color w:val="auto"/>
              </w:rPr>
              <w:t>2020</w:t>
            </w:r>
          </w:p>
        </w:tc>
        <w:tc>
          <w:tcPr>
            <w:tcW w:w="820" w:type="dxa"/>
            <w:vAlign w:val="bottom"/>
            <w:tcBorders>
              <w:bottom w:val="single" w:sz="8" w:color="D9D9D9"/>
            </w:tcBorders>
          </w:tcPr>
          <w:p>
            <w:pPr>
              <w:jc w:val="right"/>
              <w:ind w:right="112"/>
              <w:spacing w:after="0"/>
              <w:rPr>
                <w:sz w:val="20"/>
                <w:szCs w:val="20"/>
                <w:color w:val="auto"/>
              </w:rPr>
            </w:pPr>
            <w:r>
              <w:rPr>
                <w:rFonts w:ascii="Arial" w:cs="Arial" w:eastAsia="Arial" w:hAnsi="Arial"/>
                <w:sz w:val="13"/>
                <w:szCs w:val="13"/>
                <w:color w:val="auto"/>
              </w:rPr>
              <w:t>216,346</w:t>
            </w:r>
          </w:p>
        </w:tc>
        <w:tc>
          <w:tcPr>
            <w:tcW w:w="860" w:type="dxa"/>
            <w:vAlign w:val="bottom"/>
            <w:tcBorders>
              <w:bottom w:val="single" w:sz="8" w:color="D9D9D9"/>
            </w:tcBorders>
          </w:tcPr>
          <w:p>
            <w:pPr>
              <w:jc w:val="right"/>
              <w:ind w:right="132"/>
              <w:spacing w:after="0"/>
              <w:rPr>
                <w:sz w:val="20"/>
                <w:szCs w:val="20"/>
                <w:color w:val="auto"/>
              </w:rPr>
            </w:pPr>
            <w:r>
              <w:rPr>
                <w:rFonts w:ascii="Arial" w:cs="Arial" w:eastAsia="Arial" w:hAnsi="Arial"/>
                <w:sz w:val="13"/>
                <w:szCs w:val="13"/>
                <w:color w:val="auto"/>
              </w:rPr>
              <w:t>300,000</w:t>
            </w:r>
          </w:p>
        </w:tc>
        <w:tc>
          <w:tcPr>
            <w:tcW w:w="1020" w:type="dxa"/>
            <w:vAlign w:val="bottom"/>
            <w:tcBorders>
              <w:bottom w:val="single" w:sz="8" w:color="D9D9D9"/>
            </w:tcBorders>
          </w:tcPr>
          <w:p>
            <w:pPr>
              <w:jc w:val="right"/>
              <w:ind w:right="151"/>
              <w:spacing w:after="0"/>
              <w:rPr>
                <w:sz w:val="20"/>
                <w:szCs w:val="20"/>
                <w:color w:val="auto"/>
              </w:rPr>
            </w:pPr>
            <w:r>
              <w:rPr>
                <w:rFonts w:ascii="Arial" w:cs="Arial" w:eastAsia="Arial" w:hAnsi="Arial"/>
                <w:sz w:val="13"/>
                <w:szCs w:val="13"/>
                <w:color w:val="auto"/>
              </w:rPr>
              <w:t>599,059</w:t>
            </w:r>
          </w:p>
        </w:tc>
        <w:tc>
          <w:tcPr>
            <w:tcW w:w="920" w:type="dxa"/>
            <w:vAlign w:val="bottom"/>
            <w:tcBorders>
              <w:bottom w:val="single" w:sz="8" w:color="D9D9D9"/>
            </w:tcBorders>
          </w:tcPr>
          <w:p>
            <w:pPr>
              <w:jc w:val="right"/>
              <w:ind w:right="71"/>
              <w:spacing w:after="0"/>
              <w:rPr>
                <w:sz w:val="20"/>
                <w:szCs w:val="20"/>
                <w:color w:val="auto"/>
              </w:rPr>
            </w:pPr>
            <w:r>
              <w:rPr>
                <w:rFonts w:ascii="Arial" w:cs="Arial" w:eastAsia="Arial" w:hAnsi="Arial"/>
                <w:sz w:val="13"/>
                <w:szCs w:val="13"/>
                <w:color w:val="auto"/>
              </w:rPr>
              <w:t>2,400,000</w:t>
            </w:r>
          </w:p>
        </w:tc>
        <w:tc>
          <w:tcPr>
            <w:tcW w:w="1340" w:type="dxa"/>
            <w:vAlign w:val="bottom"/>
            <w:tcBorders>
              <w:bottom w:val="single" w:sz="8" w:color="D9D9D9"/>
            </w:tcBorders>
          </w:tcPr>
          <w:p>
            <w:pPr>
              <w:jc w:val="right"/>
              <w:ind w:right="90"/>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D9D9D9"/>
            </w:tcBorders>
          </w:tcPr>
          <w:p>
            <w:pPr>
              <w:jc w:val="right"/>
              <w:ind w:right="171"/>
              <w:spacing w:after="0"/>
              <w:rPr>
                <w:sz w:val="20"/>
                <w:szCs w:val="20"/>
                <w:color w:val="auto"/>
              </w:rPr>
            </w:pPr>
            <w:r>
              <w:rPr>
                <w:rFonts w:ascii="Arial" w:cs="Arial" w:eastAsia="Arial" w:hAnsi="Arial"/>
                <w:sz w:val="13"/>
                <w:szCs w:val="13"/>
                <w:color w:val="auto"/>
              </w:rPr>
              <w:t>24,376</w:t>
            </w:r>
          </w:p>
        </w:tc>
        <w:tc>
          <w:tcPr>
            <w:tcW w:w="82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3,539,781</w:t>
            </w:r>
          </w:p>
        </w:tc>
      </w:tr>
      <w:tr>
        <w:trPr>
          <w:trHeight w:val="167"/>
        </w:trPr>
        <w:tc>
          <w:tcPr>
            <w:tcW w:w="2020" w:type="dxa"/>
            <w:vAlign w:val="bottom"/>
          </w:tcPr>
          <w:p>
            <w:pPr>
              <w:spacing w:after="0"/>
              <w:rPr>
                <w:sz w:val="20"/>
                <w:szCs w:val="20"/>
                <w:color w:val="auto"/>
              </w:rPr>
            </w:pPr>
            <w:r>
              <w:rPr>
                <w:rFonts w:ascii="Arial" w:cs="Arial" w:eastAsia="Arial" w:hAnsi="Arial"/>
                <w:sz w:val="13"/>
                <w:szCs w:val="13"/>
                <w:b w:val="1"/>
                <w:bCs w:val="1"/>
                <w:color w:val="auto"/>
              </w:rPr>
              <w:t>Peter Johansson</w:t>
            </w:r>
          </w:p>
        </w:tc>
        <w:tc>
          <w:tcPr>
            <w:tcW w:w="720" w:type="dxa"/>
            <w:vAlign w:val="bottom"/>
          </w:tcPr>
          <w:p>
            <w:pPr>
              <w:jc w:val="right"/>
              <w:ind w:right="152"/>
              <w:spacing w:after="0"/>
              <w:rPr>
                <w:sz w:val="20"/>
                <w:szCs w:val="20"/>
                <w:color w:val="auto"/>
              </w:rPr>
            </w:pPr>
            <w:r>
              <w:rPr>
                <w:rFonts w:ascii="Arial" w:cs="Arial" w:eastAsia="Arial" w:hAnsi="Arial"/>
                <w:sz w:val="13"/>
                <w:szCs w:val="13"/>
                <w:color w:val="auto"/>
              </w:rPr>
              <w:t>2023</w:t>
            </w:r>
          </w:p>
        </w:tc>
        <w:tc>
          <w:tcPr>
            <w:tcW w:w="820" w:type="dxa"/>
            <w:vAlign w:val="bottom"/>
          </w:tcPr>
          <w:p>
            <w:pPr>
              <w:jc w:val="right"/>
              <w:ind w:right="112"/>
              <w:spacing w:after="0"/>
              <w:rPr>
                <w:sz w:val="20"/>
                <w:szCs w:val="20"/>
                <w:color w:val="auto"/>
              </w:rPr>
            </w:pPr>
            <w:r>
              <w:rPr>
                <w:rFonts w:ascii="Arial" w:cs="Arial" w:eastAsia="Arial" w:hAnsi="Arial"/>
                <w:sz w:val="13"/>
                <w:szCs w:val="13"/>
                <w:color w:val="auto"/>
              </w:rPr>
              <w:t>389,423</w:t>
            </w:r>
          </w:p>
        </w:tc>
        <w:tc>
          <w:tcPr>
            <w:tcW w:w="86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51"/>
              <w:spacing w:after="0"/>
              <w:rPr>
                <w:sz w:val="20"/>
                <w:szCs w:val="20"/>
                <w:color w:val="auto"/>
              </w:rPr>
            </w:pPr>
            <w:r>
              <w:rPr>
                <w:rFonts w:ascii="Arial" w:cs="Arial" w:eastAsia="Arial" w:hAnsi="Arial"/>
                <w:sz w:val="13"/>
                <w:szCs w:val="13"/>
                <w:color w:val="auto"/>
              </w:rPr>
              <w:t>1,054,536</w:t>
            </w: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0"/>
              <w:spacing w:after="0"/>
              <w:rPr>
                <w:sz w:val="20"/>
                <w:szCs w:val="20"/>
                <w:color w:val="auto"/>
              </w:rPr>
            </w:pPr>
            <w:r>
              <w:rPr>
                <w:rFonts w:ascii="Arial" w:cs="Arial" w:eastAsia="Arial" w:hAnsi="Arial"/>
                <w:sz w:val="13"/>
                <w:szCs w:val="13"/>
                <w:color w:val="auto"/>
              </w:rPr>
              <w:t>472,500</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38,654</w:t>
            </w:r>
          </w:p>
        </w:tc>
        <w:tc>
          <w:tcPr>
            <w:tcW w:w="820" w:type="dxa"/>
            <w:vAlign w:val="bottom"/>
          </w:tcPr>
          <w:p>
            <w:pPr>
              <w:jc w:val="right"/>
              <w:spacing w:after="0"/>
              <w:rPr>
                <w:sz w:val="20"/>
                <w:szCs w:val="20"/>
                <w:color w:val="auto"/>
              </w:rPr>
            </w:pPr>
            <w:r>
              <w:rPr>
                <w:rFonts w:ascii="Arial" w:cs="Arial" w:eastAsia="Arial" w:hAnsi="Arial"/>
                <w:sz w:val="13"/>
                <w:szCs w:val="13"/>
                <w:color w:val="auto"/>
              </w:rPr>
              <w:t>1,955,114</w:t>
            </w:r>
          </w:p>
        </w:tc>
      </w:tr>
      <w:tr>
        <w:trPr>
          <w:trHeight w:val="175"/>
        </w:trPr>
        <w:tc>
          <w:tcPr>
            <w:tcW w:w="2020" w:type="dxa"/>
            <w:vAlign w:val="bottom"/>
          </w:tcPr>
          <w:p>
            <w:pPr>
              <w:spacing w:after="0"/>
              <w:rPr>
                <w:sz w:val="20"/>
                <w:szCs w:val="20"/>
                <w:color w:val="auto"/>
              </w:rPr>
            </w:pPr>
            <w:r>
              <w:rPr>
                <w:rFonts w:ascii="Arial" w:cs="Arial" w:eastAsia="Arial" w:hAnsi="Arial"/>
                <w:sz w:val="13"/>
                <w:szCs w:val="13"/>
                <w:color w:val="auto"/>
              </w:rPr>
              <w:t>Chief Financial and Strategy</w:t>
            </w:r>
          </w:p>
        </w:tc>
        <w:tc>
          <w:tcPr>
            <w:tcW w:w="720" w:type="dxa"/>
            <w:vAlign w:val="bottom"/>
          </w:tcPr>
          <w:p>
            <w:pPr>
              <w:jc w:val="right"/>
              <w:ind w:right="152"/>
              <w:spacing w:after="0"/>
              <w:rPr>
                <w:sz w:val="20"/>
                <w:szCs w:val="20"/>
                <w:color w:val="auto"/>
              </w:rPr>
            </w:pPr>
            <w:r>
              <w:rPr>
                <w:rFonts w:ascii="Arial" w:cs="Arial" w:eastAsia="Arial" w:hAnsi="Arial"/>
                <w:sz w:val="13"/>
                <w:szCs w:val="13"/>
                <w:color w:val="auto"/>
              </w:rPr>
              <w:t>2022</w:t>
            </w:r>
          </w:p>
        </w:tc>
        <w:tc>
          <w:tcPr>
            <w:tcW w:w="820" w:type="dxa"/>
            <w:vAlign w:val="bottom"/>
          </w:tcPr>
          <w:p>
            <w:pPr>
              <w:jc w:val="right"/>
              <w:ind w:right="112"/>
              <w:spacing w:after="0"/>
              <w:rPr>
                <w:sz w:val="20"/>
                <w:szCs w:val="20"/>
                <w:color w:val="auto"/>
              </w:rPr>
            </w:pPr>
            <w:r>
              <w:rPr>
                <w:rFonts w:ascii="Arial" w:cs="Arial" w:eastAsia="Arial" w:hAnsi="Arial"/>
                <w:sz w:val="13"/>
                <w:szCs w:val="13"/>
                <w:color w:val="auto"/>
              </w:rPr>
              <w:t>151,442</w:t>
            </w:r>
          </w:p>
        </w:tc>
        <w:tc>
          <w:tcPr>
            <w:tcW w:w="860" w:type="dxa"/>
            <w:vAlign w:val="bottom"/>
          </w:tcPr>
          <w:p>
            <w:pPr>
              <w:jc w:val="right"/>
              <w:ind w:right="132"/>
              <w:spacing w:after="0"/>
              <w:rPr>
                <w:sz w:val="20"/>
                <w:szCs w:val="20"/>
                <w:color w:val="auto"/>
              </w:rPr>
            </w:pPr>
            <w:r>
              <w:rPr>
                <w:rFonts w:ascii="Arial" w:cs="Arial" w:eastAsia="Arial" w:hAnsi="Arial"/>
                <w:sz w:val="13"/>
                <w:szCs w:val="13"/>
                <w:color w:val="auto"/>
              </w:rPr>
              <w:t>155,086</w:t>
            </w:r>
          </w:p>
        </w:tc>
        <w:tc>
          <w:tcPr>
            <w:tcW w:w="1020" w:type="dxa"/>
            <w:vAlign w:val="bottom"/>
          </w:tcPr>
          <w:p>
            <w:pPr>
              <w:jc w:val="right"/>
              <w:ind w:right="151"/>
              <w:spacing w:after="0"/>
              <w:rPr>
                <w:sz w:val="20"/>
                <w:szCs w:val="20"/>
                <w:color w:val="auto"/>
              </w:rPr>
            </w:pPr>
            <w:r>
              <w:rPr>
                <w:rFonts w:ascii="Arial" w:cs="Arial" w:eastAsia="Arial" w:hAnsi="Arial"/>
                <w:sz w:val="13"/>
                <w:szCs w:val="13"/>
                <w:color w:val="auto"/>
              </w:rPr>
              <w:t>450,015</w:t>
            </w: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0"/>
              <w:spacing w:after="0"/>
              <w:rPr>
                <w:sz w:val="20"/>
                <w:szCs w:val="20"/>
                <w:color w:val="auto"/>
              </w:rPr>
            </w:pPr>
            <w:r>
              <w:rPr>
                <w:rFonts w:ascii="Arial" w:cs="Arial" w:eastAsia="Arial" w:hAnsi="Arial"/>
                <w:sz w:val="13"/>
                <w:szCs w:val="13"/>
                <w:color w:val="auto"/>
              </w:rPr>
              <w:t>183,544</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13,308</w:t>
            </w:r>
          </w:p>
        </w:tc>
        <w:tc>
          <w:tcPr>
            <w:tcW w:w="820" w:type="dxa"/>
            <w:vAlign w:val="bottom"/>
          </w:tcPr>
          <w:p>
            <w:pPr>
              <w:jc w:val="right"/>
              <w:spacing w:after="0"/>
              <w:rPr>
                <w:sz w:val="20"/>
                <w:szCs w:val="20"/>
                <w:color w:val="auto"/>
              </w:rPr>
            </w:pPr>
            <w:r>
              <w:rPr>
                <w:rFonts w:ascii="Arial" w:cs="Arial" w:eastAsia="Arial" w:hAnsi="Arial"/>
                <w:sz w:val="13"/>
                <w:szCs w:val="13"/>
                <w:color w:val="auto"/>
              </w:rPr>
              <w:t>953,395</w:t>
            </w:r>
          </w:p>
        </w:tc>
      </w:tr>
      <w:tr>
        <w:trPr>
          <w:trHeight w:val="188"/>
        </w:trPr>
        <w:tc>
          <w:tcPr>
            <w:tcW w:w="2020" w:type="dxa"/>
            <w:vAlign w:val="bottom"/>
            <w:tcBorders>
              <w:bottom w:val="single" w:sz="8" w:color="D9D9D9"/>
            </w:tcBorders>
          </w:tcPr>
          <w:p>
            <w:pPr>
              <w:spacing w:after="0"/>
              <w:rPr>
                <w:sz w:val="20"/>
                <w:szCs w:val="20"/>
                <w:color w:val="auto"/>
              </w:rPr>
            </w:pPr>
            <w:r>
              <w:rPr>
                <w:rFonts w:ascii="Arial" w:cs="Arial" w:eastAsia="Arial" w:hAnsi="Arial"/>
                <w:sz w:val="13"/>
                <w:szCs w:val="13"/>
                <w:color w:val="auto"/>
              </w:rPr>
              <w:t>Officer</w:t>
            </w:r>
          </w:p>
        </w:tc>
        <w:tc>
          <w:tcPr>
            <w:tcW w:w="720" w:type="dxa"/>
            <w:vAlign w:val="bottom"/>
            <w:tcBorders>
              <w:bottom w:val="single" w:sz="8" w:color="D9D9D9"/>
            </w:tcBorders>
          </w:tcPr>
          <w:p>
            <w:pPr>
              <w:spacing w:after="0"/>
              <w:rPr>
                <w:sz w:val="16"/>
                <w:szCs w:val="16"/>
                <w:color w:val="auto"/>
              </w:rPr>
            </w:pPr>
          </w:p>
        </w:tc>
        <w:tc>
          <w:tcPr>
            <w:tcW w:w="820" w:type="dxa"/>
            <w:vAlign w:val="bottom"/>
            <w:tcBorders>
              <w:bottom w:val="single" w:sz="8" w:color="D9D9D9"/>
            </w:tcBorders>
          </w:tcPr>
          <w:p>
            <w:pPr>
              <w:spacing w:after="0"/>
              <w:rPr>
                <w:sz w:val="16"/>
                <w:szCs w:val="16"/>
                <w:color w:val="auto"/>
              </w:rPr>
            </w:pPr>
          </w:p>
        </w:tc>
        <w:tc>
          <w:tcPr>
            <w:tcW w:w="860" w:type="dxa"/>
            <w:vAlign w:val="bottom"/>
            <w:tcBorders>
              <w:bottom w:val="single" w:sz="8" w:color="D9D9D9"/>
            </w:tcBorders>
          </w:tcPr>
          <w:p>
            <w:pPr>
              <w:spacing w:after="0"/>
              <w:rPr>
                <w:sz w:val="16"/>
                <w:szCs w:val="16"/>
                <w:color w:val="auto"/>
              </w:rPr>
            </w:pPr>
          </w:p>
        </w:tc>
        <w:tc>
          <w:tcPr>
            <w:tcW w:w="1020" w:type="dxa"/>
            <w:vAlign w:val="bottom"/>
            <w:tcBorders>
              <w:bottom w:val="single" w:sz="8" w:color="D9D9D9"/>
            </w:tcBorders>
          </w:tcPr>
          <w:p>
            <w:pPr>
              <w:spacing w:after="0"/>
              <w:rPr>
                <w:sz w:val="16"/>
                <w:szCs w:val="16"/>
                <w:color w:val="auto"/>
              </w:rPr>
            </w:pPr>
          </w:p>
        </w:tc>
        <w:tc>
          <w:tcPr>
            <w:tcW w:w="920" w:type="dxa"/>
            <w:vAlign w:val="bottom"/>
            <w:tcBorders>
              <w:bottom w:val="single" w:sz="8" w:color="D9D9D9"/>
            </w:tcBorders>
          </w:tcPr>
          <w:p>
            <w:pPr>
              <w:spacing w:after="0"/>
              <w:rPr>
                <w:sz w:val="16"/>
                <w:szCs w:val="16"/>
                <w:color w:val="auto"/>
              </w:rPr>
            </w:pPr>
          </w:p>
        </w:tc>
        <w:tc>
          <w:tcPr>
            <w:tcW w:w="1340" w:type="dxa"/>
            <w:vAlign w:val="bottom"/>
            <w:tcBorders>
              <w:bottom w:val="single" w:sz="8" w:color="D9D9D9"/>
            </w:tcBorders>
          </w:tcPr>
          <w:p>
            <w:pPr>
              <w:spacing w:after="0"/>
              <w:rPr>
                <w:sz w:val="16"/>
                <w:szCs w:val="16"/>
                <w:color w:val="auto"/>
              </w:rPr>
            </w:pPr>
          </w:p>
        </w:tc>
        <w:tc>
          <w:tcPr>
            <w:tcW w:w="1400" w:type="dxa"/>
            <w:vAlign w:val="bottom"/>
            <w:tcBorders>
              <w:bottom w:val="single" w:sz="8" w:color="D9D9D9"/>
            </w:tcBorders>
          </w:tcPr>
          <w:p>
            <w:pPr>
              <w:spacing w:after="0"/>
              <w:rPr>
                <w:sz w:val="16"/>
                <w:szCs w:val="16"/>
                <w:color w:val="auto"/>
              </w:rPr>
            </w:pPr>
          </w:p>
        </w:tc>
        <w:tc>
          <w:tcPr>
            <w:tcW w:w="820" w:type="dxa"/>
            <w:vAlign w:val="bottom"/>
            <w:tcBorders>
              <w:bottom w:val="single" w:sz="8" w:color="D9D9D9"/>
            </w:tcBorders>
          </w:tcPr>
          <w:p>
            <w:pPr>
              <w:spacing w:after="0"/>
              <w:rPr>
                <w:sz w:val="16"/>
                <w:szCs w:val="16"/>
                <w:color w:val="auto"/>
              </w:rPr>
            </w:pPr>
          </w:p>
        </w:tc>
      </w:tr>
      <w:tr>
        <w:trPr>
          <w:trHeight w:val="167"/>
        </w:trPr>
        <w:tc>
          <w:tcPr>
            <w:tcW w:w="2020" w:type="dxa"/>
            <w:vAlign w:val="bottom"/>
          </w:tcPr>
          <w:p>
            <w:pPr>
              <w:spacing w:after="0"/>
              <w:rPr>
                <w:sz w:val="20"/>
                <w:szCs w:val="20"/>
                <w:color w:val="auto"/>
              </w:rPr>
            </w:pPr>
            <w:r>
              <w:rPr>
                <w:rFonts w:ascii="Arial" w:cs="Arial" w:eastAsia="Arial" w:hAnsi="Arial"/>
                <w:sz w:val="13"/>
                <w:szCs w:val="13"/>
                <w:b w:val="1"/>
                <w:bCs w:val="1"/>
                <w:color w:val="auto"/>
              </w:rPr>
              <w:t>Lynn Watkins-Asiyanbi</w:t>
            </w:r>
          </w:p>
        </w:tc>
        <w:tc>
          <w:tcPr>
            <w:tcW w:w="720" w:type="dxa"/>
            <w:vAlign w:val="bottom"/>
          </w:tcPr>
          <w:p>
            <w:pPr>
              <w:jc w:val="right"/>
              <w:ind w:right="152"/>
              <w:spacing w:after="0"/>
              <w:rPr>
                <w:sz w:val="20"/>
                <w:szCs w:val="20"/>
                <w:color w:val="auto"/>
              </w:rPr>
            </w:pPr>
            <w:r>
              <w:rPr>
                <w:rFonts w:ascii="Arial" w:cs="Arial" w:eastAsia="Arial" w:hAnsi="Arial"/>
                <w:sz w:val="13"/>
                <w:szCs w:val="13"/>
                <w:color w:val="auto"/>
              </w:rPr>
              <w:t>2023</w:t>
            </w:r>
          </w:p>
        </w:tc>
        <w:tc>
          <w:tcPr>
            <w:tcW w:w="820" w:type="dxa"/>
            <w:vAlign w:val="bottom"/>
          </w:tcPr>
          <w:p>
            <w:pPr>
              <w:jc w:val="right"/>
              <w:ind w:right="112"/>
              <w:spacing w:after="0"/>
              <w:rPr>
                <w:sz w:val="20"/>
                <w:szCs w:val="20"/>
                <w:color w:val="auto"/>
              </w:rPr>
            </w:pPr>
            <w:r>
              <w:rPr>
                <w:rFonts w:ascii="Arial" w:cs="Arial" w:eastAsia="Arial" w:hAnsi="Arial"/>
                <w:sz w:val="13"/>
                <w:szCs w:val="13"/>
                <w:color w:val="auto"/>
              </w:rPr>
              <w:t>363,462</w:t>
            </w:r>
          </w:p>
        </w:tc>
        <w:tc>
          <w:tcPr>
            <w:tcW w:w="860" w:type="dxa"/>
            <w:vAlign w:val="bottom"/>
          </w:tcPr>
          <w:p>
            <w:pPr>
              <w:jc w:val="right"/>
              <w:ind w:right="132"/>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151"/>
              <w:spacing w:after="0"/>
              <w:rPr>
                <w:sz w:val="20"/>
                <w:szCs w:val="20"/>
                <w:color w:val="auto"/>
              </w:rPr>
            </w:pPr>
            <w:r>
              <w:rPr>
                <w:rFonts w:ascii="Arial" w:cs="Arial" w:eastAsia="Arial" w:hAnsi="Arial"/>
                <w:sz w:val="13"/>
                <w:szCs w:val="13"/>
                <w:color w:val="auto"/>
              </w:rPr>
              <w:t>922,724</w:t>
            </w:r>
          </w:p>
        </w:tc>
        <w:tc>
          <w:tcPr>
            <w:tcW w:w="920" w:type="dxa"/>
            <w:vAlign w:val="bottom"/>
          </w:tcPr>
          <w:p>
            <w:pPr>
              <w:jc w:val="right"/>
              <w:ind w:right="71"/>
              <w:spacing w:after="0"/>
              <w:rPr>
                <w:sz w:val="20"/>
                <w:szCs w:val="20"/>
                <w:color w:val="auto"/>
              </w:rPr>
            </w:pPr>
            <w:r>
              <w:rPr>
                <w:rFonts w:ascii="Arial" w:cs="Arial" w:eastAsia="Arial" w:hAnsi="Arial"/>
                <w:sz w:val="13"/>
                <w:szCs w:val="13"/>
                <w:color w:val="auto"/>
              </w:rPr>
              <w:t>—</w:t>
            </w:r>
          </w:p>
        </w:tc>
        <w:tc>
          <w:tcPr>
            <w:tcW w:w="1340" w:type="dxa"/>
            <w:vAlign w:val="bottom"/>
          </w:tcPr>
          <w:p>
            <w:pPr>
              <w:jc w:val="right"/>
              <w:ind w:right="90"/>
              <w:spacing w:after="0"/>
              <w:rPr>
                <w:sz w:val="20"/>
                <w:szCs w:val="20"/>
                <w:color w:val="auto"/>
              </w:rPr>
            </w:pPr>
            <w:r>
              <w:rPr>
                <w:rFonts w:ascii="Arial" w:cs="Arial" w:eastAsia="Arial" w:hAnsi="Arial"/>
                <w:sz w:val="13"/>
                <w:szCs w:val="13"/>
                <w:color w:val="auto"/>
              </w:rPr>
              <w:t>367,500</w:t>
            </w:r>
          </w:p>
        </w:tc>
        <w:tc>
          <w:tcPr>
            <w:tcW w:w="1400" w:type="dxa"/>
            <w:vAlign w:val="bottom"/>
          </w:tcPr>
          <w:p>
            <w:pPr>
              <w:jc w:val="right"/>
              <w:ind w:right="171"/>
              <w:spacing w:after="0"/>
              <w:rPr>
                <w:sz w:val="20"/>
                <w:szCs w:val="20"/>
                <w:color w:val="auto"/>
              </w:rPr>
            </w:pPr>
            <w:r>
              <w:rPr>
                <w:rFonts w:ascii="Arial" w:cs="Arial" w:eastAsia="Arial" w:hAnsi="Arial"/>
                <w:sz w:val="13"/>
                <w:szCs w:val="13"/>
                <w:color w:val="auto"/>
              </w:rPr>
              <w:t>15,894</w:t>
            </w:r>
          </w:p>
        </w:tc>
        <w:tc>
          <w:tcPr>
            <w:tcW w:w="820" w:type="dxa"/>
            <w:vAlign w:val="bottom"/>
          </w:tcPr>
          <w:p>
            <w:pPr>
              <w:jc w:val="right"/>
              <w:spacing w:after="0"/>
              <w:rPr>
                <w:sz w:val="20"/>
                <w:szCs w:val="20"/>
                <w:color w:val="auto"/>
              </w:rPr>
            </w:pPr>
            <w:r>
              <w:rPr>
                <w:rFonts w:ascii="Arial" w:cs="Arial" w:eastAsia="Arial" w:hAnsi="Arial"/>
                <w:sz w:val="13"/>
                <w:szCs w:val="13"/>
                <w:color w:val="auto"/>
              </w:rPr>
              <w:t>1,669,580</w:t>
            </w:r>
          </w:p>
        </w:tc>
      </w:tr>
      <w:tr>
        <w:trPr>
          <w:trHeight w:val="150"/>
        </w:trPr>
        <w:tc>
          <w:tcPr>
            <w:tcW w:w="2020" w:type="dxa"/>
            <w:vAlign w:val="bottom"/>
          </w:tcPr>
          <w:p>
            <w:pPr>
              <w:spacing w:after="0"/>
              <w:rPr>
                <w:sz w:val="20"/>
                <w:szCs w:val="20"/>
                <w:color w:val="auto"/>
              </w:rPr>
            </w:pPr>
            <w:r>
              <w:rPr>
                <w:rFonts w:ascii="Arial" w:cs="Arial" w:eastAsia="Arial" w:hAnsi="Arial"/>
                <w:sz w:val="13"/>
                <w:szCs w:val="13"/>
                <w:color w:val="auto"/>
              </w:rPr>
              <w:t>Chief Administrative and Legal</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8"/>
        </w:trPr>
        <w:tc>
          <w:tcPr>
            <w:tcW w:w="2020" w:type="dxa"/>
            <w:vAlign w:val="bottom"/>
            <w:tcBorders>
              <w:bottom w:val="single" w:sz="8" w:color="405788"/>
            </w:tcBorders>
          </w:tcPr>
          <w:p>
            <w:pPr>
              <w:spacing w:after="0"/>
              <w:rPr>
                <w:sz w:val="20"/>
                <w:szCs w:val="20"/>
                <w:color w:val="auto"/>
              </w:rPr>
            </w:pPr>
            <w:r>
              <w:rPr>
                <w:rFonts w:ascii="Arial" w:cs="Arial" w:eastAsia="Arial" w:hAnsi="Arial"/>
                <w:sz w:val="13"/>
                <w:szCs w:val="13"/>
                <w:color w:val="auto"/>
              </w:rPr>
              <w:t>Officer</w:t>
            </w:r>
          </w:p>
        </w:tc>
        <w:tc>
          <w:tcPr>
            <w:tcW w:w="720" w:type="dxa"/>
            <w:vAlign w:val="bottom"/>
            <w:tcBorders>
              <w:bottom w:val="single" w:sz="8" w:color="405788"/>
            </w:tcBorders>
          </w:tcPr>
          <w:p>
            <w:pPr>
              <w:spacing w:after="0"/>
              <w:rPr>
                <w:sz w:val="13"/>
                <w:szCs w:val="13"/>
                <w:color w:val="auto"/>
              </w:rPr>
            </w:pPr>
          </w:p>
        </w:tc>
        <w:tc>
          <w:tcPr>
            <w:tcW w:w="820" w:type="dxa"/>
            <w:vAlign w:val="bottom"/>
            <w:tcBorders>
              <w:bottom w:val="single" w:sz="8" w:color="405788"/>
            </w:tcBorders>
          </w:tcPr>
          <w:p>
            <w:pPr>
              <w:spacing w:after="0"/>
              <w:rPr>
                <w:sz w:val="13"/>
                <w:szCs w:val="13"/>
                <w:color w:val="auto"/>
              </w:rPr>
            </w:pPr>
          </w:p>
        </w:tc>
        <w:tc>
          <w:tcPr>
            <w:tcW w:w="860" w:type="dxa"/>
            <w:vAlign w:val="bottom"/>
            <w:tcBorders>
              <w:bottom w:val="single" w:sz="8" w:color="405788"/>
            </w:tcBorders>
          </w:tcPr>
          <w:p>
            <w:pPr>
              <w:spacing w:after="0"/>
              <w:rPr>
                <w:sz w:val="13"/>
                <w:szCs w:val="13"/>
                <w:color w:val="auto"/>
              </w:rPr>
            </w:pPr>
          </w:p>
        </w:tc>
        <w:tc>
          <w:tcPr>
            <w:tcW w:w="1020" w:type="dxa"/>
            <w:vAlign w:val="bottom"/>
            <w:tcBorders>
              <w:bottom w:val="single" w:sz="8" w:color="405788"/>
            </w:tcBorders>
          </w:tcPr>
          <w:p>
            <w:pPr>
              <w:spacing w:after="0"/>
              <w:rPr>
                <w:sz w:val="13"/>
                <w:szCs w:val="13"/>
                <w:color w:val="auto"/>
              </w:rPr>
            </w:pPr>
          </w:p>
        </w:tc>
        <w:tc>
          <w:tcPr>
            <w:tcW w:w="920" w:type="dxa"/>
            <w:vAlign w:val="bottom"/>
            <w:tcBorders>
              <w:bottom w:val="single" w:sz="8" w:color="405788"/>
            </w:tcBorders>
          </w:tcPr>
          <w:p>
            <w:pPr>
              <w:spacing w:after="0"/>
              <w:rPr>
                <w:sz w:val="13"/>
                <w:szCs w:val="13"/>
                <w:color w:val="auto"/>
              </w:rPr>
            </w:pPr>
          </w:p>
        </w:tc>
        <w:tc>
          <w:tcPr>
            <w:tcW w:w="1340" w:type="dxa"/>
            <w:vAlign w:val="bottom"/>
            <w:tcBorders>
              <w:bottom w:val="single" w:sz="8" w:color="405788"/>
            </w:tcBorders>
          </w:tcPr>
          <w:p>
            <w:pPr>
              <w:spacing w:after="0"/>
              <w:rPr>
                <w:sz w:val="13"/>
                <w:szCs w:val="13"/>
                <w:color w:val="auto"/>
              </w:rPr>
            </w:pPr>
          </w:p>
        </w:tc>
        <w:tc>
          <w:tcPr>
            <w:tcW w:w="1400" w:type="dxa"/>
            <w:vAlign w:val="bottom"/>
            <w:tcBorders>
              <w:bottom w:val="single" w:sz="8" w:color="405788"/>
            </w:tcBorders>
          </w:tcPr>
          <w:p>
            <w:pPr>
              <w:spacing w:after="0"/>
              <w:rPr>
                <w:sz w:val="13"/>
                <w:szCs w:val="13"/>
                <w:color w:val="auto"/>
              </w:rPr>
            </w:pPr>
          </w:p>
        </w:tc>
        <w:tc>
          <w:tcPr>
            <w:tcW w:w="820" w:type="dxa"/>
            <w:vAlign w:val="bottom"/>
            <w:tcBorders>
              <w:bottom w:val="single" w:sz="8" w:color="405788"/>
            </w:tcBorders>
          </w:tcPr>
          <w:p>
            <w:pPr>
              <w:spacing w:after="0"/>
              <w:rPr>
                <w:sz w:val="13"/>
                <w:szCs w:val="13"/>
                <w:color w:val="auto"/>
              </w:rPr>
            </w:pPr>
          </w:p>
        </w:tc>
      </w:tr>
    </w:tbl>
    <w:p>
      <w:pPr>
        <w:spacing w:after="0" w:line="100" w:lineRule="exact"/>
        <w:rPr>
          <w:sz w:val="20"/>
          <w:szCs w:val="20"/>
          <w:color w:val="auto"/>
        </w:rPr>
      </w:pPr>
    </w:p>
    <w:p>
      <w:pPr>
        <w:ind w:left="380" w:right="60" w:hanging="379"/>
        <w:spacing w:after="0" w:line="252" w:lineRule="auto"/>
        <w:tabs>
          <w:tab w:leader="none" w:pos="38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This column reflects, for 2023, the aggregate grant date fair value of all stock awards granted during 2023 calculated in accordance with Financial Accounting Standards Board Accounting Standards Codification Topic 718 (“FASB ASC Topic 718”), disregarding estimated forfeitures. There is no assurance that the named executive officers will realize these amounts. Assumptions used in calculating these amounts are included in Note 9 to the Company’s consolidated financial statements included in our Annual Report on Form 10-K for the year ended December 31, 2023.</w:t>
      </w:r>
    </w:p>
    <w:p>
      <w:pPr>
        <w:spacing w:after="0" w:line="69" w:lineRule="exact"/>
        <w:rPr>
          <w:rFonts w:ascii="Arial" w:cs="Arial" w:eastAsia="Arial" w:hAnsi="Arial"/>
          <w:sz w:val="15"/>
          <w:szCs w:val="15"/>
          <w:color w:val="auto"/>
        </w:rPr>
      </w:pPr>
    </w:p>
    <w:p>
      <w:pPr>
        <w:ind w:left="380" w:right="260"/>
        <w:spacing w:after="0" w:line="255" w:lineRule="auto"/>
        <w:rPr>
          <w:rFonts w:ascii="Arial" w:cs="Arial" w:eastAsia="Arial" w:hAnsi="Arial"/>
          <w:sz w:val="15"/>
          <w:szCs w:val="15"/>
          <w:color w:val="auto"/>
        </w:rPr>
      </w:pPr>
      <w:r>
        <w:rPr>
          <w:rFonts w:ascii="Arial" w:cs="Arial" w:eastAsia="Arial" w:hAnsi="Arial"/>
          <w:sz w:val="15"/>
          <w:szCs w:val="15"/>
          <w:color w:val="auto"/>
        </w:rPr>
        <w:t>For 2023, the amount includes the sum of the grant date fair values of the regular annual grant of RSUs and PRSUs, plus the special PRSU retention award granted in July to Mr. Gleason and in September to Mr. Johansson and Ms. Watkins-Asiyanbi. For both PRSU awards, the grant date fair value represents the probable outcome of the applicable performance conditions. The table below identifies the amount of the grant date fair value reported in this column that is attributable to each of the various awards granted during 2023 to each NEO.</w:t>
      </w:r>
    </w:p>
    <w:p>
      <w:pPr>
        <w:spacing w:after="0" w:line="79" w:lineRule="exact"/>
        <w:rPr>
          <w:sz w:val="20"/>
          <w:szCs w:val="20"/>
          <w:color w:val="auto"/>
        </w:rPr>
      </w:pPr>
    </w:p>
    <w:tbl>
      <w:tblPr>
        <w:tblLayout w:type="fixed"/>
        <w:tblInd w:w="380" w:type="dxa"/>
        <w:tblCellMar>
          <w:top w:w="0" w:type="dxa"/>
          <w:left w:w="0" w:type="dxa"/>
          <w:bottom w:w="0" w:type="dxa"/>
          <w:right w:w="0" w:type="dxa"/>
        </w:tblCellMar>
      </w:tblPr>
      <w:tr>
        <w:trPr>
          <w:trHeight w:val="175"/>
        </w:trPr>
        <w:tc>
          <w:tcPr>
            <w:tcW w:w="3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jc w:val="right"/>
              <w:ind w:right="125"/>
              <w:spacing w:after="0"/>
              <w:rPr>
                <w:sz w:val="20"/>
                <w:szCs w:val="20"/>
                <w:color w:val="auto"/>
              </w:rPr>
            </w:pPr>
            <w:r>
              <w:rPr>
                <w:rFonts w:ascii="Arial" w:cs="Arial" w:eastAsia="Arial" w:hAnsi="Arial"/>
                <w:sz w:val="15"/>
                <w:szCs w:val="15"/>
                <w:b w:val="1"/>
                <w:bCs w:val="1"/>
                <w:color w:val="auto"/>
              </w:rPr>
              <w:t>Special</w:t>
            </w:r>
          </w:p>
        </w:tc>
      </w:tr>
      <w:tr>
        <w:trPr>
          <w:trHeight w:val="175"/>
        </w:trPr>
        <w:tc>
          <w:tcPr>
            <w:tcW w:w="3160" w:type="dxa"/>
            <w:vAlign w:val="bottom"/>
          </w:tcPr>
          <w:p>
            <w:pPr>
              <w:spacing w:after="0"/>
              <w:rPr>
                <w:sz w:val="15"/>
                <w:szCs w:val="15"/>
                <w:color w:val="auto"/>
              </w:rPr>
            </w:pPr>
          </w:p>
        </w:tc>
        <w:tc>
          <w:tcPr>
            <w:tcW w:w="2580" w:type="dxa"/>
            <w:vAlign w:val="bottom"/>
          </w:tcPr>
          <w:p>
            <w:pPr>
              <w:jc w:val="right"/>
              <w:ind w:right="285"/>
              <w:spacing w:after="0"/>
              <w:rPr>
                <w:sz w:val="20"/>
                <w:szCs w:val="20"/>
                <w:color w:val="auto"/>
              </w:rPr>
            </w:pPr>
            <w:r>
              <w:rPr>
                <w:rFonts w:ascii="Arial" w:cs="Arial" w:eastAsia="Arial" w:hAnsi="Arial"/>
                <w:sz w:val="15"/>
                <w:szCs w:val="15"/>
                <w:b w:val="1"/>
                <w:bCs w:val="1"/>
                <w:color w:val="auto"/>
              </w:rPr>
              <w:t>Annual</w:t>
            </w:r>
          </w:p>
        </w:tc>
        <w:tc>
          <w:tcPr>
            <w:tcW w:w="1180" w:type="dxa"/>
            <w:vAlign w:val="bottom"/>
          </w:tcPr>
          <w:p>
            <w:pPr>
              <w:jc w:val="right"/>
              <w:ind w:right="225"/>
              <w:spacing w:after="0"/>
              <w:rPr>
                <w:sz w:val="20"/>
                <w:szCs w:val="20"/>
                <w:color w:val="auto"/>
              </w:rPr>
            </w:pPr>
            <w:r>
              <w:rPr>
                <w:rFonts w:ascii="Arial" w:cs="Arial" w:eastAsia="Arial" w:hAnsi="Arial"/>
                <w:sz w:val="15"/>
                <w:szCs w:val="15"/>
                <w:b w:val="1"/>
                <w:bCs w:val="1"/>
                <w:color w:val="auto"/>
              </w:rPr>
              <w:t>Annual</w:t>
            </w:r>
          </w:p>
        </w:tc>
        <w:tc>
          <w:tcPr>
            <w:tcW w:w="1180" w:type="dxa"/>
            <w:vAlign w:val="bottom"/>
          </w:tcPr>
          <w:p>
            <w:pPr>
              <w:jc w:val="right"/>
              <w:ind w:right="125"/>
              <w:spacing w:after="0"/>
              <w:rPr>
                <w:sz w:val="20"/>
                <w:szCs w:val="20"/>
                <w:color w:val="auto"/>
              </w:rPr>
            </w:pPr>
            <w:r>
              <w:rPr>
                <w:rFonts w:ascii="Arial" w:cs="Arial" w:eastAsia="Arial" w:hAnsi="Arial"/>
                <w:sz w:val="15"/>
                <w:szCs w:val="15"/>
                <w:b w:val="1"/>
                <w:bCs w:val="1"/>
                <w:color w:val="auto"/>
              </w:rPr>
              <w:t>Retention</w:t>
            </w:r>
          </w:p>
        </w:tc>
      </w:tr>
      <w:tr>
        <w:trPr>
          <w:trHeight w:val="175"/>
        </w:trPr>
        <w:tc>
          <w:tcPr>
            <w:tcW w:w="3160" w:type="dxa"/>
            <w:vAlign w:val="bottom"/>
          </w:tcPr>
          <w:p>
            <w:pPr>
              <w:spacing w:after="0"/>
              <w:rPr>
                <w:sz w:val="15"/>
                <w:szCs w:val="15"/>
                <w:color w:val="auto"/>
              </w:rPr>
            </w:pPr>
          </w:p>
        </w:tc>
        <w:tc>
          <w:tcPr>
            <w:tcW w:w="2580" w:type="dxa"/>
            <w:vAlign w:val="bottom"/>
          </w:tcPr>
          <w:p>
            <w:pPr>
              <w:jc w:val="right"/>
              <w:ind w:right="285"/>
              <w:spacing w:after="0"/>
              <w:rPr>
                <w:sz w:val="20"/>
                <w:szCs w:val="20"/>
                <w:color w:val="auto"/>
              </w:rPr>
            </w:pPr>
            <w:r>
              <w:rPr>
                <w:rFonts w:ascii="Arial" w:cs="Arial" w:eastAsia="Arial" w:hAnsi="Arial"/>
                <w:sz w:val="15"/>
                <w:szCs w:val="15"/>
                <w:b w:val="1"/>
                <w:bCs w:val="1"/>
                <w:color w:val="auto"/>
              </w:rPr>
              <w:t>Grant</w:t>
            </w:r>
          </w:p>
        </w:tc>
        <w:tc>
          <w:tcPr>
            <w:tcW w:w="1180" w:type="dxa"/>
            <w:vAlign w:val="bottom"/>
          </w:tcPr>
          <w:p>
            <w:pPr>
              <w:jc w:val="right"/>
              <w:ind w:right="225"/>
              <w:spacing w:after="0"/>
              <w:rPr>
                <w:sz w:val="20"/>
                <w:szCs w:val="20"/>
                <w:color w:val="auto"/>
              </w:rPr>
            </w:pPr>
            <w:r>
              <w:rPr>
                <w:rFonts w:ascii="Arial" w:cs="Arial" w:eastAsia="Arial" w:hAnsi="Arial"/>
                <w:sz w:val="15"/>
                <w:szCs w:val="15"/>
                <w:b w:val="1"/>
                <w:bCs w:val="1"/>
                <w:color w:val="auto"/>
              </w:rPr>
              <w:t>Grant</w:t>
            </w:r>
          </w:p>
        </w:tc>
        <w:tc>
          <w:tcPr>
            <w:tcW w:w="1180" w:type="dxa"/>
            <w:vAlign w:val="bottom"/>
          </w:tcPr>
          <w:p>
            <w:pPr>
              <w:jc w:val="right"/>
              <w:ind w:right="125"/>
              <w:spacing w:after="0"/>
              <w:rPr>
                <w:sz w:val="20"/>
                <w:szCs w:val="20"/>
                <w:color w:val="auto"/>
              </w:rPr>
            </w:pPr>
            <w:r>
              <w:rPr>
                <w:rFonts w:ascii="Arial" w:cs="Arial" w:eastAsia="Arial" w:hAnsi="Arial"/>
                <w:sz w:val="15"/>
                <w:szCs w:val="15"/>
                <w:b w:val="1"/>
                <w:bCs w:val="1"/>
                <w:color w:val="auto"/>
              </w:rPr>
              <w:t>Incentive</w:t>
            </w:r>
          </w:p>
        </w:tc>
      </w:tr>
      <w:tr>
        <w:trPr>
          <w:trHeight w:val="175"/>
        </w:trPr>
        <w:tc>
          <w:tcPr>
            <w:tcW w:w="3160" w:type="dxa"/>
            <w:vAlign w:val="bottom"/>
          </w:tcPr>
          <w:p>
            <w:pPr>
              <w:spacing w:after="0"/>
              <w:rPr>
                <w:sz w:val="15"/>
                <w:szCs w:val="15"/>
                <w:color w:val="auto"/>
              </w:rPr>
            </w:pPr>
          </w:p>
        </w:tc>
        <w:tc>
          <w:tcPr>
            <w:tcW w:w="2580" w:type="dxa"/>
            <w:vAlign w:val="bottom"/>
          </w:tcPr>
          <w:p>
            <w:pPr>
              <w:jc w:val="right"/>
              <w:ind w:right="285"/>
              <w:spacing w:after="0"/>
              <w:rPr>
                <w:sz w:val="20"/>
                <w:szCs w:val="20"/>
                <w:color w:val="auto"/>
              </w:rPr>
            </w:pPr>
            <w:r>
              <w:rPr>
                <w:rFonts w:ascii="Arial" w:cs="Arial" w:eastAsia="Arial" w:hAnsi="Arial"/>
                <w:sz w:val="15"/>
                <w:szCs w:val="15"/>
                <w:b w:val="1"/>
                <w:bCs w:val="1"/>
                <w:color w:val="auto"/>
              </w:rPr>
              <w:t>RSUs</w:t>
            </w:r>
          </w:p>
        </w:tc>
        <w:tc>
          <w:tcPr>
            <w:tcW w:w="1180" w:type="dxa"/>
            <w:vAlign w:val="bottom"/>
          </w:tcPr>
          <w:p>
            <w:pPr>
              <w:jc w:val="right"/>
              <w:ind w:right="225"/>
              <w:spacing w:after="0"/>
              <w:rPr>
                <w:sz w:val="20"/>
                <w:szCs w:val="20"/>
                <w:color w:val="auto"/>
              </w:rPr>
            </w:pPr>
            <w:r>
              <w:rPr>
                <w:rFonts w:ascii="Arial" w:cs="Arial" w:eastAsia="Arial" w:hAnsi="Arial"/>
                <w:sz w:val="15"/>
                <w:szCs w:val="15"/>
                <w:b w:val="1"/>
                <w:bCs w:val="1"/>
                <w:color w:val="auto"/>
              </w:rPr>
              <w:t>PRSUs</w:t>
            </w:r>
          </w:p>
        </w:tc>
        <w:tc>
          <w:tcPr>
            <w:tcW w:w="1180" w:type="dxa"/>
            <w:vAlign w:val="bottom"/>
          </w:tcPr>
          <w:p>
            <w:pPr>
              <w:jc w:val="right"/>
              <w:ind w:right="125"/>
              <w:spacing w:after="0"/>
              <w:rPr>
                <w:sz w:val="20"/>
                <w:szCs w:val="20"/>
                <w:color w:val="auto"/>
              </w:rPr>
            </w:pPr>
            <w:r>
              <w:rPr>
                <w:rFonts w:ascii="Arial" w:cs="Arial" w:eastAsia="Arial" w:hAnsi="Arial"/>
                <w:sz w:val="15"/>
                <w:szCs w:val="15"/>
                <w:b w:val="1"/>
                <w:bCs w:val="1"/>
                <w:color w:val="auto"/>
              </w:rPr>
              <w:t>PRSUs</w:t>
            </w:r>
          </w:p>
        </w:tc>
      </w:tr>
      <w:tr>
        <w:trPr>
          <w:trHeight w:val="192"/>
        </w:trPr>
        <w:tc>
          <w:tcPr>
            <w:tcW w:w="3160" w:type="dxa"/>
            <w:vAlign w:val="bottom"/>
            <w:tcBorders>
              <w:bottom w:val="single" w:sz="8" w:color="405788"/>
            </w:tcBorders>
          </w:tcPr>
          <w:p>
            <w:pPr>
              <w:spacing w:after="0"/>
              <w:rPr>
                <w:sz w:val="20"/>
                <w:szCs w:val="20"/>
                <w:color w:val="auto"/>
              </w:rPr>
            </w:pPr>
            <w:r>
              <w:rPr>
                <w:rFonts w:ascii="Arial" w:cs="Arial" w:eastAsia="Arial" w:hAnsi="Arial"/>
                <w:sz w:val="15"/>
                <w:szCs w:val="15"/>
                <w:b w:val="1"/>
                <w:bCs w:val="1"/>
                <w:color w:val="auto"/>
              </w:rPr>
              <w:t>Name</w:t>
            </w:r>
          </w:p>
        </w:tc>
        <w:tc>
          <w:tcPr>
            <w:tcW w:w="2580" w:type="dxa"/>
            <w:vAlign w:val="bottom"/>
            <w:tcBorders>
              <w:bottom w:val="single" w:sz="8" w:color="405788"/>
            </w:tcBorders>
          </w:tcPr>
          <w:p>
            <w:pPr>
              <w:jc w:val="right"/>
              <w:ind w:right="285"/>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405788"/>
            </w:tcBorders>
          </w:tcPr>
          <w:p>
            <w:pPr>
              <w:jc w:val="right"/>
              <w:ind w:right="225"/>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405788"/>
            </w:tcBorders>
          </w:tcPr>
          <w:p>
            <w:pPr>
              <w:jc w:val="right"/>
              <w:ind w:right="125"/>
              <w:spacing w:after="0"/>
              <w:rPr>
                <w:sz w:val="20"/>
                <w:szCs w:val="20"/>
                <w:color w:val="auto"/>
              </w:rPr>
            </w:pPr>
            <w:r>
              <w:rPr>
                <w:rFonts w:ascii="Arial" w:cs="Arial" w:eastAsia="Arial" w:hAnsi="Arial"/>
                <w:sz w:val="15"/>
                <w:szCs w:val="15"/>
                <w:b w:val="1"/>
                <w:bCs w:val="1"/>
                <w:color w:val="auto"/>
              </w:rPr>
              <w:t>($)</w:t>
            </w:r>
          </w:p>
        </w:tc>
      </w:tr>
      <w:tr>
        <w:trPr>
          <w:trHeight w:val="180"/>
        </w:trPr>
        <w:tc>
          <w:tcPr>
            <w:tcW w:w="316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Todd Gleason</w:t>
            </w:r>
          </w:p>
        </w:tc>
        <w:tc>
          <w:tcPr>
            <w:tcW w:w="2580" w:type="dxa"/>
            <w:vAlign w:val="bottom"/>
            <w:tcBorders>
              <w:bottom w:val="single" w:sz="8" w:color="D9D9D9"/>
            </w:tcBorders>
          </w:tcPr>
          <w:p>
            <w:pPr>
              <w:jc w:val="right"/>
              <w:ind w:right="285"/>
              <w:spacing w:after="0"/>
              <w:rPr>
                <w:sz w:val="20"/>
                <w:szCs w:val="20"/>
                <w:color w:val="auto"/>
              </w:rPr>
            </w:pPr>
            <w:r>
              <w:rPr>
                <w:rFonts w:ascii="Arial" w:cs="Arial" w:eastAsia="Arial" w:hAnsi="Arial"/>
                <w:sz w:val="15"/>
                <w:szCs w:val="15"/>
                <w:color w:val="auto"/>
              </w:rPr>
              <w:t>300,002</w:t>
            </w:r>
          </w:p>
        </w:tc>
        <w:tc>
          <w:tcPr>
            <w:tcW w:w="1180" w:type="dxa"/>
            <w:vAlign w:val="bottom"/>
            <w:tcBorders>
              <w:bottom w:val="single" w:sz="8" w:color="D9D9D9"/>
            </w:tcBorders>
          </w:tcPr>
          <w:p>
            <w:pPr>
              <w:jc w:val="right"/>
              <w:ind w:right="225"/>
              <w:spacing w:after="0"/>
              <w:rPr>
                <w:sz w:val="20"/>
                <w:szCs w:val="20"/>
                <w:color w:val="auto"/>
              </w:rPr>
            </w:pPr>
            <w:r>
              <w:rPr>
                <w:rFonts w:ascii="Arial" w:cs="Arial" w:eastAsia="Arial" w:hAnsi="Arial"/>
                <w:sz w:val="15"/>
                <w:szCs w:val="15"/>
                <w:color w:val="auto"/>
              </w:rPr>
              <w:t>700,004</w:t>
            </w:r>
          </w:p>
        </w:tc>
        <w:tc>
          <w:tcPr>
            <w:tcW w:w="1180" w:type="dxa"/>
            <w:vAlign w:val="bottom"/>
            <w:tcBorders>
              <w:bottom w:val="single" w:sz="8" w:color="D9D9D9"/>
            </w:tcBorders>
          </w:tcPr>
          <w:p>
            <w:pPr>
              <w:jc w:val="right"/>
              <w:ind w:right="125"/>
              <w:spacing w:after="0"/>
              <w:rPr>
                <w:sz w:val="20"/>
                <w:szCs w:val="20"/>
                <w:color w:val="auto"/>
              </w:rPr>
            </w:pPr>
            <w:r>
              <w:rPr>
                <w:rFonts w:ascii="Arial" w:cs="Arial" w:eastAsia="Arial" w:hAnsi="Arial"/>
                <w:sz w:val="15"/>
                <w:szCs w:val="15"/>
                <w:color w:val="auto"/>
              </w:rPr>
              <w:t>2,981,250</w:t>
            </w:r>
          </w:p>
        </w:tc>
      </w:tr>
      <w:tr>
        <w:trPr>
          <w:trHeight w:val="180"/>
        </w:trPr>
        <w:tc>
          <w:tcPr>
            <w:tcW w:w="316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Peter Johansson</w:t>
            </w:r>
          </w:p>
        </w:tc>
        <w:tc>
          <w:tcPr>
            <w:tcW w:w="2580" w:type="dxa"/>
            <w:vAlign w:val="bottom"/>
            <w:tcBorders>
              <w:bottom w:val="single" w:sz="8" w:color="D9D9D9"/>
            </w:tcBorders>
          </w:tcPr>
          <w:p>
            <w:pPr>
              <w:jc w:val="right"/>
              <w:ind w:right="285"/>
              <w:spacing w:after="0"/>
              <w:rPr>
                <w:sz w:val="20"/>
                <w:szCs w:val="20"/>
                <w:color w:val="auto"/>
              </w:rPr>
            </w:pPr>
            <w:r>
              <w:rPr>
                <w:rFonts w:ascii="Arial" w:cs="Arial" w:eastAsia="Arial" w:hAnsi="Arial"/>
                <w:sz w:val="15"/>
                <w:szCs w:val="15"/>
                <w:color w:val="auto"/>
              </w:rPr>
              <w:t>150,001</w:t>
            </w:r>
          </w:p>
        </w:tc>
        <w:tc>
          <w:tcPr>
            <w:tcW w:w="1180" w:type="dxa"/>
            <w:vAlign w:val="bottom"/>
            <w:tcBorders>
              <w:bottom w:val="single" w:sz="8" w:color="D9D9D9"/>
            </w:tcBorders>
          </w:tcPr>
          <w:p>
            <w:pPr>
              <w:jc w:val="right"/>
              <w:ind w:right="225"/>
              <w:spacing w:after="0"/>
              <w:rPr>
                <w:sz w:val="20"/>
                <w:szCs w:val="20"/>
                <w:color w:val="auto"/>
              </w:rPr>
            </w:pPr>
            <w:r>
              <w:rPr>
                <w:rFonts w:ascii="Arial" w:cs="Arial" w:eastAsia="Arial" w:hAnsi="Arial"/>
                <w:sz w:val="15"/>
                <w:szCs w:val="15"/>
                <w:color w:val="auto"/>
              </w:rPr>
              <w:t>150,001</w:t>
            </w:r>
          </w:p>
        </w:tc>
        <w:tc>
          <w:tcPr>
            <w:tcW w:w="1180" w:type="dxa"/>
            <w:vAlign w:val="bottom"/>
            <w:tcBorders>
              <w:bottom w:val="single" w:sz="8" w:color="D9D9D9"/>
            </w:tcBorders>
          </w:tcPr>
          <w:p>
            <w:pPr>
              <w:jc w:val="right"/>
              <w:ind w:right="125"/>
              <w:spacing w:after="0"/>
              <w:rPr>
                <w:sz w:val="20"/>
                <w:szCs w:val="20"/>
                <w:color w:val="auto"/>
              </w:rPr>
            </w:pPr>
            <w:r>
              <w:rPr>
                <w:rFonts w:ascii="Arial" w:cs="Arial" w:eastAsia="Arial" w:hAnsi="Arial"/>
                <w:sz w:val="15"/>
                <w:szCs w:val="15"/>
                <w:color w:val="auto"/>
              </w:rPr>
              <w:t>754,535</w:t>
            </w:r>
          </w:p>
        </w:tc>
      </w:tr>
      <w:tr>
        <w:trPr>
          <w:trHeight w:val="175"/>
        </w:trPr>
        <w:tc>
          <w:tcPr>
            <w:tcW w:w="3160" w:type="dxa"/>
            <w:vAlign w:val="bottom"/>
            <w:tcBorders>
              <w:bottom w:val="single" w:sz="8" w:color="405788"/>
            </w:tcBorders>
          </w:tcPr>
          <w:p>
            <w:pPr>
              <w:spacing w:after="0"/>
              <w:rPr>
                <w:sz w:val="20"/>
                <w:szCs w:val="20"/>
                <w:color w:val="auto"/>
              </w:rPr>
            </w:pPr>
            <w:r>
              <w:rPr>
                <w:rFonts w:ascii="Arial" w:cs="Arial" w:eastAsia="Arial" w:hAnsi="Arial"/>
                <w:sz w:val="15"/>
                <w:szCs w:val="15"/>
                <w:color w:val="auto"/>
              </w:rPr>
              <w:t>Lynn Watkins-Asiyanbi</w:t>
            </w:r>
          </w:p>
        </w:tc>
        <w:tc>
          <w:tcPr>
            <w:tcW w:w="2580" w:type="dxa"/>
            <w:vAlign w:val="bottom"/>
            <w:tcBorders>
              <w:bottom w:val="single" w:sz="8" w:color="405788"/>
            </w:tcBorders>
          </w:tcPr>
          <w:p>
            <w:pPr>
              <w:jc w:val="right"/>
              <w:ind w:right="285"/>
              <w:spacing w:after="0"/>
              <w:rPr>
                <w:sz w:val="20"/>
                <w:szCs w:val="20"/>
                <w:color w:val="auto"/>
              </w:rPr>
            </w:pPr>
            <w:r>
              <w:rPr>
                <w:rFonts w:ascii="Arial" w:cs="Arial" w:eastAsia="Arial" w:hAnsi="Arial"/>
                <w:sz w:val="15"/>
                <w:szCs w:val="15"/>
                <w:color w:val="auto"/>
              </w:rPr>
              <w:t>131,254</w:t>
            </w:r>
          </w:p>
        </w:tc>
        <w:tc>
          <w:tcPr>
            <w:tcW w:w="1180" w:type="dxa"/>
            <w:vAlign w:val="bottom"/>
            <w:tcBorders>
              <w:bottom w:val="single" w:sz="8" w:color="405788"/>
            </w:tcBorders>
          </w:tcPr>
          <w:p>
            <w:pPr>
              <w:jc w:val="right"/>
              <w:ind w:right="225"/>
              <w:spacing w:after="0"/>
              <w:rPr>
                <w:sz w:val="20"/>
                <w:szCs w:val="20"/>
                <w:color w:val="auto"/>
              </w:rPr>
            </w:pPr>
            <w:r>
              <w:rPr>
                <w:rFonts w:ascii="Arial" w:cs="Arial" w:eastAsia="Arial" w:hAnsi="Arial"/>
                <w:sz w:val="15"/>
                <w:szCs w:val="15"/>
                <w:color w:val="auto"/>
              </w:rPr>
              <w:t>131,254</w:t>
            </w:r>
          </w:p>
        </w:tc>
        <w:tc>
          <w:tcPr>
            <w:tcW w:w="1180" w:type="dxa"/>
            <w:vAlign w:val="bottom"/>
            <w:tcBorders>
              <w:bottom w:val="single" w:sz="8" w:color="405788"/>
            </w:tcBorders>
          </w:tcPr>
          <w:p>
            <w:pPr>
              <w:jc w:val="right"/>
              <w:ind w:right="125"/>
              <w:spacing w:after="0"/>
              <w:rPr>
                <w:sz w:val="20"/>
                <w:szCs w:val="20"/>
                <w:color w:val="auto"/>
              </w:rPr>
            </w:pPr>
            <w:r>
              <w:rPr>
                <w:rFonts w:ascii="Arial" w:cs="Arial" w:eastAsia="Arial" w:hAnsi="Arial"/>
                <w:sz w:val="15"/>
                <w:szCs w:val="15"/>
                <w:color w:val="auto"/>
              </w:rPr>
              <w:t>660,216</w:t>
            </w:r>
          </w:p>
        </w:tc>
      </w:tr>
    </w:tbl>
    <w:p>
      <w:pPr>
        <w:spacing w:after="0" w:line="263" w:lineRule="exact"/>
        <w:rPr>
          <w:sz w:val="20"/>
          <w:szCs w:val="20"/>
          <w:color w:val="auto"/>
        </w:rPr>
      </w:pPr>
    </w:p>
    <w:p>
      <w:pPr>
        <w:ind w:left="300" w:right="160"/>
        <w:spacing w:after="0" w:line="252" w:lineRule="auto"/>
        <w:rPr>
          <w:sz w:val="20"/>
          <w:szCs w:val="20"/>
          <w:color w:val="auto"/>
        </w:rPr>
      </w:pPr>
      <w:r>
        <w:rPr>
          <w:rFonts w:ascii="Arial" w:cs="Arial" w:eastAsia="Arial" w:hAnsi="Arial"/>
          <w:sz w:val="15"/>
          <w:szCs w:val="15"/>
          <w:color w:val="auto"/>
        </w:rPr>
        <w:t>Assuming maximum achievement with respect to the performance metrics applicable to the 2023 annual grant of PRSU awards, the grant date fair values of such awards would be as follows: $1,050,005, $225,001, and $196,881 for Messrs. Gleason, and Johansson and Ms. Watkins-Asiyanbi, respectively. Assuming maximum achievement with respect to the performance metrics applicable to the 2023 special retention incentive PRSU awards, the grant date fair values of such awards would be as follows: $5,692,500, $1,509,069, and $1,320,432 for Messrs. Gleason and Johansson and Ms. Watkins-Asiyanbi,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179070</wp:posOffset>
            </wp:positionV>
            <wp:extent cx="483870" cy="2222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307"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4" w:lineRule="exact"/>
        <w:rPr>
          <w:sz w:val="20"/>
          <w:szCs w:val="20"/>
          <w:color w:val="auto"/>
        </w:rPr>
      </w:pPr>
    </w:p>
    <w:p>
      <w:pPr>
        <w:ind w:left="300" w:right="440" w:hanging="299"/>
        <w:spacing w:after="0" w:line="295" w:lineRule="auto"/>
        <w:tabs>
          <w:tab w:leader="none" w:pos="3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This column reflects the named executive officers</w:t>
      </w:r>
      <w:r>
        <w:rPr>
          <w:rFonts w:ascii="Times New Roman" w:cs="Times New Roman" w:eastAsia="Times New Roman" w:hAnsi="Times New Roman"/>
          <w:sz w:val="15"/>
          <w:szCs w:val="15"/>
          <w:color w:val="auto"/>
        </w:rPr>
        <w:t>’</w:t>
      </w:r>
      <w:r>
        <w:rPr>
          <w:rFonts w:ascii="Arial" w:cs="Arial" w:eastAsia="Arial" w:hAnsi="Arial"/>
          <w:sz w:val="15"/>
          <w:szCs w:val="15"/>
          <w:color w:val="auto"/>
        </w:rPr>
        <w:t xml:space="preserve"> annual cash incentive awards that was paid based on formulaic performance, as further described above.</w:t>
      </w:r>
    </w:p>
    <w:p>
      <w:pPr>
        <w:spacing w:after="0" w:line="37" w:lineRule="exact"/>
        <w:rPr>
          <w:rFonts w:ascii="Arial" w:cs="Arial" w:eastAsia="Arial" w:hAnsi="Arial"/>
          <w:sz w:val="15"/>
          <w:szCs w:val="15"/>
          <w:color w:val="auto"/>
        </w:rPr>
      </w:pPr>
    </w:p>
    <w:p>
      <w:pPr>
        <w:ind w:left="300" w:hanging="299"/>
        <w:spacing w:after="0"/>
        <w:tabs>
          <w:tab w:leader="none" w:pos="3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Amounts reported in this column for 2023 consist of the following:</w:t>
      </w:r>
    </w:p>
    <w:p>
      <w:pPr>
        <w:spacing w:after="0" w:line="120" w:lineRule="exact"/>
        <w:rPr>
          <w:sz w:val="20"/>
          <w:szCs w:val="20"/>
          <w:color w:val="auto"/>
        </w:rPr>
      </w:pPr>
    </w:p>
    <w:tbl>
      <w:tblPr>
        <w:tblLayout w:type="fixed"/>
        <w:tblInd w:w="380" w:type="dxa"/>
        <w:tblCellMar>
          <w:top w:w="0" w:type="dxa"/>
          <w:left w:w="0" w:type="dxa"/>
          <w:bottom w:w="0" w:type="dxa"/>
          <w:right w:w="0" w:type="dxa"/>
        </w:tblCellMar>
      </w:tblPr>
      <w:tr>
        <w:trPr>
          <w:trHeight w:val="150"/>
        </w:trPr>
        <w:tc>
          <w:tcPr>
            <w:tcW w:w="2240" w:type="dxa"/>
            <w:vAlign w:val="bottom"/>
          </w:tcPr>
          <w:p>
            <w:pPr>
              <w:spacing w:after="0"/>
              <w:rPr>
                <w:sz w:val="13"/>
                <w:szCs w:val="13"/>
                <w:color w:val="auto"/>
              </w:rPr>
            </w:pPr>
          </w:p>
        </w:tc>
        <w:tc>
          <w:tcPr>
            <w:tcW w:w="1700" w:type="dxa"/>
            <w:vAlign w:val="bottom"/>
          </w:tcPr>
          <w:p>
            <w:pPr>
              <w:jc w:val="right"/>
              <w:ind w:right="93"/>
              <w:spacing w:after="0"/>
              <w:rPr>
                <w:sz w:val="20"/>
                <w:szCs w:val="20"/>
                <w:color w:val="auto"/>
              </w:rPr>
            </w:pPr>
            <w:r>
              <w:rPr>
                <w:rFonts w:ascii="Arial" w:cs="Arial" w:eastAsia="Arial" w:hAnsi="Arial"/>
                <w:sz w:val="13"/>
                <w:szCs w:val="13"/>
                <w:b w:val="1"/>
                <w:bCs w:val="1"/>
                <w:color w:val="auto"/>
              </w:rPr>
              <w:t>401 (k)</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Term Life</w:t>
            </w: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0"/>
        </w:trPr>
        <w:tc>
          <w:tcPr>
            <w:tcW w:w="2240" w:type="dxa"/>
            <w:vAlign w:val="bottom"/>
          </w:tcPr>
          <w:p>
            <w:pPr>
              <w:spacing w:after="0"/>
              <w:rPr>
                <w:sz w:val="13"/>
                <w:szCs w:val="13"/>
                <w:color w:val="auto"/>
              </w:rPr>
            </w:pPr>
          </w:p>
        </w:tc>
        <w:tc>
          <w:tcPr>
            <w:tcW w:w="1700" w:type="dxa"/>
            <w:vAlign w:val="bottom"/>
          </w:tcPr>
          <w:p>
            <w:pPr>
              <w:jc w:val="right"/>
              <w:ind w:right="93"/>
              <w:spacing w:after="0"/>
              <w:rPr>
                <w:sz w:val="20"/>
                <w:szCs w:val="20"/>
                <w:color w:val="auto"/>
              </w:rPr>
            </w:pPr>
            <w:r>
              <w:rPr>
                <w:rFonts w:ascii="Arial" w:cs="Arial" w:eastAsia="Arial" w:hAnsi="Arial"/>
                <w:sz w:val="13"/>
                <w:szCs w:val="13"/>
                <w:b w:val="1"/>
                <w:bCs w:val="1"/>
                <w:color w:val="auto"/>
              </w:rPr>
              <w:t>Matching</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Insurance</w:t>
            </w:r>
          </w:p>
        </w:tc>
        <w:tc>
          <w:tcPr>
            <w:tcW w:w="920" w:type="dxa"/>
            <w:vAlign w:val="bottom"/>
          </w:tcPr>
          <w:p>
            <w:pPr>
              <w:jc w:val="right"/>
              <w:ind w:right="53"/>
              <w:spacing w:after="0"/>
              <w:rPr>
                <w:sz w:val="20"/>
                <w:szCs w:val="20"/>
                <w:color w:val="auto"/>
              </w:rPr>
            </w:pPr>
            <w:r>
              <w:rPr>
                <w:rFonts w:ascii="Arial" w:cs="Arial" w:eastAsia="Arial" w:hAnsi="Arial"/>
                <w:sz w:val="13"/>
                <w:szCs w:val="13"/>
                <w:b w:val="1"/>
                <w:bCs w:val="1"/>
                <w:color w:val="auto"/>
              </w:rPr>
              <w:t>Car</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Executive</w:t>
            </w:r>
          </w:p>
        </w:tc>
        <w:tc>
          <w:tcPr>
            <w:tcW w:w="9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33"/>
        </w:trPr>
        <w:tc>
          <w:tcPr>
            <w:tcW w:w="2240" w:type="dxa"/>
            <w:vAlign w:val="bottom"/>
          </w:tcPr>
          <w:p>
            <w:pPr>
              <w:spacing w:after="0"/>
              <w:rPr>
                <w:sz w:val="11"/>
                <w:szCs w:val="11"/>
                <w:color w:val="auto"/>
              </w:rPr>
            </w:pPr>
          </w:p>
        </w:tc>
        <w:tc>
          <w:tcPr>
            <w:tcW w:w="1700" w:type="dxa"/>
            <w:vAlign w:val="bottom"/>
          </w:tcPr>
          <w:p>
            <w:pPr>
              <w:jc w:val="right"/>
              <w:ind w:right="93"/>
              <w:spacing w:after="0" w:line="133" w:lineRule="exact"/>
              <w:rPr>
                <w:sz w:val="20"/>
                <w:szCs w:val="20"/>
                <w:color w:val="auto"/>
              </w:rPr>
            </w:pPr>
            <w:r>
              <w:rPr>
                <w:rFonts w:ascii="Arial" w:cs="Arial" w:eastAsia="Arial" w:hAnsi="Arial"/>
                <w:sz w:val="13"/>
                <w:szCs w:val="13"/>
                <w:b w:val="1"/>
                <w:bCs w:val="1"/>
                <w:color w:val="auto"/>
              </w:rPr>
              <w:t>Contributions</w:t>
            </w:r>
          </w:p>
        </w:tc>
        <w:tc>
          <w:tcPr>
            <w:tcW w:w="860" w:type="dxa"/>
            <w:vAlign w:val="bottom"/>
          </w:tcPr>
          <w:p>
            <w:pPr>
              <w:jc w:val="right"/>
              <w:ind w:right="53"/>
              <w:spacing w:after="0" w:line="133" w:lineRule="exact"/>
              <w:rPr>
                <w:sz w:val="20"/>
                <w:szCs w:val="20"/>
                <w:color w:val="auto"/>
              </w:rPr>
            </w:pPr>
            <w:r>
              <w:rPr>
                <w:rFonts w:ascii="Arial" w:cs="Arial" w:eastAsia="Arial" w:hAnsi="Arial"/>
                <w:sz w:val="13"/>
                <w:szCs w:val="13"/>
                <w:b w:val="1"/>
                <w:bCs w:val="1"/>
                <w:color w:val="auto"/>
              </w:rPr>
              <w:t>Premiums</w:t>
            </w:r>
          </w:p>
        </w:tc>
        <w:tc>
          <w:tcPr>
            <w:tcW w:w="920" w:type="dxa"/>
            <w:vAlign w:val="bottom"/>
          </w:tcPr>
          <w:p>
            <w:pPr>
              <w:jc w:val="right"/>
              <w:ind w:right="53"/>
              <w:spacing w:after="0" w:line="133" w:lineRule="exact"/>
              <w:rPr>
                <w:sz w:val="20"/>
                <w:szCs w:val="20"/>
                <w:color w:val="auto"/>
              </w:rPr>
            </w:pPr>
            <w:r>
              <w:rPr>
                <w:rFonts w:ascii="Arial" w:cs="Arial" w:eastAsia="Arial" w:hAnsi="Arial"/>
                <w:sz w:val="13"/>
                <w:szCs w:val="13"/>
                <w:b w:val="1"/>
                <w:bCs w:val="1"/>
                <w:color w:val="auto"/>
              </w:rPr>
              <w:t>Allowance</w:t>
            </w:r>
          </w:p>
        </w:tc>
        <w:tc>
          <w:tcPr>
            <w:tcW w:w="860" w:type="dxa"/>
            <w:vAlign w:val="bottom"/>
          </w:tcPr>
          <w:p>
            <w:pPr>
              <w:jc w:val="right"/>
              <w:ind w:right="53"/>
              <w:spacing w:after="0" w:line="133" w:lineRule="exact"/>
              <w:rPr>
                <w:sz w:val="20"/>
                <w:szCs w:val="20"/>
                <w:color w:val="auto"/>
              </w:rPr>
            </w:pPr>
            <w:r>
              <w:rPr>
                <w:rFonts w:ascii="Arial" w:cs="Arial" w:eastAsia="Arial" w:hAnsi="Arial"/>
                <w:sz w:val="13"/>
                <w:szCs w:val="13"/>
                <w:b w:val="1"/>
                <w:bCs w:val="1"/>
                <w:color w:val="auto"/>
              </w:rPr>
              <w:t>Physical</w:t>
            </w:r>
          </w:p>
        </w:tc>
        <w:tc>
          <w:tcPr>
            <w:tcW w:w="940" w:type="dxa"/>
            <w:vAlign w:val="bottom"/>
          </w:tcPr>
          <w:p>
            <w:pPr>
              <w:jc w:val="right"/>
              <w:ind w:right="73"/>
              <w:spacing w:after="0" w:line="133" w:lineRule="exact"/>
              <w:rPr>
                <w:sz w:val="20"/>
                <w:szCs w:val="20"/>
                <w:color w:val="auto"/>
              </w:rPr>
            </w:pPr>
            <w:r>
              <w:rPr>
                <w:rFonts w:ascii="Arial" w:cs="Arial" w:eastAsia="Arial" w:hAnsi="Arial"/>
                <w:sz w:val="13"/>
                <w:szCs w:val="13"/>
                <w:b w:val="1"/>
                <w:bCs w:val="1"/>
                <w:color w:val="auto"/>
              </w:rPr>
              <w:t>Severance</w:t>
            </w:r>
          </w:p>
        </w:tc>
        <w:tc>
          <w:tcPr>
            <w:tcW w:w="58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Total</w:t>
            </w:r>
          </w:p>
        </w:tc>
      </w:tr>
      <w:tr>
        <w:trPr>
          <w:trHeight w:val="180"/>
        </w:trPr>
        <w:tc>
          <w:tcPr>
            <w:tcW w:w="224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1700" w:type="dxa"/>
            <w:vAlign w:val="bottom"/>
            <w:tcBorders>
              <w:bottom w:val="single" w:sz="8" w:color="405788"/>
            </w:tcBorders>
          </w:tcPr>
          <w:p>
            <w:pPr>
              <w:jc w:val="right"/>
              <w:ind w:right="53"/>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1</w:t>
            </w:r>
          </w:p>
        </w:tc>
        <w:tc>
          <w:tcPr>
            <w:tcW w:w="86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405788"/>
            </w:tcBorders>
          </w:tcPr>
          <w:p>
            <w:pPr>
              <w:jc w:val="right"/>
              <w:ind w:right="73"/>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w:t>
            </w:r>
          </w:p>
        </w:tc>
      </w:tr>
      <w:tr>
        <w:trPr>
          <w:trHeight w:val="155"/>
        </w:trPr>
        <w:tc>
          <w:tcPr>
            <w:tcW w:w="2240" w:type="dxa"/>
            <w:vAlign w:val="bottom"/>
            <w:tcBorders>
              <w:bottom w:val="single" w:sz="8" w:color="D9D9D9"/>
            </w:tcBorders>
          </w:tcPr>
          <w:p>
            <w:pPr>
              <w:spacing w:after="0"/>
              <w:rPr>
                <w:sz w:val="20"/>
                <w:szCs w:val="20"/>
                <w:color w:val="auto"/>
              </w:rPr>
            </w:pPr>
            <w:r>
              <w:rPr>
                <w:rFonts w:ascii="Arial" w:cs="Arial" w:eastAsia="Arial" w:hAnsi="Arial"/>
                <w:sz w:val="13"/>
                <w:szCs w:val="13"/>
                <w:color w:val="auto"/>
              </w:rPr>
              <w:t>Todd Gleason</w:t>
            </w:r>
          </w:p>
        </w:tc>
        <w:tc>
          <w:tcPr>
            <w:tcW w:w="1700" w:type="dxa"/>
            <w:vAlign w:val="bottom"/>
            <w:tcBorders>
              <w:bottom w:val="single" w:sz="8" w:color="D9D9D9"/>
            </w:tcBorders>
          </w:tcPr>
          <w:p>
            <w:pPr>
              <w:jc w:val="right"/>
              <w:ind w:right="93"/>
              <w:spacing w:after="0"/>
              <w:rPr>
                <w:sz w:val="20"/>
                <w:szCs w:val="20"/>
                <w:color w:val="auto"/>
              </w:rPr>
            </w:pPr>
            <w:r>
              <w:rPr>
                <w:rFonts w:ascii="Arial" w:cs="Arial" w:eastAsia="Arial" w:hAnsi="Arial"/>
                <w:sz w:val="13"/>
                <w:szCs w:val="13"/>
                <w:color w:val="auto"/>
              </w:rPr>
              <w:t>11,823</w:t>
            </w:r>
          </w:p>
        </w:tc>
        <w:tc>
          <w:tcPr>
            <w:tcW w:w="86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6,930</w:t>
            </w:r>
          </w:p>
        </w:tc>
        <w:tc>
          <w:tcPr>
            <w:tcW w:w="92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12,000</w:t>
            </w:r>
          </w:p>
        </w:tc>
        <w:tc>
          <w:tcPr>
            <w:tcW w:w="86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30,753</w:t>
            </w:r>
          </w:p>
        </w:tc>
      </w:tr>
      <w:tr>
        <w:trPr>
          <w:trHeight w:val="155"/>
        </w:trPr>
        <w:tc>
          <w:tcPr>
            <w:tcW w:w="2240" w:type="dxa"/>
            <w:vAlign w:val="bottom"/>
            <w:tcBorders>
              <w:bottom w:val="single" w:sz="8" w:color="D9D9D9"/>
            </w:tcBorders>
          </w:tcPr>
          <w:p>
            <w:pPr>
              <w:spacing w:after="0"/>
              <w:rPr>
                <w:sz w:val="20"/>
                <w:szCs w:val="20"/>
                <w:color w:val="auto"/>
              </w:rPr>
            </w:pPr>
            <w:r>
              <w:rPr>
                <w:rFonts w:ascii="Arial" w:cs="Arial" w:eastAsia="Arial" w:hAnsi="Arial"/>
                <w:sz w:val="13"/>
                <w:szCs w:val="13"/>
                <w:color w:val="auto"/>
              </w:rPr>
              <w:t>Peter Johansson</w:t>
            </w:r>
          </w:p>
        </w:tc>
        <w:tc>
          <w:tcPr>
            <w:tcW w:w="1700" w:type="dxa"/>
            <w:vAlign w:val="bottom"/>
            <w:tcBorders>
              <w:bottom w:val="single" w:sz="8" w:color="D9D9D9"/>
            </w:tcBorders>
          </w:tcPr>
          <w:p>
            <w:pPr>
              <w:jc w:val="right"/>
              <w:ind w:right="93"/>
              <w:spacing w:after="0"/>
              <w:rPr>
                <w:sz w:val="20"/>
                <w:szCs w:val="20"/>
                <w:color w:val="auto"/>
              </w:rPr>
            </w:pPr>
            <w:r>
              <w:rPr>
                <w:rFonts w:ascii="Arial" w:cs="Arial" w:eastAsia="Arial" w:hAnsi="Arial"/>
                <w:sz w:val="13"/>
                <w:szCs w:val="13"/>
                <w:color w:val="auto"/>
              </w:rPr>
              <w:t>13,579</w:t>
            </w:r>
          </w:p>
        </w:tc>
        <w:tc>
          <w:tcPr>
            <w:tcW w:w="86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7,748</w:t>
            </w:r>
          </w:p>
        </w:tc>
        <w:tc>
          <w:tcPr>
            <w:tcW w:w="92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12,000</w:t>
            </w:r>
          </w:p>
        </w:tc>
        <w:tc>
          <w:tcPr>
            <w:tcW w:w="860" w:type="dxa"/>
            <w:vAlign w:val="bottom"/>
            <w:tcBorders>
              <w:bottom w:val="single" w:sz="8" w:color="D9D9D9"/>
            </w:tcBorders>
          </w:tcPr>
          <w:p>
            <w:pPr>
              <w:jc w:val="right"/>
              <w:ind w:right="53"/>
              <w:spacing w:after="0"/>
              <w:rPr>
                <w:sz w:val="20"/>
                <w:szCs w:val="20"/>
                <w:color w:val="auto"/>
              </w:rPr>
            </w:pPr>
            <w:r>
              <w:rPr>
                <w:rFonts w:ascii="Arial" w:cs="Arial" w:eastAsia="Arial" w:hAnsi="Arial"/>
                <w:sz w:val="13"/>
                <w:szCs w:val="13"/>
                <w:color w:val="auto"/>
              </w:rPr>
              <w:t>5,327</w:t>
            </w:r>
          </w:p>
        </w:tc>
        <w:tc>
          <w:tcPr>
            <w:tcW w:w="94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38,654</w:t>
            </w:r>
          </w:p>
        </w:tc>
      </w:tr>
      <w:tr>
        <w:trPr>
          <w:trHeight w:val="150"/>
        </w:trPr>
        <w:tc>
          <w:tcPr>
            <w:tcW w:w="2240" w:type="dxa"/>
            <w:vAlign w:val="bottom"/>
            <w:tcBorders>
              <w:bottom w:val="single" w:sz="8" w:color="405788"/>
            </w:tcBorders>
          </w:tcPr>
          <w:p>
            <w:pPr>
              <w:spacing w:after="0"/>
              <w:rPr>
                <w:sz w:val="20"/>
                <w:szCs w:val="20"/>
                <w:color w:val="auto"/>
              </w:rPr>
            </w:pPr>
            <w:r>
              <w:rPr>
                <w:rFonts w:ascii="Arial" w:cs="Arial" w:eastAsia="Arial" w:hAnsi="Arial"/>
                <w:sz w:val="13"/>
                <w:szCs w:val="13"/>
                <w:color w:val="auto"/>
              </w:rPr>
              <w:t>Lynn Watkins-Asiyanbi</w:t>
            </w:r>
          </w:p>
        </w:tc>
        <w:tc>
          <w:tcPr>
            <w:tcW w:w="1700" w:type="dxa"/>
            <w:vAlign w:val="bottom"/>
            <w:tcBorders>
              <w:bottom w:val="single" w:sz="8" w:color="405788"/>
            </w:tcBorders>
          </w:tcPr>
          <w:p>
            <w:pPr>
              <w:jc w:val="right"/>
              <w:ind w:right="9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color w:val="auto"/>
              </w:rPr>
              <w:t>3,894</w:t>
            </w:r>
          </w:p>
        </w:tc>
        <w:tc>
          <w:tcPr>
            <w:tcW w:w="92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color w:val="auto"/>
              </w:rPr>
              <w:t>12,000</w:t>
            </w:r>
          </w:p>
        </w:tc>
        <w:tc>
          <w:tcPr>
            <w:tcW w:w="860" w:type="dxa"/>
            <w:vAlign w:val="bottom"/>
            <w:tcBorders>
              <w:bottom w:val="single" w:sz="8" w:color="405788"/>
            </w:tcBorders>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405788"/>
            </w:tcBorders>
          </w:tcPr>
          <w:p>
            <w:pPr>
              <w:jc w:val="right"/>
              <w:ind w:right="73"/>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405788"/>
            </w:tcBorders>
          </w:tcPr>
          <w:p>
            <w:pPr>
              <w:jc w:val="right"/>
              <w:spacing w:after="0"/>
              <w:rPr>
                <w:sz w:val="20"/>
                <w:szCs w:val="20"/>
                <w:color w:val="auto"/>
              </w:rPr>
            </w:pPr>
            <w:r>
              <w:rPr>
                <w:rFonts w:ascii="Arial" w:cs="Arial" w:eastAsia="Arial" w:hAnsi="Arial"/>
                <w:sz w:val="13"/>
                <w:szCs w:val="13"/>
                <w:color w:val="auto"/>
              </w:rPr>
              <w:t>15,894</w:t>
            </w:r>
          </w:p>
        </w:tc>
      </w:tr>
    </w:tbl>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2023 Grants of Plan-Based Awards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All Other</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Stock</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Awards:</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Grant Date</w:t>
            </w:r>
          </w:p>
        </w:tc>
      </w:tr>
      <w:tr>
        <w:trPr>
          <w:trHeight w:val="150"/>
        </w:trPr>
        <w:tc>
          <w:tcPr>
            <w:tcW w:w="2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gridSpan w:val="3"/>
          </w:tcPr>
          <w:p>
            <w:pPr>
              <w:jc w:val="center"/>
              <w:spacing w:after="0"/>
              <w:rPr>
                <w:sz w:val="20"/>
                <w:szCs w:val="20"/>
                <w:color w:val="auto"/>
              </w:rPr>
            </w:pPr>
            <w:r>
              <w:rPr>
                <w:rFonts w:ascii="Arial" w:cs="Arial" w:eastAsia="Arial" w:hAnsi="Arial"/>
                <w:sz w:val="13"/>
                <w:szCs w:val="13"/>
                <w:b w:val="1"/>
                <w:bCs w:val="1"/>
                <w:color w:val="auto"/>
              </w:rPr>
              <w:t>Estimated Future Payouts</w:t>
            </w: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Number</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Fair Value</w:t>
            </w:r>
          </w:p>
        </w:tc>
      </w:tr>
      <w:tr>
        <w:trPr>
          <w:trHeight w:val="133"/>
        </w:trPr>
        <w:tc>
          <w:tcPr>
            <w:tcW w:w="2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80" w:type="dxa"/>
            <w:vAlign w:val="bottom"/>
            <w:gridSpan w:val="3"/>
          </w:tcPr>
          <w:p>
            <w:pPr>
              <w:jc w:val="center"/>
              <w:spacing w:after="0" w:line="133" w:lineRule="exact"/>
              <w:rPr>
                <w:sz w:val="20"/>
                <w:szCs w:val="20"/>
                <w:color w:val="auto"/>
              </w:rPr>
            </w:pPr>
            <w:r>
              <w:rPr>
                <w:rFonts w:ascii="Arial" w:cs="Arial" w:eastAsia="Arial" w:hAnsi="Arial"/>
                <w:sz w:val="13"/>
                <w:szCs w:val="13"/>
                <w:b w:val="1"/>
                <w:bCs w:val="1"/>
                <w:color w:val="auto"/>
              </w:rPr>
              <w:t>Under Equity Incentive Plan</w:t>
            </w:r>
          </w:p>
        </w:tc>
        <w:tc>
          <w:tcPr>
            <w:tcW w:w="880" w:type="dxa"/>
            <w:vAlign w:val="bottom"/>
          </w:tcPr>
          <w:p>
            <w:pPr>
              <w:jc w:val="right"/>
              <w:ind w:right="33"/>
              <w:spacing w:after="0" w:line="133" w:lineRule="exact"/>
              <w:rPr>
                <w:sz w:val="20"/>
                <w:szCs w:val="20"/>
                <w:color w:val="auto"/>
              </w:rPr>
            </w:pPr>
            <w:r>
              <w:rPr>
                <w:rFonts w:ascii="Arial" w:cs="Arial" w:eastAsia="Arial" w:hAnsi="Arial"/>
                <w:sz w:val="13"/>
                <w:szCs w:val="13"/>
                <w:b w:val="1"/>
                <w:bCs w:val="1"/>
                <w:color w:val="auto"/>
              </w:rPr>
              <w:t>of Shares</w:t>
            </w:r>
          </w:p>
        </w:tc>
        <w:tc>
          <w:tcPr>
            <w:tcW w:w="880" w:type="dxa"/>
            <w:vAlign w:val="bottom"/>
            <w:gridSpan w:val="2"/>
          </w:tcPr>
          <w:p>
            <w:pPr>
              <w:jc w:val="right"/>
              <w:ind w:right="60"/>
              <w:spacing w:after="0" w:line="133" w:lineRule="exact"/>
              <w:rPr>
                <w:sz w:val="20"/>
                <w:szCs w:val="20"/>
                <w:color w:val="auto"/>
              </w:rPr>
            </w:pPr>
            <w:r>
              <w:rPr>
                <w:rFonts w:ascii="Arial" w:cs="Arial" w:eastAsia="Arial" w:hAnsi="Arial"/>
                <w:sz w:val="13"/>
                <w:szCs w:val="13"/>
                <w:b w:val="1"/>
                <w:bCs w:val="1"/>
                <w:color w:val="auto"/>
              </w:rPr>
              <w:t>of Stock</w:t>
            </w:r>
          </w:p>
        </w:tc>
      </w:tr>
      <w:tr>
        <w:trPr>
          <w:trHeight w:val="180"/>
        </w:trPr>
        <w:tc>
          <w:tcPr>
            <w:tcW w:w="2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560" w:type="dxa"/>
            <w:vAlign w:val="bottom"/>
            <w:gridSpan w:val="4"/>
          </w:tcPr>
          <w:p>
            <w:pPr>
              <w:ind w:left="120"/>
              <w:spacing w:after="0" w:line="175" w:lineRule="exact"/>
              <w:rPr>
                <w:sz w:val="20"/>
                <w:szCs w:val="20"/>
                <w:color w:val="auto"/>
              </w:rPr>
            </w:pPr>
            <w:r>
              <w:rPr>
                <w:rFonts w:ascii="Arial" w:cs="Arial" w:eastAsia="Arial" w:hAnsi="Arial"/>
                <w:sz w:val="13"/>
                <w:szCs w:val="13"/>
                <w:b w:val="1"/>
                <w:bCs w:val="1"/>
                <w:color w:val="auto"/>
              </w:rPr>
              <w:t xml:space="preserve">Non-Equity Incentive Plan Awards </w:t>
            </w:r>
            <w:r>
              <w:rPr>
                <w:rFonts w:ascii="Arial" w:cs="Arial" w:eastAsia="Arial" w:hAnsi="Arial"/>
                <w:sz w:val="19"/>
                <w:szCs w:val="19"/>
                <w:b w:val="1"/>
                <w:bCs w:val="1"/>
                <w:color w:val="auto"/>
                <w:vertAlign w:val="superscript"/>
              </w:rPr>
              <w:t>1</w:t>
            </w:r>
          </w:p>
        </w:tc>
        <w:tc>
          <w:tcPr>
            <w:tcW w:w="800" w:type="dxa"/>
            <w:vAlign w:val="bottom"/>
          </w:tcPr>
          <w:p>
            <w:pPr>
              <w:spacing w:after="0"/>
              <w:rPr>
                <w:sz w:val="15"/>
                <w:szCs w:val="15"/>
                <w:color w:val="auto"/>
              </w:rPr>
            </w:pPr>
          </w:p>
        </w:tc>
        <w:tc>
          <w:tcPr>
            <w:tcW w:w="72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rPr>
              <w:t xml:space="preserve">Awards </w:t>
            </w:r>
            <w:r>
              <w:rPr>
                <w:rFonts w:ascii="Arial" w:cs="Arial" w:eastAsia="Arial" w:hAnsi="Arial"/>
                <w:sz w:val="19"/>
                <w:szCs w:val="19"/>
                <w:b w:val="1"/>
                <w:bCs w:val="1"/>
                <w:color w:val="auto"/>
                <w:vertAlign w:val="superscript"/>
              </w:rPr>
              <w:t>2</w:t>
            </w:r>
          </w:p>
        </w:tc>
        <w:tc>
          <w:tcPr>
            <w:tcW w:w="760" w:type="dxa"/>
            <w:vAlign w:val="bottom"/>
          </w:tcPr>
          <w:p>
            <w:pPr>
              <w:spacing w:after="0"/>
              <w:rPr>
                <w:sz w:val="15"/>
                <w:szCs w:val="15"/>
                <w:color w:val="auto"/>
              </w:rPr>
            </w:pPr>
          </w:p>
        </w:tc>
        <w:tc>
          <w:tcPr>
            <w:tcW w:w="880" w:type="dxa"/>
            <w:vAlign w:val="bottom"/>
          </w:tcPr>
          <w:p>
            <w:pPr>
              <w:jc w:val="right"/>
              <w:ind w:right="33"/>
              <w:spacing w:after="0"/>
              <w:rPr>
                <w:sz w:val="20"/>
                <w:szCs w:val="20"/>
                <w:color w:val="auto"/>
              </w:rPr>
            </w:pPr>
            <w:r>
              <w:rPr>
                <w:rFonts w:ascii="Arial" w:cs="Arial" w:eastAsia="Arial" w:hAnsi="Arial"/>
                <w:sz w:val="13"/>
                <w:szCs w:val="13"/>
                <w:b w:val="1"/>
                <w:bCs w:val="1"/>
                <w:color w:val="auto"/>
              </w:rPr>
              <w:t>of Stock</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and Option</w:t>
            </w:r>
          </w:p>
        </w:tc>
      </w:tr>
      <w:tr>
        <w:trPr>
          <w:trHeight w:val="125"/>
        </w:trPr>
        <w:tc>
          <w:tcPr>
            <w:tcW w:w="2080" w:type="dxa"/>
            <w:vAlign w:val="bottom"/>
          </w:tcPr>
          <w:p>
            <w:pPr>
              <w:spacing w:after="0"/>
              <w:rPr>
                <w:sz w:val="10"/>
                <w:szCs w:val="10"/>
                <w:color w:val="auto"/>
              </w:rPr>
            </w:pPr>
          </w:p>
        </w:tc>
        <w:tc>
          <w:tcPr>
            <w:tcW w:w="1260" w:type="dxa"/>
            <w:vAlign w:val="bottom"/>
          </w:tcPr>
          <w:p>
            <w:pPr>
              <w:jc w:val="right"/>
              <w:ind w:right="53"/>
              <w:spacing w:after="0" w:line="125" w:lineRule="exact"/>
              <w:rPr>
                <w:sz w:val="20"/>
                <w:szCs w:val="20"/>
                <w:color w:val="auto"/>
              </w:rPr>
            </w:pPr>
            <w:r>
              <w:rPr>
                <w:rFonts w:ascii="Arial" w:cs="Arial" w:eastAsia="Arial" w:hAnsi="Arial"/>
                <w:sz w:val="13"/>
                <w:szCs w:val="13"/>
                <w:b w:val="1"/>
                <w:bCs w:val="1"/>
                <w:color w:val="auto"/>
              </w:rPr>
              <w:t>Grant</w:t>
            </w:r>
          </w:p>
        </w:tc>
        <w:tc>
          <w:tcPr>
            <w:tcW w:w="900" w:type="dxa"/>
            <w:vAlign w:val="bottom"/>
            <w:tcBorders>
              <w:top w:val="single" w:sz="8" w:color="405788"/>
            </w:tcBorders>
          </w:tcPr>
          <w:p>
            <w:pPr>
              <w:jc w:val="right"/>
              <w:ind w:right="113"/>
              <w:spacing w:after="0" w:line="125" w:lineRule="exact"/>
              <w:rPr>
                <w:sz w:val="20"/>
                <w:szCs w:val="20"/>
                <w:color w:val="auto"/>
              </w:rPr>
            </w:pPr>
            <w:r>
              <w:rPr>
                <w:rFonts w:ascii="Arial" w:cs="Arial" w:eastAsia="Arial" w:hAnsi="Arial"/>
                <w:sz w:val="13"/>
                <w:szCs w:val="13"/>
                <w:b w:val="1"/>
                <w:bCs w:val="1"/>
                <w:color w:val="auto"/>
              </w:rPr>
              <w:t>Threshold</w:t>
            </w:r>
          </w:p>
        </w:tc>
        <w:tc>
          <w:tcPr>
            <w:tcW w:w="800" w:type="dxa"/>
            <w:vAlign w:val="bottom"/>
            <w:tcBorders>
              <w:top w:val="single" w:sz="8" w:color="405788"/>
            </w:tcBorders>
          </w:tcPr>
          <w:p>
            <w:pPr>
              <w:jc w:val="right"/>
              <w:ind w:right="73"/>
              <w:spacing w:after="0" w:line="125" w:lineRule="exact"/>
              <w:rPr>
                <w:sz w:val="20"/>
                <w:szCs w:val="20"/>
                <w:color w:val="auto"/>
              </w:rPr>
            </w:pPr>
            <w:r>
              <w:rPr>
                <w:rFonts w:ascii="Arial" w:cs="Arial" w:eastAsia="Arial" w:hAnsi="Arial"/>
                <w:sz w:val="13"/>
                <w:szCs w:val="13"/>
                <w:b w:val="1"/>
                <w:bCs w:val="1"/>
                <w:color w:val="auto"/>
              </w:rPr>
              <w:t>Target</w:t>
            </w:r>
          </w:p>
        </w:tc>
        <w:tc>
          <w:tcPr>
            <w:tcW w:w="780" w:type="dxa"/>
            <w:vAlign w:val="bottom"/>
            <w:tcBorders>
              <w:top w:val="single" w:sz="8" w:color="405788"/>
            </w:tcBorders>
          </w:tcPr>
          <w:p>
            <w:pPr>
              <w:jc w:val="right"/>
              <w:spacing w:after="0" w:line="125" w:lineRule="exact"/>
              <w:rPr>
                <w:sz w:val="20"/>
                <w:szCs w:val="20"/>
                <w:color w:val="auto"/>
              </w:rPr>
            </w:pPr>
            <w:r>
              <w:rPr>
                <w:rFonts w:ascii="Arial" w:cs="Arial" w:eastAsia="Arial" w:hAnsi="Arial"/>
                <w:sz w:val="13"/>
                <w:szCs w:val="13"/>
                <w:b w:val="1"/>
                <w:bCs w:val="1"/>
                <w:color w:val="auto"/>
              </w:rPr>
              <w:t>Maximum</w:t>
            </w:r>
          </w:p>
        </w:tc>
        <w:tc>
          <w:tcPr>
            <w:tcW w:w="80" w:type="dxa"/>
            <w:vAlign w:val="bottom"/>
          </w:tcPr>
          <w:p>
            <w:pPr>
              <w:spacing w:after="0"/>
              <w:rPr>
                <w:sz w:val="10"/>
                <w:szCs w:val="10"/>
                <w:color w:val="auto"/>
              </w:rPr>
            </w:pPr>
          </w:p>
        </w:tc>
        <w:tc>
          <w:tcPr>
            <w:tcW w:w="800" w:type="dxa"/>
            <w:vAlign w:val="bottom"/>
            <w:tcBorders>
              <w:top w:val="single" w:sz="8" w:color="405788"/>
            </w:tcBorders>
          </w:tcPr>
          <w:p>
            <w:pPr>
              <w:jc w:val="right"/>
              <w:ind w:right="13"/>
              <w:spacing w:after="0" w:line="125" w:lineRule="exact"/>
              <w:rPr>
                <w:sz w:val="20"/>
                <w:szCs w:val="20"/>
                <w:color w:val="auto"/>
              </w:rPr>
            </w:pPr>
            <w:r>
              <w:rPr>
                <w:rFonts w:ascii="Arial" w:cs="Arial" w:eastAsia="Arial" w:hAnsi="Arial"/>
                <w:sz w:val="13"/>
                <w:szCs w:val="13"/>
                <w:b w:val="1"/>
                <w:bCs w:val="1"/>
                <w:color w:val="auto"/>
              </w:rPr>
              <w:t>Threshold</w:t>
            </w:r>
          </w:p>
        </w:tc>
        <w:tc>
          <w:tcPr>
            <w:tcW w:w="720" w:type="dxa"/>
            <w:vAlign w:val="bottom"/>
            <w:tcBorders>
              <w:top w:val="single" w:sz="8" w:color="405788"/>
            </w:tcBorders>
          </w:tcPr>
          <w:p>
            <w:pPr>
              <w:jc w:val="right"/>
              <w:ind w:right="33"/>
              <w:spacing w:after="0" w:line="125" w:lineRule="exact"/>
              <w:rPr>
                <w:sz w:val="20"/>
                <w:szCs w:val="20"/>
                <w:color w:val="auto"/>
              </w:rPr>
            </w:pPr>
            <w:r>
              <w:rPr>
                <w:rFonts w:ascii="Arial" w:cs="Arial" w:eastAsia="Arial" w:hAnsi="Arial"/>
                <w:sz w:val="13"/>
                <w:szCs w:val="13"/>
                <w:b w:val="1"/>
                <w:bCs w:val="1"/>
                <w:color w:val="auto"/>
              </w:rPr>
              <w:t>Target</w:t>
            </w:r>
          </w:p>
        </w:tc>
        <w:tc>
          <w:tcPr>
            <w:tcW w:w="760" w:type="dxa"/>
            <w:vAlign w:val="bottom"/>
            <w:tcBorders>
              <w:top w:val="single" w:sz="8" w:color="405788"/>
            </w:tcBorders>
          </w:tcPr>
          <w:p>
            <w:pPr>
              <w:jc w:val="right"/>
              <w:spacing w:after="0" w:line="125" w:lineRule="exact"/>
              <w:rPr>
                <w:sz w:val="20"/>
                <w:szCs w:val="20"/>
                <w:color w:val="auto"/>
              </w:rPr>
            </w:pPr>
            <w:r>
              <w:rPr>
                <w:rFonts w:ascii="Arial" w:cs="Arial" w:eastAsia="Arial" w:hAnsi="Arial"/>
                <w:sz w:val="13"/>
                <w:szCs w:val="13"/>
                <w:b w:val="1"/>
                <w:bCs w:val="1"/>
                <w:color w:val="auto"/>
              </w:rPr>
              <w:t>Maximum</w:t>
            </w:r>
          </w:p>
        </w:tc>
        <w:tc>
          <w:tcPr>
            <w:tcW w:w="880" w:type="dxa"/>
            <w:vAlign w:val="bottom"/>
          </w:tcPr>
          <w:p>
            <w:pPr>
              <w:jc w:val="right"/>
              <w:ind w:right="33"/>
              <w:spacing w:after="0" w:line="125" w:lineRule="exact"/>
              <w:rPr>
                <w:sz w:val="20"/>
                <w:szCs w:val="20"/>
                <w:color w:val="auto"/>
              </w:rPr>
            </w:pPr>
            <w:r>
              <w:rPr>
                <w:rFonts w:ascii="Arial" w:cs="Arial" w:eastAsia="Arial" w:hAnsi="Arial"/>
                <w:sz w:val="13"/>
                <w:szCs w:val="13"/>
                <w:b w:val="1"/>
                <w:bCs w:val="1"/>
                <w:color w:val="auto"/>
              </w:rPr>
              <w:t>or Units</w:t>
            </w:r>
          </w:p>
        </w:tc>
        <w:tc>
          <w:tcPr>
            <w:tcW w:w="880" w:type="dxa"/>
            <w:vAlign w:val="bottom"/>
            <w:gridSpan w:val="2"/>
          </w:tcPr>
          <w:p>
            <w:pPr>
              <w:jc w:val="right"/>
              <w:ind w:right="60"/>
              <w:spacing w:after="0" w:line="125" w:lineRule="exact"/>
              <w:rPr>
                <w:sz w:val="20"/>
                <w:szCs w:val="20"/>
                <w:color w:val="auto"/>
              </w:rPr>
            </w:pPr>
            <w:r>
              <w:rPr>
                <w:rFonts w:ascii="Arial" w:cs="Arial" w:eastAsia="Arial" w:hAnsi="Arial"/>
                <w:sz w:val="13"/>
                <w:szCs w:val="13"/>
                <w:b w:val="1"/>
                <w:bCs w:val="1"/>
                <w:color w:val="auto"/>
              </w:rPr>
              <w:t>Awards</w:t>
            </w:r>
          </w:p>
        </w:tc>
      </w:tr>
      <w:tr>
        <w:trPr>
          <w:trHeight w:val="180"/>
        </w:trPr>
        <w:tc>
          <w:tcPr>
            <w:tcW w:w="2080" w:type="dxa"/>
            <w:vAlign w:val="bottom"/>
          </w:tcPr>
          <w:p>
            <w:pPr>
              <w:ind w:left="1100"/>
              <w:spacing w:after="0"/>
              <w:rPr>
                <w:sz w:val="20"/>
                <w:szCs w:val="20"/>
                <w:color w:val="auto"/>
              </w:rPr>
            </w:pPr>
            <w:r>
              <w:rPr>
                <w:rFonts w:ascii="Arial" w:cs="Arial" w:eastAsia="Arial" w:hAnsi="Arial"/>
                <w:sz w:val="13"/>
                <w:szCs w:val="13"/>
                <w:b w:val="1"/>
                <w:bCs w:val="1"/>
                <w:color w:val="auto"/>
              </w:rPr>
              <w:t>Name</w:t>
            </w:r>
          </w:p>
        </w:tc>
        <w:tc>
          <w:tcPr>
            <w:tcW w:w="1260" w:type="dxa"/>
            <w:vAlign w:val="bottom"/>
          </w:tcPr>
          <w:p>
            <w:pPr>
              <w:jc w:val="right"/>
              <w:ind w:right="53"/>
              <w:spacing w:after="0"/>
              <w:rPr>
                <w:sz w:val="20"/>
                <w:szCs w:val="20"/>
                <w:color w:val="auto"/>
              </w:rPr>
            </w:pPr>
            <w:r>
              <w:rPr>
                <w:rFonts w:ascii="Arial" w:cs="Arial" w:eastAsia="Arial" w:hAnsi="Arial"/>
                <w:sz w:val="13"/>
                <w:szCs w:val="13"/>
                <w:b w:val="1"/>
                <w:bCs w:val="1"/>
                <w:color w:val="auto"/>
              </w:rPr>
              <w:t>Date</w:t>
            </w:r>
          </w:p>
        </w:tc>
        <w:tc>
          <w:tcPr>
            <w:tcW w:w="900" w:type="dxa"/>
            <w:vAlign w:val="bottom"/>
          </w:tcPr>
          <w:p>
            <w:pPr>
              <w:jc w:val="right"/>
              <w:ind w:right="113"/>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33"/>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3</w:t>
            </w:r>
          </w:p>
        </w:tc>
        <w:tc>
          <w:tcPr>
            <w:tcW w:w="880" w:type="dxa"/>
            <w:vAlign w:val="bottom"/>
            <w:gridSpan w:val="2"/>
          </w:tcPr>
          <w:p>
            <w:pPr>
              <w:jc w:val="right"/>
              <w:ind w:right="20"/>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4</w:t>
            </w:r>
          </w:p>
        </w:tc>
      </w:tr>
      <w:tr>
        <w:trPr>
          <w:trHeight w:val="142"/>
        </w:trPr>
        <w:tc>
          <w:tcPr>
            <w:tcW w:w="2080" w:type="dxa"/>
            <w:vAlign w:val="bottom"/>
            <w:tcBorders>
              <w:top w:val="single" w:sz="8" w:color="405788"/>
            </w:tcBorders>
          </w:tcPr>
          <w:p>
            <w:pPr>
              <w:spacing w:after="0" w:line="143" w:lineRule="exact"/>
              <w:rPr>
                <w:sz w:val="20"/>
                <w:szCs w:val="20"/>
                <w:color w:val="auto"/>
              </w:rPr>
            </w:pPr>
            <w:r>
              <w:rPr>
                <w:rFonts w:ascii="Arial" w:cs="Arial" w:eastAsia="Arial" w:hAnsi="Arial"/>
                <w:sz w:val="13"/>
                <w:szCs w:val="13"/>
                <w:color w:val="auto"/>
              </w:rPr>
              <w:t>Todd Gleason</w:t>
            </w:r>
          </w:p>
        </w:tc>
        <w:tc>
          <w:tcPr>
            <w:tcW w:w="1260" w:type="dxa"/>
            <w:vAlign w:val="bottom"/>
            <w:tcBorders>
              <w:top w:val="single" w:sz="8" w:color="405788"/>
            </w:tcBorders>
          </w:tcPr>
          <w:p>
            <w:pPr>
              <w:spacing w:after="0"/>
              <w:rPr>
                <w:sz w:val="12"/>
                <w:szCs w:val="12"/>
                <w:color w:val="auto"/>
              </w:rPr>
            </w:pPr>
          </w:p>
        </w:tc>
        <w:tc>
          <w:tcPr>
            <w:tcW w:w="900" w:type="dxa"/>
            <w:vAlign w:val="bottom"/>
            <w:tcBorders>
              <w:top w:val="single" w:sz="8" w:color="405788"/>
            </w:tcBorders>
          </w:tcPr>
          <w:p>
            <w:pPr>
              <w:jc w:val="right"/>
              <w:ind w:right="113"/>
              <w:spacing w:after="0" w:line="143"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405788"/>
            </w:tcBorders>
          </w:tcPr>
          <w:p>
            <w:pPr>
              <w:jc w:val="right"/>
              <w:ind w:right="73"/>
              <w:spacing w:after="0" w:line="143" w:lineRule="exact"/>
              <w:rPr>
                <w:sz w:val="20"/>
                <w:szCs w:val="20"/>
                <w:color w:val="auto"/>
              </w:rPr>
            </w:pPr>
            <w:r>
              <w:rPr>
                <w:rFonts w:ascii="Arial" w:cs="Arial" w:eastAsia="Arial" w:hAnsi="Arial"/>
                <w:sz w:val="13"/>
                <w:szCs w:val="13"/>
                <w:color w:val="auto"/>
              </w:rPr>
              <w:t>525,326</w:t>
            </w:r>
          </w:p>
        </w:tc>
        <w:tc>
          <w:tcPr>
            <w:tcW w:w="780" w:type="dxa"/>
            <w:vAlign w:val="bottom"/>
            <w:tcBorders>
              <w:top w:val="single" w:sz="8" w:color="405788"/>
            </w:tcBorders>
          </w:tcPr>
          <w:p>
            <w:pPr>
              <w:jc w:val="right"/>
              <w:spacing w:after="0" w:line="143" w:lineRule="exact"/>
              <w:rPr>
                <w:sz w:val="20"/>
                <w:szCs w:val="20"/>
                <w:color w:val="auto"/>
              </w:rPr>
            </w:pPr>
            <w:r>
              <w:rPr>
                <w:rFonts w:ascii="Arial" w:cs="Arial" w:eastAsia="Arial" w:hAnsi="Arial"/>
                <w:sz w:val="13"/>
                <w:szCs w:val="13"/>
                <w:color w:val="auto"/>
              </w:rPr>
              <w:t>1,050,652</w:t>
            </w:r>
          </w:p>
        </w:tc>
        <w:tc>
          <w:tcPr>
            <w:tcW w:w="80" w:type="dxa"/>
            <w:vAlign w:val="bottom"/>
            <w:tcBorders>
              <w:top w:val="single" w:sz="8" w:color="405788"/>
            </w:tcBorders>
          </w:tcPr>
          <w:p>
            <w:pPr>
              <w:spacing w:after="0"/>
              <w:rPr>
                <w:sz w:val="12"/>
                <w:szCs w:val="12"/>
                <w:color w:val="auto"/>
              </w:rPr>
            </w:pPr>
          </w:p>
        </w:tc>
        <w:tc>
          <w:tcPr>
            <w:tcW w:w="800" w:type="dxa"/>
            <w:vAlign w:val="bottom"/>
            <w:tcBorders>
              <w:top w:val="single" w:sz="8" w:color="405788"/>
            </w:tcBorders>
          </w:tcPr>
          <w:p>
            <w:pPr>
              <w:jc w:val="right"/>
              <w:ind w:right="13"/>
              <w:spacing w:after="0" w:line="143"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405788"/>
            </w:tcBorders>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760" w:type="dxa"/>
            <w:vAlign w:val="bottom"/>
            <w:tcBorders>
              <w:top w:val="single" w:sz="8" w:color="405788"/>
            </w:tcBorders>
          </w:tcPr>
          <w:p>
            <w:pPr>
              <w:jc w:val="right"/>
              <w:spacing w:after="0" w:line="143" w:lineRule="exact"/>
              <w:rPr>
                <w:sz w:val="20"/>
                <w:szCs w:val="20"/>
                <w:color w:val="auto"/>
              </w:rPr>
            </w:pPr>
            <w:r>
              <w:rPr>
                <w:rFonts w:ascii="Arial" w:cs="Arial" w:eastAsia="Arial" w:hAnsi="Arial"/>
                <w:sz w:val="13"/>
                <w:szCs w:val="13"/>
                <w:color w:val="auto"/>
              </w:rPr>
              <w:t>—</w:t>
            </w:r>
          </w:p>
        </w:tc>
        <w:tc>
          <w:tcPr>
            <w:tcW w:w="880" w:type="dxa"/>
            <w:vAlign w:val="bottom"/>
            <w:tcBorders>
              <w:top w:val="single" w:sz="8" w:color="405788"/>
            </w:tcBorders>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405788"/>
            </w:tcBorders>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03/31/23</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21,444</w:t>
            </w:r>
          </w:p>
        </w:tc>
        <w:tc>
          <w:tcPr>
            <w:tcW w:w="860" w:type="dxa"/>
            <w:vAlign w:val="bottom"/>
          </w:tcPr>
          <w:p>
            <w:pPr>
              <w:jc w:val="right"/>
              <w:spacing w:after="0"/>
              <w:rPr>
                <w:sz w:val="20"/>
                <w:szCs w:val="20"/>
                <w:color w:val="auto"/>
              </w:rPr>
            </w:pPr>
            <w:r>
              <w:rPr>
                <w:rFonts w:ascii="Arial" w:cs="Arial" w:eastAsia="Arial" w:hAnsi="Arial"/>
                <w:sz w:val="13"/>
                <w:szCs w:val="13"/>
                <w:color w:val="auto"/>
              </w:rPr>
              <w:t>300,002</w:t>
            </w:r>
          </w:p>
        </w:tc>
        <w:tc>
          <w:tcPr>
            <w:tcW w:w="20" w:type="dxa"/>
            <w:vAlign w:val="bottom"/>
          </w:tcPr>
          <w:p>
            <w:pPr>
              <w:spacing w:after="0"/>
              <w:rPr>
                <w:sz w:val="13"/>
                <w:szCs w:val="13"/>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03/31/23</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25,018</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50,036</w:t>
            </w:r>
          </w:p>
        </w:tc>
        <w:tc>
          <w:tcPr>
            <w:tcW w:w="760" w:type="dxa"/>
            <w:vAlign w:val="bottom"/>
          </w:tcPr>
          <w:p>
            <w:pPr>
              <w:jc w:val="right"/>
              <w:spacing w:after="0"/>
              <w:rPr>
                <w:sz w:val="20"/>
                <w:szCs w:val="20"/>
                <w:color w:val="auto"/>
              </w:rPr>
            </w:pPr>
            <w:r>
              <w:rPr>
                <w:rFonts w:ascii="Arial" w:cs="Arial" w:eastAsia="Arial" w:hAnsi="Arial"/>
                <w:sz w:val="13"/>
                <w:szCs w:val="13"/>
                <w:color w:val="auto"/>
              </w:rPr>
              <w:t>75,054</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700,004</w:t>
            </w:r>
          </w:p>
        </w:tc>
        <w:tc>
          <w:tcPr>
            <w:tcW w:w="20" w:type="dxa"/>
            <w:vAlign w:val="bottom"/>
          </w:tcPr>
          <w:p>
            <w:pPr>
              <w:spacing w:after="0"/>
              <w:rPr>
                <w:sz w:val="13"/>
                <w:szCs w:val="13"/>
                <w:color w:val="auto"/>
              </w:rPr>
            </w:pPr>
          </w:p>
        </w:tc>
      </w:tr>
      <w:tr>
        <w:trPr>
          <w:trHeight w:val="163"/>
        </w:trPr>
        <w:tc>
          <w:tcPr>
            <w:tcW w:w="2080" w:type="dxa"/>
            <w:vAlign w:val="bottom"/>
            <w:tcBorders>
              <w:bottom w:val="single" w:sz="8" w:color="D9D9D9"/>
            </w:tcBorders>
          </w:tcPr>
          <w:p>
            <w:pPr>
              <w:spacing w:after="0"/>
              <w:rPr>
                <w:sz w:val="14"/>
                <w:szCs w:val="14"/>
                <w:color w:val="auto"/>
              </w:rPr>
            </w:pPr>
          </w:p>
        </w:tc>
        <w:tc>
          <w:tcPr>
            <w:tcW w:w="126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07/05/23</w:t>
            </w:r>
          </w:p>
        </w:tc>
        <w:tc>
          <w:tcPr>
            <w:tcW w:w="900" w:type="dxa"/>
            <w:vAlign w:val="bottom"/>
            <w:tcBorders>
              <w:bottom w:val="single" w:sz="8" w:color="D9D9D9"/>
            </w:tcBorders>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9D9D9"/>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9D9D9"/>
            </w:tcBorders>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9D9D9"/>
            </w:tcBorders>
          </w:tcPr>
          <w:p>
            <w:pPr>
              <w:jc w:val="right"/>
              <w:ind w:right="33"/>
              <w:spacing w:after="0"/>
              <w:rPr>
                <w:sz w:val="20"/>
                <w:szCs w:val="20"/>
                <w:color w:val="auto"/>
              </w:rPr>
            </w:pPr>
            <w:r>
              <w:rPr>
                <w:rFonts w:ascii="Arial" w:cs="Arial" w:eastAsia="Arial" w:hAnsi="Arial"/>
                <w:sz w:val="13"/>
                <w:szCs w:val="13"/>
                <w:color w:val="auto"/>
              </w:rPr>
              <w:t>225,000</w:t>
            </w:r>
          </w:p>
        </w:tc>
        <w:tc>
          <w:tcPr>
            <w:tcW w:w="7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450,000</w:t>
            </w:r>
          </w:p>
        </w:tc>
        <w:tc>
          <w:tcPr>
            <w:tcW w:w="880" w:type="dxa"/>
            <w:vAlign w:val="bottom"/>
            <w:tcBorders>
              <w:bottom w:val="single" w:sz="8" w:color="D9D9D9"/>
            </w:tcBorders>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2,981,250</w:t>
            </w:r>
          </w:p>
        </w:tc>
        <w:tc>
          <w:tcPr>
            <w:tcW w:w="20" w:type="dxa"/>
            <w:vAlign w:val="bottom"/>
          </w:tcPr>
          <w:p>
            <w:pPr>
              <w:spacing w:after="0"/>
              <w:rPr>
                <w:sz w:val="14"/>
                <w:szCs w:val="14"/>
                <w:color w:val="auto"/>
              </w:rPr>
            </w:pPr>
          </w:p>
        </w:tc>
      </w:tr>
      <w:tr>
        <w:trPr>
          <w:trHeight w:val="142"/>
        </w:trPr>
        <w:tc>
          <w:tcPr>
            <w:tcW w:w="2080" w:type="dxa"/>
            <w:vAlign w:val="bottom"/>
          </w:tcPr>
          <w:p>
            <w:pPr>
              <w:spacing w:after="0" w:line="143" w:lineRule="exact"/>
              <w:rPr>
                <w:sz w:val="20"/>
                <w:szCs w:val="20"/>
                <w:color w:val="auto"/>
              </w:rPr>
            </w:pPr>
            <w:r>
              <w:rPr>
                <w:rFonts w:ascii="Arial" w:cs="Arial" w:eastAsia="Arial" w:hAnsi="Arial"/>
                <w:sz w:val="13"/>
                <w:szCs w:val="13"/>
                <w:color w:val="auto"/>
              </w:rPr>
              <w:t>Peter Johansson</w:t>
            </w:r>
          </w:p>
        </w:tc>
        <w:tc>
          <w:tcPr>
            <w:tcW w:w="1260" w:type="dxa"/>
            <w:vAlign w:val="bottom"/>
          </w:tcPr>
          <w:p>
            <w:pPr>
              <w:spacing w:after="0"/>
              <w:rPr>
                <w:sz w:val="12"/>
                <w:szCs w:val="12"/>
                <w:color w:val="auto"/>
              </w:rPr>
            </w:pPr>
          </w:p>
        </w:tc>
        <w:tc>
          <w:tcPr>
            <w:tcW w:w="900" w:type="dxa"/>
            <w:vAlign w:val="bottom"/>
          </w:tcPr>
          <w:p>
            <w:pPr>
              <w:jc w:val="right"/>
              <w:ind w:right="113"/>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line="143" w:lineRule="exact"/>
              <w:rPr>
                <w:sz w:val="20"/>
                <w:szCs w:val="20"/>
                <w:color w:val="auto"/>
              </w:rPr>
            </w:pPr>
            <w:r>
              <w:rPr>
                <w:rFonts w:ascii="Arial" w:cs="Arial" w:eastAsia="Arial" w:hAnsi="Arial"/>
                <w:sz w:val="13"/>
                <w:szCs w:val="13"/>
                <w:color w:val="auto"/>
              </w:rPr>
              <w:t>236,250</w:t>
            </w:r>
          </w:p>
        </w:tc>
        <w:tc>
          <w:tcPr>
            <w:tcW w:w="780" w:type="dxa"/>
            <w:vAlign w:val="bottom"/>
          </w:tcPr>
          <w:p>
            <w:pPr>
              <w:jc w:val="right"/>
              <w:spacing w:after="0" w:line="143" w:lineRule="exact"/>
              <w:rPr>
                <w:sz w:val="20"/>
                <w:szCs w:val="20"/>
                <w:color w:val="auto"/>
              </w:rPr>
            </w:pPr>
            <w:r>
              <w:rPr>
                <w:rFonts w:ascii="Arial" w:cs="Arial" w:eastAsia="Arial" w:hAnsi="Arial"/>
                <w:sz w:val="13"/>
                <w:szCs w:val="13"/>
                <w:color w:val="auto"/>
              </w:rPr>
              <w:t>472,500</w:t>
            </w:r>
          </w:p>
        </w:tc>
        <w:tc>
          <w:tcPr>
            <w:tcW w:w="80" w:type="dxa"/>
            <w:vAlign w:val="bottom"/>
          </w:tcPr>
          <w:p>
            <w:pPr>
              <w:spacing w:after="0"/>
              <w:rPr>
                <w:sz w:val="12"/>
                <w:szCs w:val="12"/>
                <w:color w:val="auto"/>
              </w:rPr>
            </w:pPr>
          </w:p>
        </w:tc>
        <w:tc>
          <w:tcPr>
            <w:tcW w:w="800" w:type="dxa"/>
            <w:vAlign w:val="bottom"/>
          </w:tcPr>
          <w:p>
            <w:pPr>
              <w:jc w:val="right"/>
              <w:ind w:right="13"/>
              <w:spacing w:after="0" w:line="143"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03/31/23</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10,722</w:t>
            </w:r>
          </w:p>
        </w:tc>
        <w:tc>
          <w:tcPr>
            <w:tcW w:w="860" w:type="dxa"/>
            <w:vAlign w:val="bottom"/>
          </w:tcPr>
          <w:p>
            <w:pPr>
              <w:jc w:val="right"/>
              <w:spacing w:after="0"/>
              <w:rPr>
                <w:sz w:val="20"/>
                <w:szCs w:val="20"/>
                <w:color w:val="auto"/>
              </w:rPr>
            </w:pPr>
            <w:r>
              <w:rPr>
                <w:rFonts w:ascii="Arial" w:cs="Arial" w:eastAsia="Arial" w:hAnsi="Arial"/>
                <w:sz w:val="13"/>
                <w:szCs w:val="13"/>
                <w:color w:val="auto"/>
              </w:rPr>
              <w:t>150,001</w:t>
            </w:r>
          </w:p>
        </w:tc>
        <w:tc>
          <w:tcPr>
            <w:tcW w:w="20" w:type="dxa"/>
            <w:vAlign w:val="bottom"/>
          </w:tcPr>
          <w:p>
            <w:pPr>
              <w:spacing w:after="0"/>
              <w:rPr>
                <w:sz w:val="13"/>
                <w:szCs w:val="13"/>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03/31/23</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5,361</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10,722</w:t>
            </w:r>
          </w:p>
        </w:tc>
        <w:tc>
          <w:tcPr>
            <w:tcW w:w="760" w:type="dxa"/>
            <w:vAlign w:val="bottom"/>
          </w:tcPr>
          <w:p>
            <w:pPr>
              <w:jc w:val="right"/>
              <w:spacing w:after="0"/>
              <w:rPr>
                <w:sz w:val="20"/>
                <w:szCs w:val="20"/>
                <w:color w:val="auto"/>
              </w:rPr>
            </w:pPr>
            <w:r>
              <w:rPr>
                <w:rFonts w:ascii="Arial" w:cs="Arial" w:eastAsia="Arial" w:hAnsi="Arial"/>
                <w:sz w:val="13"/>
                <w:szCs w:val="13"/>
                <w:color w:val="auto"/>
              </w:rPr>
              <w:t>16,083</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150,001</w:t>
            </w:r>
          </w:p>
        </w:tc>
        <w:tc>
          <w:tcPr>
            <w:tcW w:w="20" w:type="dxa"/>
            <w:vAlign w:val="bottom"/>
          </w:tcPr>
          <w:p>
            <w:pPr>
              <w:spacing w:after="0"/>
              <w:rPr>
                <w:sz w:val="13"/>
                <w:szCs w:val="13"/>
                <w:color w:val="auto"/>
              </w:rPr>
            </w:pPr>
          </w:p>
        </w:tc>
      </w:tr>
      <w:tr>
        <w:trPr>
          <w:trHeight w:val="163"/>
        </w:trPr>
        <w:tc>
          <w:tcPr>
            <w:tcW w:w="2080" w:type="dxa"/>
            <w:vAlign w:val="bottom"/>
            <w:tcBorders>
              <w:bottom w:val="single" w:sz="8" w:color="D9D9D9"/>
            </w:tcBorders>
          </w:tcPr>
          <w:p>
            <w:pPr>
              <w:spacing w:after="0"/>
              <w:rPr>
                <w:sz w:val="14"/>
                <w:szCs w:val="14"/>
                <w:color w:val="auto"/>
              </w:rPr>
            </w:pPr>
          </w:p>
        </w:tc>
        <w:tc>
          <w:tcPr>
            <w:tcW w:w="126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09/29/23</w:t>
            </w:r>
          </w:p>
        </w:tc>
        <w:tc>
          <w:tcPr>
            <w:tcW w:w="900" w:type="dxa"/>
            <w:vAlign w:val="bottom"/>
            <w:tcBorders>
              <w:bottom w:val="single" w:sz="8" w:color="D9D9D9"/>
            </w:tcBorders>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9D9D9"/>
            </w:tcBorders>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9D9D9"/>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D9D9D9"/>
            </w:tcBorders>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D9D9D9"/>
            </w:tcBorders>
          </w:tcPr>
          <w:p>
            <w:pPr>
              <w:jc w:val="right"/>
              <w:ind w:right="33"/>
              <w:spacing w:after="0"/>
              <w:rPr>
                <w:sz w:val="20"/>
                <w:szCs w:val="20"/>
                <w:color w:val="auto"/>
              </w:rPr>
            </w:pPr>
            <w:r>
              <w:rPr>
                <w:rFonts w:ascii="Arial" w:cs="Arial" w:eastAsia="Arial" w:hAnsi="Arial"/>
                <w:sz w:val="13"/>
                <w:szCs w:val="13"/>
                <w:color w:val="auto"/>
              </w:rPr>
              <w:t>47,247</w:t>
            </w:r>
          </w:p>
        </w:tc>
        <w:tc>
          <w:tcPr>
            <w:tcW w:w="7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94,494</w:t>
            </w:r>
          </w:p>
        </w:tc>
        <w:tc>
          <w:tcPr>
            <w:tcW w:w="880" w:type="dxa"/>
            <w:vAlign w:val="bottom"/>
            <w:tcBorders>
              <w:bottom w:val="single" w:sz="8" w:color="D9D9D9"/>
            </w:tcBorders>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D9D9D9"/>
            </w:tcBorders>
          </w:tcPr>
          <w:p>
            <w:pPr>
              <w:jc w:val="right"/>
              <w:spacing w:after="0"/>
              <w:rPr>
                <w:sz w:val="20"/>
                <w:szCs w:val="20"/>
                <w:color w:val="auto"/>
              </w:rPr>
            </w:pPr>
            <w:r>
              <w:rPr>
                <w:rFonts w:ascii="Arial" w:cs="Arial" w:eastAsia="Arial" w:hAnsi="Arial"/>
                <w:sz w:val="13"/>
                <w:szCs w:val="13"/>
                <w:color w:val="auto"/>
              </w:rPr>
              <w:t>754,535</w:t>
            </w:r>
          </w:p>
        </w:tc>
        <w:tc>
          <w:tcPr>
            <w:tcW w:w="20" w:type="dxa"/>
            <w:vAlign w:val="bottom"/>
          </w:tcPr>
          <w:p>
            <w:pPr>
              <w:spacing w:after="0"/>
              <w:rPr>
                <w:sz w:val="14"/>
                <w:szCs w:val="14"/>
                <w:color w:val="auto"/>
              </w:rPr>
            </w:pPr>
          </w:p>
        </w:tc>
      </w:tr>
      <w:tr>
        <w:trPr>
          <w:trHeight w:val="142"/>
        </w:trPr>
        <w:tc>
          <w:tcPr>
            <w:tcW w:w="2080" w:type="dxa"/>
            <w:vAlign w:val="bottom"/>
          </w:tcPr>
          <w:p>
            <w:pPr>
              <w:spacing w:after="0" w:line="143" w:lineRule="exact"/>
              <w:rPr>
                <w:sz w:val="20"/>
                <w:szCs w:val="20"/>
                <w:color w:val="auto"/>
              </w:rPr>
            </w:pPr>
            <w:r>
              <w:rPr>
                <w:rFonts w:ascii="Arial" w:cs="Arial" w:eastAsia="Arial" w:hAnsi="Arial"/>
                <w:sz w:val="13"/>
                <w:szCs w:val="13"/>
                <w:color w:val="auto"/>
              </w:rPr>
              <w:t>Lynn Watkins-Asiyanbi</w:t>
            </w:r>
          </w:p>
        </w:tc>
        <w:tc>
          <w:tcPr>
            <w:tcW w:w="1260" w:type="dxa"/>
            <w:vAlign w:val="bottom"/>
          </w:tcPr>
          <w:p>
            <w:pPr>
              <w:spacing w:after="0"/>
              <w:rPr>
                <w:sz w:val="12"/>
                <w:szCs w:val="12"/>
                <w:color w:val="auto"/>
              </w:rPr>
            </w:pPr>
          </w:p>
        </w:tc>
        <w:tc>
          <w:tcPr>
            <w:tcW w:w="900" w:type="dxa"/>
            <w:vAlign w:val="bottom"/>
          </w:tcPr>
          <w:p>
            <w:pPr>
              <w:jc w:val="right"/>
              <w:ind w:right="113"/>
              <w:spacing w:after="0" w:line="143"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line="143" w:lineRule="exact"/>
              <w:rPr>
                <w:sz w:val="20"/>
                <w:szCs w:val="20"/>
                <w:color w:val="auto"/>
              </w:rPr>
            </w:pPr>
            <w:r>
              <w:rPr>
                <w:rFonts w:ascii="Arial" w:cs="Arial" w:eastAsia="Arial" w:hAnsi="Arial"/>
                <w:sz w:val="13"/>
                <w:szCs w:val="13"/>
                <w:color w:val="auto"/>
              </w:rPr>
              <w:t>183,750</w:t>
            </w:r>
          </w:p>
        </w:tc>
        <w:tc>
          <w:tcPr>
            <w:tcW w:w="780" w:type="dxa"/>
            <w:vAlign w:val="bottom"/>
          </w:tcPr>
          <w:p>
            <w:pPr>
              <w:jc w:val="right"/>
              <w:spacing w:after="0" w:line="143" w:lineRule="exact"/>
              <w:rPr>
                <w:sz w:val="20"/>
                <w:szCs w:val="20"/>
                <w:color w:val="auto"/>
              </w:rPr>
            </w:pPr>
            <w:r>
              <w:rPr>
                <w:rFonts w:ascii="Arial" w:cs="Arial" w:eastAsia="Arial" w:hAnsi="Arial"/>
                <w:sz w:val="13"/>
                <w:szCs w:val="13"/>
                <w:color w:val="auto"/>
              </w:rPr>
              <w:t>367,500</w:t>
            </w:r>
          </w:p>
        </w:tc>
        <w:tc>
          <w:tcPr>
            <w:tcW w:w="80" w:type="dxa"/>
            <w:vAlign w:val="bottom"/>
          </w:tcPr>
          <w:p>
            <w:pPr>
              <w:spacing w:after="0"/>
              <w:rPr>
                <w:sz w:val="12"/>
                <w:szCs w:val="12"/>
                <w:color w:val="auto"/>
              </w:rPr>
            </w:pPr>
          </w:p>
        </w:tc>
        <w:tc>
          <w:tcPr>
            <w:tcW w:w="800" w:type="dxa"/>
            <w:vAlign w:val="bottom"/>
          </w:tcPr>
          <w:p>
            <w:pPr>
              <w:jc w:val="right"/>
              <w:ind w:right="13"/>
              <w:spacing w:after="0" w:line="143"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7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line="143"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03/31/23</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9,382</w:t>
            </w:r>
          </w:p>
        </w:tc>
        <w:tc>
          <w:tcPr>
            <w:tcW w:w="860" w:type="dxa"/>
            <w:vAlign w:val="bottom"/>
          </w:tcPr>
          <w:p>
            <w:pPr>
              <w:jc w:val="right"/>
              <w:spacing w:after="0"/>
              <w:rPr>
                <w:sz w:val="20"/>
                <w:szCs w:val="20"/>
                <w:color w:val="auto"/>
              </w:rPr>
            </w:pPr>
            <w:r>
              <w:rPr>
                <w:rFonts w:ascii="Arial" w:cs="Arial" w:eastAsia="Arial" w:hAnsi="Arial"/>
                <w:sz w:val="13"/>
                <w:szCs w:val="13"/>
                <w:color w:val="auto"/>
              </w:rPr>
              <w:t>131,254</w:t>
            </w:r>
          </w:p>
        </w:tc>
        <w:tc>
          <w:tcPr>
            <w:tcW w:w="20" w:type="dxa"/>
            <w:vAlign w:val="bottom"/>
          </w:tcPr>
          <w:p>
            <w:pPr>
              <w:spacing w:after="0"/>
              <w:rPr>
                <w:sz w:val="13"/>
                <w:szCs w:val="13"/>
                <w:color w:val="auto"/>
              </w:rPr>
            </w:pPr>
          </w:p>
        </w:tc>
      </w:tr>
      <w:tr>
        <w:trPr>
          <w:trHeight w:val="150"/>
        </w:trPr>
        <w:tc>
          <w:tcPr>
            <w:tcW w:w="2080" w:type="dxa"/>
            <w:vAlign w:val="bottom"/>
          </w:tcPr>
          <w:p>
            <w:pPr>
              <w:spacing w:after="0"/>
              <w:rPr>
                <w:sz w:val="13"/>
                <w:szCs w:val="13"/>
                <w:color w:val="auto"/>
              </w:rPr>
            </w:pPr>
          </w:p>
        </w:tc>
        <w:tc>
          <w:tcPr>
            <w:tcW w:w="1260" w:type="dxa"/>
            <w:vAlign w:val="bottom"/>
          </w:tcPr>
          <w:p>
            <w:pPr>
              <w:jc w:val="right"/>
              <w:ind w:right="73"/>
              <w:spacing w:after="0"/>
              <w:rPr>
                <w:sz w:val="20"/>
                <w:szCs w:val="20"/>
                <w:color w:val="auto"/>
              </w:rPr>
            </w:pPr>
            <w:r>
              <w:rPr>
                <w:rFonts w:ascii="Arial" w:cs="Arial" w:eastAsia="Arial" w:hAnsi="Arial"/>
                <w:sz w:val="13"/>
                <w:szCs w:val="13"/>
                <w:color w:val="auto"/>
              </w:rPr>
              <w:t>03/31/23</w:t>
            </w:r>
          </w:p>
        </w:tc>
        <w:tc>
          <w:tcPr>
            <w:tcW w:w="90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4,691</w:t>
            </w:r>
          </w:p>
        </w:tc>
        <w:tc>
          <w:tcPr>
            <w:tcW w:w="720" w:type="dxa"/>
            <w:vAlign w:val="bottom"/>
          </w:tcPr>
          <w:p>
            <w:pPr>
              <w:jc w:val="right"/>
              <w:ind w:right="33"/>
              <w:spacing w:after="0"/>
              <w:rPr>
                <w:sz w:val="20"/>
                <w:szCs w:val="20"/>
                <w:color w:val="auto"/>
              </w:rPr>
            </w:pPr>
            <w:r>
              <w:rPr>
                <w:rFonts w:ascii="Arial" w:cs="Arial" w:eastAsia="Arial" w:hAnsi="Arial"/>
                <w:sz w:val="13"/>
                <w:szCs w:val="13"/>
                <w:color w:val="auto"/>
              </w:rPr>
              <w:t>9,382</w:t>
            </w:r>
          </w:p>
        </w:tc>
        <w:tc>
          <w:tcPr>
            <w:tcW w:w="760" w:type="dxa"/>
            <w:vAlign w:val="bottom"/>
          </w:tcPr>
          <w:p>
            <w:pPr>
              <w:jc w:val="right"/>
              <w:spacing w:after="0"/>
              <w:rPr>
                <w:sz w:val="20"/>
                <w:szCs w:val="20"/>
                <w:color w:val="auto"/>
              </w:rPr>
            </w:pPr>
            <w:r>
              <w:rPr>
                <w:rFonts w:ascii="Arial" w:cs="Arial" w:eastAsia="Arial" w:hAnsi="Arial"/>
                <w:sz w:val="13"/>
                <w:szCs w:val="13"/>
                <w:color w:val="auto"/>
              </w:rPr>
              <w:t>14,073</w:t>
            </w:r>
          </w:p>
        </w:tc>
        <w:tc>
          <w:tcPr>
            <w:tcW w:w="88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131,254</w:t>
            </w:r>
          </w:p>
        </w:tc>
        <w:tc>
          <w:tcPr>
            <w:tcW w:w="20" w:type="dxa"/>
            <w:vAlign w:val="bottom"/>
          </w:tcPr>
          <w:p>
            <w:pPr>
              <w:spacing w:after="0"/>
              <w:rPr>
                <w:sz w:val="13"/>
                <w:szCs w:val="13"/>
                <w:color w:val="auto"/>
              </w:rPr>
            </w:pPr>
          </w:p>
        </w:tc>
      </w:tr>
      <w:tr>
        <w:trPr>
          <w:trHeight w:val="158"/>
        </w:trPr>
        <w:tc>
          <w:tcPr>
            <w:tcW w:w="2080" w:type="dxa"/>
            <w:vAlign w:val="bottom"/>
            <w:tcBorders>
              <w:bottom w:val="single" w:sz="8" w:color="405788"/>
            </w:tcBorders>
          </w:tcPr>
          <w:p>
            <w:pPr>
              <w:spacing w:after="0"/>
              <w:rPr>
                <w:sz w:val="13"/>
                <w:szCs w:val="13"/>
                <w:color w:val="auto"/>
              </w:rPr>
            </w:pPr>
          </w:p>
        </w:tc>
        <w:tc>
          <w:tcPr>
            <w:tcW w:w="1260" w:type="dxa"/>
            <w:vAlign w:val="bottom"/>
            <w:tcBorders>
              <w:bottom w:val="single" w:sz="8" w:color="405788"/>
            </w:tcBorders>
          </w:tcPr>
          <w:p>
            <w:pPr>
              <w:jc w:val="right"/>
              <w:ind w:right="73"/>
              <w:spacing w:after="0"/>
              <w:rPr>
                <w:sz w:val="20"/>
                <w:szCs w:val="20"/>
                <w:color w:val="auto"/>
              </w:rPr>
            </w:pPr>
            <w:r>
              <w:rPr>
                <w:rFonts w:ascii="Arial" w:cs="Arial" w:eastAsia="Arial" w:hAnsi="Arial"/>
                <w:sz w:val="13"/>
                <w:szCs w:val="13"/>
                <w:color w:val="auto"/>
              </w:rPr>
              <w:t>09/29/23</w:t>
            </w:r>
          </w:p>
        </w:tc>
        <w:tc>
          <w:tcPr>
            <w:tcW w:w="900" w:type="dxa"/>
            <w:vAlign w:val="bottom"/>
            <w:tcBorders>
              <w:bottom w:val="single" w:sz="8" w:color="405788"/>
            </w:tcBorders>
          </w:tcPr>
          <w:p>
            <w:pPr>
              <w:jc w:val="right"/>
              <w:ind w:right="11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405788"/>
            </w:tcBorders>
          </w:tcPr>
          <w:p>
            <w:pPr>
              <w:jc w:val="right"/>
              <w:ind w:right="7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405788"/>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405788"/>
            </w:tcBorders>
          </w:tcPr>
          <w:p>
            <w:pPr>
              <w:jc w:val="right"/>
              <w:ind w:right="13"/>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405788"/>
            </w:tcBorders>
          </w:tcPr>
          <w:p>
            <w:pPr>
              <w:jc w:val="right"/>
              <w:ind w:right="33"/>
              <w:spacing w:after="0"/>
              <w:rPr>
                <w:sz w:val="20"/>
                <w:szCs w:val="20"/>
                <w:color w:val="auto"/>
              </w:rPr>
            </w:pPr>
            <w:r>
              <w:rPr>
                <w:rFonts w:ascii="Arial" w:cs="Arial" w:eastAsia="Arial" w:hAnsi="Arial"/>
                <w:sz w:val="13"/>
                <w:szCs w:val="13"/>
                <w:color w:val="auto"/>
              </w:rPr>
              <w:t>41,341</w:t>
            </w:r>
          </w:p>
        </w:tc>
        <w:tc>
          <w:tcPr>
            <w:tcW w:w="760" w:type="dxa"/>
            <w:vAlign w:val="bottom"/>
            <w:tcBorders>
              <w:bottom w:val="single" w:sz="8" w:color="405788"/>
            </w:tcBorders>
          </w:tcPr>
          <w:p>
            <w:pPr>
              <w:jc w:val="right"/>
              <w:spacing w:after="0"/>
              <w:rPr>
                <w:sz w:val="20"/>
                <w:szCs w:val="20"/>
                <w:color w:val="auto"/>
              </w:rPr>
            </w:pPr>
            <w:r>
              <w:rPr>
                <w:rFonts w:ascii="Arial" w:cs="Arial" w:eastAsia="Arial" w:hAnsi="Arial"/>
                <w:sz w:val="13"/>
                <w:szCs w:val="13"/>
                <w:color w:val="auto"/>
              </w:rPr>
              <w:t>82,682</w:t>
            </w:r>
          </w:p>
        </w:tc>
        <w:tc>
          <w:tcPr>
            <w:tcW w:w="880" w:type="dxa"/>
            <w:vAlign w:val="bottom"/>
            <w:tcBorders>
              <w:bottom w:val="single" w:sz="8" w:color="405788"/>
            </w:tcBorders>
          </w:tcPr>
          <w:p>
            <w:pPr>
              <w:jc w:val="right"/>
              <w:ind w:right="33"/>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405788"/>
            </w:tcBorders>
          </w:tcPr>
          <w:p>
            <w:pPr>
              <w:jc w:val="right"/>
              <w:spacing w:after="0"/>
              <w:rPr>
                <w:sz w:val="20"/>
                <w:szCs w:val="20"/>
                <w:color w:val="auto"/>
              </w:rPr>
            </w:pPr>
            <w:r>
              <w:rPr>
                <w:rFonts w:ascii="Arial" w:cs="Arial" w:eastAsia="Arial" w:hAnsi="Arial"/>
                <w:sz w:val="13"/>
                <w:szCs w:val="13"/>
                <w:color w:val="auto"/>
              </w:rPr>
              <w:t>660,216</w:t>
            </w:r>
          </w:p>
        </w:tc>
        <w:tc>
          <w:tcPr>
            <w:tcW w:w="20" w:type="dxa"/>
            <w:vAlign w:val="bottom"/>
          </w:tcPr>
          <w:p>
            <w:pPr>
              <w:spacing w:after="0"/>
              <w:rPr>
                <w:sz w:val="13"/>
                <w:szCs w:val="13"/>
                <w:color w:val="auto"/>
              </w:rPr>
            </w:pPr>
          </w:p>
        </w:tc>
      </w:tr>
    </w:tbl>
    <w:p>
      <w:pPr>
        <w:spacing w:after="0" w:line="113" w:lineRule="exact"/>
        <w:rPr>
          <w:sz w:val="20"/>
          <w:szCs w:val="20"/>
          <w:color w:val="auto"/>
        </w:rPr>
      </w:pPr>
    </w:p>
    <w:p>
      <w:pPr>
        <w:ind w:left="300" w:right="60" w:hanging="299"/>
        <w:spacing w:after="0" w:line="255" w:lineRule="auto"/>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amounts shown in the "Target" and "Maximum" columns consist of annual performance-based cash compensation opportunities for 2023 provided to the named executive officers and further described in the CD&amp;A above. The "Threshold" column shows dashes because the ultimate value of the performance-based compensation opportunities could be reduced to zero. The Actual payout for 2023 is shown in the "2023 Summary Compensation Table".</w:t>
      </w:r>
    </w:p>
    <w:p>
      <w:pPr>
        <w:spacing w:after="0" w:line="66" w:lineRule="exact"/>
        <w:rPr>
          <w:rFonts w:ascii="Arial" w:cs="Arial" w:eastAsia="Arial" w:hAnsi="Arial"/>
          <w:sz w:val="15"/>
          <w:szCs w:val="15"/>
          <w:color w:val="auto"/>
        </w:rPr>
      </w:pPr>
    </w:p>
    <w:p>
      <w:pPr>
        <w:ind w:left="300" w:right="300" w:hanging="299"/>
        <w:spacing w:after="0" w:line="255" w:lineRule="auto"/>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amounts shown in the “Threshold,” “Target” and “Maximum” columns for Messrs. Gleason and Johansson and Ms. Watkins-Asiyanbi represent the potential payout levels with respect to PRSU awards granted to such officers in 2023, which amounts may be earned based on Relative TSR performance during the 2023-2025 performance period and will generally vest, subject to continued employment, on March 15, 2026.</w:t>
      </w:r>
    </w:p>
    <w:p>
      <w:pPr>
        <w:spacing w:after="0" w:line="66" w:lineRule="exact"/>
        <w:rPr>
          <w:rFonts w:ascii="Arial" w:cs="Arial" w:eastAsia="Arial" w:hAnsi="Arial"/>
          <w:sz w:val="15"/>
          <w:szCs w:val="15"/>
          <w:color w:val="auto"/>
        </w:rPr>
      </w:pPr>
    </w:p>
    <w:p>
      <w:pPr>
        <w:ind w:left="300" w:right="260" w:hanging="299"/>
        <w:spacing w:after="0" w:line="278" w:lineRule="auto"/>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amounts shown in this column consist of RSU awards, which generally vest in four substantially equal annual installments on each of the first four anniversaries of the grant date.</w:t>
      </w:r>
    </w:p>
    <w:p>
      <w:pPr>
        <w:spacing w:after="0" w:line="50" w:lineRule="exact"/>
        <w:rPr>
          <w:rFonts w:ascii="Arial" w:cs="Arial" w:eastAsia="Arial" w:hAnsi="Arial"/>
          <w:sz w:val="15"/>
          <w:szCs w:val="15"/>
          <w:color w:val="auto"/>
        </w:rPr>
      </w:pPr>
    </w:p>
    <w:p>
      <w:pPr>
        <w:ind w:left="300" w:right="20" w:hanging="299"/>
        <w:spacing w:after="0" w:line="255" w:lineRule="auto"/>
        <w:tabs>
          <w:tab w:leader="none" w:pos="3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amounts shown in this column represent the grant date fair value of stock awards calculated in accordance with FASB ASC Topic 718, disregarding estimated forfeitures, rather than amounts realized by the named executive officers. Assumptions used in calculating these amounts are included in Note 9 to the Company’s consolidated financial statements included in our Annual Report on Form 10-K for the year ended December 31, 2023.</w:t>
      </w:r>
    </w:p>
    <w:p>
      <w:pPr>
        <w:spacing w:after="0" w:line="162"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For information regarding the terms of the employment agreements in effect with our named executive officers during 2023, please see “Potential Payments Upon Termination or Change in Control.” For information regarding the terms of the awards described in the table above, please see “Compensation Discussion and Analysis.” For more information about the amount of salary and bonus earned in relation to total compensation, please see “2023 Executive Compensation” in the CD&amp;A above.</w:t>
      </w:r>
    </w:p>
    <w:p>
      <w:pPr>
        <w:spacing w:after="0" w:line="200" w:lineRule="exact"/>
        <w:rPr>
          <w:sz w:val="20"/>
          <w:szCs w:val="20"/>
          <w:color w:val="auto"/>
        </w:rPr>
      </w:pPr>
    </w:p>
    <w:p>
      <w:pPr>
        <w:spacing w:after="0" w:line="339"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34</w:t>
      </w:r>
      <w:r>
        <w:rPr>
          <w:sz w:val="20"/>
          <w:szCs w:val="20"/>
          <w:color w:val="auto"/>
        </w:rPr>
        <w:tab/>
      </w:r>
      <w:r>
        <w:rPr>
          <w:sz w:val="1"/>
          <w:szCs w:val="1"/>
          <w:color w:val="auto"/>
        </w:rPr>
        <w:drawing>
          <wp:inline distT="0" distB="0" distL="0" distR="0">
            <wp:extent cx="476250" cy="22225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2023 Outstanding Equity Awards at Fiscal Year-End Table</w:t>
      </w:r>
    </w:p>
    <w:p>
      <w:pPr>
        <w:spacing w:after="0" w:line="92" w:lineRule="exact"/>
        <w:rPr>
          <w:sz w:val="20"/>
          <w:szCs w:val="20"/>
          <w:color w:val="auto"/>
        </w:rPr>
      </w:pPr>
    </w:p>
    <w:p>
      <w:pPr>
        <w:ind w:right="240"/>
        <w:spacing w:after="0" w:line="258" w:lineRule="auto"/>
        <w:rPr>
          <w:sz w:val="20"/>
          <w:szCs w:val="20"/>
          <w:color w:val="auto"/>
        </w:rPr>
      </w:pPr>
      <w:r>
        <w:rPr>
          <w:rFonts w:ascii="Arial" w:cs="Arial" w:eastAsia="Arial" w:hAnsi="Arial"/>
          <w:sz w:val="17"/>
          <w:szCs w:val="17"/>
          <w:color w:val="auto"/>
        </w:rPr>
        <w:t>The following table sets forth information regarding outstanding equity awards for each named executive officer as of December 31, 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5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Borders>
              <w:bottom w:val="single" w:sz="8" w:color="405788"/>
            </w:tcBorders>
          </w:tcPr>
          <w:p>
            <w:pPr>
              <w:spacing w:after="0"/>
              <w:rPr>
                <w:sz w:val="12"/>
                <w:szCs w:val="12"/>
                <w:color w:val="auto"/>
              </w:rPr>
            </w:pPr>
          </w:p>
        </w:tc>
        <w:tc>
          <w:tcPr>
            <w:tcW w:w="1320" w:type="dxa"/>
            <w:vAlign w:val="bottom"/>
            <w:tcBorders>
              <w:bottom w:val="single" w:sz="8" w:color="405788"/>
            </w:tcBorders>
          </w:tcPr>
          <w:p>
            <w:pPr>
              <w:jc w:val="right"/>
              <w:spacing w:after="0"/>
              <w:rPr>
                <w:sz w:val="20"/>
                <w:szCs w:val="20"/>
                <w:color w:val="auto"/>
              </w:rPr>
            </w:pPr>
            <w:r>
              <w:rPr>
                <w:rFonts w:ascii="Arial" w:cs="Arial" w:eastAsia="Arial" w:hAnsi="Arial"/>
                <w:sz w:val="12"/>
                <w:szCs w:val="12"/>
                <w:b w:val="1"/>
                <w:bCs w:val="1"/>
                <w:color w:val="auto"/>
              </w:rPr>
              <w:t>Option Awards</w:t>
            </w:r>
          </w:p>
        </w:tc>
        <w:tc>
          <w:tcPr>
            <w:tcW w:w="640" w:type="dxa"/>
            <w:vAlign w:val="bottom"/>
            <w:tcBorders>
              <w:bottom w:val="single" w:sz="8" w:color="405788"/>
            </w:tcBorders>
          </w:tcPr>
          <w:p>
            <w:pPr>
              <w:spacing w:after="0"/>
              <w:rPr>
                <w:sz w:val="12"/>
                <w:szCs w:val="12"/>
                <w:color w:val="auto"/>
              </w:rPr>
            </w:pPr>
          </w:p>
        </w:tc>
        <w:tc>
          <w:tcPr>
            <w:tcW w:w="740" w:type="dxa"/>
            <w:vAlign w:val="bottom"/>
            <w:tcBorders>
              <w:bottom w:val="single" w:sz="8" w:color="405788"/>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405788"/>
            </w:tcBorders>
          </w:tcPr>
          <w:p>
            <w:pPr>
              <w:spacing w:after="0"/>
              <w:rPr>
                <w:sz w:val="12"/>
                <w:szCs w:val="12"/>
                <w:color w:val="auto"/>
              </w:rPr>
            </w:pPr>
          </w:p>
        </w:tc>
        <w:tc>
          <w:tcPr>
            <w:tcW w:w="1700" w:type="dxa"/>
            <w:vAlign w:val="bottom"/>
            <w:tcBorders>
              <w:bottom w:val="single" w:sz="8" w:color="405788"/>
            </w:tcBorders>
            <w:gridSpan w:val="2"/>
          </w:tcPr>
          <w:p>
            <w:pPr>
              <w:jc w:val="right"/>
              <w:ind w:right="362"/>
              <w:spacing w:after="0"/>
              <w:rPr>
                <w:sz w:val="20"/>
                <w:szCs w:val="20"/>
                <w:color w:val="auto"/>
              </w:rPr>
            </w:pPr>
            <w:r>
              <w:rPr>
                <w:rFonts w:ascii="Arial" w:cs="Arial" w:eastAsia="Arial" w:hAnsi="Arial"/>
                <w:sz w:val="12"/>
                <w:szCs w:val="12"/>
                <w:b w:val="1"/>
                <w:bCs w:val="1"/>
                <w:color w:val="auto"/>
              </w:rPr>
              <w:t>Stock Awards</w:t>
            </w:r>
          </w:p>
        </w:tc>
        <w:tc>
          <w:tcPr>
            <w:tcW w:w="160" w:type="dxa"/>
            <w:vAlign w:val="bottom"/>
            <w:tcBorders>
              <w:bottom w:val="single" w:sz="8" w:color="405788"/>
            </w:tcBorders>
          </w:tcPr>
          <w:p>
            <w:pPr>
              <w:spacing w:after="0"/>
              <w:rPr>
                <w:sz w:val="12"/>
                <w:szCs w:val="12"/>
                <w:color w:val="auto"/>
              </w:rPr>
            </w:pPr>
          </w:p>
        </w:tc>
        <w:tc>
          <w:tcPr>
            <w:tcW w:w="780" w:type="dxa"/>
            <w:vAlign w:val="bottom"/>
            <w:tcBorders>
              <w:bottom w:val="single" w:sz="8" w:color="405788"/>
            </w:tcBorders>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5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right"/>
              <w:spacing w:after="0" w:line="107"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Equity</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Incentive</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Plan</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Incentive</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Plan</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Market or</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Awards:</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Payout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Market</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Number of</w:t>
            </w:r>
          </w:p>
        </w:tc>
        <w:tc>
          <w:tcPr>
            <w:tcW w:w="1320" w:type="dxa"/>
            <w:vAlign w:val="bottom"/>
            <w:vMerge w:val="restart"/>
          </w:tcPr>
          <w:p>
            <w:pPr>
              <w:jc w:val="right"/>
              <w:ind w:right="262"/>
              <w:spacing w:after="0"/>
              <w:rPr>
                <w:sz w:val="20"/>
                <w:szCs w:val="20"/>
                <w:color w:val="auto"/>
              </w:rPr>
            </w:pPr>
            <w:r>
              <w:rPr>
                <w:rFonts w:ascii="Arial" w:cs="Arial" w:eastAsia="Arial" w:hAnsi="Arial"/>
                <w:sz w:val="12"/>
                <w:szCs w:val="12"/>
                <w:b w:val="1"/>
                <w:bCs w:val="1"/>
                <w:color w:val="auto"/>
              </w:rPr>
              <w:t>Number of</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Number of</w:t>
            </w:r>
          </w:p>
        </w:tc>
        <w:tc>
          <w:tcPr>
            <w:tcW w:w="900" w:type="dxa"/>
            <w:vAlign w:val="bottom"/>
            <w:vMerge w:val="continue"/>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Unearned</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Unearned</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Value of</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Securities</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Shares or</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Shares or</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Units or</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Units or</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Underlying</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b w:val="1"/>
                <w:bCs w:val="1"/>
                <w:color w:val="auto"/>
              </w:rPr>
              <w:t>Underlying</w:t>
            </w:r>
          </w:p>
        </w:tc>
        <w:tc>
          <w:tcPr>
            <w:tcW w:w="64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Option</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Option</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Units of</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Units of</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Other</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Other</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Unexercised</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b w:val="1"/>
                <w:bCs w:val="1"/>
                <w:color w:val="auto"/>
              </w:rPr>
              <w:t>Unexercised</w:t>
            </w:r>
          </w:p>
        </w:tc>
        <w:tc>
          <w:tcPr>
            <w:tcW w:w="64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Stock That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Stock That</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Rights That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Rights That</w:t>
            </w:r>
          </w:p>
        </w:tc>
        <w:tc>
          <w:tcPr>
            <w:tcW w:w="0" w:type="dxa"/>
            <w:vAlign w:val="bottom"/>
          </w:tcPr>
          <w:p>
            <w:pPr>
              <w:spacing w:after="0"/>
              <w:rPr>
                <w:sz w:val="1"/>
                <w:szCs w:val="1"/>
                <w:color w:val="auto"/>
              </w:rPr>
            </w:pPr>
          </w:p>
        </w:tc>
      </w:tr>
      <w:tr>
        <w:trPr>
          <w:trHeight w:val="125"/>
        </w:trPr>
        <w:tc>
          <w:tcPr>
            <w:tcW w:w="1540" w:type="dxa"/>
            <w:vAlign w:val="bottom"/>
            <w:vMerge w:val="restart"/>
          </w:tcPr>
          <w:p>
            <w:pPr>
              <w:ind w:left="680"/>
              <w:spacing w:after="0"/>
              <w:rPr>
                <w:sz w:val="20"/>
                <w:szCs w:val="20"/>
                <w:color w:val="auto"/>
              </w:rPr>
            </w:pPr>
            <w:r>
              <w:rPr>
                <w:rFonts w:ascii="Arial" w:cs="Arial" w:eastAsia="Arial" w:hAnsi="Arial"/>
                <w:sz w:val="12"/>
                <w:szCs w:val="12"/>
                <w:b w:val="1"/>
                <w:bCs w:val="1"/>
                <w:color w:val="auto"/>
              </w:rPr>
              <w:t>Name</w:t>
            </w:r>
          </w:p>
        </w:tc>
        <w:tc>
          <w:tcPr>
            <w:tcW w:w="1140" w:type="dxa"/>
            <w:vAlign w:val="bottom"/>
            <w:vMerge w:val="restart"/>
          </w:tcPr>
          <w:p>
            <w:pPr>
              <w:jc w:val="center"/>
              <w:ind w:left="122"/>
              <w:spacing w:after="0"/>
              <w:rPr>
                <w:sz w:val="20"/>
                <w:szCs w:val="20"/>
                <w:color w:val="auto"/>
              </w:rPr>
            </w:pPr>
            <w:r>
              <w:rPr>
                <w:rFonts w:ascii="Arial" w:cs="Arial" w:eastAsia="Arial" w:hAnsi="Arial"/>
                <w:sz w:val="12"/>
                <w:szCs w:val="12"/>
                <w:b w:val="1"/>
                <w:bCs w:val="1"/>
                <w:color w:val="auto"/>
                <w:w w:val="97"/>
              </w:rPr>
              <w:t>Grant Date</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Options (#)</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b w:val="1"/>
                <w:bCs w:val="1"/>
                <w:color w:val="auto"/>
              </w:rPr>
              <w:t>Options (#)</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w w:val="97"/>
              </w:rPr>
              <w:t>Exercise</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b w:val="1"/>
                <w:bCs w:val="1"/>
                <w:color w:val="auto"/>
              </w:rPr>
              <w:t>Expiration</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Have Not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Have Not</w:t>
            </w:r>
          </w:p>
        </w:tc>
        <w:tc>
          <w:tcPr>
            <w:tcW w:w="80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Have Not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b w:val="1"/>
                <w:bCs w:val="1"/>
                <w:color w:val="auto"/>
              </w:rPr>
              <w:t>Have Not</w:t>
            </w:r>
          </w:p>
        </w:tc>
        <w:tc>
          <w:tcPr>
            <w:tcW w:w="0" w:type="dxa"/>
            <w:vAlign w:val="bottom"/>
          </w:tcPr>
          <w:p>
            <w:pPr>
              <w:spacing w:after="0"/>
              <w:rPr>
                <w:sz w:val="1"/>
                <w:szCs w:val="1"/>
                <w:color w:val="auto"/>
              </w:rPr>
            </w:pPr>
          </w:p>
        </w:tc>
      </w:tr>
      <w:tr>
        <w:trPr>
          <w:trHeight w:val="148"/>
        </w:trPr>
        <w:tc>
          <w:tcPr>
            <w:tcW w:w="1540" w:type="dxa"/>
            <w:vAlign w:val="bottom"/>
            <w:tcBorders>
              <w:bottom w:val="single" w:sz="8" w:color="405788"/>
            </w:tcBorders>
            <w:vMerge w:val="continue"/>
          </w:tcPr>
          <w:p>
            <w:pPr>
              <w:spacing w:after="0"/>
              <w:rPr>
                <w:sz w:val="12"/>
                <w:szCs w:val="12"/>
                <w:color w:val="auto"/>
              </w:rPr>
            </w:pPr>
          </w:p>
        </w:tc>
        <w:tc>
          <w:tcPr>
            <w:tcW w:w="1140" w:type="dxa"/>
            <w:vAlign w:val="bottom"/>
            <w:tcBorders>
              <w:bottom w:val="single" w:sz="8" w:color="405788"/>
            </w:tcBorders>
            <w:vMerge w:val="continue"/>
          </w:tcPr>
          <w:p>
            <w:pPr>
              <w:spacing w:after="0"/>
              <w:rPr>
                <w:sz w:val="12"/>
                <w:szCs w:val="12"/>
                <w:color w:val="auto"/>
              </w:rPr>
            </w:pPr>
          </w:p>
        </w:tc>
        <w:tc>
          <w:tcPr>
            <w:tcW w:w="90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b w:val="1"/>
                <w:bCs w:val="1"/>
                <w:color w:val="auto"/>
              </w:rPr>
              <w:t>Exercisable</w:t>
            </w:r>
          </w:p>
        </w:tc>
        <w:tc>
          <w:tcPr>
            <w:tcW w:w="1320" w:type="dxa"/>
            <w:vAlign w:val="bottom"/>
            <w:tcBorders>
              <w:bottom w:val="single" w:sz="8" w:color="405788"/>
            </w:tcBorders>
          </w:tcPr>
          <w:p>
            <w:pPr>
              <w:jc w:val="right"/>
              <w:ind w:right="262"/>
              <w:spacing w:after="0" w:line="142" w:lineRule="exact"/>
              <w:rPr>
                <w:sz w:val="20"/>
                <w:szCs w:val="20"/>
                <w:color w:val="auto"/>
              </w:rPr>
            </w:pPr>
            <w:r>
              <w:rPr>
                <w:rFonts w:ascii="Arial" w:cs="Arial" w:eastAsia="Arial" w:hAnsi="Arial"/>
                <w:sz w:val="11"/>
                <w:szCs w:val="11"/>
                <w:b w:val="1"/>
                <w:bCs w:val="1"/>
                <w:color w:val="auto"/>
              </w:rPr>
              <w:t xml:space="preserve">Unexercisable </w:t>
            </w:r>
            <w:r>
              <w:rPr>
                <w:rFonts w:ascii="Arial" w:cs="Arial" w:eastAsia="Arial" w:hAnsi="Arial"/>
                <w:sz w:val="16"/>
                <w:szCs w:val="16"/>
                <w:b w:val="1"/>
                <w:bCs w:val="1"/>
                <w:color w:val="auto"/>
                <w:vertAlign w:val="superscript"/>
              </w:rPr>
              <w:t>1</w:t>
            </w:r>
          </w:p>
        </w:tc>
        <w:tc>
          <w:tcPr>
            <w:tcW w:w="64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b w:val="1"/>
                <w:bCs w:val="1"/>
                <w:color w:val="auto"/>
              </w:rPr>
              <w:t>Price ($)</w:t>
            </w:r>
          </w:p>
        </w:tc>
        <w:tc>
          <w:tcPr>
            <w:tcW w:w="880" w:type="dxa"/>
            <w:vAlign w:val="bottom"/>
            <w:tcBorders>
              <w:bottom w:val="single" w:sz="8" w:color="405788"/>
            </w:tcBorders>
            <w:gridSpan w:val="2"/>
          </w:tcPr>
          <w:p>
            <w:pPr>
              <w:jc w:val="right"/>
              <w:ind w:right="180"/>
              <w:spacing w:after="0"/>
              <w:rPr>
                <w:sz w:val="20"/>
                <w:szCs w:val="20"/>
                <w:color w:val="auto"/>
              </w:rPr>
            </w:pPr>
            <w:r>
              <w:rPr>
                <w:rFonts w:ascii="Arial" w:cs="Arial" w:eastAsia="Arial" w:hAnsi="Arial"/>
                <w:sz w:val="12"/>
                <w:szCs w:val="12"/>
                <w:b w:val="1"/>
                <w:bCs w:val="1"/>
                <w:color w:val="auto"/>
              </w:rPr>
              <w:t>Date</w:t>
            </w:r>
          </w:p>
        </w:tc>
        <w:tc>
          <w:tcPr>
            <w:tcW w:w="860" w:type="dxa"/>
            <w:vAlign w:val="bottom"/>
            <w:tcBorders>
              <w:bottom w:val="single" w:sz="8" w:color="405788"/>
            </w:tcBorders>
          </w:tcPr>
          <w:p>
            <w:pPr>
              <w:jc w:val="right"/>
              <w:ind w:right="82"/>
              <w:spacing w:after="0" w:line="142" w:lineRule="exact"/>
              <w:rPr>
                <w:sz w:val="20"/>
                <w:szCs w:val="20"/>
                <w:color w:val="auto"/>
              </w:rPr>
            </w:pPr>
            <w:r>
              <w:rPr>
                <w:rFonts w:ascii="Arial" w:cs="Arial" w:eastAsia="Arial" w:hAnsi="Arial"/>
                <w:sz w:val="11"/>
                <w:szCs w:val="11"/>
                <w:b w:val="1"/>
                <w:bCs w:val="1"/>
                <w:color w:val="auto"/>
              </w:rPr>
              <w:t xml:space="preserve">Vested (#) </w:t>
            </w:r>
            <w:r>
              <w:rPr>
                <w:rFonts w:ascii="Arial" w:cs="Arial" w:eastAsia="Arial" w:hAnsi="Arial"/>
                <w:sz w:val="16"/>
                <w:szCs w:val="16"/>
                <w:b w:val="1"/>
                <w:bCs w:val="1"/>
                <w:color w:val="auto"/>
                <w:vertAlign w:val="superscript"/>
              </w:rPr>
              <w:t>2</w:t>
            </w:r>
          </w:p>
        </w:tc>
        <w:tc>
          <w:tcPr>
            <w:tcW w:w="900" w:type="dxa"/>
            <w:vAlign w:val="bottom"/>
            <w:tcBorders>
              <w:bottom w:val="single" w:sz="8" w:color="405788"/>
            </w:tcBorders>
          </w:tcPr>
          <w:p>
            <w:pPr>
              <w:jc w:val="right"/>
              <w:ind w:right="62"/>
              <w:spacing w:after="0" w:line="142" w:lineRule="exact"/>
              <w:rPr>
                <w:sz w:val="20"/>
                <w:szCs w:val="20"/>
                <w:color w:val="auto"/>
              </w:rPr>
            </w:pPr>
            <w:r>
              <w:rPr>
                <w:rFonts w:ascii="Arial" w:cs="Arial" w:eastAsia="Arial" w:hAnsi="Arial"/>
                <w:sz w:val="11"/>
                <w:szCs w:val="11"/>
                <w:b w:val="1"/>
                <w:bCs w:val="1"/>
                <w:color w:val="auto"/>
              </w:rPr>
              <w:t xml:space="preserve">Vested ($) </w:t>
            </w:r>
            <w:r>
              <w:rPr>
                <w:rFonts w:ascii="Arial" w:cs="Arial" w:eastAsia="Arial" w:hAnsi="Arial"/>
                <w:sz w:val="16"/>
                <w:szCs w:val="16"/>
                <w:b w:val="1"/>
                <w:bCs w:val="1"/>
                <w:color w:val="auto"/>
                <w:vertAlign w:val="superscript"/>
              </w:rPr>
              <w:t>3</w:t>
            </w:r>
          </w:p>
        </w:tc>
        <w:tc>
          <w:tcPr>
            <w:tcW w:w="800" w:type="dxa"/>
            <w:vAlign w:val="bottom"/>
            <w:tcBorders>
              <w:bottom w:val="single" w:sz="8" w:color="405788"/>
            </w:tcBorders>
          </w:tcPr>
          <w:p>
            <w:pPr>
              <w:jc w:val="right"/>
              <w:spacing w:after="0"/>
              <w:rPr>
                <w:sz w:val="20"/>
                <w:szCs w:val="20"/>
                <w:color w:val="auto"/>
              </w:rPr>
            </w:pPr>
            <w:r>
              <w:rPr>
                <w:rFonts w:ascii="Arial" w:cs="Arial" w:eastAsia="Arial" w:hAnsi="Arial"/>
                <w:sz w:val="12"/>
                <w:szCs w:val="12"/>
                <w:b w:val="1"/>
                <w:bCs w:val="1"/>
                <w:color w:val="auto"/>
              </w:rPr>
              <w:t>Vested (#)</w:t>
            </w:r>
          </w:p>
        </w:tc>
        <w:tc>
          <w:tcPr>
            <w:tcW w:w="160" w:type="dxa"/>
            <w:vAlign w:val="bottom"/>
            <w:tcBorders>
              <w:bottom w:val="single" w:sz="8" w:color="405788"/>
            </w:tcBorders>
          </w:tcPr>
          <w:p>
            <w:pPr>
              <w:spacing w:after="0"/>
              <w:rPr>
                <w:sz w:val="12"/>
                <w:szCs w:val="12"/>
                <w:color w:val="auto"/>
              </w:rPr>
            </w:pPr>
          </w:p>
        </w:tc>
        <w:tc>
          <w:tcPr>
            <w:tcW w:w="780" w:type="dxa"/>
            <w:vAlign w:val="bottom"/>
            <w:tcBorders>
              <w:bottom w:val="single" w:sz="8" w:color="405788"/>
            </w:tcBorders>
          </w:tcPr>
          <w:p>
            <w:pPr>
              <w:jc w:val="right"/>
              <w:spacing w:after="0" w:line="142" w:lineRule="exact"/>
              <w:rPr>
                <w:sz w:val="20"/>
                <w:szCs w:val="20"/>
                <w:color w:val="auto"/>
              </w:rPr>
            </w:pPr>
            <w:r>
              <w:rPr>
                <w:rFonts w:ascii="Arial" w:cs="Arial" w:eastAsia="Arial" w:hAnsi="Arial"/>
                <w:sz w:val="11"/>
                <w:szCs w:val="11"/>
                <w:b w:val="1"/>
                <w:bCs w:val="1"/>
                <w:color w:val="auto"/>
              </w:rPr>
              <w:t xml:space="preserve">Vested ($)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09"/>
        </w:trPr>
        <w:tc>
          <w:tcPr>
            <w:tcW w:w="1540" w:type="dxa"/>
            <w:vAlign w:val="bottom"/>
          </w:tcPr>
          <w:p>
            <w:pPr>
              <w:spacing w:after="0" w:line="110" w:lineRule="exact"/>
              <w:rPr>
                <w:sz w:val="20"/>
                <w:szCs w:val="20"/>
                <w:color w:val="auto"/>
              </w:rPr>
            </w:pPr>
            <w:r>
              <w:rPr>
                <w:rFonts w:ascii="Arial" w:cs="Arial" w:eastAsia="Arial" w:hAnsi="Arial"/>
                <w:sz w:val="12"/>
                <w:szCs w:val="12"/>
                <w:color w:val="auto"/>
              </w:rPr>
              <w:t>Todd Gleason</w:t>
            </w:r>
          </w:p>
        </w:tc>
        <w:tc>
          <w:tcPr>
            <w:tcW w:w="1140" w:type="dxa"/>
            <w:vAlign w:val="bottom"/>
          </w:tcPr>
          <w:p>
            <w:pPr>
              <w:jc w:val="center"/>
              <w:ind w:left="102"/>
              <w:spacing w:after="0" w:line="110" w:lineRule="exact"/>
              <w:rPr>
                <w:sz w:val="20"/>
                <w:szCs w:val="20"/>
                <w:color w:val="auto"/>
              </w:rPr>
            </w:pPr>
            <w:r>
              <w:rPr>
                <w:rFonts w:ascii="Arial" w:cs="Arial" w:eastAsia="Arial" w:hAnsi="Arial"/>
                <w:sz w:val="12"/>
                <w:szCs w:val="12"/>
                <w:color w:val="auto"/>
                <w:w w:val="98"/>
              </w:rPr>
              <w:t>07/05/23</w:t>
            </w:r>
          </w:p>
        </w:tc>
        <w:tc>
          <w:tcPr>
            <w:tcW w:w="900" w:type="dxa"/>
            <w:vAlign w:val="bottom"/>
          </w:tcPr>
          <w:p>
            <w:pPr>
              <w:jc w:val="right"/>
              <w:ind w:right="82"/>
              <w:spacing w:after="0" w:line="110" w:lineRule="exact"/>
              <w:rPr>
                <w:sz w:val="20"/>
                <w:szCs w:val="20"/>
                <w:color w:val="auto"/>
              </w:rPr>
            </w:pPr>
            <w:r>
              <w:rPr>
                <w:rFonts w:ascii="Arial" w:cs="Arial" w:eastAsia="Arial" w:hAnsi="Arial"/>
                <w:sz w:val="12"/>
                <w:szCs w:val="12"/>
                <w:b w:val="1"/>
                <w:bCs w:val="1"/>
                <w:color w:val="auto"/>
              </w:rPr>
              <w:t>—</w:t>
            </w:r>
          </w:p>
        </w:tc>
        <w:tc>
          <w:tcPr>
            <w:tcW w:w="1320" w:type="dxa"/>
            <w:vAlign w:val="bottom"/>
          </w:tcPr>
          <w:p>
            <w:pPr>
              <w:jc w:val="right"/>
              <w:ind w:right="262"/>
              <w:spacing w:after="0" w:line="110" w:lineRule="exact"/>
              <w:rPr>
                <w:sz w:val="20"/>
                <w:szCs w:val="20"/>
                <w:color w:val="auto"/>
              </w:rPr>
            </w:pPr>
            <w:r>
              <w:rPr>
                <w:rFonts w:ascii="Arial" w:cs="Arial" w:eastAsia="Arial" w:hAnsi="Arial"/>
                <w:sz w:val="12"/>
                <w:szCs w:val="12"/>
                <w:b w:val="1"/>
                <w:bCs w:val="1"/>
                <w:color w:val="auto"/>
              </w:rPr>
              <w:t>—</w:t>
            </w:r>
          </w:p>
        </w:tc>
        <w:tc>
          <w:tcPr>
            <w:tcW w:w="640" w:type="dxa"/>
            <w:vAlign w:val="bottom"/>
          </w:tcPr>
          <w:p>
            <w:pPr>
              <w:jc w:val="right"/>
              <w:ind w:right="82"/>
              <w:spacing w:after="0" w:line="110" w:lineRule="exact"/>
              <w:rPr>
                <w:sz w:val="20"/>
                <w:szCs w:val="20"/>
                <w:color w:val="auto"/>
              </w:rPr>
            </w:pPr>
            <w:r>
              <w:rPr>
                <w:rFonts w:ascii="Arial" w:cs="Arial" w:eastAsia="Arial" w:hAnsi="Arial"/>
                <w:sz w:val="12"/>
                <w:szCs w:val="12"/>
                <w:b w:val="1"/>
                <w:bCs w:val="1"/>
                <w:color w:val="auto"/>
              </w:rPr>
              <w:t>—</w:t>
            </w:r>
          </w:p>
        </w:tc>
        <w:tc>
          <w:tcPr>
            <w:tcW w:w="880" w:type="dxa"/>
            <w:vAlign w:val="bottom"/>
            <w:gridSpan w:val="2"/>
          </w:tcPr>
          <w:p>
            <w:pPr>
              <w:jc w:val="right"/>
              <w:ind w:right="180"/>
              <w:spacing w:after="0" w:line="110" w:lineRule="exact"/>
              <w:rPr>
                <w:sz w:val="20"/>
                <w:szCs w:val="20"/>
                <w:color w:val="auto"/>
              </w:rPr>
            </w:pPr>
            <w:r>
              <w:rPr>
                <w:rFonts w:ascii="Arial" w:cs="Arial" w:eastAsia="Arial" w:hAnsi="Arial"/>
                <w:sz w:val="12"/>
                <w:szCs w:val="12"/>
                <w:b w:val="1"/>
                <w:bCs w:val="1"/>
                <w:color w:val="auto"/>
              </w:rPr>
              <w:t>—</w:t>
            </w:r>
          </w:p>
        </w:tc>
        <w:tc>
          <w:tcPr>
            <w:tcW w:w="86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10"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0" w:lineRule="exact"/>
              <w:rPr>
                <w:sz w:val="20"/>
                <w:szCs w:val="20"/>
                <w:color w:val="auto"/>
              </w:rPr>
            </w:pPr>
            <w:r>
              <w:rPr>
                <w:rFonts w:ascii="Arial" w:cs="Arial" w:eastAsia="Arial" w:hAnsi="Arial"/>
                <w:sz w:val="12"/>
                <w:szCs w:val="12"/>
                <w:color w:val="auto"/>
              </w:rPr>
              <w:t>225,000</w:t>
            </w:r>
          </w:p>
        </w:tc>
        <w:tc>
          <w:tcPr>
            <w:tcW w:w="16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Arial" w:cs="Arial" w:eastAsia="Arial" w:hAnsi="Arial"/>
                <w:sz w:val="12"/>
                <w:szCs w:val="12"/>
                <w:color w:val="auto"/>
              </w:rPr>
              <w:t>4,563,000</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03/31/23</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21,444</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434,884</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03/31/23</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58,375</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1,183,845</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03/07/22</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43,437</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880,902</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03/07/22</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180,182</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5</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3,654,091</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04/01/21</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18,383</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372,807</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04/01/21</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128,678</w:t>
            </w: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4</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2,609,590</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07/06/20</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237,676</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79,226</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6.36</w:t>
            </w:r>
          </w:p>
        </w:tc>
        <w:tc>
          <w:tcPr>
            <w:tcW w:w="740" w:type="dxa"/>
            <w:vAlign w:val="bottom"/>
          </w:tcPr>
          <w:p>
            <w:pPr>
              <w:jc w:val="right"/>
              <w:spacing w:after="0" w:line="125" w:lineRule="exact"/>
              <w:rPr>
                <w:sz w:val="20"/>
                <w:szCs w:val="20"/>
                <w:color w:val="auto"/>
              </w:rPr>
            </w:pPr>
            <w:r>
              <w:rPr>
                <w:rFonts w:ascii="Arial" w:cs="Arial" w:eastAsia="Arial" w:hAnsi="Arial"/>
                <w:sz w:val="12"/>
                <w:szCs w:val="12"/>
                <w:color w:val="auto"/>
              </w:rPr>
              <w:t>7/6/2027</w:t>
            </w:r>
          </w:p>
        </w:tc>
        <w:tc>
          <w:tcPr>
            <w:tcW w:w="140" w:type="dxa"/>
            <w:vAlign w:val="bottom"/>
          </w:tcPr>
          <w:p>
            <w:pPr>
              <w:spacing w:after="0"/>
              <w:rPr>
                <w:sz w:val="10"/>
                <w:szCs w:val="10"/>
                <w:color w:val="auto"/>
              </w:rPr>
            </w:pP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07/06/20</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673,653</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224,551</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12.72</w:t>
            </w:r>
          </w:p>
        </w:tc>
        <w:tc>
          <w:tcPr>
            <w:tcW w:w="740" w:type="dxa"/>
            <w:vAlign w:val="bottom"/>
          </w:tcPr>
          <w:p>
            <w:pPr>
              <w:jc w:val="right"/>
              <w:spacing w:after="0" w:line="125" w:lineRule="exact"/>
              <w:rPr>
                <w:sz w:val="20"/>
                <w:szCs w:val="20"/>
                <w:color w:val="auto"/>
              </w:rPr>
            </w:pPr>
            <w:r>
              <w:rPr>
                <w:rFonts w:ascii="Arial" w:cs="Arial" w:eastAsia="Arial" w:hAnsi="Arial"/>
                <w:sz w:val="12"/>
                <w:szCs w:val="12"/>
                <w:color w:val="auto"/>
              </w:rPr>
              <w:t>7/6/2027</w:t>
            </w:r>
          </w:p>
        </w:tc>
        <w:tc>
          <w:tcPr>
            <w:tcW w:w="140" w:type="dxa"/>
            <w:vAlign w:val="bottom"/>
          </w:tcPr>
          <w:p>
            <w:pPr>
              <w:spacing w:after="0"/>
              <w:rPr>
                <w:sz w:val="10"/>
                <w:szCs w:val="10"/>
                <w:color w:val="auto"/>
              </w:rPr>
            </w:pP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540" w:type="dxa"/>
            <w:vAlign w:val="bottom"/>
            <w:tcBorders>
              <w:bottom w:val="single" w:sz="8" w:color="D9D9D9"/>
            </w:tcBorders>
          </w:tcPr>
          <w:p>
            <w:pPr>
              <w:spacing w:after="0"/>
              <w:rPr>
                <w:sz w:val="12"/>
                <w:szCs w:val="12"/>
                <w:color w:val="auto"/>
              </w:rPr>
            </w:pPr>
          </w:p>
        </w:tc>
        <w:tc>
          <w:tcPr>
            <w:tcW w:w="1140" w:type="dxa"/>
            <w:vAlign w:val="bottom"/>
            <w:tcBorders>
              <w:bottom w:val="single" w:sz="8" w:color="D9D9D9"/>
            </w:tcBorders>
          </w:tcPr>
          <w:p>
            <w:pPr>
              <w:jc w:val="center"/>
              <w:ind w:left="102"/>
              <w:spacing w:after="0"/>
              <w:rPr>
                <w:sz w:val="20"/>
                <w:szCs w:val="20"/>
                <w:color w:val="auto"/>
              </w:rPr>
            </w:pPr>
            <w:r>
              <w:rPr>
                <w:rFonts w:ascii="Arial" w:cs="Arial" w:eastAsia="Arial" w:hAnsi="Arial"/>
                <w:sz w:val="12"/>
                <w:szCs w:val="12"/>
                <w:color w:val="auto"/>
                <w:w w:val="98"/>
              </w:rPr>
              <w:t>07/06/20</w:t>
            </w:r>
          </w:p>
        </w:tc>
        <w:tc>
          <w:tcPr>
            <w:tcW w:w="90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D9D9D9"/>
            </w:tcBorders>
          </w:tcPr>
          <w:p>
            <w:pPr>
              <w:jc w:val="right"/>
              <w:ind w:right="26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D9D9D9"/>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23,585</w:t>
            </w:r>
          </w:p>
        </w:tc>
        <w:tc>
          <w:tcPr>
            <w:tcW w:w="900" w:type="dxa"/>
            <w:vAlign w:val="bottom"/>
            <w:tcBorders>
              <w:bottom w:val="single" w:sz="8" w:color="D9D9D9"/>
            </w:tcBorders>
          </w:tcPr>
          <w:p>
            <w:pPr>
              <w:jc w:val="right"/>
              <w:ind w:right="62"/>
              <w:spacing w:after="0"/>
              <w:rPr>
                <w:sz w:val="20"/>
                <w:szCs w:val="20"/>
                <w:color w:val="auto"/>
              </w:rPr>
            </w:pPr>
            <w:r>
              <w:rPr>
                <w:rFonts w:ascii="Arial" w:cs="Arial" w:eastAsia="Arial" w:hAnsi="Arial"/>
                <w:sz w:val="12"/>
                <w:szCs w:val="12"/>
                <w:color w:val="auto"/>
              </w:rPr>
              <w:t>478,304</w:t>
            </w:r>
          </w:p>
        </w:tc>
        <w:tc>
          <w:tcPr>
            <w:tcW w:w="80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w:t>
            </w:r>
          </w:p>
        </w:tc>
        <w:tc>
          <w:tcPr>
            <w:tcW w:w="160" w:type="dxa"/>
            <w:vAlign w:val="bottom"/>
            <w:tcBorders>
              <w:bottom w:val="single" w:sz="8" w:color="D9D9D9"/>
            </w:tcBorders>
          </w:tcPr>
          <w:p>
            <w:pPr>
              <w:spacing w:after="0"/>
              <w:rPr>
                <w:sz w:val="12"/>
                <w:szCs w:val="12"/>
                <w:color w:val="auto"/>
              </w:rPr>
            </w:pP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09"/>
        </w:trPr>
        <w:tc>
          <w:tcPr>
            <w:tcW w:w="1540" w:type="dxa"/>
            <w:vAlign w:val="bottom"/>
          </w:tcPr>
          <w:p>
            <w:pPr>
              <w:spacing w:after="0" w:line="110" w:lineRule="exact"/>
              <w:rPr>
                <w:sz w:val="20"/>
                <w:szCs w:val="20"/>
                <w:color w:val="auto"/>
              </w:rPr>
            </w:pPr>
            <w:r>
              <w:rPr>
                <w:rFonts w:ascii="Arial" w:cs="Arial" w:eastAsia="Arial" w:hAnsi="Arial"/>
                <w:sz w:val="12"/>
                <w:szCs w:val="12"/>
                <w:color w:val="auto"/>
              </w:rPr>
              <w:t>Peter Johansson</w:t>
            </w:r>
          </w:p>
        </w:tc>
        <w:tc>
          <w:tcPr>
            <w:tcW w:w="1140" w:type="dxa"/>
            <w:vAlign w:val="bottom"/>
          </w:tcPr>
          <w:p>
            <w:pPr>
              <w:jc w:val="center"/>
              <w:ind w:left="102"/>
              <w:spacing w:after="0" w:line="110" w:lineRule="exact"/>
              <w:rPr>
                <w:sz w:val="20"/>
                <w:szCs w:val="20"/>
                <w:color w:val="auto"/>
              </w:rPr>
            </w:pPr>
            <w:r>
              <w:rPr>
                <w:rFonts w:ascii="Arial" w:cs="Arial" w:eastAsia="Arial" w:hAnsi="Arial"/>
                <w:sz w:val="12"/>
                <w:szCs w:val="12"/>
                <w:color w:val="auto"/>
                <w:w w:val="98"/>
              </w:rPr>
              <w:t>09/29/23</w:t>
            </w:r>
          </w:p>
        </w:tc>
        <w:tc>
          <w:tcPr>
            <w:tcW w:w="90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10"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10"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10"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0" w:lineRule="exact"/>
              <w:rPr>
                <w:sz w:val="20"/>
                <w:szCs w:val="20"/>
                <w:color w:val="auto"/>
              </w:rPr>
            </w:pPr>
            <w:r>
              <w:rPr>
                <w:rFonts w:ascii="Arial" w:cs="Arial" w:eastAsia="Arial" w:hAnsi="Arial"/>
                <w:sz w:val="12"/>
                <w:szCs w:val="12"/>
                <w:color w:val="auto"/>
              </w:rPr>
              <w:t>47,247</w:t>
            </w:r>
          </w:p>
        </w:tc>
        <w:tc>
          <w:tcPr>
            <w:tcW w:w="16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Arial" w:cs="Arial" w:eastAsia="Arial" w:hAnsi="Arial"/>
                <w:sz w:val="12"/>
                <w:szCs w:val="12"/>
                <w:color w:val="auto"/>
              </w:rPr>
              <w:t>958,169</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03/31/23</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10,722</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217,442</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03/31/23</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12,509</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253,683</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08/15/22</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22,212</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450,459</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540" w:type="dxa"/>
            <w:vAlign w:val="bottom"/>
            <w:tcBorders>
              <w:bottom w:val="single" w:sz="8" w:color="D9D9D9"/>
            </w:tcBorders>
          </w:tcPr>
          <w:p>
            <w:pPr>
              <w:spacing w:after="0"/>
              <w:rPr>
                <w:sz w:val="12"/>
                <w:szCs w:val="12"/>
                <w:color w:val="auto"/>
              </w:rPr>
            </w:pPr>
          </w:p>
        </w:tc>
        <w:tc>
          <w:tcPr>
            <w:tcW w:w="1140" w:type="dxa"/>
            <w:vAlign w:val="bottom"/>
            <w:tcBorders>
              <w:bottom w:val="single" w:sz="8" w:color="D9D9D9"/>
            </w:tcBorders>
          </w:tcPr>
          <w:p>
            <w:pPr>
              <w:jc w:val="center"/>
              <w:ind w:left="102"/>
              <w:spacing w:after="0"/>
              <w:rPr>
                <w:sz w:val="20"/>
                <w:szCs w:val="20"/>
                <w:color w:val="auto"/>
              </w:rPr>
            </w:pPr>
            <w:r>
              <w:rPr>
                <w:rFonts w:ascii="Arial" w:cs="Arial" w:eastAsia="Arial" w:hAnsi="Arial"/>
                <w:sz w:val="12"/>
                <w:szCs w:val="12"/>
                <w:color w:val="auto"/>
                <w:w w:val="98"/>
              </w:rPr>
              <w:t>08/15/22</w:t>
            </w:r>
          </w:p>
        </w:tc>
        <w:tc>
          <w:tcPr>
            <w:tcW w:w="90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D9D9D9"/>
            </w:tcBorders>
          </w:tcPr>
          <w:p>
            <w:pPr>
              <w:jc w:val="right"/>
              <w:ind w:right="26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D9D9D9"/>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D9D9D9"/>
            </w:tcBorders>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D9D9D9"/>
            </w:tcBorders>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19,744</w:t>
            </w:r>
          </w:p>
        </w:tc>
        <w:tc>
          <w:tcPr>
            <w:tcW w:w="160" w:type="dxa"/>
            <w:vAlign w:val="bottom"/>
            <w:tcBorders>
              <w:bottom w:val="single" w:sz="8" w:color="D9D9D9"/>
            </w:tcBorders>
          </w:tcPr>
          <w:p>
            <w:pPr>
              <w:jc w:val="right"/>
              <w:ind w:right="56"/>
              <w:spacing w:after="0"/>
              <w:rPr>
                <w:sz w:val="20"/>
                <w:szCs w:val="20"/>
                <w:color w:val="auto"/>
              </w:rPr>
            </w:pPr>
            <w:r>
              <w:rPr>
                <w:rFonts w:ascii="Arial" w:cs="Arial" w:eastAsia="Arial" w:hAnsi="Arial"/>
                <w:sz w:val="9"/>
                <w:szCs w:val="9"/>
                <w:color w:val="auto"/>
                <w:w w:val="78"/>
              </w:rPr>
              <w:t>5</w:t>
            </w:r>
          </w:p>
        </w:tc>
        <w:tc>
          <w:tcPr>
            <w:tcW w:w="780" w:type="dxa"/>
            <w:vAlign w:val="bottom"/>
            <w:tcBorders>
              <w:bottom w:val="single" w:sz="8" w:color="D9D9D9"/>
            </w:tcBorders>
          </w:tcPr>
          <w:p>
            <w:pPr>
              <w:jc w:val="right"/>
              <w:spacing w:after="0"/>
              <w:rPr>
                <w:sz w:val="20"/>
                <w:szCs w:val="20"/>
                <w:color w:val="auto"/>
              </w:rPr>
            </w:pPr>
            <w:r>
              <w:rPr>
                <w:rFonts w:ascii="Arial" w:cs="Arial" w:eastAsia="Arial" w:hAnsi="Arial"/>
                <w:sz w:val="12"/>
                <w:szCs w:val="12"/>
                <w:color w:val="auto"/>
              </w:rPr>
              <w:t>400,408</w:t>
            </w:r>
          </w:p>
        </w:tc>
        <w:tc>
          <w:tcPr>
            <w:tcW w:w="0" w:type="dxa"/>
            <w:vAlign w:val="bottom"/>
          </w:tcPr>
          <w:p>
            <w:pPr>
              <w:spacing w:after="0"/>
              <w:rPr>
                <w:sz w:val="1"/>
                <w:szCs w:val="1"/>
                <w:color w:val="auto"/>
              </w:rPr>
            </w:pPr>
          </w:p>
        </w:tc>
      </w:tr>
      <w:tr>
        <w:trPr>
          <w:trHeight w:val="109"/>
        </w:trPr>
        <w:tc>
          <w:tcPr>
            <w:tcW w:w="1540" w:type="dxa"/>
            <w:vAlign w:val="bottom"/>
          </w:tcPr>
          <w:p>
            <w:pPr>
              <w:spacing w:after="0" w:line="110" w:lineRule="exact"/>
              <w:rPr>
                <w:sz w:val="20"/>
                <w:szCs w:val="20"/>
                <w:color w:val="auto"/>
              </w:rPr>
            </w:pPr>
            <w:r>
              <w:rPr>
                <w:rFonts w:ascii="Arial" w:cs="Arial" w:eastAsia="Arial" w:hAnsi="Arial"/>
                <w:sz w:val="12"/>
                <w:szCs w:val="12"/>
                <w:color w:val="auto"/>
              </w:rPr>
              <w:t>Lynn Watkins-Asiyanbi</w:t>
            </w:r>
          </w:p>
        </w:tc>
        <w:tc>
          <w:tcPr>
            <w:tcW w:w="1140" w:type="dxa"/>
            <w:vAlign w:val="bottom"/>
          </w:tcPr>
          <w:p>
            <w:pPr>
              <w:jc w:val="center"/>
              <w:ind w:left="102"/>
              <w:spacing w:after="0" w:line="110" w:lineRule="exact"/>
              <w:rPr>
                <w:sz w:val="20"/>
                <w:szCs w:val="20"/>
                <w:color w:val="auto"/>
              </w:rPr>
            </w:pPr>
            <w:r>
              <w:rPr>
                <w:rFonts w:ascii="Arial" w:cs="Arial" w:eastAsia="Arial" w:hAnsi="Arial"/>
                <w:sz w:val="12"/>
                <w:szCs w:val="12"/>
                <w:color w:val="auto"/>
                <w:w w:val="98"/>
              </w:rPr>
              <w:t>09/29/23</w:t>
            </w:r>
          </w:p>
        </w:tc>
        <w:tc>
          <w:tcPr>
            <w:tcW w:w="90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10"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10"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10"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10"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10" w:lineRule="exact"/>
              <w:rPr>
                <w:sz w:val="20"/>
                <w:szCs w:val="20"/>
                <w:color w:val="auto"/>
              </w:rPr>
            </w:pPr>
            <w:r>
              <w:rPr>
                <w:rFonts w:ascii="Arial" w:cs="Arial" w:eastAsia="Arial" w:hAnsi="Arial"/>
                <w:sz w:val="12"/>
                <w:szCs w:val="12"/>
                <w:color w:val="auto"/>
              </w:rPr>
              <w:t>41,341</w:t>
            </w:r>
          </w:p>
        </w:tc>
        <w:tc>
          <w:tcPr>
            <w:tcW w:w="160" w:type="dxa"/>
            <w:vAlign w:val="bottom"/>
          </w:tcPr>
          <w:p>
            <w:pPr>
              <w:spacing w:after="0"/>
              <w:rPr>
                <w:sz w:val="9"/>
                <w:szCs w:val="9"/>
                <w:color w:val="auto"/>
              </w:rPr>
            </w:pPr>
          </w:p>
        </w:tc>
        <w:tc>
          <w:tcPr>
            <w:tcW w:w="780" w:type="dxa"/>
            <w:vAlign w:val="bottom"/>
          </w:tcPr>
          <w:p>
            <w:pPr>
              <w:jc w:val="right"/>
              <w:spacing w:after="0" w:line="110" w:lineRule="exact"/>
              <w:rPr>
                <w:sz w:val="20"/>
                <w:szCs w:val="20"/>
                <w:color w:val="auto"/>
              </w:rPr>
            </w:pPr>
            <w:r>
              <w:rPr>
                <w:rFonts w:ascii="Arial" w:cs="Arial" w:eastAsia="Arial" w:hAnsi="Arial"/>
                <w:sz w:val="12"/>
                <w:szCs w:val="12"/>
                <w:color w:val="auto"/>
              </w:rPr>
              <w:t>838,395</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03/31/23</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9,382</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190,267</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03/31/23</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10,946</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221,985</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08/15/22</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5,553</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112,615</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5"/>
        </w:trPr>
        <w:tc>
          <w:tcPr>
            <w:tcW w:w="1540" w:type="dxa"/>
            <w:vAlign w:val="bottom"/>
          </w:tcPr>
          <w:p>
            <w:pPr>
              <w:spacing w:after="0"/>
              <w:rPr>
                <w:sz w:val="10"/>
                <w:szCs w:val="10"/>
                <w:color w:val="auto"/>
              </w:rPr>
            </w:pPr>
          </w:p>
        </w:tc>
        <w:tc>
          <w:tcPr>
            <w:tcW w:w="1140" w:type="dxa"/>
            <w:vAlign w:val="bottom"/>
          </w:tcPr>
          <w:p>
            <w:pPr>
              <w:jc w:val="center"/>
              <w:ind w:left="102"/>
              <w:spacing w:after="0" w:line="125" w:lineRule="exact"/>
              <w:rPr>
                <w:sz w:val="20"/>
                <w:szCs w:val="20"/>
                <w:color w:val="auto"/>
              </w:rPr>
            </w:pPr>
            <w:r>
              <w:rPr>
                <w:rFonts w:ascii="Arial" w:cs="Arial" w:eastAsia="Arial" w:hAnsi="Arial"/>
                <w:sz w:val="12"/>
                <w:szCs w:val="12"/>
                <w:color w:val="auto"/>
                <w:w w:val="98"/>
              </w:rPr>
              <w:t>06/27/22</w:t>
            </w:r>
          </w:p>
        </w:tc>
        <w:tc>
          <w:tcPr>
            <w:tcW w:w="90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262"/>
              <w:spacing w:after="0" w:line="125"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82"/>
              <w:spacing w:after="0" w:line="125"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line="125"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82"/>
              <w:spacing w:after="0" w:line="125" w:lineRule="exact"/>
              <w:rPr>
                <w:sz w:val="20"/>
                <w:szCs w:val="20"/>
                <w:color w:val="auto"/>
              </w:rPr>
            </w:pPr>
            <w:r>
              <w:rPr>
                <w:rFonts w:ascii="Arial" w:cs="Arial" w:eastAsia="Arial" w:hAnsi="Arial"/>
                <w:sz w:val="12"/>
                <w:szCs w:val="12"/>
                <w:color w:val="auto"/>
              </w:rPr>
              <w:t>15,906</w:t>
            </w:r>
          </w:p>
        </w:tc>
        <w:tc>
          <w:tcPr>
            <w:tcW w:w="900" w:type="dxa"/>
            <w:vAlign w:val="bottom"/>
          </w:tcPr>
          <w:p>
            <w:pPr>
              <w:jc w:val="right"/>
              <w:ind w:right="62"/>
              <w:spacing w:after="0" w:line="125" w:lineRule="exact"/>
              <w:rPr>
                <w:sz w:val="20"/>
                <w:szCs w:val="20"/>
                <w:color w:val="auto"/>
              </w:rPr>
            </w:pPr>
            <w:r>
              <w:rPr>
                <w:rFonts w:ascii="Arial" w:cs="Arial" w:eastAsia="Arial" w:hAnsi="Arial"/>
                <w:sz w:val="12"/>
                <w:szCs w:val="12"/>
                <w:color w:val="auto"/>
              </w:rPr>
              <w:t>322,574</w:t>
            </w:r>
          </w:p>
        </w:tc>
        <w:tc>
          <w:tcPr>
            <w:tcW w:w="8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1540" w:type="dxa"/>
            <w:vAlign w:val="bottom"/>
            <w:tcBorders>
              <w:bottom w:val="single" w:sz="8" w:color="405788"/>
            </w:tcBorders>
          </w:tcPr>
          <w:p>
            <w:pPr>
              <w:spacing w:after="0"/>
              <w:rPr>
                <w:sz w:val="12"/>
                <w:szCs w:val="12"/>
                <w:color w:val="auto"/>
              </w:rPr>
            </w:pPr>
          </w:p>
        </w:tc>
        <w:tc>
          <w:tcPr>
            <w:tcW w:w="1140" w:type="dxa"/>
            <w:vAlign w:val="bottom"/>
            <w:tcBorders>
              <w:bottom w:val="single" w:sz="8" w:color="405788"/>
            </w:tcBorders>
          </w:tcPr>
          <w:p>
            <w:pPr>
              <w:jc w:val="center"/>
              <w:ind w:left="102"/>
              <w:spacing w:after="0"/>
              <w:rPr>
                <w:sz w:val="20"/>
                <w:szCs w:val="20"/>
                <w:color w:val="auto"/>
              </w:rPr>
            </w:pPr>
            <w:r>
              <w:rPr>
                <w:rFonts w:ascii="Arial" w:cs="Arial" w:eastAsia="Arial" w:hAnsi="Arial"/>
                <w:sz w:val="12"/>
                <w:szCs w:val="12"/>
                <w:color w:val="auto"/>
                <w:w w:val="98"/>
              </w:rPr>
              <w:t>06/27/22</w:t>
            </w:r>
          </w:p>
        </w:tc>
        <w:tc>
          <w:tcPr>
            <w:tcW w:w="90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405788"/>
            </w:tcBorders>
          </w:tcPr>
          <w:p>
            <w:pPr>
              <w:jc w:val="right"/>
              <w:ind w:right="262"/>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405788"/>
            </w:tcBorders>
            <w:gridSpan w:val="2"/>
          </w:tcPr>
          <w:p>
            <w:pPr>
              <w:jc w:val="right"/>
              <w:ind w:right="180"/>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405788"/>
            </w:tcBorders>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405788"/>
            </w:tcBorders>
          </w:tcPr>
          <w:p>
            <w:pPr>
              <w:jc w:val="right"/>
              <w:spacing w:after="0"/>
              <w:rPr>
                <w:sz w:val="20"/>
                <w:szCs w:val="20"/>
                <w:color w:val="auto"/>
              </w:rPr>
            </w:pPr>
            <w:r>
              <w:rPr>
                <w:rFonts w:ascii="Arial" w:cs="Arial" w:eastAsia="Arial" w:hAnsi="Arial"/>
                <w:sz w:val="12"/>
                <w:szCs w:val="12"/>
                <w:color w:val="auto"/>
              </w:rPr>
              <w:t>9,788</w:t>
            </w:r>
          </w:p>
        </w:tc>
        <w:tc>
          <w:tcPr>
            <w:tcW w:w="160" w:type="dxa"/>
            <w:vAlign w:val="bottom"/>
            <w:tcBorders>
              <w:bottom w:val="single" w:sz="8" w:color="405788"/>
            </w:tcBorders>
          </w:tcPr>
          <w:p>
            <w:pPr>
              <w:spacing w:after="0"/>
              <w:rPr>
                <w:sz w:val="12"/>
                <w:szCs w:val="12"/>
                <w:color w:val="auto"/>
              </w:rPr>
            </w:pPr>
          </w:p>
        </w:tc>
        <w:tc>
          <w:tcPr>
            <w:tcW w:w="780" w:type="dxa"/>
            <w:vAlign w:val="bottom"/>
            <w:tcBorders>
              <w:bottom w:val="single" w:sz="8" w:color="405788"/>
            </w:tcBorders>
          </w:tcPr>
          <w:p>
            <w:pPr>
              <w:jc w:val="right"/>
              <w:spacing w:after="0"/>
              <w:rPr>
                <w:sz w:val="20"/>
                <w:szCs w:val="20"/>
                <w:color w:val="auto"/>
              </w:rPr>
            </w:pPr>
            <w:r>
              <w:rPr>
                <w:rFonts w:ascii="Arial" w:cs="Arial" w:eastAsia="Arial" w:hAnsi="Arial"/>
                <w:sz w:val="12"/>
                <w:szCs w:val="12"/>
                <w:color w:val="auto"/>
              </w:rPr>
              <w:t>198,501</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 w:hanging="299"/>
        <w:spacing w:after="0"/>
        <w:tabs>
          <w:tab w:leader="none" w:pos="3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This column shows the unvested options, which options generally vest in four equal annual on the first four anniversaries of the grant date.</w:t>
      </w:r>
    </w:p>
    <w:p>
      <w:pPr>
        <w:spacing w:after="0" w:line="102" w:lineRule="exact"/>
        <w:rPr>
          <w:rFonts w:ascii="Arial" w:cs="Arial" w:eastAsia="Arial" w:hAnsi="Arial"/>
          <w:sz w:val="15"/>
          <w:szCs w:val="15"/>
          <w:color w:val="auto"/>
        </w:rPr>
      </w:pPr>
    </w:p>
    <w:p>
      <w:pPr>
        <w:ind w:left="300" w:right="120" w:hanging="299"/>
        <w:spacing w:after="0" w:line="278" w:lineRule="auto"/>
        <w:tabs>
          <w:tab w:leader="none" w:pos="3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Except as otherwise set forth in footnote 6, this column shows the unvested RSUs, which RSUs generally vest in four equal annual installments on the first four anniversaries of the grant date.</w:t>
      </w:r>
    </w:p>
    <w:p>
      <w:pPr>
        <w:spacing w:after="0" w:line="50" w:lineRule="exact"/>
        <w:rPr>
          <w:rFonts w:ascii="Arial" w:cs="Arial" w:eastAsia="Arial" w:hAnsi="Arial"/>
          <w:sz w:val="15"/>
          <w:szCs w:val="15"/>
          <w:color w:val="auto"/>
        </w:rPr>
      </w:pPr>
    </w:p>
    <w:p>
      <w:pPr>
        <w:ind w:left="300" w:hanging="299"/>
        <w:spacing w:after="0"/>
        <w:tabs>
          <w:tab w:leader="none" w:pos="3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Represents the market value of the awards based on the closing share price of our common stock on December 29, 2023, of $20.28 per share.</w:t>
      </w:r>
    </w:p>
    <w:p>
      <w:pPr>
        <w:spacing w:after="0" w:line="102" w:lineRule="exact"/>
        <w:rPr>
          <w:rFonts w:ascii="Arial" w:cs="Arial" w:eastAsia="Arial" w:hAnsi="Arial"/>
          <w:sz w:val="15"/>
          <w:szCs w:val="15"/>
          <w:color w:val="auto"/>
        </w:rPr>
      </w:pPr>
    </w:p>
    <w:p>
      <w:pPr>
        <w:ind w:left="300" w:right="420" w:hanging="299"/>
        <w:spacing w:after="0" w:line="278" w:lineRule="auto"/>
        <w:tabs>
          <w:tab w:leader="none" w:pos="3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These PRSUs generally vest on March 15, 2025, based on the extent to which the Relative TSR goal for the performance period beginning January 1, 2022, and ending on December 31, 2024, is met.</w:t>
      </w:r>
    </w:p>
    <w:p>
      <w:pPr>
        <w:spacing w:after="0" w:line="50" w:lineRule="exact"/>
        <w:rPr>
          <w:rFonts w:ascii="Arial" w:cs="Arial" w:eastAsia="Arial" w:hAnsi="Arial"/>
          <w:sz w:val="15"/>
          <w:szCs w:val="15"/>
          <w:color w:val="auto"/>
        </w:rPr>
      </w:pPr>
    </w:p>
    <w:p>
      <w:pPr>
        <w:ind w:left="300" w:right="200" w:hanging="299"/>
        <w:spacing w:after="0" w:line="261" w:lineRule="auto"/>
        <w:tabs>
          <w:tab w:leader="none" w:pos="3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These PRSUs generally vest on March 15, 2026, based on the extent to which the Relative TSR goal for the performance period beginning on January 1, 2023, and ending on December 31, 2025, is met. See “Compensation Discussion and Analysis” above for more information about these awards.</w:t>
      </w:r>
    </w:p>
    <w:p>
      <w:pPr>
        <w:spacing w:after="0" w:line="62" w:lineRule="exact"/>
        <w:rPr>
          <w:rFonts w:ascii="Arial" w:cs="Arial" w:eastAsia="Arial" w:hAnsi="Arial"/>
          <w:sz w:val="15"/>
          <w:szCs w:val="15"/>
          <w:color w:val="auto"/>
        </w:rPr>
      </w:pPr>
    </w:p>
    <w:p>
      <w:pPr>
        <w:ind w:left="300" w:right="160" w:hanging="299"/>
        <w:spacing w:after="0" w:line="278" w:lineRule="auto"/>
        <w:tabs>
          <w:tab w:leader="none" w:pos="3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Represents the number of PRSUs that were earned based on the achievement of performance goals as of December 31, 2023, but that do not vest until March 15, 2024.</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2023 Option Exercises and Stock Vested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320" w:type="dxa"/>
            <w:vAlign w:val="bottom"/>
          </w:tcPr>
          <w:p>
            <w:pPr>
              <w:spacing w:after="0"/>
              <w:rPr>
                <w:sz w:val="14"/>
                <w:szCs w:val="14"/>
                <w:color w:val="auto"/>
              </w:rPr>
            </w:pPr>
          </w:p>
        </w:tc>
        <w:tc>
          <w:tcPr>
            <w:tcW w:w="2860" w:type="dxa"/>
            <w:vAlign w:val="bottom"/>
            <w:gridSpan w:val="3"/>
          </w:tcPr>
          <w:p>
            <w:pPr>
              <w:ind w:left="880"/>
              <w:spacing w:after="0"/>
              <w:rPr>
                <w:sz w:val="20"/>
                <w:szCs w:val="20"/>
                <w:color w:val="auto"/>
              </w:rPr>
            </w:pPr>
            <w:r>
              <w:rPr>
                <w:rFonts w:ascii="Arial" w:cs="Arial" w:eastAsia="Arial" w:hAnsi="Arial"/>
                <w:sz w:val="13"/>
                <w:szCs w:val="13"/>
                <w:b w:val="1"/>
                <w:bCs w:val="1"/>
                <w:color w:val="auto"/>
              </w:rPr>
              <w:t>Option Awards</w:t>
            </w:r>
          </w:p>
        </w:tc>
        <w:tc>
          <w:tcPr>
            <w:tcW w:w="2740" w:type="dxa"/>
            <w:vAlign w:val="bottom"/>
            <w:gridSpan w:val="2"/>
          </w:tcPr>
          <w:p>
            <w:pPr>
              <w:jc w:val="right"/>
              <w:ind w:right="883"/>
              <w:spacing w:after="0"/>
              <w:rPr>
                <w:sz w:val="20"/>
                <w:szCs w:val="20"/>
                <w:color w:val="auto"/>
              </w:rPr>
            </w:pPr>
            <w:r>
              <w:rPr>
                <w:rFonts w:ascii="Arial" w:cs="Arial" w:eastAsia="Arial" w:hAnsi="Arial"/>
                <w:sz w:val="13"/>
                <w:szCs w:val="13"/>
                <w:b w:val="1"/>
                <w:bCs w:val="1"/>
                <w:color w:val="auto"/>
              </w:rPr>
              <w:t>Stock Awards</w:t>
            </w:r>
          </w:p>
        </w:tc>
      </w:tr>
      <w:tr>
        <w:trPr>
          <w:trHeight w:val="142"/>
        </w:trPr>
        <w:tc>
          <w:tcPr>
            <w:tcW w:w="4320" w:type="dxa"/>
            <w:vAlign w:val="bottom"/>
          </w:tcPr>
          <w:p>
            <w:pPr>
              <w:spacing w:after="0"/>
              <w:rPr>
                <w:sz w:val="12"/>
                <w:szCs w:val="12"/>
                <w:color w:val="auto"/>
              </w:rPr>
            </w:pPr>
          </w:p>
        </w:tc>
        <w:tc>
          <w:tcPr>
            <w:tcW w:w="1540" w:type="dxa"/>
            <w:vAlign w:val="bottom"/>
            <w:tcBorders>
              <w:top w:val="single" w:sz="8" w:color="405788"/>
            </w:tcBorders>
          </w:tcPr>
          <w:p>
            <w:pPr>
              <w:jc w:val="right"/>
              <w:ind w:right="86"/>
              <w:spacing w:after="0" w:line="143" w:lineRule="exact"/>
              <w:rPr>
                <w:sz w:val="20"/>
                <w:szCs w:val="20"/>
                <w:color w:val="auto"/>
              </w:rPr>
            </w:pPr>
            <w:r>
              <w:rPr>
                <w:rFonts w:ascii="Arial" w:cs="Arial" w:eastAsia="Arial" w:hAnsi="Arial"/>
                <w:sz w:val="13"/>
                <w:szCs w:val="13"/>
                <w:b w:val="1"/>
                <w:bCs w:val="1"/>
                <w:color w:val="auto"/>
              </w:rPr>
              <w:t>Number of</w:t>
            </w:r>
          </w:p>
        </w:tc>
        <w:tc>
          <w:tcPr>
            <w:tcW w:w="1160" w:type="dxa"/>
            <w:vAlign w:val="bottom"/>
            <w:tcBorders>
              <w:top w:val="single" w:sz="8" w:color="405788"/>
            </w:tcBorders>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Borders>
              <w:top w:val="single" w:sz="8" w:color="405788"/>
            </w:tcBorders>
          </w:tcPr>
          <w:p>
            <w:pPr>
              <w:jc w:val="right"/>
              <w:ind w:right="86"/>
              <w:spacing w:after="0" w:line="143" w:lineRule="exact"/>
              <w:rPr>
                <w:sz w:val="20"/>
                <w:szCs w:val="20"/>
                <w:color w:val="auto"/>
              </w:rPr>
            </w:pPr>
            <w:r>
              <w:rPr>
                <w:rFonts w:ascii="Arial" w:cs="Arial" w:eastAsia="Arial" w:hAnsi="Arial"/>
                <w:sz w:val="13"/>
                <w:szCs w:val="13"/>
                <w:b w:val="1"/>
                <w:bCs w:val="1"/>
                <w:color w:val="auto"/>
              </w:rPr>
              <w:t>Number of</w:t>
            </w:r>
          </w:p>
        </w:tc>
        <w:tc>
          <w:tcPr>
            <w:tcW w:w="1180" w:type="dxa"/>
            <w:vAlign w:val="bottom"/>
            <w:tcBorders>
              <w:top w:val="single" w:sz="8" w:color="405788"/>
            </w:tcBorders>
          </w:tcPr>
          <w:p>
            <w:pPr>
              <w:spacing w:after="0"/>
              <w:rPr>
                <w:sz w:val="12"/>
                <w:szCs w:val="12"/>
                <w:color w:val="auto"/>
              </w:rPr>
            </w:pPr>
          </w:p>
        </w:tc>
      </w:tr>
      <w:tr>
        <w:trPr>
          <w:trHeight w:val="133"/>
        </w:trPr>
        <w:tc>
          <w:tcPr>
            <w:tcW w:w="4320" w:type="dxa"/>
            <w:vAlign w:val="bottom"/>
          </w:tcPr>
          <w:p>
            <w:pPr>
              <w:spacing w:after="0"/>
              <w:rPr>
                <w:sz w:val="11"/>
                <w:szCs w:val="11"/>
                <w:color w:val="auto"/>
              </w:rPr>
            </w:pPr>
          </w:p>
        </w:tc>
        <w:tc>
          <w:tcPr>
            <w:tcW w:w="1540" w:type="dxa"/>
            <w:vAlign w:val="bottom"/>
          </w:tcPr>
          <w:p>
            <w:pPr>
              <w:jc w:val="right"/>
              <w:ind w:right="86"/>
              <w:spacing w:after="0" w:line="133" w:lineRule="exact"/>
              <w:rPr>
                <w:sz w:val="20"/>
                <w:szCs w:val="20"/>
                <w:color w:val="auto"/>
              </w:rPr>
            </w:pPr>
            <w:r>
              <w:rPr>
                <w:rFonts w:ascii="Arial" w:cs="Arial" w:eastAsia="Arial" w:hAnsi="Arial"/>
                <w:sz w:val="13"/>
                <w:szCs w:val="13"/>
                <w:b w:val="1"/>
                <w:bCs w:val="1"/>
                <w:color w:val="auto"/>
              </w:rPr>
              <w:t>Shares Acquired on</w:t>
            </w:r>
          </w:p>
        </w:tc>
        <w:tc>
          <w:tcPr>
            <w:tcW w:w="1320" w:type="dxa"/>
            <w:vAlign w:val="bottom"/>
            <w:gridSpan w:val="2"/>
          </w:tcPr>
          <w:p>
            <w:pPr>
              <w:jc w:val="right"/>
              <w:ind w:right="220"/>
              <w:spacing w:after="0" w:line="133" w:lineRule="exact"/>
              <w:rPr>
                <w:sz w:val="20"/>
                <w:szCs w:val="20"/>
                <w:color w:val="auto"/>
              </w:rPr>
            </w:pPr>
            <w:r>
              <w:rPr>
                <w:rFonts w:ascii="Arial" w:cs="Arial" w:eastAsia="Arial" w:hAnsi="Arial"/>
                <w:sz w:val="13"/>
                <w:szCs w:val="13"/>
                <w:b w:val="1"/>
                <w:bCs w:val="1"/>
                <w:color w:val="auto"/>
              </w:rPr>
              <w:t>Value Realized</w:t>
            </w:r>
          </w:p>
        </w:tc>
        <w:tc>
          <w:tcPr>
            <w:tcW w:w="1560" w:type="dxa"/>
            <w:vAlign w:val="bottom"/>
          </w:tcPr>
          <w:p>
            <w:pPr>
              <w:jc w:val="right"/>
              <w:ind w:right="86"/>
              <w:spacing w:after="0" w:line="133" w:lineRule="exact"/>
              <w:rPr>
                <w:sz w:val="20"/>
                <w:szCs w:val="20"/>
                <w:color w:val="auto"/>
              </w:rPr>
            </w:pPr>
            <w:r>
              <w:rPr>
                <w:rFonts w:ascii="Arial" w:cs="Arial" w:eastAsia="Arial" w:hAnsi="Arial"/>
                <w:sz w:val="13"/>
                <w:szCs w:val="13"/>
                <w:b w:val="1"/>
                <w:bCs w:val="1"/>
                <w:color w:val="auto"/>
              </w:rPr>
              <w:t>Shares Acquired on</w:t>
            </w:r>
          </w:p>
        </w:tc>
        <w:tc>
          <w:tcPr>
            <w:tcW w:w="1180" w:type="dxa"/>
            <w:vAlign w:val="bottom"/>
          </w:tcPr>
          <w:p>
            <w:pPr>
              <w:jc w:val="right"/>
              <w:ind w:right="23"/>
              <w:spacing w:after="0" w:line="133" w:lineRule="exact"/>
              <w:rPr>
                <w:sz w:val="20"/>
                <w:szCs w:val="20"/>
                <w:color w:val="auto"/>
              </w:rPr>
            </w:pPr>
            <w:r>
              <w:rPr>
                <w:rFonts w:ascii="Arial" w:cs="Arial" w:eastAsia="Arial" w:hAnsi="Arial"/>
                <w:sz w:val="13"/>
                <w:szCs w:val="13"/>
                <w:b w:val="1"/>
                <w:bCs w:val="1"/>
                <w:color w:val="auto"/>
              </w:rPr>
              <w:t>Value Realized</w:t>
            </w:r>
          </w:p>
        </w:tc>
      </w:tr>
      <w:tr>
        <w:trPr>
          <w:trHeight w:val="180"/>
        </w:trPr>
        <w:tc>
          <w:tcPr>
            <w:tcW w:w="4320" w:type="dxa"/>
            <w:vAlign w:val="bottom"/>
            <w:tcBorders>
              <w:bottom w:val="single" w:sz="8" w:color="405788"/>
            </w:tcBorders>
          </w:tcPr>
          <w:p>
            <w:pPr>
              <w:ind w:left="1900"/>
              <w:spacing w:after="0"/>
              <w:rPr>
                <w:sz w:val="20"/>
                <w:szCs w:val="20"/>
                <w:color w:val="auto"/>
              </w:rPr>
            </w:pPr>
            <w:r>
              <w:rPr>
                <w:rFonts w:ascii="Arial" w:cs="Arial" w:eastAsia="Arial" w:hAnsi="Arial"/>
                <w:sz w:val="13"/>
                <w:szCs w:val="13"/>
                <w:b w:val="1"/>
                <w:bCs w:val="1"/>
                <w:color w:val="auto"/>
              </w:rPr>
              <w:t>Name</w:t>
            </w:r>
          </w:p>
        </w:tc>
        <w:tc>
          <w:tcPr>
            <w:tcW w:w="1540" w:type="dxa"/>
            <w:vAlign w:val="bottom"/>
            <w:tcBorders>
              <w:bottom w:val="single" w:sz="8" w:color="405788"/>
            </w:tcBorders>
          </w:tcPr>
          <w:p>
            <w:pPr>
              <w:jc w:val="right"/>
              <w:ind w:right="86"/>
              <w:spacing w:after="0"/>
              <w:rPr>
                <w:sz w:val="20"/>
                <w:szCs w:val="20"/>
                <w:color w:val="auto"/>
              </w:rPr>
            </w:pPr>
            <w:r>
              <w:rPr>
                <w:rFonts w:ascii="Arial" w:cs="Arial" w:eastAsia="Arial" w:hAnsi="Arial"/>
                <w:sz w:val="13"/>
                <w:szCs w:val="13"/>
                <w:b w:val="1"/>
                <w:bCs w:val="1"/>
                <w:color w:val="auto"/>
              </w:rPr>
              <w:t>Exercise (#)</w:t>
            </w:r>
          </w:p>
        </w:tc>
        <w:tc>
          <w:tcPr>
            <w:tcW w:w="1320" w:type="dxa"/>
            <w:vAlign w:val="bottom"/>
            <w:tcBorders>
              <w:bottom w:val="single" w:sz="8" w:color="405788"/>
            </w:tcBorders>
            <w:gridSpan w:val="2"/>
          </w:tcPr>
          <w:p>
            <w:pPr>
              <w:jc w:val="right"/>
              <w:ind w:right="220"/>
              <w:spacing w:after="0"/>
              <w:rPr>
                <w:sz w:val="20"/>
                <w:szCs w:val="20"/>
                <w:color w:val="auto"/>
              </w:rPr>
            </w:pPr>
            <w:r>
              <w:rPr>
                <w:rFonts w:ascii="Arial" w:cs="Arial" w:eastAsia="Arial" w:hAnsi="Arial"/>
                <w:sz w:val="13"/>
                <w:szCs w:val="13"/>
                <w:b w:val="1"/>
                <w:bCs w:val="1"/>
                <w:color w:val="auto"/>
              </w:rPr>
              <w:t>on Exercise ($)</w:t>
            </w:r>
          </w:p>
        </w:tc>
        <w:tc>
          <w:tcPr>
            <w:tcW w:w="1560" w:type="dxa"/>
            <w:vAlign w:val="bottom"/>
            <w:tcBorders>
              <w:bottom w:val="single" w:sz="8" w:color="405788"/>
            </w:tcBorders>
          </w:tcPr>
          <w:p>
            <w:pPr>
              <w:jc w:val="right"/>
              <w:ind w:right="86"/>
              <w:spacing w:after="0"/>
              <w:rPr>
                <w:sz w:val="20"/>
                <w:szCs w:val="20"/>
                <w:color w:val="auto"/>
              </w:rPr>
            </w:pPr>
            <w:r>
              <w:rPr>
                <w:rFonts w:ascii="Arial" w:cs="Arial" w:eastAsia="Arial" w:hAnsi="Arial"/>
                <w:sz w:val="13"/>
                <w:szCs w:val="13"/>
                <w:b w:val="1"/>
                <w:bCs w:val="1"/>
                <w:color w:val="auto"/>
              </w:rPr>
              <w:t>Vesting (#)</w:t>
            </w:r>
          </w:p>
        </w:tc>
        <w:tc>
          <w:tcPr>
            <w:tcW w:w="1180" w:type="dxa"/>
            <w:vAlign w:val="bottom"/>
            <w:tcBorders>
              <w:bottom w:val="single" w:sz="8" w:color="405788"/>
            </w:tcBorders>
          </w:tcPr>
          <w:p>
            <w:pPr>
              <w:jc w:val="right"/>
              <w:spacing w:after="0" w:line="175" w:lineRule="exact"/>
              <w:rPr>
                <w:sz w:val="20"/>
                <w:szCs w:val="20"/>
                <w:color w:val="auto"/>
              </w:rPr>
            </w:pPr>
            <w:r>
              <w:rPr>
                <w:rFonts w:ascii="Arial" w:cs="Arial" w:eastAsia="Arial" w:hAnsi="Arial"/>
                <w:sz w:val="13"/>
                <w:szCs w:val="13"/>
                <w:b w:val="1"/>
                <w:bCs w:val="1"/>
                <w:color w:val="auto"/>
              </w:rPr>
              <w:t xml:space="preserve">on Vesting ($) </w:t>
            </w:r>
            <w:r>
              <w:rPr>
                <w:rFonts w:ascii="Arial" w:cs="Arial" w:eastAsia="Arial" w:hAnsi="Arial"/>
                <w:sz w:val="19"/>
                <w:szCs w:val="19"/>
                <w:b w:val="1"/>
                <w:bCs w:val="1"/>
                <w:color w:val="auto"/>
                <w:vertAlign w:val="superscript"/>
              </w:rPr>
              <w:t>1</w:t>
            </w:r>
          </w:p>
        </w:tc>
      </w:tr>
      <w:tr>
        <w:trPr>
          <w:trHeight w:val="192"/>
        </w:trPr>
        <w:tc>
          <w:tcPr>
            <w:tcW w:w="432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1540" w:type="dxa"/>
            <w:vAlign w:val="bottom"/>
            <w:tcBorders>
              <w:bottom w:val="single" w:sz="8" w:color="D9D9D9"/>
            </w:tcBorders>
          </w:tcPr>
          <w:p>
            <w:pPr>
              <w:jc w:val="right"/>
              <w:ind w:right="86"/>
              <w:spacing w:after="0" w:line="188"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D9D9D9"/>
            </w:tcBorders>
            <w:gridSpan w:val="2"/>
          </w:tcPr>
          <w:p>
            <w:pPr>
              <w:jc w:val="right"/>
              <w:ind w:right="220"/>
              <w:spacing w:after="0" w:line="188" w:lineRule="exact"/>
              <w:rPr>
                <w:sz w:val="20"/>
                <w:szCs w:val="20"/>
                <w:color w:val="auto"/>
              </w:rPr>
            </w:pPr>
            <w:r>
              <w:rPr>
                <w:rFonts w:ascii="Arial" w:cs="Arial" w:eastAsia="Arial" w:hAnsi="Arial"/>
                <w:sz w:val="17"/>
                <w:szCs w:val="17"/>
                <w:color w:val="auto"/>
              </w:rPr>
              <w:t>—</w:t>
            </w:r>
          </w:p>
        </w:tc>
        <w:tc>
          <w:tcPr>
            <w:tcW w:w="1560" w:type="dxa"/>
            <w:vAlign w:val="bottom"/>
            <w:tcBorders>
              <w:bottom w:val="single" w:sz="8" w:color="D9D9D9"/>
            </w:tcBorders>
          </w:tcPr>
          <w:p>
            <w:pPr>
              <w:jc w:val="right"/>
              <w:ind w:right="86"/>
              <w:spacing w:after="0" w:line="188" w:lineRule="exact"/>
              <w:rPr>
                <w:sz w:val="20"/>
                <w:szCs w:val="20"/>
                <w:color w:val="auto"/>
              </w:rPr>
            </w:pPr>
            <w:r>
              <w:rPr>
                <w:rFonts w:ascii="Arial" w:cs="Arial" w:eastAsia="Arial" w:hAnsi="Arial"/>
                <w:sz w:val="17"/>
                <w:szCs w:val="17"/>
                <w:color w:val="auto"/>
              </w:rPr>
              <w:t>47,255</w:t>
            </w:r>
          </w:p>
        </w:tc>
        <w:tc>
          <w:tcPr>
            <w:tcW w:w="1180" w:type="dxa"/>
            <w:vAlign w:val="bottom"/>
            <w:tcBorders>
              <w:bottom w:val="single" w:sz="8" w:color="D9D9D9"/>
            </w:tcBorders>
          </w:tcPr>
          <w:p>
            <w:pPr>
              <w:jc w:val="right"/>
              <w:ind w:right="23"/>
              <w:spacing w:after="0" w:line="188" w:lineRule="exact"/>
              <w:rPr>
                <w:sz w:val="20"/>
                <w:szCs w:val="20"/>
                <w:color w:val="auto"/>
              </w:rPr>
            </w:pPr>
            <w:r>
              <w:rPr>
                <w:rFonts w:ascii="Arial" w:cs="Arial" w:eastAsia="Arial" w:hAnsi="Arial"/>
                <w:sz w:val="17"/>
                <w:szCs w:val="17"/>
                <w:color w:val="auto"/>
              </w:rPr>
              <w:t>648,218</w:t>
            </w:r>
          </w:p>
        </w:tc>
      </w:tr>
      <w:tr>
        <w:trPr>
          <w:trHeight w:val="192"/>
        </w:trPr>
        <w:tc>
          <w:tcPr>
            <w:tcW w:w="432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1540" w:type="dxa"/>
            <w:vAlign w:val="bottom"/>
            <w:tcBorders>
              <w:bottom w:val="single" w:sz="8" w:color="D9D9D9"/>
            </w:tcBorders>
          </w:tcPr>
          <w:p>
            <w:pPr>
              <w:jc w:val="right"/>
              <w:ind w:right="86"/>
              <w:spacing w:after="0" w:line="188"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D9D9D9"/>
            </w:tcBorders>
            <w:gridSpan w:val="2"/>
          </w:tcPr>
          <w:p>
            <w:pPr>
              <w:jc w:val="right"/>
              <w:ind w:right="220"/>
              <w:spacing w:after="0" w:line="188" w:lineRule="exact"/>
              <w:rPr>
                <w:sz w:val="20"/>
                <w:szCs w:val="20"/>
                <w:color w:val="auto"/>
              </w:rPr>
            </w:pPr>
            <w:r>
              <w:rPr>
                <w:rFonts w:ascii="Arial" w:cs="Arial" w:eastAsia="Arial" w:hAnsi="Arial"/>
                <w:sz w:val="17"/>
                <w:szCs w:val="17"/>
                <w:color w:val="auto"/>
              </w:rPr>
              <w:t>—</w:t>
            </w:r>
          </w:p>
        </w:tc>
        <w:tc>
          <w:tcPr>
            <w:tcW w:w="1560" w:type="dxa"/>
            <w:vAlign w:val="bottom"/>
            <w:tcBorders>
              <w:bottom w:val="single" w:sz="8" w:color="D9D9D9"/>
            </w:tcBorders>
          </w:tcPr>
          <w:p>
            <w:pPr>
              <w:jc w:val="right"/>
              <w:ind w:right="86"/>
              <w:spacing w:after="0" w:line="188" w:lineRule="exact"/>
              <w:rPr>
                <w:sz w:val="20"/>
                <w:szCs w:val="20"/>
                <w:color w:val="auto"/>
              </w:rPr>
            </w:pPr>
            <w:r>
              <w:rPr>
                <w:rFonts w:ascii="Arial" w:cs="Arial" w:eastAsia="Arial" w:hAnsi="Arial"/>
                <w:sz w:val="17"/>
                <w:szCs w:val="17"/>
                <w:color w:val="auto"/>
              </w:rPr>
              <w:t>7,404</w:t>
            </w:r>
          </w:p>
        </w:tc>
        <w:tc>
          <w:tcPr>
            <w:tcW w:w="1180" w:type="dxa"/>
            <w:vAlign w:val="bottom"/>
            <w:tcBorders>
              <w:bottom w:val="single" w:sz="8" w:color="D9D9D9"/>
            </w:tcBorders>
          </w:tcPr>
          <w:p>
            <w:pPr>
              <w:jc w:val="right"/>
              <w:ind w:right="23"/>
              <w:spacing w:after="0" w:line="188" w:lineRule="exact"/>
              <w:rPr>
                <w:sz w:val="20"/>
                <w:szCs w:val="20"/>
                <w:color w:val="auto"/>
              </w:rPr>
            </w:pPr>
            <w:r>
              <w:rPr>
                <w:rFonts w:ascii="Arial" w:cs="Arial" w:eastAsia="Arial" w:hAnsi="Arial"/>
                <w:sz w:val="17"/>
                <w:szCs w:val="17"/>
                <w:color w:val="auto"/>
              </w:rPr>
              <w:t>98,325</w:t>
            </w:r>
          </w:p>
        </w:tc>
      </w:tr>
      <w:tr>
        <w:trPr>
          <w:trHeight w:val="187"/>
        </w:trPr>
        <w:tc>
          <w:tcPr>
            <w:tcW w:w="432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1540" w:type="dxa"/>
            <w:vAlign w:val="bottom"/>
            <w:tcBorders>
              <w:bottom w:val="single" w:sz="8" w:color="405788"/>
            </w:tcBorders>
          </w:tcPr>
          <w:p>
            <w:pPr>
              <w:jc w:val="right"/>
              <w:ind w:right="86"/>
              <w:spacing w:after="0" w:line="188"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405788"/>
            </w:tcBorders>
            <w:gridSpan w:val="2"/>
          </w:tcPr>
          <w:p>
            <w:pPr>
              <w:jc w:val="right"/>
              <w:ind w:right="220"/>
              <w:spacing w:after="0" w:line="188" w:lineRule="exact"/>
              <w:rPr>
                <w:sz w:val="20"/>
                <w:szCs w:val="20"/>
                <w:color w:val="auto"/>
              </w:rPr>
            </w:pPr>
            <w:r>
              <w:rPr>
                <w:rFonts w:ascii="Arial" w:cs="Arial" w:eastAsia="Arial" w:hAnsi="Arial"/>
                <w:sz w:val="17"/>
                <w:szCs w:val="17"/>
                <w:color w:val="auto"/>
              </w:rPr>
              <w:t>—</w:t>
            </w:r>
          </w:p>
        </w:tc>
        <w:tc>
          <w:tcPr>
            <w:tcW w:w="1560" w:type="dxa"/>
            <w:vAlign w:val="bottom"/>
            <w:tcBorders>
              <w:bottom w:val="single" w:sz="8" w:color="405788"/>
            </w:tcBorders>
          </w:tcPr>
          <w:p>
            <w:pPr>
              <w:jc w:val="right"/>
              <w:ind w:right="86"/>
              <w:spacing w:after="0" w:line="188" w:lineRule="exact"/>
              <w:rPr>
                <w:sz w:val="20"/>
                <w:szCs w:val="20"/>
                <w:color w:val="auto"/>
              </w:rPr>
            </w:pPr>
            <w:r>
              <w:rPr>
                <w:rFonts w:ascii="Arial" w:cs="Arial" w:eastAsia="Arial" w:hAnsi="Arial"/>
                <w:sz w:val="17"/>
                <w:szCs w:val="17"/>
                <w:color w:val="auto"/>
              </w:rPr>
              <w:t>7,153</w:t>
            </w:r>
          </w:p>
        </w:tc>
        <w:tc>
          <w:tcPr>
            <w:tcW w:w="1180" w:type="dxa"/>
            <w:vAlign w:val="bottom"/>
            <w:tcBorders>
              <w:bottom w:val="single" w:sz="8" w:color="405788"/>
            </w:tcBorders>
          </w:tcPr>
          <w:p>
            <w:pPr>
              <w:jc w:val="right"/>
              <w:ind w:right="23"/>
              <w:spacing w:after="0" w:line="188" w:lineRule="exact"/>
              <w:rPr>
                <w:sz w:val="20"/>
                <w:szCs w:val="20"/>
                <w:color w:val="auto"/>
              </w:rPr>
            </w:pPr>
            <w:r>
              <w:rPr>
                <w:rFonts w:ascii="Arial" w:cs="Arial" w:eastAsia="Arial" w:hAnsi="Arial"/>
                <w:sz w:val="17"/>
                <w:szCs w:val="17"/>
                <w:color w:val="auto"/>
              </w:rPr>
              <w:t>92,129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198120</wp:posOffset>
            </wp:positionV>
            <wp:extent cx="483870" cy="2222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338"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4" w:lineRule="exact"/>
        <w:rPr>
          <w:sz w:val="20"/>
          <w:szCs w:val="20"/>
          <w:color w:val="auto"/>
        </w:rPr>
      </w:pPr>
    </w:p>
    <w:p>
      <w:pPr>
        <w:ind w:left="300" w:right="340" w:hanging="299"/>
        <w:spacing w:after="0" w:line="278" w:lineRule="auto"/>
        <w:tabs>
          <w:tab w:leader="none" w:pos="300" w:val="left"/>
        </w:tabs>
        <w:numPr>
          <w:ilvl w:val="0"/>
          <w:numId w:val="60"/>
        </w:numPr>
        <w:rPr>
          <w:rFonts w:ascii="Arial" w:cs="Arial" w:eastAsia="Arial" w:hAnsi="Arial"/>
          <w:sz w:val="15"/>
          <w:szCs w:val="15"/>
          <w:color w:val="auto"/>
        </w:rPr>
      </w:pPr>
      <w:r>
        <w:rPr>
          <w:rFonts w:ascii="Arial" w:cs="Arial" w:eastAsia="Arial" w:hAnsi="Arial"/>
          <w:sz w:val="15"/>
          <w:szCs w:val="15"/>
          <w:color w:val="auto"/>
        </w:rPr>
        <w:t>Amounts reflect the number of shares acquired on vesting valued at the closing price of our common stock on the business day immediately preceding the date of vesting.</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Potential Payments Upon Termination or Change in Control</w:t>
      </w:r>
    </w:p>
    <w:p>
      <w:pPr>
        <w:spacing w:after="0" w:line="92"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Our named executive officers are entitled to certain payments upon voluntary or involuntary termination, retirement, death or disability or change in control, including under the CIC Severance Plan described above under the heading “</w:t>
      </w:r>
      <w:r>
        <w:rPr>
          <w:rFonts w:ascii="Arial" w:cs="Arial" w:eastAsia="Arial" w:hAnsi="Arial"/>
          <w:sz w:val="17"/>
          <w:szCs w:val="17"/>
          <w:i w:val="1"/>
          <w:iCs w:val="1"/>
          <w:color w:val="auto"/>
        </w:rPr>
        <w:t>Severance Benefits – Change in</w:t>
      </w:r>
      <w:r>
        <w:rPr>
          <w:rFonts w:ascii="Arial" w:cs="Arial" w:eastAsia="Arial" w:hAnsi="Arial"/>
          <w:sz w:val="17"/>
          <w:szCs w:val="17"/>
          <w:color w:val="auto"/>
        </w:rPr>
        <w:t xml:space="preserve"> </w:t>
      </w:r>
      <w:r>
        <w:rPr>
          <w:rFonts w:ascii="Arial" w:cs="Arial" w:eastAsia="Arial" w:hAnsi="Arial"/>
          <w:sz w:val="17"/>
          <w:szCs w:val="17"/>
          <w:i w:val="1"/>
          <w:iCs w:val="1"/>
          <w:color w:val="auto"/>
        </w:rPr>
        <w:t>Control Severance Plan</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terms of our equity awards. The NEOs are also eligible for participation in our general disability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life insurance plans on the same terms as our other salaried employees plus, as noted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we provide the NEOs with additional term life insurance, which would provide for benefits upon the NEO’s disability or death, as applicable.</w:t>
      </w:r>
    </w:p>
    <w:p>
      <w:pPr>
        <w:spacing w:after="0" w:line="71" w:lineRule="exact"/>
        <w:rPr>
          <w:sz w:val="20"/>
          <w:szCs w:val="20"/>
          <w:color w:val="auto"/>
        </w:rPr>
      </w:pPr>
    </w:p>
    <w:p>
      <w:pPr>
        <w:ind w:right="280"/>
        <w:spacing w:after="0" w:line="237" w:lineRule="auto"/>
        <w:rPr>
          <w:sz w:val="20"/>
          <w:szCs w:val="20"/>
          <w:color w:val="auto"/>
        </w:rPr>
      </w:pPr>
      <w:r>
        <w:rPr>
          <w:rFonts w:ascii="Arial" w:cs="Arial" w:eastAsia="Arial" w:hAnsi="Arial"/>
          <w:sz w:val="17"/>
          <w:szCs w:val="17"/>
          <w:color w:val="auto"/>
        </w:rPr>
        <w:t>The tables below summarize the amounts that each continuing named executive officer would receive if his or her employment had terminated on December 29, 2023, the last business day of that year, under the various circumstances shown. The value of the accelerated vesting of the named executive officer’s equity awards is based on the closing price per share of our common stock on such date ($20.28). If a named executive officer’s employment was terminated for cause, no benefits would be payable upon such termination of employment, other than to the extent required by law.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580" w:type="dxa"/>
            <w:vAlign w:val="bottom"/>
            <w:tcBorders>
              <w:bottom w:val="single" w:sz="8" w:color="405788"/>
            </w:tcBorders>
          </w:tcPr>
          <w:p>
            <w:pPr>
              <w:spacing w:after="0"/>
              <w:rPr>
                <w:sz w:val="20"/>
                <w:szCs w:val="20"/>
                <w:color w:val="auto"/>
              </w:rPr>
            </w:pPr>
            <w:r>
              <w:rPr>
                <w:rFonts w:ascii="Arial" w:cs="Arial" w:eastAsia="Arial" w:hAnsi="Arial"/>
                <w:sz w:val="15"/>
                <w:szCs w:val="15"/>
                <w:b w:val="1"/>
                <w:bCs w:val="1"/>
                <w:i w:val="1"/>
                <w:iCs w:val="1"/>
                <w:color w:val="auto"/>
              </w:rPr>
              <w:t>Todd Gleason</w:t>
            </w:r>
          </w:p>
        </w:tc>
        <w:tc>
          <w:tcPr>
            <w:tcW w:w="2380" w:type="dxa"/>
            <w:vAlign w:val="bottom"/>
            <w:tcBorders>
              <w:bottom w:val="single" w:sz="8" w:color="405788"/>
            </w:tcBorders>
          </w:tcPr>
          <w:p>
            <w:pPr>
              <w:jc w:val="right"/>
              <w:ind w:right="119"/>
              <w:spacing w:after="0"/>
              <w:rPr>
                <w:sz w:val="20"/>
                <w:szCs w:val="20"/>
                <w:color w:val="auto"/>
              </w:rPr>
            </w:pPr>
            <w:r>
              <w:rPr>
                <w:rFonts w:ascii="Arial" w:cs="Arial" w:eastAsia="Arial" w:hAnsi="Arial"/>
                <w:sz w:val="13"/>
                <w:szCs w:val="13"/>
                <w:b w:val="1"/>
                <w:bCs w:val="1"/>
                <w:color w:val="auto"/>
              </w:rPr>
              <w:t xml:space="preserve">Death or Disability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c>
          <w:tcPr>
            <w:tcW w:w="2120" w:type="dxa"/>
            <w:vAlign w:val="bottom"/>
            <w:tcBorders>
              <w:bottom w:val="single" w:sz="8" w:color="405788"/>
            </w:tcBorders>
          </w:tcPr>
          <w:p>
            <w:pPr>
              <w:jc w:val="right"/>
              <w:ind w:right="179"/>
              <w:spacing w:after="0"/>
              <w:rPr>
                <w:sz w:val="20"/>
                <w:szCs w:val="20"/>
                <w:color w:val="auto"/>
              </w:rPr>
            </w:pPr>
            <w:r>
              <w:rPr>
                <w:rFonts w:ascii="Arial" w:cs="Arial" w:eastAsia="Arial" w:hAnsi="Arial"/>
                <w:sz w:val="13"/>
                <w:szCs w:val="13"/>
                <w:b w:val="1"/>
                <w:bCs w:val="1"/>
                <w:color w:val="auto"/>
              </w:rPr>
              <w:t xml:space="preserve">Change in Control </w:t>
            </w:r>
            <w:r>
              <w:rPr>
                <w:rFonts w:ascii="Arial" w:cs="Arial" w:eastAsia="Arial" w:hAnsi="Arial"/>
                <w:sz w:val="19"/>
                <w:szCs w:val="19"/>
                <w:b w:val="1"/>
                <w:bCs w:val="1"/>
                <w:color w:val="auto"/>
                <w:vertAlign w:val="superscript"/>
              </w:rPr>
              <w:t>2</w:t>
            </w:r>
            <w:r>
              <w:rPr>
                <w:rFonts w:ascii="Arial" w:cs="Arial" w:eastAsia="Arial" w:hAnsi="Arial"/>
                <w:sz w:val="13"/>
                <w:szCs w:val="13"/>
                <w:b w:val="1"/>
                <w:bCs w:val="1"/>
                <w:color w:val="auto"/>
              </w:rPr>
              <w:t xml:space="preserve"> ($)</w:t>
            </w:r>
          </w:p>
        </w:tc>
        <w:tc>
          <w:tcPr>
            <w:tcW w:w="282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 xml:space="preserve">Without Cause or for Good Reason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Cash Payments </w:t>
            </w:r>
            <w:r>
              <w:rPr>
                <w:rFonts w:ascii="Arial" w:cs="Arial" w:eastAsia="Arial" w:hAnsi="Arial"/>
                <w:sz w:val="21"/>
                <w:szCs w:val="21"/>
                <w:color w:val="auto"/>
                <w:vertAlign w:val="superscript"/>
              </w:rPr>
              <w:t>3</w:t>
            </w:r>
          </w:p>
        </w:tc>
        <w:tc>
          <w:tcPr>
            <w:tcW w:w="2380" w:type="dxa"/>
            <w:vAlign w:val="bottom"/>
            <w:tcBorders>
              <w:bottom w:val="single" w:sz="8" w:color="D9D9D9"/>
            </w:tcBorders>
          </w:tcPr>
          <w:p>
            <w:pPr>
              <w:jc w:val="right"/>
              <w:ind w:right="11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179"/>
              <w:spacing w:after="0" w:line="188" w:lineRule="exact"/>
              <w:rPr>
                <w:sz w:val="20"/>
                <w:szCs w:val="20"/>
                <w:color w:val="auto"/>
              </w:rPr>
            </w:pPr>
            <w:r>
              <w:rPr>
                <w:rFonts w:ascii="Arial" w:cs="Arial" w:eastAsia="Arial" w:hAnsi="Arial"/>
                <w:sz w:val="17"/>
                <w:szCs w:val="17"/>
                <w:color w:val="auto"/>
              </w:rPr>
              <w:t>2,121,303</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1,595,978</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Accelerated Equity Awards:</w:t>
            </w:r>
          </w:p>
        </w:tc>
        <w:tc>
          <w:tcPr>
            <w:tcW w:w="2380" w:type="dxa"/>
            <w:vAlign w:val="bottom"/>
            <w:tcBorders>
              <w:bottom w:val="single" w:sz="8" w:color="D9D9D9"/>
            </w:tcBorders>
          </w:tcPr>
          <w:p>
            <w:pPr>
              <w:spacing w:after="0"/>
              <w:rPr>
                <w:sz w:val="16"/>
                <w:szCs w:val="16"/>
                <w:color w:val="auto"/>
              </w:rPr>
            </w:pPr>
          </w:p>
        </w:tc>
        <w:tc>
          <w:tcPr>
            <w:tcW w:w="2120" w:type="dxa"/>
            <w:vAlign w:val="bottom"/>
            <w:tcBorders>
              <w:bottom w:val="single" w:sz="8" w:color="D9D9D9"/>
            </w:tcBorders>
          </w:tcPr>
          <w:p>
            <w:pPr>
              <w:spacing w:after="0"/>
              <w:rPr>
                <w:sz w:val="16"/>
                <w:szCs w:val="16"/>
                <w:color w:val="auto"/>
              </w:rPr>
            </w:pPr>
          </w:p>
        </w:tc>
        <w:tc>
          <w:tcPr>
            <w:tcW w:w="2820" w:type="dxa"/>
            <w:vAlign w:val="bottom"/>
            <w:tcBorders>
              <w:bottom w:val="single" w:sz="8" w:color="D9D9D9"/>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RSUs</w:t>
            </w:r>
          </w:p>
        </w:tc>
        <w:tc>
          <w:tcPr>
            <w:tcW w:w="2380" w:type="dxa"/>
            <w:vAlign w:val="bottom"/>
            <w:tcBorders>
              <w:bottom w:val="single" w:sz="8" w:color="D9D9D9"/>
            </w:tcBorders>
          </w:tcPr>
          <w:p>
            <w:pPr>
              <w:jc w:val="right"/>
              <w:ind w:right="119"/>
              <w:spacing w:after="0" w:line="188" w:lineRule="exact"/>
              <w:rPr>
                <w:sz w:val="20"/>
                <w:szCs w:val="20"/>
                <w:color w:val="auto"/>
              </w:rPr>
            </w:pPr>
            <w:r>
              <w:rPr>
                <w:rFonts w:ascii="Arial" w:cs="Arial" w:eastAsia="Arial" w:hAnsi="Arial"/>
                <w:sz w:val="17"/>
                <w:szCs w:val="17"/>
                <w:color w:val="auto"/>
              </w:rPr>
              <w:t>2,166,898</w:t>
            </w:r>
          </w:p>
        </w:tc>
        <w:tc>
          <w:tcPr>
            <w:tcW w:w="2120" w:type="dxa"/>
            <w:vAlign w:val="bottom"/>
            <w:tcBorders>
              <w:bottom w:val="single" w:sz="8" w:color="D9D9D9"/>
            </w:tcBorders>
          </w:tcPr>
          <w:p>
            <w:pPr>
              <w:jc w:val="right"/>
              <w:ind w:right="179"/>
              <w:spacing w:after="0" w:line="188" w:lineRule="exact"/>
              <w:rPr>
                <w:sz w:val="20"/>
                <w:szCs w:val="20"/>
                <w:color w:val="auto"/>
              </w:rPr>
            </w:pPr>
            <w:r>
              <w:rPr>
                <w:rFonts w:ascii="Arial" w:cs="Arial" w:eastAsia="Arial" w:hAnsi="Arial"/>
                <w:sz w:val="17"/>
                <w:szCs w:val="17"/>
                <w:color w:val="auto"/>
              </w:rPr>
              <w:t>2,166,898</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2,166,898</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PRSUs</w:t>
            </w:r>
          </w:p>
        </w:tc>
        <w:tc>
          <w:tcPr>
            <w:tcW w:w="2380" w:type="dxa"/>
            <w:vAlign w:val="bottom"/>
            <w:tcBorders>
              <w:bottom w:val="single" w:sz="8" w:color="D9D9D9"/>
            </w:tcBorders>
          </w:tcPr>
          <w:p>
            <w:pPr>
              <w:jc w:val="right"/>
              <w:ind w:right="119"/>
              <w:spacing w:after="0" w:line="188" w:lineRule="exact"/>
              <w:rPr>
                <w:sz w:val="20"/>
                <w:szCs w:val="20"/>
                <w:color w:val="auto"/>
              </w:rPr>
            </w:pPr>
            <w:r>
              <w:rPr>
                <w:rFonts w:ascii="Arial" w:cs="Arial" w:eastAsia="Arial" w:hAnsi="Arial"/>
                <w:sz w:val="17"/>
                <w:szCs w:val="17"/>
                <w:color w:val="auto"/>
              </w:rPr>
              <w:t>12,010,526</w:t>
            </w:r>
          </w:p>
        </w:tc>
        <w:tc>
          <w:tcPr>
            <w:tcW w:w="2120" w:type="dxa"/>
            <w:vAlign w:val="bottom"/>
            <w:tcBorders>
              <w:bottom w:val="single" w:sz="8" w:color="D9D9D9"/>
            </w:tcBorders>
          </w:tcPr>
          <w:p>
            <w:pPr>
              <w:jc w:val="right"/>
              <w:ind w:right="179"/>
              <w:spacing w:after="0" w:line="188" w:lineRule="exact"/>
              <w:rPr>
                <w:sz w:val="20"/>
                <w:szCs w:val="20"/>
                <w:color w:val="auto"/>
              </w:rPr>
            </w:pPr>
            <w:r>
              <w:rPr>
                <w:rFonts w:ascii="Arial" w:cs="Arial" w:eastAsia="Arial" w:hAnsi="Arial"/>
                <w:sz w:val="17"/>
                <w:szCs w:val="17"/>
                <w:color w:val="auto"/>
              </w:rPr>
              <w:t>12,010,526</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12,010,526</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Options</w:t>
            </w:r>
          </w:p>
        </w:tc>
        <w:tc>
          <w:tcPr>
            <w:tcW w:w="2380" w:type="dxa"/>
            <w:vAlign w:val="bottom"/>
            <w:tcBorders>
              <w:bottom w:val="single" w:sz="8" w:color="D9D9D9"/>
            </w:tcBorders>
          </w:tcPr>
          <w:p>
            <w:pPr>
              <w:jc w:val="right"/>
              <w:ind w:right="119"/>
              <w:spacing w:after="0" w:line="188" w:lineRule="exact"/>
              <w:rPr>
                <w:sz w:val="20"/>
                <w:szCs w:val="20"/>
                <w:color w:val="auto"/>
              </w:rPr>
            </w:pPr>
            <w:r>
              <w:rPr>
                <w:rFonts w:ascii="Arial" w:cs="Arial" w:eastAsia="Arial" w:hAnsi="Arial"/>
                <w:sz w:val="17"/>
                <w:szCs w:val="17"/>
                <w:color w:val="auto"/>
              </w:rPr>
              <w:t>11,201,698</w:t>
            </w:r>
          </w:p>
        </w:tc>
        <w:tc>
          <w:tcPr>
            <w:tcW w:w="2120" w:type="dxa"/>
            <w:vAlign w:val="bottom"/>
            <w:tcBorders>
              <w:bottom w:val="single" w:sz="8" w:color="D9D9D9"/>
            </w:tcBorders>
          </w:tcPr>
          <w:p>
            <w:pPr>
              <w:jc w:val="right"/>
              <w:ind w:right="179"/>
              <w:spacing w:after="0" w:line="188" w:lineRule="exact"/>
              <w:rPr>
                <w:sz w:val="20"/>
                <w:szCs w:val="20"/>
                <w:color w:val="auto"/>
              </w:rPr>
            </w:pPr>
            <w:r>
              <w:rPr>
                <w:rFonts w:ascii="Arial" w:cs="Arial" w:eastAsia="Arial" w:hAnsi="Arial"/>
                <w:sz w:val="17"/>
                <w:szCs w:val="17"/>
                <w:color w:val="auto"/>
              </w:rPr>
              <w:t>11,201,698</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11,201,698</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COBRA </w:t>
            </w:r>
            <w:r>
              <w:rPr>
                <w:rFonts w:ascii="Arial" w:cs="Arial" w:eastAsia="Arial" w:hAnsi="Arial"/>
                <w:sz w:val="21"/>
                <w:szCs w:val="21"/>
                <w:color w:val="auto"/>
                <w:vertAlign w:val="superscript"/>
              </w:rPr>
              <w:t>6</w:t>
            </w:r>
          </w:p>
        </w:tc>
        <w:tc>
          <w:tcPr>
            <w:tcW w:w="2380" w:type="dxa"/>
            <w:vAlign w:val="bottom"/>
            <w:tcBorders>
              <w:bottom w:val="single" w:sz="8" w:color="D9D9D9"/>
            </w:tcBorders>
          </w:tcPr>
          <w:p>
            <w:pPr>
              <w:jc w:val="right"/>
              <w:ind w:right="11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179"/>
              <w:spacing w:after="0" w:line="188" w:lineRule="exact"/>
              <w:rPr>
                <w:sz w:val="20"/>
                <w:szCs w:val="20"/>
                <w:color w:val="auto"/>
              </w:rPr>
            </w:pPr>
            <w:r>
              <w:rPr>
                <w:rFonts w:ascii="Arial" w:cs="Arial" w:eastAsia="Arial" w:hAnsi="Arial"/>
                <w:sz w:val="17"/>
                <w:szCs w:val="17"/>
                <w:color w:val="auto"/>
              </w:rPr>
              <w:t>47,290</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47,290</w:t>
            </w:r>
          </w:p>
        </w:tc>
      </w:tr>
      <w:tr>
        <w:trPr>
          <w:trHeight w:val="187"/>
        </w:trPr>
        <w:tc>
          <w:tcPr>
            <w:tcW w:w="20" w:type="dxa"/>
            <w:vAlign w:val="bottom"/>
          </w:tcPr>
          <w:p>
            <w:pPr>
              <w:spacing w:after="0"/>
              <w:rPr>
                <w:sz w:val="16"/>
                <w:szCs w:val="16"/>
                <w:color w:val="auto"/>
              </w:rPr>
            </w:pPr>
          </w:p>
        </w:tc>
        <w:tc>
          <w:tcPr>
            <w:tcW w:w="25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b w:val="1"/>
                <w:bCs w:val="1"/>
                <w:color w:val="auto"/>
              </w:rPr>
              <w:t>Total</w:t>
            </w:r>
          </w:p>
        </w:tc>
        <w:tc>
          <w:tcPr>
            <w:tcW w:w="2380" w:type="dxa"/>
            <w:vAlign w:val="bottom"/>
            <w:tcBorders>
              <w:bottom w:val="single" w:sz="8" w:color="405788"/>
            </w:tcBorders>
          </w:tcPr>
          <w:p>
            <w:pPr>
              <w:jc w:val="right"/>
              <w:ind w:right="119"/>
              <w:spacing w:after="0" w:line="188" w:lineRule="exact"/>
              <w:rPr>
                <w:sz w:val="20"/>
                <w:szCs w:val="20"/>
                <w:color w:val="auto"/>
              </w:rPr>
            </w:pPr>
            <w:r>
              <w:rPr>
                <w:rFonts w:ascii="Arial" w:cs="Arial" w:eastAsia="Arial" w:hAnsi="Arial"/>
                <w:sz w:val="17"/>
                <w:szCs w:val="17"/>
                <w:color w:val="auto"/>
              </w:rPr>
              <w:t>25,379,122</w:t>
            </w:r>
          </w:p>
        </w:tc>
        <w:tc>
          <w:tcPr>
            <w:tcW w:w="2120" w:type="dxa"/>
            <w:vAlign w:val="bottom"/>
            <w:tcBorders>
              <w:bottom w:val="single" w:sz="8" w:color="405788"/>
            </w:tcBorders>
          </w:tcPr>
          <w:p>
            <w:pPr>
              <w:jc w:val="right"/>
              <w:ind w:right="179"/>
              <w:spacing w:after="0" w:line="188" w:lineRule="exact"/>
              <w:rPr>
                <w:sz w:val="20"/>
                <w:szCs w:val="20"/>
                <w:color w:val="auto"/>
              </w:rPr>
            </w:pPr>
            <w:r>
              <w:rPr>
                <w:rFonts w:ascii="Arial" w:cs="Arial" w:eastAsia="Arial" w:hAnsi="Arial"/>
                <w:sz w:val="17"/>
                <w:szCs w:val="17"/>
                <w:color w:val="auto"/>
              </w:rPr>
              <w:t>27,547,715</w:t>
            </w:r>
          </w:p>
        </w:tc>
        <w:tc>
          <w:tcPr>
            <w:tcW w:w="28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27,022,389</w:t>
            </w:r>
          </w:p>
        </w:tc>
      </w:tr>
      <w:tr>
        <w:trPr>
          <w:trHeight w:val="372"/>
        </w:trPr>
        <w:tc>
          <w:tcPr>
            <w:tcW w:w="20" w:type="dxa"/>
            <w:vAlign w:val="bottom"/>
          </w:tcPr>
          <w:p>
            <w:pPr>
              <w:spacing w:after="0"/>
              <w:rPr>
                <w:sz w:val="24"/>
                <w:szCs w:val="24"/>
                <w:color w:val="auto"/>
              </w:rPr>
            </w:pPr>
          </w:p>
        </w:tc>
        <w:tc>
          <w:tcPr>
            <w:tcW w:w="2580" w:type="dxa"/>
            <w:vAlign w:val="bottom"/>
            <w:tcBorders>
              <w:bottom w:val="single" w:sz="8" w:color="405788"/>
            </w:tcBorders>
          </w:tcPr>
          <w:p>
            <w:pPr>
              <w:spacing w:after="0"/>
              <w:rPr>
                <w:sz w:val="20"/>
                <w:szCs w:val="20"/>
                <w:color w:val="auto"/>
              </w:rPr>
            </w:pPr>
            <w:r>
              <w:rPr>
                <w:rFonts w:ascii="Arial" w:cs="Arial" w:eastAsia="Arial" w:hAnsi="Arial"/>
                <w:sz w:val="15"/>
                <w:szCs w:val="15"/>
                <w:b w:val="1"/>
                <w:bCs w:val="1"/>
                <w:i w:val="1"/>
                <w:iCs w:val="1"/>
                <w:color w:val="auto"/>
              </w:rPr>
              <w:t>Peter Johansson</w:t>
            </w:r>
          </w:p>
        </w:tc>
        <w:tc>
          <w:tcPr>
            <w:tcW w:w="2380" w:type="dxa"/>
            <w:vAlign w:val="bottom"/>
            <w:tcBorders>
              <w:bottom w:val="single" w:sz="8" w:color="405788"/>
            </w:tcBorders>
          </w:tcPr>
          <w:p>
            <w:pPr>
              <w:jc w:val="right"/>
              <w:ind w:right="279"/>
              <w:spacing w:after="0"/>
              <w:rPr>
                <w:sz w:val="20"/>
                <w:szCs w:val="20"/>
                <w:color w:val="auto"/>
              </w:rPr>
            </w:pPr>
            <w:r>
              <w:rPr>
                <w:rFonts w:ascii="Arial" w:cs="Arial" w:eastAsia="Arial" w:hAnsi="Arial"/>
                <w:sz w:val="13"/>
                <w:szCs w:val="13"/>
                <w:b w:val="1"/>
                <w:bCs w:val="1"/>
                <w:color w:val="auto"/>
              </w:rPr>
              <w:t xml:space="preserve">Death or Disability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c>
          <w:tcPr>
            <w:tcW w:w="2120" w:type="dxa"/>
            <w:vAlign w:val="bottom"/>
            <w:tcBorders>
              <w:bottom w:val="single" w:sz="8" w:color="405788"/>
            </w:tcBorders>
          </w:tcPr>
          <w:p>
            <w:pPr>
              <w:jc w:val="right"/>
              <w:ind w:right="399"/>
              <w:spacing w:after="0"/>
              <w:rPr>
                <w:sz w:val="20"/>
                <w:szCs w:val="20"/>
                <w:color w:val="auto"/>
              </w:rPr>
            </w:pPr>
            <w:r>
              <w:rPr>
                <w:rFonts w:ascii="Arial" w:cs="Arial" w:eastAsia="Arial" w:hAnsi="Arial"/>
                <w:sz w:val="13"/>
                <w:szCs w:val="13"/>
                <w:b w:val="1"/>
                <w:bCs w:val="1"/>
                <w:color w:val="auto"/>
              </w:rPr>
              <w:t xml:space="preserve">Change in Control </w:t>
            </w:r>
            <w:r>
              <w:rPr>
                <w:rFonts w:ascii="Arial" w:cs="Arial" w:eastAsia="Arial" w:hAnsi="Arial"/>
                <w:sz w:val="19"/>
                <w:szCs w:val="19"/>
                <w:b w:val="1"/>
                <w:bCs w:val="1"/>
                <w:color w:val="auto"/>
                <w:vertAlign w:val="superscript"/>
              </w:rPr>
              <w:t>2</w:t>
            </w:r>
            <w:r>
              <w:rPr>
                <w:rFonts w:ascii="Arial" w:cs="Arial" w:eastAsia="Arial" w:hAnsi="Arial"/>
                <w:sz w:val="13"/>
                <w:szCs w:val="13"/>
                <w:b w:val="1"/>
                <w:bCs w:val="1"/>
                <w:color w:val="auto"/>
              </w:rPr>
              <w:t xml:space="preserve"> ($)</w:t>
            </w:r>
          </w:p>
        </w:tc>
        <w:tc>
          <w:tcPr>
            <w:tcW w:w="282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 xml:space="preserve">Without Cause or for Good Reason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Cash Payments </w:t>
            </w:r>
            <w:r>
              <w:rPr>
                <w:rFonts w:ascii="Arial" w:cs="Arial" w:eastAsia="Arial" w:hAnsi="Arial"/>
                <w:sz w:val="21"/>
                <w:szCs w:val="21"/>
                <w:color w:val="auto"/>
                <w:vertAlign w:val="superscript"/>
              </w:rPr>
              <w:t>5</w:t>
            </w:r>
          </w:p>
        </w:tc>
        <w:tc>
          <w:tcPr>
            <w:tcW w:w="2380" w:type="dxa"/>
            <w:vAlign w:val="bottom"/>
            <w:tcBorders>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1,240,626</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1,004,376</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Accelerated Equity Awards:</w:t>
            </w:r>
          </w:p>
        </w:tc>
        <w:tc>
          <w:tcPr>
            <w:tcW w:w="2380" w:type="dxa"/>
            <w:vAlign w:val="bottom"/>
            <w:tcBorders>
              <w:bottom w:val="single" w:sz="8" w:color="D9D9D9"/>
            </w:tcBorders>
          </w:tcPr>
          <w:p>
            <w:pPr>
              <w:spacing w:after="0"/>
              <w:rPr>
                <w:sz w:val="16"/>
                <w:szCs w:val="16"/>
                <w:color w:val="auto"/>
              </w:rPr>
            </w:pPr>
          </w:p>
        </w:tc>
        <w:tc>
          <w:tcPr>
            <w:tcW w:w="2120" w:type="dxa"/>
            <w:vAlign w:val="bottom"/>
            <w:tcBorders>
              <w:bottom w:val="single" w:sz="8" w:color="D9D9D9"/>
            </w:tcBorders>
          </w:tcPr>
          <w:p>
            <w:pPr>
              <w:spacing w:after="0"/>
              <w:rPr>
                <w:sz w:val="16"/>
                <w:szCs w:val="16"/>
                <w:color w:val="auto"/>
              </w:rPr>
            </w:pPr>
          </w:p>
        </w:tc>
        <w:tc>
          <w:tcPr>
            <w:tcW w:w="2820" w:type="dxa"/>
            <w:vAlign w:val="bottom"/>
            <w:tcBorders>
              <w:bottom w:val="single" w:sz="8" w:color="D9D9D9"/>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RSUs</w:t>
            </w:r>
          </w:p>
        </w:tc>
        <w:tc>
          <w:tcPr>
            <w:tcW w:w="2380" w:type="dxa"/>
            <w:vAlign w:val="bottom"/>
            <w:tcBorders>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667,902</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667,902</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667,902</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PRSUs</w:t>
            </w:r>
          </w:p>
        </w:tc>
        <w:tc>
          <w:tcPr>
            <w:tcW w:w="2380" w:type="dxa"/>
            <w:vAlign w:val="bottom"/>
            <w:tcBorders>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1,612,260</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1,612,260</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1,612,260</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COBRA </w:t>
            </w:r>
            <w:r>
              <w:rPr>
                <w:rFonts w:ascii="Arial" w:cs="Arial" w:eastAsia="Arial" w:hAnsi="Arial"/>
                <w:sz w:val="21"/>
                <w:szCs w:val="21"/>
                <w:color w:val="auto"/>
                <w:vertAlign w:val="superscript"/>
              </w:rPr>
              <w:t>6</w:t>
            </w:r>
          </w:p>
        </w:tc>
        <w:tc>
          <w:tcPr>
            <w:tcW w:w="2380" w:type="dxa"/>
            <w:vAlign w:val="bottom"/>
            <w:tcBorders>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32,038</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32,038</w:t>
            </w:r>
          </w:p>
        </w:tc>
      </w:tr>
      <w:tr>
        <w:trPr>
          <w:trHeight w:val="187"/>
        </w:trPr>
        <w:tc>
          <w:tcPr>
            <w:tcW w:w="20" w:type="dxa"/>
            <w:vAlign w:val="bottom"/>
          </w:tcPr>
          <w:p>
            <w:pPr>
              <w:spacing w:after="0"/>
              <w:rPr>
                <w:sz w:val="16"/>
                <w:szCs w:val="16"/>
                <w:color w:val="auto"/>
              </w:rPr>
            </w:pPr>
          </w:p>
        </w:tc>
        <w:tc>
          <w:tcPr>
            <w:tcW w:w="25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b w:val="1"/>
                <w:bCs w:val="1"/>
                <w:color w:val="auto"/>
              </w:rPr>
              <w:t>Total</w:t>
            </w:r>
          </w:p>
        </w:tc>
        <w:tc>
          <w:tcPr>
            <w:tcW w:w="2380" w:type="dxa"/>
            <w:vAlign w:val="bottom"/>
            <w:tcBorders>
              <w:bottom w:val="single" w:sz="8" w:color="405788"/>
            </w:tcBorders>
          </w:tcPr>
          <w:p>
            <w:pPr>
              <w:jc w:val="right"/>
              <w:ind w:right="279"/>
              <w:spacing w:after="0" w:line="188" w:lineRule="exact"/>
              <w:rPr>
                <w:sz w:val="20"/>
                <w:szCs w:val="20"/>
                <w:color w:val="auto"/>
              </w:rPr>
            </w:pPr>
            <w:r>
              <w:rPr>
                <w:rFonts w:ascii="Arial" w:cs="Arial" w:eastAsia="Arial" w:hAnsi="Arial"/>
                <w:sz w:val="17"/>
                <w:szCs w:val="17"/>
                <w:color w:val="auto"/>
              </w:rPr>
              <w:t>2,280,162</w:t>
            </w:r>
          </w:p>
        </w:tc>
        <w:tc>
          <w:tcPr>
            <w:tcW w:w="2120" w:type="dxa"/>
            <w:vAlign w:val="bottom"/>
            <w:tcBorders>
              <w:bottom w:val="single" w:sz="8" w:color="405788"/>
            </w:tcBorders>
          </w:tcPr>
          <w:p>
            <w:pPr>
              <w:jc w:val="right"/>
              <w:ind w:right="399"/>
              <w:spacing w:after="0" w:line="188" w:lineRule="exact"/>
              <w:rPr>
                <w:sz w:val="20"/>
                <w:szCs w:val="20"/>
                <w:color w:val="auto"/>
              </w:rPr>
            </w:pPr>
            <w:r>
              <w:rPr>
                <w:rFonts w:ascii="Arial" w:cs="Arial" w:eastAsia="Arial" w:hAnsi="Arial"/>
                <w:sz w:val="17"/>
                <w:szCs w:val="17"/>
                <w:color w:val="auto"/>
              </w:rPr>
              <w:t>3,552,825</w:t>
            </w:r>
          </w:p>
        </w:tc>
        <w:tc>
          <w:tcPr>
            <w:tcW w:w="28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3,316,575</w:t>
            </w:r>
          </w:p>
        </w:tc>
      </w:tr>
      <w:tr>
        <w:trPr>
          <w:trHeight w:val="372"/>
        </w:trPr>
        <w:tc>
          <w:tcPr>
            <w:tcW w:w="2600" w:type="dxa"/>
            <w:vAlign w:val="bottom"/>
            <w:tcBorders>
              <w:bottom w:val="single" w:sz="8" w:color="405788"/>
            </w:tcBorders>
            <w:gridSpan w:val="2"/>
          </w:tcPr>
          <w:p>
            <w:pPr>
              <w:spacing w:after="0"/>
              <w:rPr>
                <w:sz w:val="20"/>
                <w:szCs w:val="20"/>
                <w:color w:val="auto"/>
              </w:rPr>
            </w:pPr>
            <w:r>
              <w:rPr>
                <w:rFonts w:ascii="Arial" w:cs="Arial" w:eastAsia="Arial" w:hAnsi="Arial"/>
                <w:sz w:val="15"/>
                <w:szCs w:val="15"/>
                <w:b w:val="1"/>
                <w:bCs w:val="1"/>
                <w:i w:val="1"/>
                <w:iCs w:val="1"/>
                <w:color w:val="auto"/>
              </w:rPr>
              <w:t>Lynn Watkins-Asiyanbi</w:t>
            </w:r>
          </w:p>
        </w:tc>
        <w:tc>
          <w:tcPr>
            <w:tcW w:w="2380" w:type="dxa"/>
            <w:vAlign w:val="bottom"/>
            <w:tcBorders>
              <w:bottom w:val="single" w:sz="8" w:color="405788"/>
            </w:tcBorders>
          </w:tcPr>
          <w:p>
            <w:pPr>
              <w:jc w:val="right"/>
              <w:ind w:right="279"/>
              <w:spacing w:after="0"/>
              <w:rPr>
                <w:sz w:val="20"/>
                <w:szCs w:val="20"/>
                <w:color w:val="auto"/>
              </w:rPr>
            </w:pPr>
            <w:r>
              <w:rPr>
                <w:rFonts w:ascii="Arial" w:cs="Arial" w:eastAsia="Arial" w:hAnsi="Arial"/>
                <w:sz w:val="13"/>
                <w:szCs w:val="13"/>
                <w:b w:val="1"/>
                <w:bCs w:val="1"/>
                <w:color w:val="auto"/>
              </w:rPr>
              <w:t xml:space="preserve">Death or Disability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c>
          <w:tcPr>
            <w:tcW w:w="2120" w:type="dxa"/>
            <w:vAlign w:val="bottom"/>
            <w:tcBorders>
              <w:bottom w:val="single" w:sz="8" w:color="405788"/>
            </w:tcBorders>
          </w:tcPr>
          <w:p>
            <w:pPr>
              <w:jc w:val="right"/>
              <w:ind w:right="399"/>
              <w:spacing w:after="0"/>
              <w:rPr>
                <w:sz w:val="20"/>
                <w:szCs w:val="20"/>
                <w:color w:val="auto"/>
              </w:rPr>
            </w:pPr>
            <w:r>
              <w:rPr>
                <w:rFonts w:ascii="Arial" w:cs="Arial" w:eastAsia="Arial" w:hAnsi="Arial"/>
                <w:sz w:val="13"/>
                <w:szCs w:val="13"/>
                <w:b w:val="1"/>
                <w:bCs w:val="1"/>
                <w:color w:val="auto"/>
              </w:rPr>
              <w:t xml:space="preserve">Change in Control </w:t>
            </w:r>
            <w:r>
              <w:rPr>
                <w:rFonts w:ascii="Arial" w:cs="Arial" w:eastAsia="Arial" w:hAnsi="Arial"/>
                <w:sz w:val="19"/>
                <w:szCs w:val="19"/>
                <w:b w:val="1"/>
                <w:bCs w:val="1"/>
                <w:color w:val="auto"/>
                <w:vertAlign w:val="superscript"/>
              </w:rPr>
              <w:t>2</w:t>
            </w:r>
            <w:r>
              <w:rPr>
                <w:rFonts w:ascii="Arial" w:cs="Arial" w:eastAsia="Arial" w:hAnsi="Arial"/>
                <w:sz w:val="13"/>
                <w:szCs w:val="13"/>
                <w:b w:val="1"/>
                <w:bCs w:val="1"/>
                <w:color w:val="auto"/>
              </w:rPr>
              <w:t xml:space="preserve"> ($)</w:t>
            </w:r>
          </w:p>
        </w:tc>
        <w:tc>
          <w:tcPr>
            <w:tcW w:w="282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 xml:space="preserve">Without Cause or for Good Reason </w:t>
            </w:r>
            <w:r>
              <w:rPr>
                <w:rFonts w:ascii="Arial" w:cs="Arial" w:eastAsia="Arial" w:hAnsi="Arial"/>
                <w:sz w:val="19"/>
                <w:szCs w:val="19"/>
                <w:b w:val="1"/>
                <w:bCs w:val="1"/>
                <w:color w:val="auto"/>
                <w:vertAlign w:val="superscript"/>
              </w:rPr>
              <w:t>1</w:t>
            </w:r>
            <w:r>
              <w:rPr>
                <w:rFonts w:ascii="Arial" w:cs="Arial" w:eastAsia="Arial" w:hAnsi="Arial"/>
                <w:sz w:val="13"/>
                <w:szCs w:val="13"/>
                <w:b w:val="1"/>
                <w:bCs w:val="1"/>
                <w:color w:val="auto"/>
              </w:rPr>
              <w:t xml:space="preserve"> ($)</w:t>
            </w:r>
          </w:p>
        </w:tc>
      </w:tr>
      <w:tr>
        <w:trPr>
          <w:trHeight w:val="192"/>
        </w:trPr>
        <w:tc>
          <w:tcPr>
            <w:tcW w:w="260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5"/>
                <w:szCs w:val="15"/>
                <w:color w:val="auto"/>
              </w:rPr>
              <w:t xml:space="preserve">Cash Payments </w:t>
            </w:r>
            <w:r>
              <w:rPr>
                <w:rFonts w:ascii="Arial" w:cs="Arial" w:eastAsia="Arial" w:hAnsi="Arial"/>
                <w:sz w:val="21"/>
                <w:szCs w:val="21"/>
                <w:color w:val="auto"/>
                <w:vertAlign w:val="superscript"/>
              </w:rPr>
              <w:t>4</w:t>
            </w:r>
          </w:p>
        </w:tc>
        <w:tc>
          <w:tcPr>
            <w:tcW w:w="2380" w:type="dxa"/>
            <w:vAlign w:val="bottom"/>
            <w:tcBorders>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1,122,500</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938,750</w:t>
            </w:r>
          </w:p>
        </w:tc>
      </w:tr>
      <w:tr>
        <w:trPr>
          <w:trHeight w:val="192"/>
        </w:trPr>
        <w:tc>
          <w:tcPr>
            <w:tcW w:w="2600" w:type="dxa"/>
            <w:vAlign w:val="bottom"/>
            <w:gridSpan w:val="2"/>
          </w:tcPr>
          <w:p>
            <w:pPr>
              <w:spacing w:after="0" w:line="188" w:lineRule="exact"/>
              <w:rPr>
                <w:sz w:val="20"/>
                <w:szCs w:val="20"/>
                <w:color w:val="auto"/>
              </w:rPr>
            </w:pPr>
            <w:r>
              <w:rPr>
                <w:rFonts w:ascii="Arial" w:cs="Arial" w:eastAsia="Arial" w:hAnsi="Arial"/>
                <w:sz w:val="17"/>
                <w:szCs w:val="17"/>
                <w:color w:val="auto"/>
              </w:rPr>
              <w:t>Accelerated Equity Awards:</w:t>
            </w:r>
          </w:p>
        </w:tc>
        <w:tc>
          <w:tcPr>
            <w:tcW w:w="23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2580" w:type="dxa"/>
            <w:vAlign w:val="bottom"/>
            <w:tcBorders>
              <w:top w:val="single" w:sz="8" w:color="D9D9D9"/>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RSUs</w:t>
            </w:r>
          </w:p>
        </w:tc>
        <w:tc>
          <w:tcPr>
            <w:tcW w:w="2380" w:type="dxa"/>
            <w:vAlign w:val="bottom"/>
            <w:tcBorders>
              <w:top w:val="single" w:sz="8" w:color="D9D9D9"/>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625,455</w:t>
            </w:r>
          </w:p>
        </w:tc>
        <w:tc>
          <w:tcPr>
            <w:tcW w:w="2120" w:type="dxa"/>
            <w:vAlign w:val="bottom"/>
            <w:tcBorders>
              <w:top w:val="single" w:sz="8" w:color="D9D9D9"/>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625,455</w:t>
            </w:r>
          </w:p>
        </w:tc>
        <w:tc>
          <w:tcPr>
            <w:tcW w:w="2820" w:type="dxa"/>
            <w:vAlign w:val="bottom"/>
            <w:tcBorders>
              <w:top w:val="single" w:sz="8" w:color="D9D9D9"/>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625,455</w:t>
            </w:r>
          </w:p>
        </w:tc>
      </w:tr>
      <w:tr>
        <w:trPr>
          <w:trHeight w:val="192"/>
        </w:trPr>
        <w:tc>
          <w:tcPr>
            <w:tcW w:w="20" w:type="dxa"/>
            <w:vAlign w:val="bottom"/>
          </w:tcPr>
          <w:p>
            <w:pPr>
              <w:spacing w:after="0"/>
              <w:rPr>
                <w:sz w:val="16"/>
                <w:szCs w:val="16"/>
                <w:color w:val="auto"/>
              </w:rPr>
            </w:pPr>
          </w:p>
        </w:tc>
        <w:tc>
          <w:tcPr>
            <w:tcW w:w="2580" w:type="dxa"/>
            <w:vAlign w:val="bottom"/>
            <w:tcBorders>
              <w:bottom w:val="single" w:sz="8" w:color="D9D9D9"/>
            </w:tcBorders>
          </w:tcPr>
          <w:p>
            <w:pPr>
              <w:ind w:left="80"/>
              <w:spacing w:after="0" w:line="188" w:lineRule="exact"/>
              <w:rPr>
                <w:sz w:val="20"/>
                <w:szCs w:val="20"/>
                <w:color w:val="auto"/>
              </w:rPr>
            </w:pPr>
            <w:r>
              <w:rPr>
                <w:rFonts w:ascii="Arial" w:cs="Arial" w:eastAsia="Arial" w:hAnsi="Arial"/>
                <w:sz w:val="17"/>
                <w:szCs w:val="17"/>
                <w:color w:val="auto"/>
              </w:rPr>
              <w:t>PRSUs</w:t>
            </w:r>
          </w:p>
        </w:tc>
        <w:tc>
          <w:tcPr>
            <w:tcW w:w="2380" w:type="dxa"/>
            <w:vAlign w:val="bottom"/>
            <w:tcBorders>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1,258,881</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1,258,881</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1,258,881</w:t>
            </w:r>
          </w:p>
        </w:tc>
      </w:tr>
      <w:tr>
        <w:trPr>
          <w:trHeight w:val="192"/>
        </w:trPr>
        <w:tc>
          <w:tcPr>
            <w:tcW w:w="20" w:type="dxa"/>
            <w:vAlign w:val="bottom"/>
            <w:tcBorders>
              <w:bottom w:val="single" w:sz="8" w:color="D9D9D9"/>
            </w:tcBorders>
          </w:tcPr>
          <w:p>
            <w:pPr>
              <w:spacing w:after="0"/>
              <w:rPr>
                <w:sz w:val="16"/>
                <w:szCs w:val="16"/>
                <w:color w:val="auto"/>
              </w:rPr>
            </w:pPr>
          </w:p>
        </w:tc>
        <w:tc>
          <w:tcPr>
            <w:tcW w:w="25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COBRA </w:t>
            </w:r>
            <w:r>
              <w:rPr>
                <w:rFonts w:ascii="Arial" w:cs="Arial" w:eastAsia="Arial" w:hAnsi="Arial"/>
                <w:sz w:val="21"/>
                <w:szCs w:val="21"/>
                <w:color w:val="auto"/>
                <w:vertAlign w:val="superscript"/>
              </w:rPr>
              <w:t>6</w:t>
            </w:r>
          </w:p>
        </w:tc>
        <w:tc>
          <w:tcPr>
            <w:tcW w:w="2380" w:type="dxa"/>
            <w:vAlign w:val="bottom"/>
            <w:tcBorders>
              <w:bottom w:val="single" w:sz="8" w:color="D9D9D9"/>
            </w:tcBorders>
          </w:tcPr>
          <w:p>
            <w:pPr>
              <w:jc w:val="right"/>
              <w:ind w:right="279"/>
              <w:spacing w:after="0" w:line="188" w:lineRule="exact"/>
              <w:rPr>
                <w:sz w:val="20"/>
                <w:szCs w:val="20"/>
                <w:color w:val="auto"/>
              </w:rPr>
            </w:pPr>
            <w:r>
              <w:rPr>
                <w:rFonts w:ascii="Arial" w:cs="Arial" w:eastAsia="Arial" w:hAnsi="Arial"/>
                <w:sz w:val="17"/>
                <w:szCs w:val="17"/>
                <w:color w:val="auto"/>
              </w:rPr>
              <w:t>—</w:t>
            </w:r>
          </w:p>
        </w:tc>
        <w:tc>
          <w:tcPr>
            <w:tcW w:w="2120" w:type="dxa"/>
            <w:vAlign w:val="bottom"/>
            <w:tcBorders>
              <w:bottom w:val="single" w:sz="8" w:color="D9D9D9"/>
            </w:tcBorders>
          </w:tcPr>
          <w:p>
            <w:pPr>
              <w:jc w:val="right"/>
              <w:ind w:right="399"/>
              <w:spacing w:after="0" w:line="188" w:lineRule="exact"/>
              <w:rPr>
                <w:sz w:val="20"/>
                <w:szCs w:val="20"/>
                <w:color w:val="auto"/>
              </w:rPr>
            </w:pPr>
            <w:r>
              <w:rPr>
                <w:rFonts w:ascii="Arial" w:cs="Arial" w:eastAsia="Arial" w:hAnsi="Arial"/>
                <w:sz w:val="17"/>
                <w:szCs w:val="17"/>
                <w:color w:val="auto"/>
              </w:rPr>
              <w:t>29,127</w:t>
            </w:r>
          </w:p>
        </w:tc>
        <w:tc>
          <w:tcPr>
            <w:tcW w:w="282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29,127</w:t>
            </w:r>
          </w:p>
        </w:tc>
      </w:tr>
      <w:tr>
        <w:trPr>
          <w:trHeight w:val="187"/>
        </w:trPr>
        <w:tc>
          <w:tcPr>
            <w:tcW w:w="2600" w:type="dxa"/>
            <w:vAlign w:val="bottom"/>
            <w:tcBorders>
              <w:bottom w:val="single" w:sz="8" w:color="405788"/>
            </w:tcBorders>
            <w:gridSpan w:val="2"/>
          </w:tcPr>
          <w:p>
            <w:pPr>
              <w:spacing w:after="0" w:line="188" w:lineRule="exact"/>
              <w:rPr>
                <w:sz w:val="20"/>
                <w:szCs w:val="20"/>
                <w:color w:val="auto"/>
              </w:rPr>
            </w:pPr>
            <w:r>
              <w:rPr>
                <w:rFonts w:ascii="Arial" w:cs="Arial" w:eastAsia="Arial" w:hAnsi="Arial"/>
                <w:sz w:val="17"/>
                <w:szCs w:val="17"/>
                <w:b w:val="1"/>
                <w:bCs w:val="1"/>
                <w:color w:val="auto"/>
              </w:rPr>
              <w:t>Total</w:t>
            </w:r>
          </w:p>
        </w:tc>
        <w:tc>
          <w:tcPr>
            <w:tcW w:w="2380" w:type="dxa"/>
            <w:vAlign w:val="bottom"/>
            <w:tcBorders>
              <w:bottom w:val="single" w:sz="8" w:color="405788"/>
            </w:tcBorders>
          </w:tcPr>
          <w:p>
            <w:pPr>
              <w:jc w:val="right"/>
              <w:ind w:right="279"/>
              <w:spacing w:after="0" w:line="188" w:lineRule="exact"/>
              <w:rPr>
                <w:sz w:val="20"/>
                <w:szCs w:val="20"/>
                <w:color w:val="auto"/>
              </w:rPr>
            </w:pPr>
            <w:r>
              <w:rPr>
                <w:rFonts w:ascii="Arial" w:cs="Arial" w:eastAsia="Arial" w:hAnsi="Arial"/>
                <w:sz w:val="17"/>
                <w:szCs w:val="17"/>
                <w:color w:val="auto"/>
              </w:rPr>
              <w:t>1,884,336</w:t>
            </w:r>
          </w:p>
        </w:tc>
        <w:tc>
          <w:tcPr>
            <w:tcW w:w="2120" w:type="dxa"/>
            <w:vAlign w:val="bottom"/>
            <w:tcBorders>
              <w:bottom w:val="single" w:sz="8" w:color="405788"/>
            </w:tcBorders>
          </w:tcPr>
          <w:p>
            <w:pPr>
              <w:jc w:val="right"/>
              <w:ind w:right="399"/>
              <w:spacing w:after="0" w:line="188" w:lineRule="exact"/>
              <w:rPr>
                <w:sz w:val="20"/>
                <w:szCs w:val="20"/>
                <w:color w:val="auto"/>
              </w:rPr>
            </w:pPr>
            <w:r>
              <w:rPr>
                <w:rFonts w:ascii="Arial" w:cs="Arial" w:eastAsia="Arial" w:hAnsi="Arial"/>
                <w:sz w:val="17"/>
                <w:szCs w:val="17"/>
                <w:color w:val="auto"/>
              </w:rPr>
              <w:t>3,035,964</w:t>
            </w:r>
          </w:p>
        </w:tc>
        <w:tc>
          <w:tcPr>
            <w:tcW w:w="282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2,852,214</w:t>
            </w:r>
          </w:p>
        </w:tc>
      </w:tr>
    </w:tbl>
    <w:p>
      <w:pPr>
        <w:spacing w:after="0" w:line="275" w:lineRule="exact"/>
        <w:rPr>
          <w:sz w:val="20"/>
          <w:szCs w:val="20"/>
          <w:color w:val="auto"/>
        </w:rPr>
      </w:pPr>
    </w:p>
    <w:p>
      <w:pPr>
        <w:ind w:left="300" w:right="40" w:hanging="299"/>
        <w:spacing w:after="0" w:line="255" w:lineRule="auto"/>
        <w:tabs>
          <w:tab w:leader="none" w:pos="3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accelerated vesting of all or part of outstanding RSUs and PRSUs, and stock option awards, is at the discretion of our Compensation Committee in the event of a termination as a result the NEO’s death or disability or an involuntary termination by us without cause or by the executive for good reason. For the purpose of this disclosure, we have assumed that all outstanding RSUs, PRSUs, and stock option awards will be accelerated in such circumstances.</w:t>
      </w:r>
    </w:p>
    <w:p>
      <w:pPr>
        <w:spacing w:after="0" w:line="243"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36</w:t>
      </w:r>
      <w:r>
        <w:rPr>
          <w:sz w:val="20"/>
          <w:szCs w:val="20"/>
          <w:color w:val="auto"/>
        </w:rPr>
        <w:tab/>
      </w:r>
      <w:r>
        <w:rPr>
          <w:sz w:val="1"/>
          <w:szCs w:val="1"/>
          <w:color w:val="auto"/>
        </w:rPr>
        <w:drawing>
          <wp:inline distT="0" distB="0" distL="0" distR="0">
            <wp:extent cx="476250" cy="22225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84" w:lineRule="exact"/>
        <w:rPr>
          <w:sz w:val="20"/>
          <w:szCs w:val="20"/>
          <w:color w:val="auto"/>
        </w:rPr>
      </w:pPr>
    </w:p>
    <w:p>
      <w:pPr>
        <w:ind w:left="300" w:right="40" w:hanging="299"/>
        <w:spacing w:after="0" w:line="246" w:lineRule="auto"/>
        <w:tabs>
          <w:tab w:leader="none" w:pos="3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The accelerated vesting of all or part of outstanding RSUs and PRSUs, and stock option awards, upon a change in control is generally subject to the discretion of our Compensation Committee, except as described in this footnote. Mr. Gleason’s inducement RSUs and stock option awards granted in 2020 and the special retention PRSUs granted to the NEOs in 2023 would vest in the event of a change in control, unless a replacement award is provided in accordance with the applicable award agreement. If such a replacement award is provided, and the NEO is terminated by us without cause (as defined in the applicable award agreement) or by the NEO for good reason (as defined in the applicable award agreement), in each case within a period of two years after the change in control, 100% of the replacement award will become vested. PRSU awards would generally vest in the event of a change in control based on “target” performance, unless a replacement award is provided in accordance with the applicable award agreement. If such a replacement award is provided, and the grantee is terminated by us without cause (as defined in the applicable award agreement) or by the grantee for good reason (as defined in the applicable award agreement), in each case within two years after the change in control, 100% of the replacement award will become vested. For the purposes of this disclosure, we have assumed that all outstanding awards will accelerate and that the named executive officer experiences a qualifying termination of employment on the date of the change in control.</w:t>
      </w:r>
    </w:p>
    <w:p>
      <w:pPr>
        <w:spacing w:after="0" w:line="78" w:lineRule="exact"/>
        <w:rPr>
          <w:rFonts w:ascii="Arial" w:cs="Arial" w:eastAsia="Arial" w:hAnsi="Arial"/>
          <w:sz w:val="15"/>
          <w:szCs w:val="15"/>
          <w:color w:val="auto"/>
        </w:rPr>
      </w:pPr>
    </w:p>
    <w:p>
      <w:pPr>
        <w:ind w:left="300" w:right="20" w:hanging="299"/>
        <w:spacing w:after="0" w:line="249" w:lineRule="auto"/>
        <w:tabs>
          <w:tab w:leader="none" w:pos="3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Under the terms of the Severance Plan, if Mr. Gleason’s employment is terminated by the Company without cause or by Mr. Gleason for good reason during the two-year period following a change in control, he will receive, in addition to certain accrued benefits, a lump sum cash payment equal to the sum of (i) a pro-rata target bonus for the year of termination ($525,326), (ii) 2.0x the sum of his base salary plus target bonus ($1,575,978), plus (iii) $20,000 in lieu of executive outplacement services. No cash amount would be paid solely upon a change in control. If Mr. Gleason’s employment is terminated without cause or for good reason other than during the two-year period following a change in control, then he will receive a lump sum cash payment equal to the sum of (i) a pro-rata target bonus for the year of termination ($525,326), (ii) 2.0x his base salary ($1,050,652), plus (iii) $20,000 in lieu of executive outplacement services.</w:t>
      </w:r>
    </w:p>
    <w:p>
      <w:pPr>
        <w:spacing w:after="0" w:line="72" w:lineRule="exact"/>
        <w:rPr>
          <w:rFonts w:ascii="Arial" w:cs="Arial" w:eastAsia="Arial" w:hAnsi="Arial"/>
          <w:sz w:val="15"/>
          <w:szCs w:val="15"/>
          <w:color w:val="auto"/>
        </w:rPr>
      </w:pPr>
    </w:p>
    <w:p>
      <w:pPr>
        <w:ind w:left="300" w:right="120" w:hanging="299"/>
        <w:spacing w:after="0" w:line="246" w:lineRule="auto"/>
        <w:tabs>
          <w:tab w:leader="none" w:pos="3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Under the terms of the Severance Plan, if Mr. Johansson’s employment is terminated by the Company without cause or by Mr. Johansson for good reason during the two-year period following a change in control, he will receive, in addition to certain accrued benefits, a lump sum cash payment equal to the sum of (i) a pro-rata target bonus for the year of termination ($236,250), (ii) 1.5x the sum of his base salary plus target bonus ($826,876), plus (iii) $20,000 in lieu of executive outplacement services. No cash amount would be paid solely upon a change in control. If Mr. Johansson’s employment is terminated without cause or for good reason other than during the two-year period following a change in control, then he will receive a lump sum cash payment equal to the sum of (i) a pro-rata target bonus for the year of termination ($236,250), (ii)</w:t>
      </w:r>
    </w:p>
    <w:p>
      <w:pPr>
        <w:spacing w:after="0" w:line="3" w:lineRule="exact"/>
        <w:rPr>
          <w:rFonts w:ascii="Arial" w:cs="Arial" w:eastAsia="Arial" w:hAnsi="Arial"/>
          <w:sz w:val="15"/>
          <w:szCs w:val="15"/>
          <w:color w:val="auto"/>
        </w:rPr>
      </w:pPr>
    </w:p>
    <w:p>
      <w:pPr>
        <w:ind w:left="300"/>
        <w:spacing w:after="0"/>
        <w:rPr>
          <w:rFonts w:ascii="Arial" w:cs="Arial" w:eastAsia="Arial" w:hAnsi="Arial"/>
          <w:sz w:val="15"/>
          <w:szCs w:val="15"/>
          <w:color w:val="auto"/>
        </w:rPr>
      </w:pPr>
      <w:r>
        <w:rPr>
          <w:rFonts w:ascii="Arial" w:cs="Arial" w:eastAsia="Arial" w:hAnsi="Arial"/>
          <w:sz w:val="15"/>
          <w:szCs w:val="15"/>
          <w:color w:val="auto"/>
        </w:rPr>
        <w:t>1.5x his base salary ($590,625), plus (iii) $20,000 in lieu of executive outplacement services.</w:t>
      </w:r>
    </w:p>
    <w:p>
      <w:pPr>
        <w:spacing w:after="0" w:line="88" w:lineRule="exact"/>
        <w:rPr>
          <w:rFonts w:ascii="Arial" w:cs="Arial" w:eastAsia="Arial" w:hAnsi="Arial"/>
          <w:sz w:val="15"/>
          <w:szCs w:val="15"/>
          <w:color w:val="auto"/>
        </w:rPr>
      </w:pPr>
    </w:p>
    <w:p>
      <w:pPr>
        <w:ind w:left="300" w:right="40" w:hanging="299"/>
        <w:spacing w:after="0" w:line="249" w:lineRule="auto"/>
        <w:tabs>
          <w:tab w:leader="none" w:pos="3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Under the terms of the Severance Plan, if Ms. Watkins-Asiyanbi’s employment is terminated by the Company without cause or by Ms. Watkins-Asiyanbi for good reason during the two-year period following a change in control, she will receive, in addition to certain accrued benefits, a lump sum cash payment equal to the sum of (i) a pro-rata target bonus for the year of termination ($183,750), (ii) 1.5x the sum of her base salary plus target bonus ($735,000), plus (iii) $20,000 in lieu of executive outplacement services. No cash amount would be paid solely upon a change in control. If Ms. Watkins-Asiyanbi’s employment is terminated without cause or for good reason other than during the two-year period following a change in control, then she will receive a lump sum cash payment equal to the sum of (i) a pro-rata target bonus for the year of termination ($183,750), (ii) 1.5x her base salary ($551,250), plus (iii) $20,000 in lieu of executive outplacement services.</w:t>
      </w:r>
    </w:p>
    <w:p>
      <w:pPr>
        <w:spacing w:after="0" w:line="172" w:lineRule="exact"/>
        <w:rPr>
          <w:rFonts w:ascii="Arial" w:cs="Arial" w:eastAsia="Arial" w:hAnsi="Arial"/>
          <w:sz w:val="15"/>
          <w:szCs w:val="15"/>
          <w:color w:val="auto"/>
        </w:rPr>
      </w:pPr>
    </w:p>
    <w:p>
      <w:pPr>
        <w:ind w:left="300" w:right="340" w:hanging="299"/>
        <w:spacing w:after="0" w:line="278" w:lineRule="auto"/>
        <w:tabs>
          <w:tab w:leader="none" w:pos="3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Represents the value of the portion of the COBRA premium that the Company would cover for 18 months following termination of the NEO’s employment without cause or for good reason if the NEO elects COBRA continuation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467995</wp:posOffset>
            </wp:positionV>
            <wp:extent cx="483870" cy="2222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Chief Executive Officer Pay Ratio</w:t>
      </w:r>
    </w:p>
    <w:p>
      <w:pPr>
        <w:spacing w:after="0" w:line="9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For 2023, the ratio of the annual total compensation of Mr. Gleason, our CEO (“CEO Compensation”), to the median of the annual total compensation of all our employees and those of our consolidated subsidiaries (other than our CEO) (“Median Annual Compensation”) was approximately 97 to 1. We note that due to our permitted use of reasonable estimates and assumptions in preparing this pay ratio disclosure, the disclosure may involve a degree of imprecision. Accordingly, this pay ratio disclosure is a reasonable estimate calculated in a manner consistent with SEC rules (Item 402(u) of Regulation S-K), using the data and assumptions described below. We refer to the employee who received the Median Annual Compensation as the “Median Employee.”</w:t>
      </w:r>
    </w:p>
    <w:p>
      <w:pPr>
        <w:spacing w:after="0" w:line="6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For purposes of this pay ratio disclosure, CEO Compensation was determined to be $5,577,976, which represents the total 2023 compensation reported for Mr. Gleason, as set forth above in the 2023 Summary Compensation Table. For purposes of this pay ratio disclosure, Median Annual Compensation was determined to be $57,325 and was calculated using the same methodology we used for our named executive officers in the 2023 Summary Compensation Table.</w:t>
      </w:r>
    </w:p>
    <w:p>
      <w:pPr>
        <w:spacing w:after="0" w:line="7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Under SEC rules, we are permitted to use the same Median Employee that we identified for 2022 as our Median Employee for 2023, as we had no significant changes to our employee population or compensation programs that we believe could have a significant impact on our pay ratio disclosure. We note that during 2023, we acquired 160 new employees from our acquisition of Wakefield Acoustics, Ltd, Transcend Solutions, LLC, and Kemco Systems, Co. LLC which we excluded from the foregoing consideration, as permitted by SEC rules. We identified our Median Employee in 2022 using our global employee population as described below, as of December 31, 2022 (the “Determination Date”). In total, our workforce consisted of 954 U.S. and non-U.S. employees, representing all full-time, part-time, seasonal, and temporary employees for us and our consolidated subsidiaries as of our Determination Date (except as described below and other than for our CEO). This number does not include any independent contractors or “leased” workers, as permitted by the applicable SEC rules. This number excludes 29 non-U.S. employees (consisting of 29 employees in South Korea, or collectively approximately 3% of our total workforce of 983 employees), which we excluded from consideration under the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exception in the SEC rules.</w:t>
      </w:r>
    </w:p>
    <w:p>
      <w:pPr>
        <w:spacing w:after="0" w:line="17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To identify the Median Employee, we measured cash compensation (as described below) for the period beginning on January 1, 2022, and ending on December 31, 2022. The cash compensation measurement was calculated by totaling, for each employee, the following cash compensation elements: salary, wages, commissions, bonuses, and certain cash perquisites (such as moving allowance and automobile allowances). This cash compensation represents the consistently applied compensation measure that we used for our pay ratio determination. Specifically excluded from the consistently applied compensation measure were equity awards and company contributions to 401(k) plans. Further, we did not utilize any statistical sampling, cost-of-living adjustments or other annualizations for purposes of this pay ratio disclosure.</w:t>
      </w:r>
    </w:p>
    <w:p>
      <w:pPr>
        <w:spacing w:after="0" w:line="200" w:lineRule="exact"/>
        <w:rPr>
          <w:sz w:val="20"/>
          <w:szCs w:val="20"/>
          <w:color w:val="auto"/>
        </w:rPr>
      </w:pPr>
    </w:p>
    <w:p>
      <w:pPr>
        <w:spacing w:after="0" w:line="341"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38</w:t>
      </w:r>
      <w:r>
        <w:rPr>
          <w:sz w:val="20"/>
          <w:szCs w:val="20"/>
          <w:color w:val="auto"/>
        </w:rPr>
        <w:tab/>
      </w:r>
      <w:r>
        <w:rPr>
          <w:sz w:val="1"/>
          <w:szCs w:val="1"/>
          <w:color w:val="auto"/>
        </w:rPr>
        <w:drawing>
          <wp:inline distT="0" distB="0" distL="0" distR="0">
            <wp:extent cx="476250" cy="22225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Pay Versus Performance</w:t>
      </w:r>
    </w:p>
    <w:p>
      <w:pPr>
        <w:spacing w:after="0" w:line="192"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As required by Item 402(v) of Regulation S-K, we are providing the following information regarding the relationship between executive compensation and our financial performance for each of the last two completed calendar years. In determining the compensation actually paid (“CAP”) to our NEOs, we are required to make various adjustments to amounts that have been previously reported in the Summary Compensation Table (“SCT”) in previous years, as the SEC’s valuation methods for this section differ from those required in the SCT.</w:t>
      </w:r>
    </w:p>
    <w:p>
      <w:pPr>
        <w:spacing w:after="0" w:line="160"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The table below summarizes compensation values both previously reported in our SCT, as well as the adjusted values required in this section for fiscal years 2021, 2022 and 2023. Note that for our NEOs other than our principal executive officer (the “PEO”), compensation is reported as an average.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20" w:type="dxa"/>
            <w:vAlign w:val="bottom"/>
            <w:gridSpan w:val="2"/>
          </w:tcPr>
          <w:p>
            <w:pPr>
              <w:spacing w:after="0"/>
              <w:rPr>
                <w:sz w:val="20"/>
                <w:szCs w:val="20"/>
                <w:color w:val="auto"/>
              </w:rPr>
            </w:pPr>
            <w:r>
              <w:rPr>
                <w:rFonts w:ascii="Arial" w:cs="Arial" w:eastAsia="Arial" w:hAnsi="Arial"/>
                <w:sz w:val="13"/>
                <w:szCs w:val="13"/>
                <w:b w:val="1"/>
                <w:bCs w:val="1"/>
                <w:color w:val="auto"/>
              </w:rPr>
              <w:t>PEO</w:t>
            </w:r>
          </w:p>
        </w:tc>
        <w:tc>
          <w:tcPr>
            <w:tcW w:w="3200" w:type="dxa"/>
            <w:vAlign w:val="bottom"/>
            <w:gridSpan w:val="3"/>
          </w:tcPr>
          <w:p>
            <w:pPr>
              <w:ind w:left="1000"/>
              <w:spacing w:after="0"/>
              <w:rPr>
                <w:sz w:val="20"/>
                <w:szCs w:val="20"/>
                <w:color w:val="auto"/>
              </w:rPr>
            </w:pPr>
            <w:r>
              <w:rPr>
                <w:rFonts w:ascii="Arial" w:cs="Arial" w:eastAsia="Arial" w:hAnsi="Arial"/>
                <w:sz w:val="13"/>
                <w:szCs w:val="13"/>
                <w:b w:val="1"/>
                <w:bCs w:val="1"/>
                <w:color w:val="auto"/>
              </w:rPr>
              <w:t>Non-PEO NEOs</w:t>
            </w:r>
          </w:p>
        </w:tc>
        <w:tc>
          <w:tcPr>
            <w:tcW w:w="2740" w:type="dxa"/>
            <w:vAlign w:val="bottom"/>
            <w:gridSpan w:val="3"/>
          </w:tcPr>
          <w:p>
            <w:pPr>
              <w:ind w:left="940"/>
              <w:spacing w:after="0"/>
              <w:rPr>
                <w:sz w:val="20"/>
                <w:szCs w:val="20"/>
                <w:color w:val="auto"/>
              </w:rPr>
            </w:pPr>
            <w:r>
              <w:rPr>
                <w:rFonts w:ascii="Arial" w:cs="Arial" w:eastAsia="Arial" w:hAnsi="Arial"/>
                <w:sz w:val="13"/>
                <w:szCs w:val="13"/>
                <w:b w:val="1"/>
                <w:bCs w:val="1"/>
                <w:color w:val="auto"/>
              </w:rPr>
              <w:t>Performance</w:t>
            </w:r>
          </w:p>
        </w:tc>
      </w:tr>
      <w:tr>
        <w:trPr>
          <w:trHeight w:val="292"/>
        </w:trPr>
        <w:tc>
          <w:tcPr>
            <w:tcW w:w="1260" w:type="dxa"/>
            <w:vAlign w:val="bottom"/>
          </w:tcPr>
          <w:p>
            <w:pPr>
              <w:spacing w:after="0"/>
              <w:rPr>
                <w:sz w:val="24"/>
                <w:szCs w:val="24"/>
                <w:color w:val="auto"/>
              </w:rPr>
            </w:pPr>
          </w:p>
        </w:tc>
        <w:tc>
          <w:tcPr>
            <w:tcW w:w="1100" w:type="dxa"/>
            <w:vAlign w:val="bottom"/>
            <w:tcBorders>
              <w:top w:val="single" w:sz="8" w:color="405788"/>
            </w:tcBorders>
          </w:tcPr>
          <w:p>
            <w:pPr>
              <w:spacing w:after="0"/>
              <w:rPr>
                <w:sz w:val="24"/>
                <w:szCs w:val="24"/>
                <w:color w:val="auto"/>
              </w:rPr>
            </w:pPr>
          </w:p>
        </w:tc>
        <w:tc>
          <w:tcPr>
            <w:tcW w:w="1380" w:type="dxa"/>
            <w:vAlign w:val="bottom"/>
            <w:tcBorders>
              <w:top w:val="single" w:sz="8" w:color="405788"/>
            </w:tcBorders>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Borders>
              <w:top w:val="single" w:sz="8" w:color="405788"/>
            </w:tcBorders>
          </w:tcPr>
          <w:p>
            <w:pPr>
              <w:jc w:val="right"/>
              <w:ind w:right="149"/>
              <w:spacing w:after="0"/>
              <w:rPr>
                <w:sz w:val="20"/>
                <w:szCs w:val="20"/>
                <w:color w:val="auto"/>
              </w:rPr>
            </w:pPr>
            <w:r>
              <w:rPr>
                <w:rFonts w:ascii="Arial" w:cs="Arial" w:eastAsia="Arial" w:hAnsi="Arial"/>
                <w:sz w:val="13"/>
                <w:szCs w:val="13"/>
                <w:b w:val="1"/>
                <w:bCs w:val="1"/>
                <w:color w:val="auto"/>
              </w:rPr>
              <w:t>Average</w:t>
            </w:r>
          </w:p>
        </w:tc>
        <w:tc>
          <w:tcPr>
            <w:tcW w:w="1460" w:type="dxa"/>
            <w:vAlign w:val="bottom"/>
            <w:tcBorders>
              <w:top w:val="single" w:sz="8" w:color="405788"/>
            </w:tcBorders>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Borders>
              <w:top w:val="single" w:sz="8" w:color="405788"/>
            </w:tcBorders>
          </w:tcPr>
          <w:p>
            <w:pPr>
              <w:jc w:val="right"/>
              <w:ind w:right="169"/>
              <w:spacing w:after="0"/>
              <w:rPr>
                <w:sz w:val="20"/>
                <w:szCs w:val="20"/>
                <w:color w:val="auto"/>
              </w:rPr>
            </w:pPr>
            <w:r>
              <w:rPr>
                <w:rFonts w:ascii="Arial" w:cs="Arial" w:eastAsia="Arial" w:hAnsi="Arial"/>
                <w:sz w:val="13"/>
                <w:szCs w:val="13"/>
                <w:b w:val="1"/>
                <w:bCs w:val="1"/>
                <w:color w:val="auto"/>
              </w:rPr>
              <w:t>Value of Initial</w:t>
            </w:r>
          </w:p>
        </w:tc>
        <w:tc>
          <w:tcPr>
            <w:tcW w:w="1160" w:type="dxa"/>
            <w:vAlign w:val="bottom"/>
            <w:tcBorders>
              <w:top w:val="single" w:sz="8" w:color="405788"/>
            </w:tcBorders>
          </w:tcPr>
          <w:p>
            <w:pPr>
              <w:spacing w:after="0"/>
              <w:rPr>
                <w:sz w:val="24"/>
                <w:szCs w:val="24"/>
                <w:color w:val="auto"/>
              </w:rPr>
            </w:pPr>
          </w:p>
        </w:tc>
        <w:tc>
          <w:tcPr>
            <w:tcW w:w="60" w:type="dxa"/>
            <w:vAlign w:val="bottom"/>
          </w:tcPr>
          <w:p>
            <w:pPr>
              <w:spacing w:after="0"/>
              <w:rPr>
                <w:sz w:val="24"/>
                <w:szCs w:val="24"/>
                <w:color w:val="auto"/>
              </w:rPr>
            </w:pPr>
          </w:p>
        </w:tc>
      </w:tr>
      <w:tr>
        <w:trPr>
          <w:trHeight w:val="150"/>
        </w:trPr>
        <w:tc>
          <w:tcPr>
            <w:tcW w:w="1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149"/>
              <w:spacing w:after="0"/>
              <w:rPr>
                <w:sz w:val="20"/>
                <w:szCs w:val="20"/>
                <w:color w:val="auto"/>
              </w:rPr>
            </w:pPr>
            <w:r>
              <w:rPr>
                <w:rFonts w:ascii="Arial" w:cs="Arial" w:eastAsia="Arial" w:hAnsi="Arial"/>
                <w:sz w:val="13"/>
                <w:szCs w:val="13"/>
                <w:b w:val="1"/>
                <w:bCs w:val="1"/>
                <w:color w:val="auto"/>
              </w:rPr>
              <w:t>Summary</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Average</w:t>
            </w:r>
          </w:p>
        </w:tc>
        <w:tc>
          <w:tcPr>
            <w:tcW w:w="1520" w:type="dxa"/>
            <w:vAlign w:val="bottom"/>
          </w:tcPr>
          <w:p>
            <w:pPr>
              <w:jc w:val="right"/>
              <w:ind w:right="169"/>
              <w:spacing w:after="0"/>
              <w:rPr>
                <w:sz w:val="20"/>
                <w:szCs w:val="20"/>
                <w:color w:val="auto"/>
              </w:rPr>
            </w:pPr>
            <w:r>
              <w:rPr>
                <w:rFonts w:ascii="Arial" w:cs="Arial" w:eastAsia="Arial" w:hAnsi="Arial"/>
                <w:sz w:val="13"/>
                <w:szCs w:val="13"/>
                <w:b w:val="1"/>
                <w:bCs w:val="1"/>
                <w:color w:val="auto"/>
              </w:rPr>
              <w:t>Fixed $100</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1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Summary</w:t>
            </w: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149"/>
              <w:spacing w:after="0"/>
              <w:rPr>
                <w:sz w:val="20"/>
                <w:szCs w:val="20"/>
                <w:color w:val="auto"/>
              </w:rPr>
            </w:pPr>
            <w:r>
              <w:rPr>
                <w:rFonts w:ascii="Arial" w:cs="Arial" w:eastAsia="Arial" w:hAnsi="Arial"/>
                <w:sz w:val="13"/>
                <w:szCs w:val="13"/>
                <w:b w:val="1"/>
                <w:bCs w:val="1"/>
                <w:color w:val="auto"/>
              </w:rPr>
              <w:t>Compensation</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Compensation</w:t>
            </w:r>
          </w:p>
        </w:tc>
        <w:tc>
          <w:tcPr>
            <w:tcW w:w="1520" w:type="dxa"/>
            <w:vAlign w:val="bottom"/>
          </w:tcPr>
          <w:p>
            <w:pPr>
              <w:jc w:val="right"/>
              <w:ind w:right="169"/>
              <w:spacing w:after="0"/>
              <w:rPr>
                <w:sz w:val="20"/>
                <w:szCs w:val="20"/>
                <w:color w:val="auto"/>
              </w:rPr>
            </w:pPr>
            <w:r>
              <w:rPr>
                <w:rFonts w:ascii="Arial" w:cs="Arial" w:eastAsia="Arial" w:hAnsi="Arial"/>
                <w:sz w:val="13"/>
                <w:szCs w:val="13"/>
                <w:b w:val="1"/>
                <w:bCs w:val="1"/>
                <w:color w:val="auto"/>
              </w:rPr>
              <w:t>Investment</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1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Compensation</w:t>
            </w:r>
          </w:p>
        </w:tc>
        <w:tc>
          <w:tcPr>
            <w:tcW w:w="16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Compensation</w:t>
            </w:r>
          </w:p>
        </w:tc>
        <w:tc>
          <w:tcPr>
            <w:tcW w:w="1520" w:type="dxa"/>
            <w:vAlign w:val="bottom"/>
          </w:tcPr>
          <w:p>
            <w:pPr>
              <w:jc w:val="right"/>
              <w:ind w:right="149"/>
              <w:spacing w:after="0"/>
              <w:rPr>
                <w:sz w:val="20"/>
                <w:szCs w:val="20"/>
                <w:color w:val="auto"/>
              </w:rPr>
            </w:pPr>
            <w:r>
              <w:rPr>
                <w:rFonts w:ascii="Arial" w:cs="Arial" w:eastAsia="Arial" w:hAnsi="Arial"/>
                <w:sz w:val="13"/>
                <w:szCs w:val="13"/>
                <w:b w:val="1"/>
                <w:bCs w:val="1"/>
                <w:color w:val="auto"/>
              </w:rPr>
              <w:t>Table Total for</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Actually Paid to</w:t>
            </w:r>
          </w:p>
        </w:tc>
        <w:tc>
          <w:tcPr>
            <w:tcW w:w="1520" w:type="dxa"/>
            <w:vAlign w:val="bottom"/>
          </w:tcPr>
          <w:p>
            <w:pPr>
              <w:jc w:val="right"/>
              <w:ind w:right="169"/>
              <w:spacing w:after="0"/>
              <w:rPr>
                <w:sz w:val="20"/>
                <w:szCs w:val="20"/>
                <w:color w:val="auto"/>
              </w:rPr>
            </w:pPr>
            <w:r>
              <w:rPr>
                <w:rFonts w:ascii="Arial" w:cs="Arial" w:eastAsia="Arial" w:hAnsi="Arial"/>
                <w:sz w:val="13"/>
                <w:szCs w:val="13"/>
                <w:b w:val="1"/>
                <w:bCs w:val="1"/>
                <w:color w:val="auto"/>
              </w:rPr>
              <w:t>Based on</w:t>
            </w: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0"/>
        </w:trPr>
        <w:tc>
          <w:tcPr>
            <w:tcW w:w="12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b w:val="1"/>
                <w:bCs w:val="1"/>
                <w:color w:val="auto"/>
              </w:rPr>
              <w:t>Table Total for</w:t>
            </w:r>
          </w:p>
        </w:tc>
        <w:tc>
          <w:tcPr>
            <w:tcW w:w="16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Actually Paid to</w:t>
            </w:r>
          </w:p>
        </w:tc>
        <w:tc>
          <w:tcPr>
            <w:tcW w:w="1520" w:type="dxa"/>
            <w:vAlign w:val="bottom"/>
          </w:tcPr>
          <w:p>
            <w:pPr>
              <w:jc w:val="right"/>
              <w:ind w:right="149"/>
              <w:spacing w:after="0"/>
              <w:rPr>
                <w:sz w:val="20"/>
                <w:szCs w:val="20"/>
                <w:color w:val="auto"/>
              </w:rPr>
            </w:pPr>
            <w:r>
              <w:rPr>
                <w:rFonts w:ascii="Arial" w:cs="Arial" w:eastAsia="Arial" w:hAnsi="Arial"/>
                <w:sz w:val="13"/>
                <w:szCs w:val="13"/>
                <w:b w:val="1"/>
                <w:bCs w:val="1"/>
                <w:color w:val="auto"/>
              </w:rPr>
              <w:t>Non-PEO Named</w:t>
            </w:r>
          </w:p>
        </w:tc>
        <w:tc>
          <w:tcPr>
            <w:tcW w:w="1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Non-PEO Named</w:t>
            </w:r>
          </w:p>
        </w:tc>
        <w:tc>
          <w:tcPr>
            <w:tcW w:w="1520" w:type="dxa"/>
            <w:vAlign w:val="bottom"/>
          </w:tcPr>
          <w:p>
            <w:pPr>
              <w:jc w:val="right"/>
              <w:ind w:right="169"/>
              <w:spacing w:after="0"/>
              <w:rPr>
                <w:sz w:val="20"/>
                <w:szCs w:val="20"/>
                <w:color w:val="auto"/>
              </w:rPr>
            </w:pPr>
            <w:r>
              <w:rPr>
                <w:rFonts w:ascii="Arial" w:cs="Arial" w:eastAsia="Arial" w:hAnsi="Arial"/>
                <w:sz w:val="13"/>
                <w:szCs w:val="13"/>
                <w:b w:val="1"/>
                <w:bCs w:val="1"/>
                <w:color w:val="auto"/>
              </w:rPr>
              <w:t>Total Shareholder</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Net Income</w:t>
            </w:r>
          </w:p>
        </w:tc>
      </w:tr>
      <w:tr>
        <w:trPr>
          <w:trHeight w:val="133"/>
        </w:trPr>
        <w:tc>
          <w:tcPr>
            <w:tcW w:w="1260" w:type="dxa"/>
            <w:vAlign w:val="bottom"/>
          </w:tcPr>
          <w:p>
            <w:pPr>
              <w:spacing w:after="0"/>
              <w:rPr>
                <w:sz w:val="11"/>
                <w:szCs w:val="11"/>
                <w:color w:val="auto"/>
              </w:rPr>
            </w:pPr>
          </w:p>
        </w:tc>
        <w:tc>
          <w:tcPr>
            <w:tcW w:w="110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PEO</w:t>
            </w:r>
          </w:p>
        </w:tc>
        <w:tc>
          <w:tcPr>
            <w:tcW w:w="1620" w:type="dxa"/>
            <w:vAlign w:val="bottom"/>
            <w:gridSpan w:val="2"/>
          </w:tcPr>
          <w:p>
            <w:pPr>
              <w:jc w:val="right"/>
              <w:ind w:right="300"/>
              <w:spacing w:after="0" w:line="133" w:lineRule="exact"/>
              <w:rPr>
                <w:sz w:val="20"/>
                <w:szCs w:val="20"/>
                <w:color w:val="auto"/>
              </w:rPr>
            </w:pPr>
            <w:r>
              <w:rPr>
                <w:rFonts w:ascii="Arial" w:cs="Arial" w:eastAsia="Arial" w:hAnsi="Arial"/>
                <w:sz w:val="13"/>
                <w:szCs w:val="13"/>
                <w:b w:val="1"/>
                <w:bCs w:val="1"/>
                <w:color w:val="auto"/>
              </w:rPr>
              <w:t>PEO</w:t>
            </w:r>
          </w:p>
        </w:tc>
        <w:tc>
          <w:tcPr>
            <w:tcW w:w="1520" w:type="dxa"/>
            <w:vAlign w:val="bottom"/>
          </w:tcPr>
          <w:p>
            <w:pPr>
              <w:jc w:val="right"/>
              <w:ind w:right="149"/>
              <w:spacing w:after="0" w:line="133" w:lineRule="exact"/>
              <w:rPr>
                <w:sz w:val="20"/>
                <w:szCs w:val="20"/>
                <w:color w:val="auto"/>
              </w:rPr>
            </w:pPr>
            <w:r>
              <w:rPr>
                <w:rFonts w:ascii="Arial" w:cs="Arial" w:eastAsia="Arial" w:hAnsi="Arial"/>
                <w:sz w:val="13"/>
                <w:szCs w:val="13"/>
                <w:b w:val="1"/>
                <w:bCs w:val="1"/>
                <w:color w:val="auto"/>
              </w:rPr>
              <w:t>Executive Officers</w:t>
            </w:r>
          </w:p>
        </w:tc>
        <w:tc>
          <w:tcPr>
            <w:tcW w:w="1680" w:type="dxa"/>
            <w:vAlign w:val="bottom"/>
            <w:gridSpan w:val="2"/>
          </w:tcPr>
          <w:p>
            <w:pPr>
              <w:jc w:val="right"/>
              <w:ind w:right="280"/>
              <w:spacing w:after="0" w:line="133" w:lineRule="exact"/>
              <w:rPr>
                <w:sz w:val="20"/>
                <w:szCs w:val="20"/>
                <w:color w:val="auto"/>
              </w:rPr>
            </w:pPr>
            <w:r>
              <w:rPr>
                <w:rFonts w:ascii="Arial" w:cs="Arial" w:eastAsia="Arial" w:hAnsi="Arial"/>
                <w:sz w:val="13"/>
                <w:szCs w:val="13"/>
                <w:b w:val="1"/>
                <w:bCs w:val="1"/>
                <w:color w:val="auto"/>
              </w:rPr>
              <w:t>Executive Officers</w:t>
            </w:r>
          </w:p>
        </w:tc>
        <w:tc>
          <w:tcPr>
            <w:tcW w:w="1520" w:type="dxa"/>
            <w:vAlign w:val="bottom"/>
          </w:tcPr>
          <w:p>
            <w:pPr>
              <w:jc w:val="right"/>
              <w:ind w:right="169"/>
              <w:spacing w:after="0" w:line="133" w:lineRule="exact"/>
              <w:rPr>
                <w:sz w:val="20"/>
                <w:szCs w:val="20"/>
                <w:color w:val="auto"/>
              </w:rPr>
            </w:pPr>
            <w:r>
              <w:rPr>
                <w:rFonts w:ascii="Arial" w:cs="Arial" w:eastAsia="Arial" w:hAnsi="Arial"/>
                <w:sz w:val="13"/>
                <w:szCs w:val="13"/>
                <w:b w:val="1"/>
                <w:bCs w:val="1"/>
                <w:color w:val="auto"/>
              </w:rPr>
              <w:t>Return</w:t>
            </w:r>
          </w:p>
        </w:tc>
        <w:tc>
          <w:tcPr>
            <w:tcW w:w="1220" w:type="dxa"/>
            <w:vAlign w:val="bottom"/>
            <w:gridSpan w:val="2"/>
          </w:tcPr>
          <w:p>
            <w:pPr>
              <w:jc w:val="right"/>
              <w:ind w:right="120"/>
              <w:spacing w:after="0" w:line="133" w:lineRule="exact"/>
              <w:rPr>
                <w:sz w:val="20"/>
                <w:szCs w:val="20"/>
                <w:color w:val="auto"/>
              </w:rPr>
            </w:pPr>
            <w:r>
              <w:rPr>
                <w:rFonts w:ascii="Arial" w:cs="Arial" w:eastAsia="Arial" w:hAnsi="Arial"/>
                <w:sz w:val="13"/>
                <w:szCs w:val="13"/>
                <w:b w:val="1"/>
                <w:bCs w:val="1"/>
                <w:color w:val="auto"/>
              </w:rPr>
              <w:t>(in thousands)</w:t>
            </w:r>
          </w:p>
        </w:tc>
      </w:tr>
      <w:tr>
        <w:trPr>
          <w:trHeight w:val="180"/>
        </w:trPr>
        <w:tc>
          <w:tcPr>
            <w:tcW w:w="1260" w:type="dxa"/>
            <w:vAlign w:val="bottom"/>
            <w:tcBorders>
              <w:bottom w:val="single" w:sz="8" w:color="405788"/>
            </w:tcBorders>
          </w:tcPr>
          <w:p>
            <w:pPr>
              <w:jc w:val="center"/>
              <w:ind w:right="181"/>
              <w:spacing w:after="0"/>
              <w:rPr>
                <w:sz w:val="20"/>
                <w:szCs w:val="20"/>
                <w:color w:val="auto"/>
              </w:rPr>
            </w:pPr>
            <w:r>
              <w:rPr>
                <w:rFonts w:ascii="Arial" w:cs="Arial" w:eastAsia="Arial" w:hAnsi="Arial"/>
                <w:sz w:val="13"/>
                <w:szCs w:val="13"/>
                <w:b w:val="1"/>
                <w:bCs w:val="1"/>
                <w:color w:val="auto"/>
                <w:w w:val="99"/>
              </w:rPr>
              <w:t>Year</w:t>
            </w:r>
          </w:p>
        </w:tc>
        <w:tc>
          <w:tcPr>
            <w:tcW w:w="1100" w:type="dxa"/>
            <w:vAlign w:val="bottom"/>
            <w:tcBorders>
              <w:bottom w:val="single" w:sz="8" w:color="405788"/>
            </w:tcBorders>
          </w:tcPr>
          <w:p>
            <w:pPr>
              <w:jc w:val="right"/>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1</w:t>
            </w:r>
          </w:p>
        </w:tc>
        <w:tc>
          <w:tcPr>
            <w:tcW w:w="138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405788"/>
            </w:tcBorders>
          </w:tcPr>
          <w:p>
            <w:pPr>
              <w:spacing w:after="0"/>
              <w:rPr>
                <w:sz w:val="15"/>
                <w:szCs w:val="15"/>
                <w:color w:val="auto"/>
              </w:rPr>
            </w:pPr>
          </w:p>
        </w:tc>
        <w:tc>
          <w:tcPr>
            <w:tcW w:w="1520" w:type="dxa"/>
            <w:vAlign w:val="bottom"/>
            <w:tcBorders>
              <w:bottom w:val="single" w:sz="8" w:color="405788"/>
            </w:tcBorders>
          </w:tcPr>
          <w:p>
            <w:pPr>
              <w:jc w:val="right"/>
              <w:ind w:right="149"/>
              <w:spacing w:after="0"/>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405788"/>
            </w:tcBorders>
          </w:tcPr>
          <w:p>
            <w:pPr>
              <w:spacing w:after="0"/>
              <w:rPr>
                <w:sz w:val="15"/>
                <w:szCs w:val="15"/>
                <w:color w:val="auto"/>
              </w:rPr>
            </w:pPr>
          </w:p>
        </w:tc>
        <w:tc>
          <w:tcPr>
            <w:tcW w:w="1520" w:type="dxa"/>
            <w:vAlign w:val="bottom"/>
            <w:tcBorders>
              <w:bottom w:val="single" w:sz="8" w:color="405788"/>
            </w:tcBorders>
          </w:tcPr>
          <w:p>
            <w:pPr>
              <w:jc w:val="right"/>
              <w:ind w:right="129"/>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2</w:t>
            </w:r>
          </w:p>
        </w:tc>
        <w:tc>
          <w:tcPr>
            <w:tcW w:w="1220" w:type="dxa"/>
            <w:vAlign w:val="bottom"/>
            <w:tcBorders>
              <w:bottom w:val="single" w:sz="8" w:color="405788"/>
            </w:tcBorders>
            <w:gridSpan w:val="2"/>
          </w:tcPr>
          <w:p>
            <w:pPr>
              <w:jc w:val="right"/>
              <w:ind w:right="60"/>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9"/>
                <w:szCs w:val="19"/>
                <w:b w:val="1"/>
                <w:bCs w:val="1"/>
                <w:color w:val="auto"/>
                <w:vertAlign w:val="superscript"/>
              </w:rPr>
              <w:t>3</w:t>
            </w:r>
          </w:p>
        </w:tc>
      </w:tr>
      <w:tr>
        <w:trPr>
          <w:trHeight w:val="192"/>
        </w:trPr>
        <w:tc>
          <w:tcPr>
            <w:tcW w:w="1260" w:type="dxa"/>
            <w:vAlign w:val="bottom"/>
            <w:tcBorders>
              <w:bottom w:val="single" w:sz="8" w:color="D9D9D9"/>
            </w:tcBorders>
          </w:tcPr>
          <w:p>
            <w:pPr>
              <w:jc w:val="center"/>
              <w:ind w:right="161"/>
              <w:spacing w:after="0" w:line="188" w:lineRule="exact"/>
              <w:rPr>
                <w:sz w:val="20"/>
                <w:szCs w:val="20"/>
                <w:color w:val="auto"/>
              </w:rPr>
            </w:pPr>
            <w:r>
              <w:rPr>
                <w:rFonts w:ascii="Arial" w:cs="Arial" w:eastAsia="Arial" w:hAnsi="Arial"/>
                <w:sz w:val="17"/>
                <w:szCs w:val="17"/>
                <w:color w:val="auto"/>
              </w:rPr>
              <w:t>2023</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5,579,467</w:t>
            </w:r>
          </w:p>
        </w:tc>
        <w:tc>
          <w:tcPr>
            <w:tcW w:w="13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16,588,667</w:t>
            </w:r>
          </w:p>
        </w:tc>
        <w:tc>
          <w:tcPr>
            <w:tcW w:w="240" w:type="dxa"/>
            <w:vAlign w:val="bottom"/>
            <w:tcBorders>
              <w:bottom w:val="single" w:sz="8" w:color="D9D9D9"/>
            </w:tcBorders>
          </w:tcPr>
          <w:p>
            <w:pPr>
              <w:spacing w:after="0"/>
              <w:rPr>
                <w:sz w:val="16"/>
                <w:szCs w:val="16"/>
                <w:color w:val="auto"/>
              </w:rPr>
            </w:pPr>
          </w:p>
        </w:tc>
        <w:tc>
          <w:tcPr>
            <w:tcW w:w="1520" w:type="dxa"/>
            <w:vAlign w:val="bottom"/>
            <w:tcBorders>
              <w:bottom w:val="single" w:sz="8" w:color="D9D9D9"/>
            </w:tcBorders>
          </w:tcPr>
          <w:p>
            <w:pPr>
              <w:jc w:val="right"/>
              <w:ind w:right="149"/>
              <w:spacing w:after="0" w:line="188" w:lineRule="exact"/>
              <w:rPr>
                <w:sz w:val="20"/>
                <w:szCs w:val="20"/>
                <w:color w:val="auto"/>
              </w:rPr>
            </w:pPr>
            <w:r>
              <w:rPr>
                <w:rFonts w:ascii="Arial" w:cs="Arial" w:eastAsia="Arial" w:hAnsi="Arial"/>
                <w:sz w:val="17"/>
                <w:szCs w:val="17"/>
                <w:color w:val="auto"/>
              </w:rPr>
              <w:t>1,802,228</w:t>
            </w:r>
          </w:p>
        </w:tc>
        <w:tc>
          <w:tcPr>
            <w:tcW w:w="14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3,152,819</w:t>
            </w:r>
          </w:p>
        </w:tc>
        <w:tc>
          <w:tcPr>
            <w:tcW w:w="220" w:type="dxa"/>
            <w:vAlign w:val="bottom"/>
            <w:tcBorders>
              <w:bottom w:val="single" w:sz="8" w:color="D9D9D9"/>
            </w:tcBorders>
          </w:tcPr>
          <w:p>
            <w:pPr>
              <w:spacing w:after="0"/>
              <w:rPr>
                <w:sz w:val="16"/>
                <w:szCs w:val="16"/>
                <w:color w:val="auto"/>
              </w:rPr>
            </w:pPr>
          </w:p>
        </w:tc>
        <w:tc>
          <w:tcPr>
            <w:tcW w:w="1520" w:type="dxa"/>
            <w:vAlign w:val="bottom"/>
            <w:tcBorders>
              <w:bottom w:val="single" w:sz="8" w:color="D9D9D9"/>
            </w:tcBorders>
          </w:tcPr>
          <w:p>
            <w:pPr>
              <w:jc w:val="right"/>
              <w:ind w:right="169"/>
              <w:spacing w:after="0" w:line="188" w:lineRule="exact"/>
              <w:rPr>
                <w:sz w:val="20"/>
                <w:szCs w:val="20"/>
                <w:color w:val="auto"/>
              </w:rPr>
            </w:pPr>
            <w:r>
              <w:rPr>
                <w:rFonts w:ascii="Arial" w:cs="Arial" w:eastAsia="Arial" w:hAnsi="Arial"/>
                <w:sz w:val="17"/>
                <w:szCs w:val="17"/>
                <w:color w:val="auto"/>
              </w:rPr>
              <w:t>325.52</w:t>
            </w:r>
          </w:p>
        </w:tc>
        <w:tc>
          <w:tcPr>
            <w:tcW w:w="11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12,911</w:t>
            </w:r>
          </w:p>
        </w:tc>
        <w:tc>
          <w:tcPr>
            <w:tcW w:w="60" w:type="dxa"/>
            <w:vAlign w:val="bottom"/>
            <w:tcBorders>
              <w:bottom w:val="single" w:sz="8" w:color="D9D9D9"/>
            </w:tcBorders>
          </w:tcPr>
          <w:p>
            <w:pPr>
              <w:spacing w:after="0"/>
              <w:rPr>
                <w:sz w:val="16"/>
                <w:szCs w:val="16"/>
                <w:color w:val="auto"/>
              </w:rPr>
            </w:pPr>
          </w:p>
        </w:tc>
      </w:tr>
      <w:tr>
        <w:trPr>
          <w:trHeight w:val="192"/>
        </w:trPr>
        <w:tc>
          <w:tcPr>
            <w:tcW w:w="1260" w:type="dxa"/>
            <w:vAlign w:val="bottom"/>
            <w:tcBorders>
              <w:bottom w:val="single" w:sz="8" w:color="D9D9D9"/>
            </w:tcBorders>
          </w:tcPr>
          <w:p>
            <w:pPr>
              <w:jc w:val="center"/>
              <w:ind w:right="161"/>
              <w:spacing w:after="0" w:line="188" w:lineRule="exact"/>
              <w:rPr>
                <w:sz w:val="20"/>
                <w:szCs w:val="20"/>
                <w:color w:val="auto"/>
              </w:rPr>
            </w:pPr>
            <w:r>
              <w:rPr>
                <w:rFonts w:ascii="Arial" w:cs="Arial" w:eastAsia="Arial" w:hAnsi="Arial"/>
                <w:sz w:val="17"/>
                <w:szCs w:val="17"/>
                <w:color w:val="auto"/>
              </w:rPr>
              <w:t>2022</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2,534,194</w:t>
            </w:r>
          </w:p>
        </w:tc>
        <w:tc>
          <w:tcPr>
            <w:tcW w:w="13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7,815,771</w:t>
            </w:r>
          </w:p>
        </w:tc>
        <w:tc>
          <w:tcPr>
            <w:tcW w:w="240" w:type="dxa"/>
            <w:vAlign w:val="bottom"/>
            <w:tcBorders>
              <w:bottom w:val="single" w:sz="8" w:color="D9D9D9"/>
            </w:tcBorders>
          </w:tcPr>
          <w:p>
            <w:pPr>
              <w:spacing w:after="0"/>
              <w:rPr>
                <w:sz w:val="16"/>
                <w:szCs w:val="16"/>
                <w:color w:val="auto"/>
              </w:rPr>
            </w:pPr>
          </w:p>
        </w:tc>
        <w:tc>
          <w:tcPr>
            <w:tcW w:w="1520" w:type="dxa"/>
            <w:vAlign w:val="bottom"/>
            <w:tcBorders>
              <w:bottom w:val="single" w:sz="8" w:color="D9D9D9"/>
            </w:tcBorders>
          </w:tcPr>
          <w:p>
            <w:pPr>
              <w:jc w:val="right"/>
              <w:ind w:right="149"/>
              <w:spacing w:after="0" w:line="188" w:lineRule="exact"/>
              <w:rPr>
                <w:sz w:val="20"/>
                <w:szCs w:val="20"/>
                <w:color w:val="auto"/>
              </w:rPr>
            </w:pPr>
            <w:r>
              <w:rPr>
                <w:rFonts w:ascii="Arial" w:cs="Arial" w:eastAsia="Arial" w:hAnsi="Arial"/>
                <w:sz w:val="17"/>
                <w:szCs w:val="17"/>
                <w:color w:val="auto"/>
              </w:rPr>
              <w:t>1,102,814</w:t>
            </w:r>
          </w:p>
        </w:tc>
        <w:tc>
          <w:tcPr>
            <w:tcW w:w="14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1,355,688</w:t>
            </w:r>
          </w:p>
        </w:tc>
        <w:tc>
          <w:tcPr>
            <w:tcW w:w="220" w:type="dxa"/>
            <w:vAlign w:val="bottom"/>
            <w:tcBorders>
              <w:bottom w:val="single" w:sz="8" w:color="D9D9D9"/>
            </w:tcBorders>
          </w:tcPr>
          <w:p>
            <w:pPr>
              <w:spacing w:after="0"/>
              <w:rPr>
                <w:sz w:val="16"/>
                <w:szCs w:val="16"/>
                <w:color w:val="auto"/>
              </w:rPr>
            </w:pPr>
          </w:p>
        </w:tc>
        <w:tc>
          <w:tcPr>
            <w:tcW w:w="1520" w:type="dxa"/>
            <w:vAlign w:val="bottom"/>
            <w:tcBorders>
              <w:bottom w:val="single" w:sz="8" w:color="D9D9D9"/>
            </w:tcBorders>
          </w:tcPr>
          <w:p>
            <w:pPr>
              <w:jc w:val="right"/>
              <w:ind w:right="169"/>
              <w:spacing w:after="0" w:line="188" w:lineRule="exact"/>
              <w:rPr>
                <w:sz w:val="20"/>
                <w:szCs w:val="20"/>
                <w:color w:val="auto"/>
              </w:rPr>
            </w:pPr>
            <w:r>
              <w:rPr>
                <w:rFonts w:ascii="Arial" w:cs="Arial" w:eastAsia="Arial" w:hAnsi="Arial"/>
                <w:sz w:val="17"/>
                <w:szCs w:val="17"/>
                <w:color w:val="auto"/>
              </w:rPr>
              <w:t>187.48</w:t>
            </w:r>
          </w:p>
        </w:tc>
        <w:tc>
          <w:tcPr>
            <w:tcW w:w="11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17,417</w:t>
            </w:r>
          </w:p>
        </w:tc>
        <w:tc>
          <w:tcPr>
            <w:tcW w:w="60" w:type="dxa"/>
            <w:vAlign w:val="bottom"/>
            <w:tcBorders>
              <w:bottom w:val="single" w:sz="8" w:color="D9D9D9"/>
            </w:tcBorders>
          </w:tcPr>
          <w:p>
            <w:pPr>
              <w:spacing w:after="0"/>
              <w:rPr>
                <w:sz w:val="16"/>
                <w:szCs w:val="16"/>
                <w:color w:val="auto"/>
              </w:rPr>
            </w:pPr>
          </w:p>
        </w:tc>
      </w:tr>
      <w:tr>
        <w:trPr>
          <w:trHeight w:val="187"/>
        </w:trPr>
        <w:tc>
          <w:tcPr>
            <w:tcW w:w="1260" w:type="dxa"/>
            <w:vAlign w:val="bottom"/>
            <w:tcBorders>
              <w:bottom w:val="single" w:sz="8" w:color="44546A"/>
            </w:tcBorders>
          </w:tcPr>
          <w:p>
            <w:pPr>
              <w:jc w:val="center"/>
              <w:ind w:right="161"/>
              <w:spacing w:after="0" w:line="188" w:lineRule="exact"/>
              <w:rPr>
                <w:sz w:val="20"/>
                <w:szCs w:val="20"/>
                <w:color w:val="auto"/>
              </w:rPr>
            </w:pPr>
            <w:r>
              <w:rPr>
                <w:rFonts w:ascii="Arial" w:cs="Arial" w:eastAsia="Arial" w:hAnsi="Arial"/>
                <w:sz w:val="17"/>
                <w:szCs w:val="17"/>
                <w:color w:val="auto"/>
              </w:rPr>
              <w:t>2021</w:t>
            </w:r>
          </w:p>
        </w:tc>
        <w:tc>
          <w:tcPr>
            <w:tcW w:w="1100" w:type="dxa"/>
            <w:vAlign w:val="bottom"/>
            <w:tcBorders>
              <w:bottom w:val="single" w:sz="8" w:color="44546A"/>
            </w:tcBorders>
          </w:tcPr>
          <w:p>
            <w:pPr>
              <w:jc w:val="right"/>
              <w:spacing w:after="0" w:line="188" w:lineRule="exact"/>
              <w:rPr>
                <w:sz w:val="20"/>
                <w:szCs w:val="20"/>
                <w:color w:val="auto"/>
              </w:rPr>
            </w:pPr>
            <w:r>
              <w:rPr>
                <w:rFonts w:ascii="Arial" w:cs="Arial" w:eastAsia="Arial" w:hAnsi="Arial"/>
                <w:sz w:val="17"/>
                <w:szCs w:val="17"/>
                <w:color w:val="auto"/>
              </w:rPr>
              <w:t>1,979,299</w:t>
            </w:r>
          </w:p>
        </w:tc>
        <w:tc>
          <w:tcPr>
            <w:tcW w:w="1380" w:type="dxa"/>
            <w:vAlign w:val="bottom"/>
            <w:tcBorders>
              <w:bottom w:val="single" w:sz="8" w:color="44546A"/>
            </w:tcBorders>
          </w:tcPr>
          <w:p>
            <w:pPr>
              <w:jc w:val="right"/>
              <w:spacing w:after="0" w:line="188" w:lineRule="exact"/>
              <w:rPr>
                <w:sz w:val="20"/>
                <w:szCs w:val="20"/>
                <w:color w:val="auto"/>
              </w:rPr>
            </w:pPr>
            <w:r>
              <w:rPr>
                <w:rFonts w:ascii="Arial" w:cs="Arial" w:eastAsia="Arial" w:hAnsi="Arial"/>
                <w:sz w:val="17"/>
                <w:szCs w:val="17"/>
                <w:color w:val="auto"/>
              </w:rPr>
              <w:t>813,537</w:t>
            </w:r>
          </w:p>
        </w:tc>
        <w:tc>
          <w:tcPr>
            <w:tcW w:w="240" w:type="dxa"/>
            <w:vAlign w:val="bottom"/>
            <w:tcBorders>
              <w:bottom w:val="single" w:sz="8" w:color="44546A"/>
            </w:tcBorders>
          </w:tcPr>
          <w:p>
            <w:pPr>
              <w:spacing w:after="0"/>
              <w:rPr>
                <w:sz w:val="16"/>
                <w:szCs w:val="16"/>
                <w:color w:val="auto"/>
              </w:rPr>
            </w:pPr>
          </w:p>
        </w:tc>
        <w:tc>
          <w:tcPr>
            <w:tcW w:w="1520" w:type="dxa"/>
            <w:vAlign w:val="bottom"/>
            <w:tcBorders>
              <w:bottom w:val="single" w:sz="8" w:color="44546A"/>
            </w:tcBorders>
          </w:tcPr>
          <w:p>
            <w:pPr>
              <w:jc w:val="right"/>
              <w:ind w:right="149"/>
              <w:spacing w:after="0" w:line="188" w:lineRule="exact"/>
              <w:rPr>
                <w:sz w:val="20"/>
                <w:szCs w:val="20"/>
                <w:color w:val="auto"/>
              </w:rPr>
            </w:pPr>
            <w:r>
              <w:rPr>
                <w:rFonts w:ascii="Arial" w:cs="Arial" w:eastAsia="Arial" w:hAnsi="Arial"/>
                <w:sz w:val="17"/>
                <w:szCs w:val="17"/>
                <w:color w:val="auto"/>
              </w:rPr>
              <w:t>863,982</w:t>
            </w:r>
          </w:p>
        </w:tc>
        <w:tc>
          <w:tcPr>
            <w:tcW w:w="1460" w:type="dxa"/>
            <w:vAlign w:val="bottom"/>
            <w:tcBorders>
              <w:bottom w:val="single" w:sz="8" w:color="44546A"/>
            </w:tcBorders>
          </w:tcPr>
          <w:p>
            <w:pPr>
              <w:jc w:val="right"/>
              <w:spacing w:after="0" w:line="188" w:lineRule="exact"/>
              <w:rPr>
                <w:sz w:val="20"/>
                <w:szCs w:val="20"/>
                <w:color w:val="auto"/>
              </w:rPr>
            </w:pPr>
            <w:r>
              <w:rPr>
                <w:rFonts w:ascii="Arial" w:cs="Arial" w:eastAsia="Arial" w:hAnsi="Arial"/>
                <w:sz w:val="17"/>
                <w:szCs w:val="17"/>
                <w:color w:val="auto"/>
              </w:rPr>
              <w:t>623,623</w:t>
            </w:r>
          </w:p>
        </w:tc>
        <w:tc>
          <w:tcPr>
            <w:tcW w:w="220" w:type="dxa"/>
            <w:vAlign w:val="bottom"/>
            <w:tcBorders>
              <w:bottom w:val="single" w:sz="8" w:color="44546A"/>
            </w:tcBorders>
          </w:tcPr>
          <w:p>
            <w:pPr>
              <w:spacing w:after="0"/>
              <w:rPr>
                <w:sz w:val="16"/>
                <w:szCs w:val="16"/>
                <w:color w:val="auto"/>
              </w:rPr>
            </w:pPr>
          </w:p>
        </w:tc>
        <w:tc>
          <w:tcPr>
            <w:tcW w:w="1520" w:type="dxa"/>
            <w:vAlign w:val="bottom"/>
            <w:tcBorders>
              <w:bottom w:val="single" w:sz="8" w:color="44546A"/>
            </w:tcBorders>
          </w:tcPr>
          <w:p>
            <w:pPr>
              <w:jc w:val="right"/>
              <w:ind w:right="169"/>
              <w:spacing w:after="0" w:line="188" w:lineRule="exact"/>
              <w:rPr>
                <w:sz w:val="20"/>
                <w:szCs w:val="20"/>
                <w:color w:val="auto"/>
              </w:rPr>
            </w:pPr>
            <w:r>
              <w:rPr>
                <w:rFonts w:ascii="Arial" w:cs="Arial" w:eastAsia="Arial" w:hAnsi="Arial"/>
                <w:sz w:val="17"/>
                <w:szCs w:val="17"/>
                <w:color w:val="auto"/>
              </w:rPr>
              <w:t>100.00</w:t>
            </w:r>
          </w:p>
        </w:tc>
        <w:tc>
          <w:tcPr>
            <w:tcW w:w="1160" w:type="dxa"/>
            <w:vAlign w:val="bottom"/>
            <w:tcBorders>
              <w:bottom w:val="single" w:sz="8" w:color="44546A"/>
            </w:tcBorders>
          </w:tcPr>
          <w:p>
            <w:pPr>
              <w:jc w:val="right"/>
              <w:spacing w:after="0" w:line="188" w:lineRule="exact"/>
              <w:rPr>
                <w:sz w:val="20"/>
                <w:szCs w:val="20"/>
                <w:color w:val="auto"/>
              </w:rPr>
            </w:pPr>
            <w:r>
              <w:rPr>
                <w:rFonts w:ascii="Arial" w:cs="Arial" w:eastAsia="Arial" w:hAnsi="Arial"/>
                <w:sz w:val="17"/>
                <w:szCs w:val="17"/>
                <w:color w:val="auto"/>
              </w:rPr>
              <w:t>1,426</w:t>
            </w:r>
          </w:p>
        </w:tc>
        <w:tc>
          <w:tcPr>
            <w:tcW w:w="60" w:type="dxa"/>
            <w:vAlign w:val="bottom"/>
            <w:tcBorders>
              <w:bottom w:val="single" w:sz="8" w:color="44546A"/>
            </w:tcBorders>
          </w:tcPr>
          <w:p>
            <w:pPr>
              <w:spacing w:after="0"/>
              <w:rPr>
                <w:sz w:val="16"/>
                <w:szCs w:val="16"/>
                <w:color w:val="auto"/>
              </w:rPr>
            </w:pPr>
          </w:p>
        </w:tc>
      </w:tr>
    </w:tbl>
    <w:p>
      <w:pPr>
        <w:spacing w:after="0" w:line="163" w:lineRule="exact"/>
        <w:rPr>
          <w:sz w:val="20"/>
          <w:szCs w:val="20"/>
          <w:color w:val="auto"/>
        </w:rPr>
      </w:pPr>
    </w:p>
    <w:p>
      <w:pPr>
        <w:ind w:left="300" w:hanging="299"/>
        <w:spacing w:after="0"/>
        <w:tabs>
          <w:tab w:leader="none" w:pos="3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Mr. Gleason was our PEO for each of the 2021, 2022 and 2023 fiscal years.</w:t>
      </w:r>
    </w:p>
    <w:p>
      <w:pPr>
        <w:spacing w:after="0" w:line="202" w:lineRule="exact"/>
        <w:rPr>
          <w:rFonts w:ascii="Arial" w:cs="Arial" w:eastAsia="Arial" w:hAnsi="Arial"/>
          <w:sz w:val="15"/>
          <w:szCs w:val="15"/>
          <w:color w:val="auto"/>
        </w:rPr>
      </w:pPr>
    </w:p>
    <w:p>
      <w:pPr>
        <w:ind w:left="300" w:right="220" w:hanging="299"/>
        <w:spacing w:after="0" w:line="278" w:lineRule="auto"/>
        <w:tabs>
          <w:tab w:leader="none" w:pos="3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amount shown in the table reflects the cumulative change as of the end of the periods presented of an investment of $100 in our common stock as of December 31, 2020.</w:t>
      </w:r>
    </w:p>
    <w:p>
      <w:pPr>
        <w:spacing w:after="0" w:line="150" w:lineRule="exact"/>
        <w:rPr>
          <w:rFonts w:ascii="Arial" w:cs="Arial" w:eastAsia="Arial" w:hAnsi="Arial"/>
          <w:sz w:val="15"/>
          <w:szCs w:val="15"/>
          <w:color w:val="auto"/>
        </w:rPr>
      </w:pPr>
    </w:p>
    <w:p>
      <w:pPr>
        <w:ind w:left="300" w:right="320" w:hanging="299"/>
        <w:spacing w:after="0" w:line="282" w:lineRule="auto"/>
        <w:tabs>
          <w:tab w:leader="none" w:pos="3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The dollar amounts reported represent the amount of net income reflected in our consolidated audited financial statements for the applicable year</w:t>
      </w:r>
      <w:r>
        <w:rPr>
          <w:rFonts w:ascii="Arial" w:cs="Arial" w:eastAsia="Arial" w:hAnsi="Arial"/>
          <w:sz w:val="16"/>
          <w:szCs w:val="16"/>
          <w:color w:val="auto"/>
        </w:rPr>
        <w:t>.</w:t>
      </w:r>
    </w:p>
    <w:p>
      <w:pPr>
        <w:spacing w:after="0" w:line="139"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amounts disclosed in the table above as Compensation Actually Paid to our PEO reflect the adjustments listed in the tables below to the amounts reported in the Summary Compensation Table for our PEO:</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60" w:type="dxa"/>
            <w:vAlign w:val="bottom"/>
          </w:tcPr>
          <w:p>
            <w:pPr>
              <w:jc w:val="right"/>
              <w:ind w:right="62"/>
              <w:spacing w:after="0"/>
              <w:rPr>
                <w:sz w:val="20"/>
                <w:szCs w:val="20"/>
                <w:color w:val="auto"/>
              </w:rPr>
            </w:pPr>
            <w:r>
              <w:rPr>
                <w:rFonts w:ascii="Arial" w:cs="Arial" w:eastAsia="Arial" w:hAnsi="Arial"/>
                <w:sz w:val="12"/>
                <w:szCs w:val="12"/>
                <w:b w:val="1"/>
                <w:bCs w:val="1"/>
                <w:color w:val="auto"/>
              </w:rPr>
              <w:t>Add: Change in</w:t>
            </w:r>
          </w:p>
        </w:tc>
        <w:tc>
          <w:tcPr>
            <w:tcW w:w="1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auto"/>
              </w:rPr>
              <w:t>Add: Change in</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fair value as of</w:t>
            </w:r>
          </w:p>
        </w:tc>
        <w:tc>
          <w:tcPr>
            <w:tcW w:w="1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vesting date,</w:t>
            </w:r>
          </w:p>
        </w:tc>
        <w:tc>
          <w:tcPr>
            <w:tcW w:w="1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fair value as of</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compared to prior</w:t>
            </w:r>
          </w:p>
        </w:tc>
        <w:tc>
          <w:tcPr>
            <w:tcW w:w="1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Add: Fair value</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fiscal year-end,</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fiscal year-end, of</w:t>
            </w:r>
          </w:p>
        </w:tc>
        <w:tc>
          <w:tcPr>
            <w:tcW w:w="1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compared to prior</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awards granted</w:t>
            </w:r>
          </w:p>
        </w:tc>
        <w:tc>
          <w:tcPr>
            <w:tcW w:w="1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as of fiscal year-end</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fiscal year-end,</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in any prior fiscal year</w:t>
            </w:r>
          </w:p>
        </w:tc>
        <w:tc>
          <w:tcPr>
            <w:tcW w:w="126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Less: Fair Value</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Less: Amount</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of awards granted</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of awards granted</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for which all vesting</w:t>
            </w:r>
          </w:p>
        </w:tc>
        <w:tc>
          <w:tcPr>
            <w:tcW w:w="126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during the fiscal year</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in any prior fiscal year</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conditions were</w:t>
            </w:r>
          </w:p>
        </w:tc>
        <w:tc>
          <w:tcPr>
            <w:tcW w:w="1260" w:type="dxa"/>
            <w:vAlign w:val="bottom"/>
          </w:tcPr>
          <w:p>
            <w:pPr>
              <w:jc w:val="right"/>
              <w:ind w:right="22"/>
              <w:spacing w:after="0" w:line="125" w:lineRule="exact"/>
              <w:rPr>
                <w:sz w:val="20"/>
                <w:szCs w:val="20"/>
                <w:color w:val="auto"/>
              </w:rPr>
            </w:pPr>
            <w:r>
              <w:rPr>
                <w:rFonts w:ascii="Arial" w:cs="Arial" w:eastAsia="Arial" w:hAnsi="Arial"/>
                <w:sz w:val="12"/>
                <w:szCs w:val="12"/>
                <w:b w:val="1"/>
                <w:bCs w:val="1"/>
                <w:color w:val="auto"/>
              </w:rPr>
              <w:t>of Stock</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Total</w:t>
            </w: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reported under</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that are outstanding</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that are outstanding</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satisfied at</w:t>
            </w:r>
          </w:p>
        </w:tc>
        <w:tc>
          <w:tcPr>
            <w:tcW w:w="1260" w:type="dxa"/>
            <w:vAlign w:val="bottom"/>
          </w:tcPr>
          <w:p>
            <w:pPr>
              <w:jc w:val="right"/>
              <w:ind w:right="22"/>
              <w:spacing w:after="0" w:line="125" w:lineRule="exact"/>
              <w:rPr>
                <w:sz w:val="20"/>
                <w:szCs w:val="20"/>
                <w:color w:val="auto"/>
              </w:rPr>
            </w:pPr>
            <w:r>
              <w:rPr>
                <w:rFonts w:ascii="Arial" w:cs="Arial" w:eastAsia="Arial" w:hAnsi="Arial"/>
                <w:sz w:val="12"/>
                <w:szCs w:val="12"/>
                <w:b w:val="1"/>
                <w:bCs w:val="1"/>
                <w:color w:val="auto"/>
              </w:rPr>
              <w:t>and Option Awards</w:t>
            </w:r>
          </w:p>
        </w:tc>
        <w:tc>
          <w:tcPr>
            <w:tcW w:w="98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Compensation</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the "Stock Awards"</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and unvested as of the</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and unvested as of the</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fiscal year-end</w:t>
            </w:r>
          </w:p>
        </w:tc>
        <w:tc>
          <w:tcPr>
            <w:tcW w:w="12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Forfeited during</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Year</w:t>
            </w:r>
          </w:p>
        </w:tc>
        <w:tc>
          <w:tcPr>
            <w:tcW w:w="110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auto"/>
              </w:rPr>
              <w:t>Compensation</w:t>
            </w: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column in the SCT</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end of the fiscal year</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end of the fiscal year</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or during the fiscal year</w:t>
            </w:r>
          </w:p>
        </w:tc>
        <w:tc>
          <w:tcPr>
            <w:tcW w:w="12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the Covered Year</w:t>
            </w:r>
          </w:p>
        </w:tc>
        <w:tc>
          <w:tcPr>
            <w:tcW w:w="980" w:type="dxa"/>
            <w:vAlign w:val="bottom"/>
          </w:tcPr>
          <w:p>
            <w:pPr>
              <w:jc w:val="right"/>
              <w:ind w:right="2"/>
              <w:spacing w:after="0" w:line="125" w:lineRule="exact"/>
              <w:rPr>
                <w:sz w:val="20"/>
                <w:szCs w:val="20"/>
                <w:color w:val="auto"/>
              </w:rPr>
            </w:pPr>
            <w:r>
              <w:rPr>
                <w:rFonts w:ascii="Arial" w:cs="Arial" w:eastAsia="Arial" w:hAnsi="Arial"/>
                <w:sz w:val="12"/>
                <w:szCs w:val="12"/>
                <w:b w:val="1"/>
                <w:bCs w:val="1"/>
                <w:color w:val="auto"/>
              </w:rPr>
              <w:t>Actually Paid</w:t>
            </w:r>
          </w:p>
        </w:tc>
        <w:tc>
          <w:tcPr>
            <w:tcW w:w="0" w:type="dxa"/>
            <w:vAlign w:val="bottom"/>
          </w:tcPr>
          <w:p>
            <w:pPr>
              <w:spacing w:after="0"/>
              <w:rPr>
                <w:sz w:val="1"/>
                <w:szCs w:val="1"/>
                <w:color w:val="auto"/>
              </w:rPr>
            </w:pPr>
          </w:p>
        </w:tc>
      </w:tr>
      <w:tr>
        <w:trPr>
          <w:trHeight w:val="148"/>
        </w:trPr>
        <w:tc>
          <w:tcPr>
            <w:tcW w:w="660" w:type="dxa"/>
            <w:vAlign w:val="bottom"/>
            <w:tcBorders>
              <w:bottom w:val="single" w:sz="8" w:color="405788"/>
            </w:tcBorders>
            <w:vMerge w:val="continue"/>
          </w:tcPr>
          <w:p>
            <w:pPr>
              <w:spacing w:after="0"/>
              <w:rPr>
                <w:sz w:val="12"/>
                <w:szCs w:val="12"/>
                <w:color w:val="auto"/>
              </w:rPr>
            </w:pPr>
          </w:p>
        </w:tc>
        <w:tc>
          <w:tcPr>
            <w:tcW w:w="110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b w:val="1"/>
                <w:bCs w:val="1"/>
                <w:color w:val="auto"/>
              </w:rPr>
              <w:t>($)</w:t>
            </w:r>
          </w:p>
        </w:tc>
        <w:tc>
          <w:tcPr>
            <w:tcW w:w="1340" w:type="dxa"/>
            <w:vAlign w:val="bottom"/>
            <w:tcBorders>
              <w:bottom w:val="single" w:sz="8" w:color="405788"/>
            </w:tcBorders>
          </w:tcPr>
          <w:p>
            <w:pPr>
              <w:jc w:val="right"/>
              <w:ind w:right="8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4</w:t>
            </w:r>
          </w:p>
        </w:tc>
        <w:tc>
          <w:tcPr>
            <w:tcW w:w="1480" w:type="dxa"/>
            <w:vAlign w:val="bottom"/>
            <w:tcBorders>
              <w:bottom w:val="single" w:sz="8" w:color="405788"/>
            </w:tcBorders>
          </w:tcPr>
          <w:p>
            <w:pPr>
              <w:jc w:val="right"/>
              <w:ind w:right="6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4</w:t>
            </w:r>
          </w:p>
        </w:tc>
        <w:tc>
          <w:tcPr>
            <w:tcW w:w="1540" w:type="dxa"/>
            <w:vAlign w:val="bottom"/>
            <w:tcBorders>
              <w:bottom w:val="single" w:sz="8" w:color="405788"/>
            </w:tcBorders>
          </w:tcPr>
          <w:p>
            <w:pPr>
              <w:jc w:val="right"/>
              <w:ind w:right="10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4</w:t>
            </w:r>
          </w:p>
        </w:tc>
        <w:tc>
          <w:tcPr>
            <w:tcW w:w="1560" w:type="dxa"/>
            <w:vAlign w:val="bottom"/>
            <w:tcBorders>
              <w:bottom w:val="single" w:sz="8" w:color="405788"/>
            </w:tcBorders>
          </w:tcPr>
          <w:p>
            <w:pPr>
              <w:jc w:val="right"/>
              <w:ind w:right="6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5</w:t>
            </w:r>
          </w:p>
        </w:tc>
        <w:tc>
          <w:tcPr>
            <w:tcW w:w="1260" w:type="dxa"/>
            <w:vAlign w:val="bottom"/>
            <w:tcBorders>
              <w:bottom w:val="single" w:sz="8" w:color="405788"/>
            </w:tcBorders>
          </w:tcPr>
          <w:p>
            <w:pPr>
              <w:jc w:val="right"/>
              <w:ind w:right="2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5</w:t>
            </w:r>
          </w:p>
        </w:tc>
        <w:tc>
          <w:tcPr>
            <w:tcW w:w="980" w:type="dxa"/>
            <w:vAlign w:val="bottom"/>
            <w:tcBorders>
              <w:bottom w:val="single" w:sz="8" w:color="405788"/>
            </w:tcBorders>
          </w:tcPr>
          <w:p>
            <w:pPr>
              <w:jc w:val="right"/>
              <w:ind w:right="42"/>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0"/>
        </w:trPr>
        <w:tc>
          <w:tcPr>
            <w:tcW w:w="660" w:type="dxa"/>
            <w:vAlign w:val="bottom"/>
            <w:tcBorders>
              <w:bottom w:val="single" w:sz="8" w:color="D9D9D9"/>
            </w:tcBorders>
          </w:tcPr>
          <w:p>
            <w:pPr>
              <w:ind w:left="220"/>
              <w:spacing w:after="0" w:line="125" w:lineRule="exact"/>
              <w:rPr>
                <w:sz w:val="20"/>
                <w:szCs w:val="20"/>
                <w:color w:val="auto"/>
              </w:rPr>
            </w:pPr>
            <w:r>
              <w:rPr>
                <w:rFonts w:ascii="Arial" w:cs="Arial" w:eastAsia="Arial" w:hAnsi="Arial"/>
                <w:sz w:val="12"/>
                <w:szCs w:val="12"/>
                <w:color w:val="auto"/>
              </w:rPr>
              <w:t>2023</w:t>
            </w:r>
          </w:p>
        </w:tc>
        <w:tc>
          <w:tcPr>
            <w:tcW w:w="110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5,579,467</w:t>
            </w:r>
          </w:p>
        </w:tc>
        <w:tc>
          <w:tcPr>
            <w:tcW w:w="134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(3,981,256)</w:t>
            </w:r>
          </w:p>
        </w:tc>
        <w:tc>
          <w:tcPr>
            <w:tcW w:w="148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9,263,076</w:t>
            </w:r>
          </w:p>
        </w:tc>
        <w:tc>
          <w:tcPr>
            <w:tcW w:w="1540" w:type="dxa"/>
            <w:vAlign w:val="bottom"/>
            <w:tcBorders>
              <w:bottom w:val="single" w:sz="8" w:color="D9D9D9"/>
            </w:tcBorders>
          </w:tcPr>
          <w:p>
            <w:pPr>
              <w:jc w:val="right"/>
              <w:ind w:right="102"/>
              <w:spacing w:after="0" w:line="125" w:lineRule="exact"/>
              <w:rPr>
                <w:sz w:val="20"/>
                <w:szCs w:val="20"/>
                <w:color w:val="auto"/>
              </w:rPr>
            </w:pPr>
            <w:r>
              <w:rPr>
                <w:rFonts w:ascii="Arial" w:cs="Arial" w:eastAsia="Arial" w:hAnsi="Arial"/>
                <w:sz w:val="12"/>
                <w:szCs w:val="12"/>
                <w:color w:val="auto"/>
              </w:rPr>
              <w:t>5,683,024</w:t>
            </w:r>
          </w:p>
        </w:tc>
        <w:tc>
          <w:tcPr>
            <w:tcW w:w="156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44,356</w:t>
            </w:r>
          </w:p>
        </w:tc>
        <w:tc>
          <w:tcPr>
            <w:tcW w:w="126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D9D9D9"/>
            </w:tcBorders>
          </w:tcPr>
          <w:p>
            <w:pPr>
              <w:jc w:val="right"/>
              <w:ind w:right="2"/>
              <w:spacing w:after="0" w:line="125" w:lineRule="exact"/>
              <w:rPr>
                <w:sz w:val="20"/>
                <w:szCs w:val="20"/>
                <w:color w:val="auto"/>
              </w:rPr>
            </w:pPr>
            <w:r>
              <w:rPr>
                <w:rFonts w:ascii="Arial" w:cs="Arial" w:eastAsia="Arial" w:hAnsi="Arial"/>
                <w:sz w:val="12"/>
                <w:szCs w:val="12"/>
                <w:color w:val="auto"/>
              </w:rPr>
              <w:t>16,588,667</w:t>
            </w:r>
          </w:p>
        </w:tc>
        <w:tc>
          <w:tcPr>
            <w:tcW w:w="0" w:type="dxa"/>
            <w:vAlign w:val="bottom"/>
          </w:tcPr>
          <w:p>
            <w:pPr>
              <w:spacing w:after="0"/>
              <w:rPr>
                <w:sz w:val="1"/>
                <w:szCs w:val="1"/>
                <w:color w:val="auto"/>
              </w:rPr>
            </w:pPr>
          </w:p>
        </w:tc>
      </w:tr>
      <w:tr>
        <w:trPr>
          <w:trHeight w:val="130"/>
        </w:trPr>
        <w:tc>
          <w:tcPr>
            <w:tcW w:w="660" w:type="dxa"/>
            <w:vAlign w:val="bottom"/>
            <w:tcBorders>
              <w:bottom w:val="single" w:sz="8" w:color="D9D9D9"/>
            </w:tcBorders>
          </w:tcPr>
          <w:p>
            <w:pPr>
              <w:ind w:left="220"/>
              <w:spacing w:after="0" w:line="125" w:lineRule="exact"/>
              <w:rPr>
                <w:sz w:val="20"/>
                <w:szCs w:val="20"/>
                <w:color w:val="auto"/>
              </w:rPr>
            </w:pPr>
            <w:r>
              <w:rPr>
                <w:rFonts w:ascii="Arial" w:cs="Arial" w:eastAsia="Arial" w:hAnsi="Arial"/>
                <w:sz w:val="12"/>
                <w:szCs w:val="12"/>
                <w:color w:val="auto"/>
              </w:rPr>
              <w:t>2022</w:t>
            </w:r>
          </w:p>
        </w:tc>
        <w:tc>
          <w:tcPr>
            <w:tcW w:w="110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2,534,194</w:t>
            </w:r>
          </w:p>
        </w:tc>
        <w:tc>
          <w:tcPr>
            <w:tcW w:w="134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(1,059,469)</w:t>
            </w:r>
          </w:p>
        </w:tc>
        <w:tc>
          <w:tcPr>
            <w:tcW w:w="148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2,998,546</w:t>
            </w:r>
          </w:p>
        </w:tc>
        <w:tc>
          <w:tcPr>
            <w:tcW w:w="1540" w:type="dxa"/>
            <w:vAlign w:val="bottom"/>
            <w:tcBorders>
              <w:bottom w:val="single" w:sz="8" w:color="D9D9D9"/>
            </w:tcBorders>
          </w:tcPr>
          <w:p>
            <w:pPr>
              <w:jc w:val="right"/>
              <w:ind w:right="102"/>
              <w:spacing w:after="0" w:line="125" w:lineRule="exact"/>
              <w:rPr>
                <w:sz w:val="20"/>
                <w:szCs w:val="20"/>
                <w:color w:val="auto"/>
              </w:rPr>
            </w:pPr>
            <w:r>
              <w:rPr>
                <w:rFonts w:ascii="Arial" w:cs="Arial" w:eastAsia="Arial" w:hAnsi="Arial"/>
                <w:sz w:val="12"/>
                <w:szCs w:val="12"/>
                <w:color w:val="auto"/>
              </w:rPr>
              <w:t>3,466,653</w:t>
            </w:r>
          </w:p>
        </w:tc>
        <w:tc>
          <w:tcPr>
            <w:tcW w:w="156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(124,153)</w:t>
            </w:r>
          </w:p>
        </w:tc>
        <w:tc>
          <w:tcPr>
            <w:tcW w:w="126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D9D9D9"/>
            </w:tcBorders>
          </w:tcPr>
          <w:p>
            <w:pPr>
              <w:jc w:val="right"/>
              <w:ind w:right="2"/>
              <w:spacing w:after="0" w:line="125" w:lineRule="exact"/>
              <w:rPr>
                <w:sz w:val="20"/>
                <w:szCs w:val="20"/>
                <w:color w:val="auto"/>
              </w:rPr>
            </w:pPr>
            <w:r>
              <w:rPr>
                <w:rFonts w:ascii="Arial" w:cs="Arial" w:eastAsia="Arial" w:hAnsi="Arial"/>
                <w:sz w:val="12"/>
                <w:szCs w:val="12"/>
                <w:color w:val="auto"/>
              </w:rPr>
              <w:t>7,815,771</w:t>
            </w:r>
          </w:p>
        </w:tc>
        <w:tc>
          <w:tcPr>
            <w:tcW w:w="0" w:type="dxa"/>
            <w:vAlign w:val="bottom"/>
          </w:tcPr>
          <w:p>
            <w:pPr>
              <w:spacing w:after="0"/>
              <w:rPr>
                <w:sz w:val="1"/>
                <w:szCs w:val="1"/>
                <w:color w:val="auto"/>
              </w:rPr>
            </w:pPr>
          </w:p>
        </w:tc>
      </w:tr>
      <w:tr>
        <w:trPr>
          <w:trHeight w:val="125"/>
        </w:trPr>
        <w:tc>
          <w:tcPr>
            <w:tcW w:w="660" w:type="dxa"/>
            <w:vAlign w:val="bottom"/>
            <w:tcBorders>
              <w:bottom w:val="single" w:sz="8" w:color="44546A"/>
            </w:tcBorders>
          </w:tcPr>
          <w:p>
            <w:pPr>
              <w:ind w:left="220"/>
              <w:spacing w:after="0" w:line="125" w:lineRule="exact"/>
              <w:rPr>
                <w:sz w:val="20"/>
                <w:szCs w:val="20"/>
                <w:color w:val="auto"/>
              </w:rPr>
            </w:pPr>
            <w:r>
              <w:rPr>
                <w:rFonts w:ascii="Arial" w:cs="Arial" w:eastAsia="Arial" w:hAnsi="Arial"/>
                <w:sz w:val="12"/>
                <w:szCs w:val="12"/>
                <w:color w:val="auto"/>
              </w:rPr>
              <w:t>2021</w:t>
            </w:r>
          </w:p>
        </w:tc>
        <w:tc>
          <w:tcPr>
            <w:tcW w:w="1100" w:type="dxa"/>
            <w:vAlign w:val="bottom"/>
            <w:tcBorders>
              <w:bottom w:val="single" w:sz="8" w:color="44546A"/>
            </w:tcBorders>
          </w:tcPr>
          <w:p>
            <w:pPr>
              <w:jc w:val="right"/>
              <w:ind w:right="42"/>
              <w:spacing w:after="0" w:line="125" w:lineRule="exact"/>
              <w:rPr>
                <w:sz w:val="20"/>
                <w:szCs w:val="20"/>
                <w:color w:val="auto"/>
              </w:rPr>
            </w:pPr>
            <w:r>
              <w:rPr>
                <w:rFonts w:ascii="Arial" w:cs="Arial" w:eastAsia="Arial" w:hAnsi="Arial"/>
                <w:sz w:val="12"/>
                <w:szCs w:val="12"/>
                <w:color w:val="auto"/>
              </w:rPr>
              <w:t>1,979,299</w:t>
            </w:r>
          </w:p>
        </w:tc>
        <w:tc>
          <w:tcPr>
            <w:tcW w:w="1340" w:type="dxa"/>
            <w:vAlign w:val="bottom"/>
            <w:tcBorders>
              <w:bottom w:val="single" w:sz="8" w:color="44546A"/>
            </w:tcBorders>
          </w:tcPr>
          <w:p>
            <w:pPr>
              <w:jc w:val="right"/>
              <w:ind w:right="42"/>
              <w:spacing w:after="0" w:line="125" w:lineRule="exact"/>
              <w:rPr>
                <w:sz w:val="20"/>
                <w:szCs w:val="20"/>
                <w:color w:val="auto"/>
              </w:rPr>
            </w:pPr>
            <w:r>
              <w:rPr>
                <w:rFonts w:ascii="Arial" w:cs="Arial" w:eastAsia="Arial" w:hAnsi="Arial"/>
                <w:sz w:val="12"/>
                <w:szCs w:val="12"/>
                <w:color w:val="auto"/>
              </w:rPr>
              <w:t>(1,126,112)</w:t>
            </w:r>
          </w:p>
        </w:tc>
        <w:tc>
          <w:tcPr>
            <w:tcW w:w="1480" w:type="dxa"/>
            <w:vAlign w:val="bottom"/>
            <w:tcBorders>
              <w:bottom w:val="single" w:sz="8" w:color="44546A"/>
            </w:tcBorders>
          </w:tcPr>
          <w:p>
            <w:pPr>
              <w:jc w:val="right"/>
              <w:ind w:right="62"/>
              <w:spacing w:after="0" w:line="125" w:lineRule="exact"/>
              <w:rPr>
                <w:sz w:val="20"/>
                <w:szCs w:val="20"/>
                <w:color w:val="auto"/>
              </w:rPr>
            </w:pPr>
            <w:r>
              <w:rPr>
                <w:rFonts w:ascii="Arial" w:cs="Arial" w:eastAsia="Arial" w:hAnsi="Arial"/>
                <w:sz w:val="12"/>
                <w:szCs w:val="12"/>
                <w:color w:val="auto"/>
              </w:rPr>
              <w:t>740,325</w:t>
            </w:r>
          </w:p>
        </w:tc>
        <w:tc>
          <w:tcPr>
            <w:tcW w:w="1540" w:type="dxa"/>
            <w:vAlign w:val="bottom"/>
            <w:tcBorders>
              <w:bottom w:val="single" w:sz="8" w:color="44546A"/>
            </w:tcBorders>
          </w:tcPr>
          <w:p>
            <w:pPr>
              <w:jc w:val="right"/>
              <w:ind w:right="62"/>
              <w:spacing w:after="0" w:line="125" w:lineRule="exact"/>
              <w:rPr>
                <w:sz w:val="20"/>
                <w:szCs w:val="20"/>
                <w:color w:val="auto"/>
              </w:rPr>
            </w:pPr>
            <w:r>
              <w:rPr>
                <w:rFonts w:ascii="Arial" w:cs="Arial" w:eastAsia="Arial" w:hAnsi="Arial"/>
                <w:sz w:val="12"/>
                <w:szCs w:val="12"/>
                <w:color w:val="auto"/>
              </w:rPr>
              <w:t>(582,097)</w:t>
            </w:r>
          </w:p>
        </w:tc>
        <w:tc>
          <w:tcPr>
            <w:tcW w:w="1560" w:type="dxa"/>
            <w:vAlign w:val="bottom"/>
            <w:tcBorders>
              <w:bottom w:val="single" w:sz="8" w:color="44546A"/>
            </w:tcBorders>
          </w:tcPr>
          <w:p>
            <w:pPr>
              <w:jc w:val="right"/>
              <w:ind w:right="42"/>
              <w:spacing w:after="0" w:line="125" w:lineRule="exact"/>
              <w:rPr>
                <w:sz w:val="20"/>
                <w:szCs w:val="20"/>
                <w:color w:val="auto"/>
              </w:rPr>
            </w:pPr>
            <w:r>
              <w:rPr>
                <w:rFonts w:ascii="Arial" w:cs="Arial" w:eastAsia="Arial" w:hAnsi="Arial"/>
                <w:sz w:val="12"/>
                <w:szCs w:val="12"/>
                <w:color w:val="auto"/>
              </w:rPr>
              <w:t>(197,878)</w:t>
            </w:r>
          </w:p>
        </w:tc>
        <w:tc>
          <w:tcPr>
            <w:tcW w:w="1260" w:type="dxa"/>
            <w:vAlign w:val="bottom"/>
            <w:tcBorders>
              <w:bottom w:val="single" w:sz="8" w:color="44546A"/>
            </w:tcBorders>
          </w:tcPr>
          <w:p>
            <w:pPr>
              <w:jc w:val="right"/>
              <w:ind w:right="22"/>
              <w:spacing w:after="0" w:line="125" w:lineRule="exact"/>
              <w:rPr>
                <w:sz w:val="20"/>
                <w:szCs w:val="20"/>
                <w:color w:val="auto"/>
              </w:rPr>
            </w:pPr>
            <w:r>
              <w:rPr>
                <w:rFonts w:ascii="Arial" w:cs="Arial" w:eastAsia="Arial" w:hAnsi="Arial"/>
                <w:sz w:val="12"/>
                <w:szCs w:val="12"/>
                <w:color w:val="auto"/>
              </w:rPr>
              <w:t>—</w:t>
            </w:r>
          </w:p>
        </w:tc>
        <w:tc>
          <w:tcPr>
            <w:tcW w:w="980" w:type="dxa"/>
            <w:vAlign w:val="bottom"/>
            <w:tcBorders>
              <w:bottom w:val="single" w:sz="8" w:color="44546A"/>
            </w:tcBorders>
          </w:tcPr>
          <w:p>
            <w:pPr>
              <w:jc w:val="right"/>
              <w:ind w:right="2"/>
              <w:spacing w:after="0" w:line="125" w:lineRule="exact"/>
              <w:rPr>
                <w:sz w:val="20"/>
                <w:szCs w:val="20"/>
                <w:color w:val="auto"/>
              </w:rPr>
            </w:pPr>
            <w:r>
              <w:rPr>
                <w:rFonts w:ascii="Arial" w:cs="Arial" w:eastAsia="Arial" w:hAnsi="Arial"/>
                <w:sz w:val="12"/>
                <w:szCs w:val="12"/>
                <w:color w:val="auto"/>
              </w:rPr>
              <w:t>813,537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365125</wp:posOffset>
            </wp:positionV>
            <wp:extent cx="483870" cy="2222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For the 2023 fiscal year, our Non-PEO NEOs were: Mr. Johansson and Ms. Watkins-Asiyanbi. For the 2021 fiscal year, our Non-PEO</w:t>
      </w:r>
    </w:p>
    <w:p>
      <w:pPr>
        <w:spacing w:after="0" w:line="19" w:lineRule="exact"/>
        <w:rPr>
          <w:sz w:val="20"/>
          <w:szCs w:val="20"/>
          <w:color w:val="auto"/>
        </w:rPr>
      </w:pPr>
    </w:p>
    <w:p>
      <w:pPr>
        <w:jc w:val="both"/>
        <w:ind w:right="340"/>
        <w:spacing w:after="0" w:line="236" w:lineRule="auto"/>
        <w:rPr>
          <w:sz w:val="20"/>
          <w:szCs w:val="20"/>
          <w:color w:val="auto"/>
        </w:rPr>
      </w:pPr>
      <w:r>
        <w:rPr>
          <w:rFonts w:ascii="Arial" w:cs="Arial" w:eastAsia="Arial" w:hAnsi="Arial"/>
          <w:sz w:val="17"/>
          <w:szCs w:val="17"/>
          <w:color w:val="auto"/>
        </w:rPr>
        <w:t>NEOs were: Mr. Nuggihalli and Mr. Eckl. The amounts disclosed in the table above as average Compensation Actually Paid to our Non-PEO NEOs reflect the adjustments listed in the tables below to the average amounts reported in the Summary Compensation Table for Non-PEO NEOs: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560" w:type="dxa"/>
            <w:vAlign w:val="bottom"/>
          </w:tcPr>
          <w:p>
            <w:pPr>
              <w:jc w:val="right"/>
              <w:ind w:right="62"/>
              <w:spacing w:after="0"/>
              <w:rPr>
                <w:sz w:val="20"/>
                <w:szCs w:val="20"/>
                <w:color w:val="auto"/>
              </w:rPr>
            </w:pPr>
            <w:r>
              <w:rPr>
                <w:rFonts w:ascii="Arial" w:cs="Arial" w:eastAsia="Arial" w:hAnsi="Arial"/>
                <w:sz w:val="12"/>
                <w:szCs w:val="12"/>
                <w:b w:val="1"/>
                <w:bCs w:val="1"/>
                <w:color w:val="auto"/>
              </w:rPr>
              <w:t>Add: Change in</w:t>
            </w: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vMerge w:val="restart"/>
          </w:tcPr>
          <w:p>
            <w:pPr>
              <w:jc w:val="right"/>
              <w:ind w:right="102"/>
              <w:spacing w:after="0"/>
              <w:rPr>
                <w:sz w:val="20"/>
                <w:szCs w:val="20"/>
                <w:color w:val="auto"/>
              </w:rPr>
            </w:pPr>
            <w:r>
              <w:rPr>
                <w:rFonts w:ascii="Arial" w:cs="Arial" w:eastAsia="Arial" w:hAnsi="Arial"/>
                <w:sz w:val="12"/>
                <w:szCs w:val="12"/>
                <w:b w:val="1"/>
                <w:bCs w:val="1"/>
                <w:color w:val="auto"/>
              </w:rPr>
              <w:t>Add: Change in</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fair value as of</w:t>
            </w: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vesting date,</w:t>
            </w: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fair value as of</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compared to prior</w:t>
            </w: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Add: Fair value</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fiscal year-end,</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fiscal year-end, of</w:t>
            </w: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compared to prior</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awards granted</w:t>
            </w:r>
          </w:p>
        </w:tc>
        <w:tc>
          <w:tcPr>
            <w:tcW w:w="1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as of fiscal year-end</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fiscal year-end,</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in any prior fiscal year</w:t>
            </w:r>
          </w:p>
        </w:tc>
        <w:tc>
          <w:tcPr>
            <w:tcW w:w="128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Less: Fair Value</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vMerge w:val="restart"/>
          </w:tcPr>
          <w:p>
            <w:pPr>
              <w:jc w:val="right"/>
              <w:ind w:right="82"/>
              <w:spacing w:after="0"/>
              <w:rPr>
                <w:sz w:val="20"/>
                <w:szCs w:val="20"/>
                <w:color w:val="auto"/>
              </w:rPr>
            </w:pPr>
            <w:r>
              <w:rPr>
                <w:rFonts w:ascii="Arial" w:cs="Arial" w:eastAsia="Arial" w:hAnsi="Arial"/>
                <w:sz w:val="12"/>
                <w:szCs w:val="12"/>
                <w:b w:val="1"/>
                <w:bCs w:val="1"/>
                <w:color w:val="auto"/>
              </w:rPr>
              <w:t>Less: Amount</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of awards granted</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of awards granted</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for which all vesting</w:t>
            </w:r>
          </w:p>
        </w:tc>
        <w:tc>
          <w:tcPr>
            <w:tcW w:w="12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during the fiscal year</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in any prior fiscal year</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conditions were</w:t>
            </w:r>
          </w:p>
        </w:tc>
        <w:tc>
          <w:tcPr>
            <w:tcW w:w="128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auto"/>
              </w:rPr>
              <w:t>of Stock</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vMerge w:val="restart"/>
          </w:tcPr>
          <w:p>
            <w:pPr>
              <w:jc w:val="right"/>
              <w:ind w:right="42"/>
              <w:spacing w:after="0"/>
              <w:rPr>
                <w:sz w:val="20"/>
                <w:szCs w:val="20"/>
                <w:color w:val="auto"/>
              </w:rPr>
            </w:pPr>
            <w:r>
              <w:rPr>
                <w:rFonts w:ascii="Arial" w:cs="Arial" w:eastAsia="Arial" w:hAnsi="Arial"/>
                <w:sz w:val="12"/>
                <w:szCs w:val="12"/>
                <w:b w:val="1"/>
                <w:bCs w:val="1"/>
                <w:color w:val="auto"/>
              </w:rPr>
              <w:t>Total</w:t>
            </w: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reported under</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that are outstanding</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that are outstanding</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satisfied at</w:t>
            </w:r>
          </w:p>
        </w:tc>
        <w:tc>
          <w:tcPr>
            <w:tcW w:w="128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auto"/>
              </w:rPr>
              <w:t>and Option Awards</w:t>
            </w:r>
          </w:p>
        </w:tc>
        <w:tc>
          <w:tcPr>
            <w:tcW w:w="960" w:type="dxa"/>
            <w:vAlign w:val="bottom"/>
            <w:vMerge w:val="restart"/>
          </w:tcPr>
          <w:p>
            <w:pPr>
              <w:jc w:val="right"/>
              <w:ind w:right="2"/>
              <w:spacing w:after="0"/>
              <w:rPr>
                <w:sz w:val="20"/>
                <w:szCs w:val="20"/>
                <w:color w:val="auto"/>
              </w:rPr>
            </w:pPr>
            <w:r>
              <w:rPr>
                <w:rFonts w:ascii="Arial" w:cs="Arial" w:eastAsia="Arial" w:hAnsi="Arial"/>
                <w:sz w:val="12"/>
                <w:szCs w:val="12"/>
                <w:b w:val="1"/>
                <w:bCs w:val="1"/>
                <w:color w:val="auto"/>
              </w:rPr>
              <w:t>Compensation</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the "Stock Awards"</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and unvested as of the</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and unvested as of the</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fiscal year-end</w:t>
            </w:r>
          </w:p>
        </w:tc>
        <w:tc>
          <w:tcPr>
            <w:tcW w:w="128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Forfeited during</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Year</w:t>
            </w:r>
          </w:p>
        </w:tc>
        <w:tc>
          <w:tcPr>
            <w:tcW w:w="1100" w:type="dxa"/>
            <w:vAlign w:val="bottom"/>
          </w:tcPr>
          <w:p>
            <w:pPr>
              <w:jc w:val="right"/>
              <w:ind w:right="42"/>
              <w:spacing w:after="0" w:line="125" w:lineRule="exact"/>
              <w:rPr>
                <w:sz w:val="20"/>
                <w:szCs w:val="20"/>
                <w:color w:val="auto"/>
              </w:rPr>
            </w:pPr>
            <w:r>
              <w:rPr>
                <w:rFonts w:ascii="Arial" w:cs="Arial" w:eastAsia="Arial" w:hAnsi="Arial"/>
                <w:sz w:val="12"/>
                <w:szCs w:val="12"/>
                <w:b w:val="1"/>
                <w:bCs w:val="1"/>
                <w:color w:val="auto"/>
              </w:rPr>
              <w:t>Compensation</w:t>
            </w:r>
          </w:p>
        </w:tc>
        <w:tc>
          <w:tcPr>
            <w:tcW w:w="134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column in the SCT</w:t>
            </w:r>
          </w:p>
        </w:tc>
        <w:tc>
          <w:tcPr>
            <w:tcW w:w="148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end of the fiscal year</w:t>
            </w:r>
          </w:p>
        </w:tc>
        <w:tc>
          <w:tcPr>
            <w:tcW w:w="1540" w:type="dxa"/>
            <w:vAlign w:val="bottom"/>
          </w:tcPr>
          <w:p>
            <w:pPr>
              <w:jc w:val="right"/>
              <w:ind w:right="102"/>
              <w:spacing w:after="0" w:line="125" w:lineRule="exact"/>
              <w:rPr>
                <w:sz w:val="20"/>
                <w:szCs w:val="20"/>
                <w:color w:val="auto"/>
              </w:rPr>
            </w:pPr>
            <w:r>
              <w:rPr>
                <w:rFonts w:ascii="Arial" w:cs="Arial" w:eastAsia="Arial" w:hAnsi="Arial"/>
                <w:sz w:val="12"/>
                <w:szCs w:val="12"/>
                <w:b w:val="1"/>
                <w:bCs w:val="1"/>
                <w:color w:val="auto"/>
              </w:rPr>
              <w:t>end of the fiscal year</w:t>
            </w:r>
          </w:p>
        </w:tc>
        <w:tc>
          <w:tcPr>
            <w:tcW w:w="1560" w:type="dxa"/>
            <w:vAlign w:val="bottom"/>
          </w:tcPr>
          <w:p>
            <w:pPr>
              <w:jc w:val="right"/>
              <w:ind w:right="62"/>
              <w:spacing w:after="0" w:line="125" w:lineRule="exact"/>
              <w:rPr>
                <w:sz w:val="20"/>
                <w:szCs w:val="20"/>
                <w:color w:val="auto"/>
              </w:rPr>
            </w:pPr>
            <w:r>
              <w:rPr>
                <w:rFonts w:ascii="Arial" w:cs="Arial" w:eastAsia="Arial" w:hAnsi="Arial"/>
                <w:sz w:val="12"/>
                <w:szCs w:val="12"/>
                <w:b w:val="1"/>
                <w:bCs w:val="1"/>
                <w:color w:val="auto"/>
              </w:rPr>
              <w:t>or during the fiscal year</w:t>
            </w:r>
          </w:p>
        </w:tc>
        <w:tc>
          <w:tcPr>
            <w:tcW w:w="1280" w:type="dxa"/>
            <w:vAlign w:val="bottom"/>
          </w:tcPr>
          <w:p>
            <w:pPr>
              <w:jc w:val="right"/>
              <w:ind w:right="82"/>
              <w:spacing w:after="0" w:line="125" w:lineRule="exact"/>
              <w:rPr>
                <w:sz w:val="20"/>
                <w:szCs w:val="20"/>
                <w:color w:val="auto"/>
              </w:rPr>
            </w:pPr>
            <w:r>
              <w:rPr>
                <w:rFonts w:ascii="Arial" w:cs="Arial" w:eastAsia="Arial" w:hAnsi="Arial"/>
                <w:sz w:val="12"/>
                <w:szCs w:val="12"/>
                <w:b w:val="1"/>
                <w:bCs w:val="1"/>
                <w:color w:val="auto"/>
              </w:rPr>
              <w:t>the Covered Year</w:t>
            </w:r>
          </w:p>
        </w:tc>
        <w:tc>
          <w:tcPr>
            <w:tcW w:w="960" w:type="dxa"/>
            <w:vAlign w:val="bottom"/>
          </w:tcPr>
          <w:p>
            <w:pPr>
              <w:jc w:val="right"/>
              <w:ind w:right="2"/>
              <w:spacing w:after="0" w:line="125" w:lineRule="exact"/>
              <w:rPr>
                <w:sz w:val="20"/>
                <w:szCs w:val="20"/>
                <w:color w:val="auto"/>
              </w:rPr>
            </w:pPr>
            <w:r>
              <w:rPr>
                <w:rFonts w:ascii="Arial" w:cs="Arial" w:eastAsia="Arial" w:hAnsi="Arial"/>
                <w:sz w:val="12"/>
                <w:szCs w:val="12"/>
                <w:b w:val="1"/>
                <w:bCs w:val="1"/>
                <w:color w:val="auto"/>
              </w:rPr>
              <w:t>Actually Paid</w:t>
            </w:r>
          </w:p>
        </w:tc>
        <w:tc>
          <w:tcPr>
            <w:tcW w:w="0" w:type="dxa"/>
            <w:vAlign w:val="bottom"/>
          </w:tcPr>
          <w:p>
            <w:pPr>
              <w:spacing w:after="0"/>
              <w:rPr>
                <w:sz w:val="1"/>
                <w:szCs w:val="1"/>
                <w:color w:val="auto"/>
              </w:rPr>
            </w:pPr>
          </w:p>
        </w:tc>
      </w:tr>
      <w:tr>
        <w:trPr>
          <w:trHeight w:val="148"/>
        </w:trPr>
        <w:tc>
          <w:tcPr>
            <w:tcW w:w="660" w:type="dxa"/>
            <w:vAlign w:val="bottom"/>
            <w:tcBorders>
              <w:bottom w:val="single" w:sz="8" w:color="405788"/>
            </w:tcBorders>
            <w:vMerge w:val="continue"/>
          </w:tcPr>
          <w:p>
            <w:pPr>
              <w:spacing w:after="0"/>
              <w:rPr>
                <w:sz w:val="12"/>
                <w:szCs w:val="12"/>
                <w:color w:val="auto"/>
              </w:rPr>
            </w:pPr>
          </w:p>
        </w:tc>
        <w:tc>
          <w:tcPr>
            <w:tcW w:w="110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b w:val="1"/>
                <w:bCs w:val="1"/>
                <w:color w:val="auto"/>
              </w:rPr>
              <w:t>($)</w:t>
            </w:r>
          </w:p>
        </w:tc>
        <w:tc>
          <w:tcPr>
            <w:tcW w:w="1340" w:type="dxa"/>
            <w:vAlign w:val="bottom"/>
            <w:tcBorders>
              <w:bottom w:val="single" w:sz="8" w:color="405788"/>
            </w:tcBorders>
          </w:tcPr>
          <w:p>
            <w:pPr>
              <w:jc w:val="right"/>
              <w:ind w:right="8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4</w:t>
            </w:r>
          </w:p>
        </w:tc>
        <w:tc>
          <w:tcPr>
            <w:tcW w:w="1480" w:type="dxa"/>
            <w:vAlign w:val="bottom"/>
            <w:tcBorders>
              <w:bottom w:val="single" w:sz="8" w:color="405788"/>
            </w:tcBorders>
          </w:tcPr>
          <w:p>
            <w:pPr>
              <w:jc w:val="right"/>
              <w:ind w:right="6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5</w:t>
            </w:r>
          </w:p>
        </w:tc>
        <w:tc>
          <w:tcPr>
            <w:tcW w:w="1540" w:type="dxa"/>
            <w:vAlign w:val="bottom"/>
            <w:tcBorders>
              <w:bottom w:val="single" w:sz="8" w:color="405788"/>
            </w:tcBorders>
          </w:tcPr>
          <w:p>
            <w:pPr>
              <w:jc w:val="right"/>
              <w:ind w:right="10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5</w:t>
            </w:r>
          </w:p>
        </w:tc>
        <w:tc>
          <w:tcPr>
            <w:tcW w:w="1560" w:type="dxa"/>
            <w:vAlign w:val="bottom"/>
            <w:tcBorders>
              <w:bottom w:val="single" w:sz="8" w:color="405788"/>
            </w:tcBorders>
          </w:tcPr>
          <w:p>
            <w:pPr>
              <w:jc w:val="right"/>
              <w:ind w:right="62"/>
              <w:spacing w:after="0" w:line="142"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16"/>
                <w:szCs w:val="16"/>
                <w:b w:val="1"/>
                <w:bCs w:val="1"/>
                <w:color w:val="auto"/>
                <w:vertAlign w:val="superscript"/>
              </w:rPr>
              <w:t>5</w:t>
            </w:r>
          </w:p>
        </w:tc>
        <w:tc>
          <w:tcPr>
            <w:tcW w:w="1280" w:type="dxa"/>
            <w:vAlign w:val="bottom"/>
            <w:tcBorders>
              <w:bottom w:val="single" w:sz="8" w:color="405788"/>
            </w:tcBorders>
          </w:tcPr>
          <w:p>
            <w:pPr>
              <w:jc w:val="right"/>
              <w:ind w:right="82"/>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405788"/>
            </w:tcBorders>
          </w:tcPr>
          <w:p>
            <w:pPr>
              <w:jc w:val="right"/>
              <w:ind w:right="42"/>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0"/>
        </w:trPr>
        <w:tc>
          <w:tcPr>
            <w:tcW w:w="660" w:type="dxa"/>
            <w:vAlign w:val="bottom"/>
            <w:tcBorders>
              <w:bottom w:val="single" w:sz="8" w:color="D9D9D9"/>
            </w:tcBorders>
          </w:tcPr>
          <w:p>
            <w:pPr>
              <w:ind w:left="220"/>
              <w:spacing w:after="0" w:line="125" w:lineRule="exact"/>
              <w:rPr>
                <w:sz w:val="20"/>
                <w:szCs w:val="20"/>
                <w:color w:val="auto"/>
              </w:rPr>
            </w:pPr>
            <w:r>
              <w:rPr>
                <w:rFonts w:ascii="Arial" w:cs="Arial" w:eastAsia="Arial" w:hAnsi="Arial"/>
                <w:sz w:val="12"/>
                <w:szCs w:val="12"/>
                <w:color w:val="auto"/>
              </w:rPr>
              <w:t>2023</w:t>
            </w:r>
          </w:p>
        </w:tc>
        <w:tc>
          <w:tcPr>
            <w:tcW w:w="110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1,802,228</w:t>
            </w:r>
          </w:p>
        </w:tc>
        <w:tc>
          <w:tcPr>
            <w:tcW w:w="134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(988,631)</w:t>
            </w:r>
          </w:p>
        </w:tc>
        <w:tc>
          <w:tcPr>
            <w:tcW w:w="148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1,947,542</w:t>
            </w:r>
          </w:p>
        </w:tc>
        <w:tc>
          <w:tcPr>
            <w:tcW w:w="1540" w:type="dxa"/>
            <w:vAlign w:val="bottom"/>
            <w:tcBorders>
              <w:bottom w:val="single" w:sz="8" w:color="D9D9D9"/>
            </w:tcBorders>
          </w:tcPr>
          <w:p>
            <w:pPr>
              <w:jc w:val="right"/>
              <w:ind w:right="102"/>
              <w:spacing w:after="0" w:line="125" w:lineRule="exact"/>
              <w:rPr>
                <w:sz w:val="20"/>
                <w:szCs w:val="20"/>
                <w:color w:val="auto"/>
              </w:rPr>
            </w:pPr>
            <w:r>
              <w:rPr>
                <w:rFonts w:ascii="Arial" w:cs="Arial" w:eastAsia="Arial" w:hAnsi="Arial"/>
                <w:sz w:val="12"/>
                <w:szCs w:val="12"/>
                <w:color w:val="auto"/>
              </w:rPr>
              <w:t>381,466</w:t>
            </w:r>
          </w:p>
        </w:tc>
        <w:tc>
          <w:tcPr>
            <w:tcW w:w="156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10,214</w:t>
            </w:r>
          </w:p>
        </w:tc>
        <w:tc>
          <w:tcPr>
            <w:tcW w:w="128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w:t>
            </w:r>
          </w:p>
        </w:tc>
        <w:tc>
          <w:tcPr>
            <w:tcW w:w="960" w:type="dxa"/>
            <w:vAlign w:val="bottom"/>
            <w:tcBorders>
              <w:bottom w:val="single" w:sz="8" w:color="D9D9D9"/>
            </w:tcBorders>
          </w:tcPr>
          <w:p>
            <w:pPr>
              <w:jc w:val="right"/>
              <w:ind w:right="2"/>
              <w:spacing w:after="0" w:line="125" w:lineRule="exact"/>
              <w:rPr>
                <w:sz w:val="20"/>
                <w:szCs w:val="20"/>
                <w:color w:val="auto"/>
              </w:rPr>
            </w:pPr>
            <w:r>
              <w:rPr>
                <w:rFonts w:ascii="Arial" w:cs="Arial" w:eastAsia="Arial" w:hAnsi="Arial"/>
                <w:sz w:val="12"/>
                <w:szCs w:val="12"/>
                <w:color w:val="auto"/>
              </w:rPr>
              <w:t>3,152,819</w:t>
            </w:r>
          </w:p>
        </w:tc>
        <w:tc>
          <w:tcPr>
            <w:tcW w:w="0" w:type="dxa"/>
            <w:vAlign w:val="bottom"/>
          </w:tcPr>
          <w:p>
            <w:pPr>
              <w:spacing w:after="0"/>
              <w:rPr>
                <w:sz w:val="1"/>
                <w:szCs w:val="1"/>
                <w:color w:val="auto"/>
              </w:rPr>
            </w:pPr>
          </w:p>
        </w:tc>
      </w:tr>
      <w:tr>
        <w:trPr>
          <w:trHeight w:val="130"/>
        </w:trPr>
        <w:tc>
          <w:tcPr>
            <w:tcW w:w="660" w:type="dxa"/>
            <w:vAlign w:val="bottom"/>
            <w:tcBorders>
              <w:bottom w:val="single" w:sz="8" w:color="D9D9D9"/>
            </w:tcBorders>
          </w:tcPr>
          <w:p>
            <w:pPr>
              <w:ind w:left="220"/>
              <w:spacing w:after="0" w:line="125" w:lineRule="exact"/>
              <w:rPr>
                <w:sz w:val="20"/>
                <w:szCs w:val="20"/>
                <w:color w:val="auto"/>
              </w:rPr>
            </w:pPr>
            <w:r>
              <w:rPr>
                <w:rFonts w:ascii="Arial" w:cs="Arial" w:eastAsia="Arial" w:hAnsi="Arial"/>
                <w:sz w:val="12"/>
                <w:szCs w:val="12"/>
                <w:color w:val="auto"/>
              </w:rPr>
              <w:t>2022</w:t>
            </w:r>
          </w:p>
        </w:tc>
        <w:tc>
          <w:tcPr>
            <w:tcW w:w="110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1,102,814</w:t>
            </w:r>
          </w:p>
        </w:tc>
        <w:tc>
          <w:tcPr>
            <w:tcW w:w="1340" w:type="dxa"/>
            <w:vAlign w:val="bottom"/>
            <w:tcBorders>
              <w:bottom w:val="single" w:sz="8" w:color="D9D9D9"/>
            </w:tcBorders>
          </w:tcPr>
          <w:p>
            <w:pPr>
              <w:jc w:val="right"/>
              <w:ind w:right="42"/>
              <w:spacing w:after="0" w:line="125" w:lineRule="exact"/>
              <w:rPr>
                <w:sz w:val="20"/>
                <w:szCs w:val="20"/>
                <w:color w:val="auto"/>
              </w:rPr>
            </w:pPr>
            <w:r>
              <w:rPr>
                <w:rFonts w:ascii="Arial" w:cs="Arial" w:eastAsia="Arial" w:hAnsi="Arial"/>
                <w:sz w:val="12"/>
                <w:szCs w:val="12"/>
                <w:color w:val="auto"/>
              </w:rPr>
              <w:t>(341,129)</w:t>
            </w:r>
          </w:p>
        </w:tc>
        <w:tc>
          <w:tcPr>
            <w:tcW w:w="148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478,730</w:t>
            </w:r>
          </w:p>
        </w:tc>
        <w:tc>
          <w:tcPr>
            <w:tcW w:w="1540" w:type="dxa"/>
            <w:vAlign w:val="bottom"/>
            <w:tcBorders>
              <w:bottom w:val="single" w:sz="8" w:color="D9D9D9"/>
            </w:tcBorders>
          </w:tcPr>
          <w:p>
            <w:pPr>
              <w:jc w:val="right"/>
              <w:ind w:right="102"/>
              <w:spacing w:after="0" w:line="125" w:lineRule="exact"/>
              <w:rPr>
                <w:sz w:val="20"/>
                <w:szCs w:val="20"/>
                <w:color w:val="auto"/>
              </w:rPr>
            </w:pPr>
            <w:r>
              <w:rPr>
                <w:rFonts w:ascii="Arial" w:cs="Arial" w:eastAsia="Arial" w:hAnsi="Arial"/>
                <w:sz w:val="12"/>
                <w:szCs w:val="12"/>
                <w:color w:val="auto"/>
              </w:rPr>
              <w:t>115,513</w:t>
            </w:r>
          </w:p>
        </w:tc>
        <w:tc>
          <w:tcPr>
            <w:tcW w:w="1560" w:type="dxa"/>
            <w:vAlign w:val="bottom"/>
            <w:tcBorders>
              <w:bottom w:val="single" w:sz="8" w:color="D9D9D9"/>
            </w:tcBorders>
          </w:tcPr>
          <w:p>
            <w:pPr>
              <w:jc w:val="right"/>
              <w:ind w:right="62"/>
              <w:spacing w:after="0" w:line="125" w:lineRule="exact"/>
              <w:rPr>
                <w:sz w:val="20"/>
                <w:szCs w:val="20"/>
                <w:color w:val="auto"/>
              </w:rPr>
            </w:pPr>
            <w:r>
              <w:rPr>
                <w:rFonts w:ascii="Arial" w:cs="Arial" w:eastAsia="Arial" w:hAnsi="Arial"/>
                <w:sz w:val="12"/>
                <w:szCs w:val="12"/>
                <w:color w:val="auto"/>
              </w:rPr>
              <w:t>52,860</w:t>
            </w:r>
          </w:p>
        </w:tc>
        <w:tc>
          <w:tcPr>
            <w:tcW w:w="1280" w:type="dxa"/>
            <w:vAlign w:val="bottom"/>
            <w:tcBorders>
              <w:bottom w:val="single" w:sz="8" w:color="D9D9D9"/>
            </w:tcBorders>
          </w:tcPr>
          <w:p>
            <w:pPr>
              <w:jc w:val="right"/>
              <w:ind w:right="22"/>
              <w:spacing w:after="0" w:line="125" w:lineRule="exact"/>
              <w:rPr>
                <w:sz w:val="20"/>
                <w:szCs w:val="20"/>
                <w:color w:val="auto"/>
              </w:rPr>
            </w:pPr>
            <w:r>
              <w:rPr>
                <w:rFonts w:ascii="Arial" w:cs="Arial" w:eastAsia="Arial" w:hAnsi="Arial"/>
                <w:sz w:val="12"/>
                <w:szCs w:val="12"/>
                <w:color w:val="auto"/>
              </w:rPr>
              <w:t>(53,100)</w:t>
            </w:r>
          </w:p>
        </w:tc>
        <w:tc>
          <w:tcPr>
            <w:tcW w:w="960" w:type="dxa"/>
            <w:vAlign w:val="bottom"/>
            <w:tcBorders>
              <w:bottom w:val="single" w:sz="8" w:color="D9D9D9"/>
            </w:tcBorders>
          </w:tcPr>
          <w:p>
            <w:pPr>
              <w:jc w:val="right"/>
              <w:ind w:right="2"/>
              <w:spacing w:after="0" w:line="125" w:lineRule="exact"/>
              <w:rPr>
                <w:sz w:val="20"/>
                <w:szCs w:val="20"/>
                <w:color w:val="auto"/>
              </w:rPr>
            </w:pPr>
            <w:r>
              <w:rPr>
                <w:rFonts w:ascii="Arial" w:cs="Arial" w:eastAsia="Arial" w:hAnsi="Arial"/>
                <w:sz w:val="12"/>
                <w:szCs w:val="12"/>
                <w:color w:val="auto"/>
              </w:rPr>
              <w:t>1,355,688</w:t>
            </w:r>
          </w:p>
        </w:tc>
        <w:tc>
          <w:tcPr>
            <w:tcW w:w="0" w:type="dxa"/>
            <w:vAlign w:val="bottom"/>
          </w:tcPr>
          <w:p>
            <w:pPr>
              <w:spacing w:after="0"/>
              <w:rPr>
                <w:sz w:val="1"/>
                <w:szCs w:val="1"/>
                <w:color w:val="auto"/>
              </w:rPr>
            </w:pPr>
          </w:p>
        </w:tc>
      </w:tr>
      <w:tr>
        <w:trPr>
          <w:trHeight w:val="125"/>
        </w:trPr>
        <w:tc>
          <w:tcPr>
            <w:tcW w:w="660" w:type="dxa"/>
            <w:vAlign w:val="bottom"/>
            <w:tcBorders>
              <w:bottom w:val="single" w:sz="8" w:color="44546A"/>
            </w:tcBorders>
          </w:tcPr>
          <w:p>
            <w:pPr>
              <w:ind w:left="220"/>
              <w:spacing w:after="0" w:line="125" w:lineRule="exact"/>
              <w:rPr>
                <w:sz w:val="20"/>
                <w:szCs w:val="20"/>
                <w:color w:val="auto"/>
              </w:rPr>
            </w:pPr>
            <w:r>
              <w:rPr>
                <w:rFonts w:ascii="Arial" w:cs="Arial" w:eastAsia="Arial" w:hAnsi="Arial"/>
                <w:sz w:val="12"/>
                <w:szCs w:val="12"/>
                <w:color w:val="auto"/>
              </w:rPr>
              <w:t>2021</w:t>
            </w:r>
          </w:p>
        </w:tc>
        <w:tc>
          <w:tcPr>
            <w:tcW w:w="1100" w:type="dxa"/>
            <w:vAlign w:val="bottom"/>
            <w:tcBorders>
              <w:bottom w:val="single" w:sz="8" w:color="44546A"/>
            </w:tcBorders>
          </w:tcPr>
          <w:p>
            <w:pPr>
              <w:jc w:val="right"/>
              <w:ind w:right="42"/>
              <w:spacing w:after="0" w:line="125" w:lineRule="exact"/>
              <w:rPr>
                <w:sz w:val="20"/>
                <w:szCs w:val="20"/>
                <w:color w:val="auto"/>
              </w:rPr>
            </w:pPr>
            <w:r>
              <w:rPr>
                <w:rFonts w:ascii="Arial" w:cs="Arial" w:eastAsia="Arial" w:hAnsi="Arial"/>
                <w:sz w:val="12"/>
                <w:szCs w:val="12"/>
                <w:color w:val="auto"/>
              </w:rPr>
              <w:t>863,982</w:t>
            </w:r>
          </w:p>
        </w:tc>
        <w:tc>
          <w:tcPr>
            <w:tcW w:w="1340" w:type="dxa"/>
            <w:vAlign w:val="bottom"/>
            <w:tcBorders>
              <w:bottom w:val="single" w:sz="8" w:color="44546A"/>
            </w:tcBorders>
          </w:tcPr>
          <w:p>
            <w:pPr>
              <w:jc w:val="right"/>
              <w:ind w:right="42"/>
              <w:spacing w:after="0" w:line="125" w:lineRule="exact"/>
              <w:rPr>
                <w:sz w:val="20"/>
                <w:szCs w:val="20"/>
                <w:color w:val="auto"/>
              </w:rPr>
            </w:pPr>
            <w:r>
              <w:rPr>
                <w:rFonts w:ascii="Arial" w:cs="Arial" w:eastAsia="Arial" w:hAnsi="Arial"/>
                <w:sz w:val="12"/>
                <w:szCs w:val="12"/>
                <w:color w:val="auto"/>
              </w:rPr>
              <w:t>(399,563)</w:t>
            </w:r>
          </w:p>
        </w:tc>
        <w:tc>
          <w:tcPr>
            <w:tcW w:w="1480" w:type="dxa"/>
            <w:vAlign w:val="bottom"/>
            <w:tcBorders>
              <w:bottom w:val="single" w:sz="8" w:color="44546A"/>
            </w:tcBorders>
          </w:tcPr>
          <w:p>
            <w:pPr>
              <w:jc w:val="right"/>
              <w:ind w:right="62"/>
              <w:spacing w:after="0" w:line="125" w:lineRule="exact"/>
              <w:rPr>
                <w:sz w:val="20"/>
                <w:szCs w:val="20"/>
                <w:color w:val="auto"/>
              </w:rPr>
            </w:pPr>
            <w:r>
              <w:rPr>
                <w:rFonts w:ascii="Arial" w:cs="Arial" w:eastAsia="Arial" w:hAnsi="Arial"/>
                <w:sz w:val="12"/>
                <w:szCs w:val="12"/>
                <w:color w:val="auto"/>
              </w:rPr>
              <w:t>281,301</w:t>
            </w:r>
          </w:p>
        </w:tc>
        <w:tc>
          <w:tcPr>
            <w:tcW w:w="1540" w:type="dxa"/>
            <w:vAlign w:val="bottom"/>
            <w:tcBorders>
              <w:bottom w:val="single" w:sz="8" w:color="44546A"/>
            </w:tcBorders>
          </w:tcPr>
          <w:p>
            <w:pPr>
              <w:jc w:val="right"/>
              <w:ind w:right="62"/>
              <w:spacing w:after="0" w:line="125" w:lineRule="exact"/>
              <w:rPr>
                <w:sz w:val="20"/>
                <w:szCs w:val="20"/>
                <w:color w:val="auto"/>
              </w:rPr>
            </w:pPr>
            <w:r>
              <w:rPr>
                <w:rFonts w:ascii="Arial" w:cs="Arial" w:eastAsia="Arial" w:hAnsi="Arial"/>
                <w:sz w:val="12"/>
                <w:szCs w:val="12"/>
                <w:color w:val="auto"/>
              </w:rPr>
              <w:t>(73,385)</w:t>
            </w:r>
          </w:p>
        </w:tc>
        <w:tc>
          <w:tcPr>
            <w:tcW w:w="1560" w:type="dxa"/>
            <w:vAlign w:val="bottom"/>
            <w:tcBorders>
              <w:bottom w:val="single" w:sz="8" w:color="44546A"/>
            </w:tcBorders>
          </w:tcPr>
          <w:p>
            <w:pPr>
              <w:jc w:val="right"/>
              <w:ind w:right="62"/>
              <w:spacing w:after="0" w:line="125" w:lineRule="exact"/>
              <w:rPr>
                <w:sz w:val="20"/>
                <w:szCs w:val="20"/>
                <w:color w:val="auto"/>
              </w:rPr>
            </w:pPr>
            <w:r>
              <w:rPr>
                <w:rFonts w:ascii="Arial" w:cs="Arial" w:eastAsia="Arial" w:hAnsi="Arial"/>
                <w:sz w:val="12"/>
                <w:szCs w:val="12"/>
                <w:color w:val="auto"/>
              </w:rPr>
              <w:t>11,374</w:t>
            </w:r>
          </w:p>
        </w:tc>
        <w:tc>
          <w:tcPr>
            <w:tcW w:w="1280" w:type="dxa"/>
            <w:vAlign w:val="bottom"/>
            <w:tcBorders>
              <w:bottom w:val="single" w:sz="8" w:color="44546A"/>
            </w:tcBorders>
          </w:tcPr>
          <w:p>
            <w:pPr>
              <w:jc w:val="right"/>
              <w:ind w:right="22"/>
              <w:spacing w:after="0" w:line="125" w:lineRule="exact"/>
              <w:rPr>
                <w:sz w:val="20"/>
                <w:szCs w:val="20"/>
                <w:color w:val="auto"/>
              </w:rPr>
            </w:pPr>
            <w:r>
              <w:rPr>
                <w:rFonts w:ascii="Arial" w:cs="Arial" w:eastAsia="Arial" w:hAnsi="Arial"/>
                <w:sz w:val="12"/>
                <w:szCs w:val="12"/>
                <w:color w:val="auto"/>
              </w:rPr>
              <w:t>(60,086)</w:t>
            </w:r>
          </w:p>
        </w:tc>
        <w:tc>
          <w:tcPr>
            <w:tcW w:w="960" w:type="dxa"/>
            <w:vAlign w:val="bottom"/>
            <w:tcBorders>
              <w:bottom w:val="single" w:sz="8" w:color="44546A"/>
            </w:tcBorders>
          </w:tcPr>
          <w:p>
            <w:pPr>
              <w:jc w:val="right"/>
              <w:ind w:right="2"/>
              <w:spacing w:after="0" w:line="125" w:lineRule="exact"/>
              <w:rPr>
                <w:sz w:val="20"/>
                <w:szCs w:val="20"/>
                <w:color w:val="auto"/>
              </w:rPr>
            </w:pPr>
            <w:r>
              <w:rPr>
                <w:rFonts w:ascii="Arial" w:cs="Arial" w:eastAsia="Arial" w:hAnsi="Arial"/>
                <w:sz w:val="12"/>
                <w:szCs w:val="12"/>
                <w:color w:val="auto"/>
              </w:rPr>
              <w:t>623,623</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300" w:right="220" w:hanging="299"/>
        <w:spacing w:after="0" w:line="278" w:lineRule="auto"/>
        <w:tabs>
          <w:tab w:leader="none" w:pos="3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Reflects SCT reported change in “Stock Awards” column from the SCT and fair values of stock and option awards forfeited during the covered year. The valuation assumptions used to calculate fair values did not materially differ from those disclosed at the time of grant.</w:t>
      </w:r>
    </w:p>
    <w:p>
      <w:pPr>
        <w:spacing w:after="0" w:line="150" w:lineRule="exact"/>
        <w:rPr>
          <w:rFonts w:ascii="Arial" w:cs="Arial" w:eastAsia="Arial" w:hAnsi="Arial"/>
          <w:sz w:val="15"/>
          <w:szCs w:val="15"/>
          <w:color w:val="auto"/>
        </w:rPr>
      </w:pPr>
    </w:p>
    <w:p>
      <w:pPr>
        <w:ind w:left="300" w:right="120" w:hanging="299"/>
        <w:spacing w:after="0" w:line="261" w:lineRule="auto"/>
        <w:tabs>
          <w:tab w:leader="none" w:pos="3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As of the end of the fiscal year-end, reflects the fair values awards granted during the fiscal year that are outstanding and unvested, the change in fair value compared to prior fiscal year-end of awards granted in any prior fiscal year that are outstanding, and the change in value as of the vesting date compared to prior fiscal year-end of awards granted in any prior fiscal year for which all vesting conditions were satisfied.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Analysis of the Information Presented in the Pay Versus Performance Table</w:t>
      </w:r>
    </w:p>
    <w:p>
      <w:pPr>
        <w:spacing w:after="0" w:line="179"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following chart sets forth the relationship between Compensation Actually Paid to our PEO, the average of Compensation Actually Paid to our Non-PEO NEOs, and the Company’s TSR over the period covering fiscal years 2021, 2022 and 2023. A large component of our executive compensation is equity-based to align compensation with performance, but also includes other appropriate incentives such as cash bonuses that are designed to incentivize our executives to achieve annual corporate goals. We believe the equity-based compensation strongly aligns our PEO and Non-PEO NEOs’ interests with those of our stockholders to maximize long-term value and encourages long-term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1009650</wp:posOffset>
            </wp:positionH>
            <wp:positionV relativeFrom="paragraph">
              <wp:posOffset>111760</wp:posOffset>
            </wp:positionV>
            <wp:extent cx="4285615" cy="22853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285615" cy="228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40</w:t>
      </w:r>
      <w:r>
        <w:rPr>
          <w:sz w:val="20"/>
          <w:szCs w:val="20"/>
          <w:color w:val="auto"/>
        </w:rPr>
        <w:tab/>
      </w:r>
      <w:r>
        <w:rPr>
          <w:sz w:val="1"/>
          <w:szCs w:val="1"/>
          <w:color w:val="auto"/>
        </w:rPr>
        <w:drawing>
          <wp:inline distT="0" distB="0" distL="0" distR="0">
            <wp:extent cx="476250" cy="22225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ind w:right="600"/>
        <w:spacing w:after="0" w:line="289" w:lineRule="auto"/>
        <w:rPr>
          <w:sz w:val="20"/>
          <w:szCs w:val="20"/>
          <w:color w:val="auto"/>
        </w:rPr>
      </w:pPr>
      <w:r>
        <w:rPr>
          <w:rFonts w:ascii="Arial" w:cs="Arial" w:eastAsia="Arial" w:hAnsi="Arial"/>
          <w:sz w:val="16"/>
          <w:szCs w:val="16"/>
          <w:color w:val="auto"/>
        </w:rPr>
        <w:t>The following chart shows the relationship between Compensation Actually Paid to our PEO, the average of the Compensation Actually Paid to our Non-PEO NEOs and our net income over the period covering fiscal years 2021,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858520</wp:posOffset>
            </wp:positionH>
            <wp:positionV relativeFrom="paragraph">
              <wp:posOffset>-31750</wp:posOffset>
            </wp:positionV>
            <wp:extent cx="4587240" cy="22853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87240" cy="228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243" w:lineRule="auto"/>
        <w:rPr>
          <w:sz w:val="20"/>
          <w:szCs w:val="20"/>
          <w:color w:val="auto"/>
        </w:rPr>
      </w:pPr>
      <w:r>
        <w:rPr>
          <w:rFonts w:ascii="Arial" w:cs="Arial" w:eastAsia="Arial" w:hAnsi="Arial"/>
          <w:sz w:val="17"/>
          <w:szCs w:val="17"/>
          <w:i w:val="1"/>
          <w:iCs w:val="1"/>
          <w:color w:val="auto"/>
        </w:rPr>
        <w:t>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354330</wp:posOffset>
            </wp:positionV>
            <wp:extent cx="483870" cy="2222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D9D9D9"/>
        </w:rPr>
        <w:t>CECO ENVIRONMENTAL</w:t>
      </w:r>
    </w:p>
    <w:p>
      <w:pPr>
        <w:sectPr>
          <w:pgSz w:w="11900" w:h="16838" w:orient="portrait"/>
          <w:cols w:equalWidth="0" w:num="1">
            <w:col w:w="9900"/>
          </w:cols>
          <w:pgMar w:left="980" w:top="485" w:right="1019" w:bottom="1440" w:gutter="0" w:footer="0" w:header="0"/>
        </w:sect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3C578C"/>
        </w:rPr>
        <w:t>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6301105" cy="15081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01105" cy="1508125"/>
                    </a:xfrm>
                    <a:prstGeom prst="rect">
                      <a:avLst/>
                    </a:prstGeom>
                    <a:noFill/>
                  </pic:spPr>
                </pic:pic>
              </a:graphicData>
            </a:graphic>
          </wp:anchor>
        </w:drawing>
      </w:r>
    </w:p>
    <w:p>
      <w:pPr>
        <w:spacing w:after="0" w:line="55" w:lineRule="exact"/>
        <w:rPr>
          <w:sz w:val="20"/>
          <w:szCs w:val="20"/>
          <w:color w:val="auto"/>
        </w:rPr>
      </w:pPr>
    </w:p>
    <w:p>
      <w:pPr>
        <w:ind w:left="120" w:right="120"/>
        <w:spacing w:after="0" w:line="264" w:lineRule="auto"/>
        <w:rPr>
          <w:sz w:val="20"/>
          <w:szCs w:val="20"/>
          <w:color w:val="auto"/>
        </w:rPr>
      </w:pPr>
      <w:r>
        <w:rPr>
          <w:rFonts w:ascii="Arial" w:cs="Arial" w:eastAsia="Arial" w:hAnsi="Arial"/>
          <w:sz w:val="33"/>
          <w:szCs w:val="33"/>
          <w:color w:val="3C578C"/>
        </w:rPr>
        <w:t>RATIFICATION OF THE APPOINTMENT OF INDEPENDENT REGISTERED PUBLIC ACCOUNTING FIRM</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471" w:lineRule="exact"/>
        <w:rPr>
          <w:sz w:val="20"/>
          <w:szCs w:val="20"/>
          <w:color w:val="auto"/>
        </w:rPr>
      </w:pPr>
      <w:r>
        <w:rPr>
          <w:rFonts w:ascii="MS PGothic" w:cs="MS PGothic" w:eastAsia="MS PGothic" w:hAnsi="MS PGothic"/>
          <w:sz w:val="47"/>
          <w:szCs w:val="47"/>
          <w:color w:val="A1B657"/>
        </w:rPr>
        <w:t>✓</w:t>
      </w:r>
    </w:p>
    <w:p>
      <w:pPr>
        <w:spacing w:after="0" w:line="209"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b w:val="1"/>
          <w:bCs w:val="1"/>
          <w:color w:val="3C578C"/>
        </w:rPr>
        <w:t xml:space="preserve">The Board recommends a vote </w:t>
      </w:r>
      <w:r>
        <w:rPr>
          <w:rFonts w:ascii="Arial" w:cs="Arial" w:eastAsia="Arial" w:hAnsi="Arial"/>
          <w:sz w:val="20"/>
          <w:szCs w:val="20"/>
          <w:b w:val="1"/>
          <w:bCs w:val="1"/>
          <w:color w:val="A1B657"/>
        </w:rPr>
        <w:t>FOR</w:t>
      </w:r>
      <w:r>
        <w:rPr>
          <w:rFonts w:ascii="Arial" w:cs="Arial" w:eastAsia="Arial" w:hAnsi="Arial"/>
          <w:sz w:val="20"/>
          <w:szCs w:val="20"/>
          <w:b w:val="1"/>
          <w:bCs w:val="1"/>
          <w:color w:val="3C578C"/>
        </w:rPr>
        <w:t xml:space="preserve"> the ratification of the appointment of BDO as our independent registered public accounting firm for 2024.</w:t>
      </w:r>
    </w:p>
    <w:p>
      <w:pPr>
        <w:spacing w:after="0" w:line="152" w:lineRule="exact"/>
        <w:rPr>
          <w:sz w:val="20"/>
          <w:szCs w:val="20"/>
          <w:color w:val="auto"/>
        </w:rPr>
      </w:pPr>
    </w:p>
    <w:p>
      <w:pPr>
        <w:sectPr>
          <w:pgSz w:w="11900" w:h="16838" w:orient="portrait"/>
          <w:cols w:equalWidth="0" w:num="2">
            <w:col w:w="6880" w:space="720"/>
            <w:col w:w="2300"/>
          </w:cols>
          <w:pgMar w:left="980" w:top="485" w:right="1019" w:bottom="1440" w:gutter="0" w:footer="0" w:header="0"/>
          <w:type w:val="continuous"/>
        </w:sectPr>
      </w:pPr>
    </w:p>
    <w:p>
      <w:pPr>
        <w:ind w:right="160"/>
        <w:spacing w:after="0" w:line="237" w:lineRule="auto"/>
        <w:rPr>
          <w:sz w:val="20"/>
          <w:szCs w:val="20"/>
          <w:color w:val="auto"/>
        </w:rPr>
      </w:pPr>
      <w:r>
        <w:rPr>
          <w:rFonts w:ascii="Arial" w:cs="Arial" w:eastAsia="Arial" w:hAnsi="Arial"/>
          <w:sz w:val="17"/>
          <w:szCs w:val="17"/>
          <w:color w:val="auto"/>
        </w:rPr>
        <w:t>At the recommendation of the Audit Committee, our Board has ratified the appointment of BDO USA, P.C. (f/k/a BDO USA, LLP) (“BDO”) as our independent registered public accounting firm for the fiscal year ending December 31, 2024. BDO has served in that capacity and reported on our consolidated financial statement and the effectiveness of our internal controls over financial reporting continuously since 2008. A representative of BDO is expected to be present and available to respond to appropriate questions at the Annual Meeting.</w:t>
      </w:r>
    </w:p>
    <w:p>
      <w:pPr>
        <w:spacing w:after="0" w:line="72" w:lineRule="exact"/>
        <w:rPr>
          <w:sz w:val="20"/>
          <w:szCs w:val="20"/>
          <w:color w:val="auto"/>
        </w:rPr>
      </w:pPr>
    </w:p>
    <w:p>
      <w:pPr>
        <w:ind w:right="400"/>
        <w:spacing w:after="0" w:line="244" w:lineRule="auto"/>
        <w:rPr>
          <w:sz w:val="20"/>
          <w:szCs w:val="20"/>
          <w:color w:val="auto"/>
        </w:rPr>
      </w:pPr>
      <w:r>
        <w:rPr>
          <w:rFonts w:ascii="Arial" w:cs="Arial" w:eastAsia="Arial" w:hAnsi="Arial"/>
          <w:sz w:val="17"/>
          <w:szCs w:val="17"/>
          <w:color w:val="auto"/>
        </w:rPr>
        <w:t>Our Audit Committee approves any engagement of BDO and has the ultimate authority and responsibility to select, evaluate and, where appropriate, replace the independent registered public accounting firm and nominate an independent registered public accounting firm for stockholder approval.</w:t>
      </w:r>
    </w:p>
    <w:p>
      <w:pPr>
        <w:spacing w:after="0" w:line="6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Although we are not required to seek stockholder approval of the appointment of BDO, the Board believes that it is consistent with good corporate governance practices to ask stockholders to ratify the appointment. If the appointment is not ratified, the Audit Committee will explore the reasons for stockholder rejection and will reconsider the appointment. In addition, even if stockholders ratify the Audit Committee’s appointment of BDO, the Audit Committee, in its discretion, may still appoint a different independent registered public accounting firm if it believes that such a change would be in the best interests of the Company and our stockholders.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79" w:lineRule="exact"/>
        <w:rPr>
          <w:sz w:val="20"/>
          <w:szCs w:val="20"/>
          <w:color w:val="auto"/>
        </w:rPr>
      </w:pPr>
    </w:p>
    <w:p>
      <w:pPr>
        <w:ind w:right="580"/>
        <w:spacing w:after="0" w:line="258" w:lineRule="auto"/>
        <w:rPr>
          <w:sz w:val="20"/>
          <w:szCs w:val="20"/>
          <w:color w:val="auto"/>
        </w:rPr>
      </w:pPr>
      <w:r>
        <w:rPr>
          <w:rFonts w:ascii="Arial" w:cs="Arial" w:eastAsia="Arial" w:hAnsi="Arial"/>
          <w:sz w:val="17"/>
          <w:szCs w:val="17"/>
          <w:color w:val="auto"/>
        </w:rPr>
        <w:t>This proposal requires an affirmative vote of the majority of shares represented at the Annual Meeting in person or by proxy for approval.</w:t>
      </w:r>
    </w:p>
    <w:p>
      <w:pPr>
        <w:spacing w:after="0" w:line="342" w:lineRule="exact"/>
        <w:rPr>
          <w:sz w:val="20"/>
          <w:szCs w:val="20"/>
          <w:color w:val="auto"/>
        </w:rPr>
      </w:pPr>
    </w:p>
    <w:p>
      <w:pPr>
        <w:ind w:right="480"/>
        <w:spacing w:after="0" w:line="271" w:lineRule="auto"/>
        <w:rPr>
          <w:sz w:val="20"/>
          <w:szCs w:val="20"/>
          <w:color w:val="auto"/>
        </w:rPr>
      </w:pPr>
      <w:r>
        <w:rPr>
          <w:rFonts w:ascii="Arial" w:cs="Arial" w:eastAsia="Arial" w:hAnsi="Arial"/>
          <w:sz w:val="17"/>
          <w:szCs w:val="17"/>
          <w:b w:val="1"/>
          <w:bCs w:val="1"/>
          <w:color w:val="auto"/>
        </w:rPr>
        <w:t>Our Board recommends a vote “FOR” the ratification of the appointment of BDO USA, P.C. (f/k/a BDO USA, LLP) as our independent registered public accounting firm for fiscal year 2024.</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42</w:t>
      </w:r>
      <w:r>
        <w:rPr>
          <w:sz w:val="20"/>
          <w:szCs w:val="20"/>
          <w:color w:val="auto"/>
        </w:rPr>
        <w:tab/>
      </w:r>
      <w:r>
        <w:rPr>
          <w:sz w:val="1"/>
          <w:szCs w:val="1"/>
          <w:color w:val="auto"/>
        </w:rPr>
        <w:drawing>
          <wp:inline distT="0" distB="0" distL="0" distR="0">
            <wp:extent cx="476250" cy="2222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AUDIT MATTERS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Audit Committee Report</w:t>
      </w:r>
    </w:p>
    <w:p>
      <w:pPr>
        <w:spacing w:after="0" w:line="92"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Our Audit Committee has reviewed and discussed our Company’s audited consolidated financial statements for the fiscal year ended December 31, 2023, with our management and has discussed with BDO USA, P.C. (f/k/a BDO USA, LLP) (“BDO”), our independent registered public accounting firm, those matters required to be discussed by the applicable requirements of the Public Company Accounting Oversight Board (the “PCAOB”) and the Securities and Exchange Commission.</w:t>
      </w:r>
    </w:p>
    <w:p>
      <w:pPr>
        <w:spacing w:after="0" w:line="71"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color w:val="auto"/>
        </w:rPr>
        <w:t>In addition, our Audit Committee has received the written disclosures and the letter from BDO required by applicable requirements of the PCAOB, regarding BDO’s communications with our Audit Committee concerning independence, and our Audit Committee has discussed BDO’s independence with BDO.</w:t>
      </w:r>
    </w:p>
    <w:p>
      <w:pPr>
        <w:spacing w:after="0" w:line="66"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color w:val="auto"/>
        </w:rPr>
        <w:t>Based on these reviews and discussions, the Audit Committee recommended to our Board that our audited consolidated financial statements be included in our Annual Report on Form 10-K for the fiscal year ended December 31, 2023, for filing with the SEC.</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Richard F. Wallman, Chair</w:t>
      </w:r>
    </w:p>
    <w:p>
      <w:pPr>
        <w:spacing w:after="0"/>
        <w:rPr>
          <w:sz w:val="20"/>
          <w:szCs w:val="20"/>
          <w:color w:val="auto"/>
        </w:rPr>
      </w:pPr>
      <w:r>
        <w:rPr>
          <w:rFonts w:ascii="Arial" w:cs="Arial" w:eastAsia="Arial" w:hAnsi="Arial"/>
          <w:sz w:val="17"/>
          <w:szCs w:val="17"/>
          <w:color w:val="auto"/>
        </w:rPr>
        <w:t>Claudio A. Mannarino</w:t>
      </w:r>
    </w:p>
    <w:p>
      <w:pPr>
        <w:spacing w:after="0"/>
        <w:rPr>
          <w:sz w:val="20"/>
          <w:szCs w:val="20"/>
          <w:color w:val="auto"/>
        </w:rPr>
      </w:pPr>
      <w:r>
        <w:rPr>
          <w:rFonts w:ascii="Arial" w:cs="Arial" w:eastAsia="Arial" w:hAnsi="Arial"/>
          <w:sz w:val="17"/>
          <w:szCs w:val="17"/>
          <w:color w:val="auto"/>
        </w:rPr>
        <w:t>Munish Nanda</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Independent Registered Public Accounting Firm Fees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fees for services provided to us by BDO for the fiscal years ended December 31:</w:t>
      </w:r>
    </w:p>
    <w:p>
      <w:pPr>
        <w:spacing w:after="0" w:line="114" w:lineRule="exact"/>
        <w:rPr>
          <w:sz w:val="20"/>
          <w:szCs w:val="20"/>
          <w:color w:val="auto"/>
        </w:rPr>
      </w:pPr>
    </w:p>
    <w:tbl>
      <w:tblPr>
        <w:tblLayout w:type="fixed"/>
        <w:tblInd w:w="100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3560" w:type="dxa"/>
            <w:vAlign w:val="bottom"/>
            <w:tcBorders>
              <w:bottom w:val="single" w:sz="8" w:color="405788"/>
            </w:tcBorders>
          </w:tcPr>
          <w:p>
            <w:pPr>
              <w:spacing w:after="0"/>
              <w:rPr>
                <w:sz w:val="14"/>
                <w:szCs w:val="14"/>
                <w:color w:val="auto"/>
              </w:rPr>
            </w:pPr>
          </w:p>
        </w:tc>
        <w:tc>
          <w:tcPr>
            <w:tcW w:w="2300" w:type="dxa"/>
            <w:vAlign w:val="bottom"/>
            <w:tcBorders>
              <w:bottom w:val="single" w:sz="8" w:color="405788"/>
            </w:tcBorders>
          </w:tcPr>
          <w:p>
            <w:pPr>
              <w:spacing w:after="0"/>
              <w:rPr>
                <w:sz w:val="14"/>
                <w:szCs w:val="14"/>
                <w:color w:val="auto"/>
              </w:rPr>
            </w:pPr>
          </w:p>
        </w:tc>
        <w:tc>
          <w:tcPr>
            <w:tcW w:w="920" w:type="dxa"/>
            <w:vAlign w:val="bottom"/>
            <w:tcBorders>
              <w:bottom w:val="single" w:sz="8" w:color="405788"/>
            </w:tcBorders>
          </w:tcPr>
          <w:p>
            <w:pPr>
              <w:jc w:val="right"/>
              <w:ind w:right="19"/>
              <w:spacing w:after="0"/>
              <w:rPr>
                <w:sz w:val="20"/>
                <w:szCs w:val="20"/>
                <w:color w:val="auto"/>
              </w:rPr>
            </w:pPr>
            <w:r>
              <w:rPr>
                <w:rFonts w:ascii="Arial" w:cs="Arial" w:eastAsia="Arial" w:hAnsi="Arial"/>
                <w:sz w:val="13"/>
                <w:szCs w:val="13"/>
                <w:b w:val="1"/>
                <w:bCs w:val="1"/>
                <w:color w:val="auto"/>
              </w:rPr>
              <w:t>2023</w:t>
            </w:r>
          </w:p>
        </w:tc>
        <w:tc>
          <w:tcPr>
            <w:tcW w:w="280" w:type="dxa"/>
            <w:vAlign w:val="bottom"/>
            <w:tcBorders>
              <w:bottom w:val="single" w:sz="8" w:color="405788"/>
            </w:tcBorders>
          </w:tcPr>
          <w:p>
            <w:pPr>
              <w:spacing w:after="0"/>
              <w:rPr>
                <w:sz w:val="14"/>
                <w:szCs w:val="14"/>
                <w:color w:val="auto"/>
              </w:rPr>
            </w:pPr>
          </w:p>
        </w:tc>
        <w:tc>
          <w:tcPr>
            <w:tcW w:w="86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2022</w:t>
            </w:r>
          </w:p>
        </w:tc>
      </w:tr>
      <w:tr>
        <w:trPr>
          <w:trHeight w:val="192"/>
        </w:trPr>
        <w:tc>
          <w:tcPr>
            <w:tcW w:w="20" w:type="dxa"/>
            <w:vAlign w:val="bottom"/>
            <w:tcBorders>
              <w:bottom w:val="single" w:sz="8" w:color="D9D9D9"/>
            </w:tcBorders>
          </w:tcPr>
          <w:p>
            <w:pPr>
              <w:spacing w:after="0"/>
              <w:rPr>
                <w:sz w:val="16"/>
                <w:szCs w:val="16"/>
                <w:color w:val="auto"/>
              </w:rPr>
            </w:pPr>
          </w:p>
        </w:tc>
        <w:tc>
          <w:tcPr>
            <w:tcW w:w="356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Audit Fees</w:t>
            </w:r>
          </w:p>
        </w:tc>
        <w:tc>
          <w:tcPr>
            <w:tcW w:w="23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D9D9D9"/>
            </w:tcBorders>
          </w:tcPr>
          <w:p>
            <w:pPr>
              <w:jc w:val="right"/>
              <w:ind w:right="19"/>
              <w:spacing w:after="0" w:line="188" w:lineRule="exact"/>
              <w:rPr>
                <w:sz w:val="20"/>
                <w:szCs w:val="20"/>
                <w:color w:val="auto"/>
              </w:rPr>
            </w:pPr>
            <w:r>
              <w:rPr>
                <w:rFonts w:ascii="Arial" w:cs="Arial" w:eastAsia="Arial" w:hAnsi="Arial"/>
                <w:sz w:val="17"/>
                <w:szCs w:val="17"/>
                <w:color w:val="auto"/>
              </w:rPr>
              <w:t>1,486,950</w:t>
            </w:r>
          </w:p>
        </w:tc>
        <w:tc>
          <w:tcPr>
            <w:tcW w:w="2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1,233,910</w:t>
            </w:r>
          </w:p>
        </w:tc>
      </w:tr>
      <w:tr>
        <w:trPr>
          <w:trHeight w:val="192"/>
        </w:trPr>
        <w:tc>
          <w:tcPr>
            <w:tcW w:w="358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Audit-Related Fees</w:t>
            </w:r>
          </w:p>
        </w:tc>
        <w:tc>
          <w:tcPr>
            <w:tcW w:w="2300" w:type="dxa"/>
            <w:vAlign w:val="bottom"/>
            <w:tcBorders>
              <w:bottom w:val="single" w:sz="8" w:color="D9D9D9"/>
            </w:tcBorders>
          </w:tcPr>
          <w:p>
            <w:pPr>
              <w:spacing w:after="0"/>
              <w:rPr>
                <w:sz w:val="16"/>
                <w:szCs w:val="16"/>
                <w:color w:val="auto"/>
              </w:rPr>
            </w:pPr>
          </w:p>
        </w:tc>
        <w:tc>
          <w:tcPr>
            <w:tcW w:w="920" w:type="dxa"/>
            <w:vAlign w:val="bottom"/>
            <w:tcBorders>
              <w:bottom w:val="single" w:sz="8" w:color="D9D9D9"/>
            </w:tcBorders>
          </w:tcPr>
          <w:p>
            <w:pPr>
              <w:jc w:val="right"/>
              <w:ind w:right="19"/>
              <w:spacing w:after="0" w:line="188"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405,000</w:t>
            </w:r>
          </w:p>
        </w:tc>
      </w:tr>
      <w:tr>
        <w:trPr>
          <w:trHeight w:val="192"/>
        </w:trPr>
        <w:tc>
          <w:tcPr>
            <w:tcW w:w="358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Tax Fees</w:t>
            </w:r>
          </w:p>
        </w:tc>
        <w:tc>
          <w:tcPr>
            <w:tcW w:w="2300" w:type="dxa"/>
            <w:vAlign w:val="bottom"/>
            <w:tcBorders>
              <w:bottom w:val="single" w:sz="8" w:color="D9D9D9"/>
            </w:tcBorders>
          </w:tcPr>
          <w:p>
            <w:pPr>
              <w:spacing w:after="0"/>
              <w:rPr>
                <w:sz w:val="16"/>
                <w:szCs w:val="16"/>
                <w:color w:val="auto"/>
              </w:rPr>
            </w:pPr>
          </w:p>
        </w:tc>
        <w:tc>
          <w:tcPr>
            <w:tcW w:w="920" w:type="dxa"/>
            <w:vAlign w:val="bottom"/>
            <w:tcBorders>
              <w:bottom w:val="single" w:sz="8" w:color="D9D9D9"/>
            </w:tcBorders>
          </w:tcPr>
          <w:p>
            <w:pPr>
              <w:jc w:val="right"/>
              <w:ind w:right="19"/>
              <w:spacing w:after="0" w:line="188"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D9D9D9"/>
            </w:tcBorders>
          </w:tcPr>
          <w:p>
            <w:pPr>
              <w:spacing w:after="0"/>
              <w:rPr>
                <w:sz w:val="16"/>
                <w:szCs w:val="16"/>
                <w:color w:val="auto"/>
              </w:rPr>
            </w:pPr>
          </w:p>
        </w:tc>
        <w:tc>
          <w:tcPr>
            <w:tcW w:w="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358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All Other Fees</w:t>
            </w:r>
          </w:p>
        </w:tc>
        <w:tc>
          <w:tcPr>
            <w:tcW w:w="2300" w:type="dxa"/>
            <w:vAlign w:val="bottom"/>
            <w:tcBorders>
              <w:bottom w:val="single" w:sz="8" w:color="D9D9D9"/>
            </w:tcBorders>
          </w:tcPr>
          <w:p>
            <w:pPr>
              <w:spacing w:after="0"/>
              <w:rPr>
                <w:sz w:val="16"/>
                <w:szCs w:val="16"/>
                <w:color w:val="auto"/>
              </w:rPr>
            </w:pPr>
          </w:p>
        </w:tc>
        <w:tc>
          <w:tcPr>
            <w:tcW w:w="920" w:type="dxa"/>
            <w:vAlign w:val="bottom"/>
            <w:tcBorders>
              <w:bottom w:val="single" w:sz="8" w:color="D9D9D9"/>
            </w:tcBorders>
          </w:tcPr>
          <w:p>
            <w:pPr>
              <w:jc w:val="right"/>
              <w:ind w:right="19"/>
              <w:spacing w:after="0" w:line="188" w:lineRule="exact"/>
              <w:rPr>
                <w:sz w:val="20"/>
                <w:szCs w:val="20"/>
                <w:color w:val="auto"/>
              </w:rPr>
            </w:pPr>
            <w:r>
              <w:rPr>
                <w:rFonts w:ascii="Arial" w:cs="Arial" w:eastAsia="Arial" w:hAnsi="Arial"/>
                <w:sz w:val="17"/>
                <w:szCs w:val="17"/>
                <w:color w:val="auto"/>
              </w:rPr>
              <w:t>—</w:t>
            </w:r>
          </w:p>
        </w:tc>
        <w:tc>
          <w:tcPr>
            <w:tcW w:w="280" w:type="dxa"/>
            <w:vAlign w:val="bottom"/>
            <w:tcBorders>
              <w:bottom w:val="single" w:sz="8" w:color="D9D9D9"/>
            </w:tcBorders>
          </w:tcPr>
          <w:p>
            <w:pPr>
              <w:spacing w:after="0"/>
              <w:rPr>
                <w:sz w:val="16"/>
                <w:szCs w:val="16"/>
                <w:color w:val="auto"/>
              </w:rPr>
            </w:pPr>
          </w:p>
        </w:tc>
        <w:tc>
          <w:tcPr>
            <w:tcW w:w="8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87"/>
        </w:trPr>
        <w:tc>
          <w:tcPr>
            <w:tcW w:w="3580" w:type="dxa"/>
            <w:vAlign w:val="bottom"/>
            <w:tcBorders>
              <w:bottom w:val="single" w:sz="8" w:color="405788"/>
            </w:tcBorders>
            <w:gridSpan w:val="2"/>
          </w:tcPr>
          <w:p>
            <w:pPr>
              <w:spacing w:after="0" w:line="188" w:lineRule="exact"/>
              <w:rPr>
                <w:sz w:val="20"/>
                <w:szCs w:val="20"/>
                <w:color w:val="auto"/>
              </w:rPr>
            </w:pPr>
            <w:r>
              <w:rPr>
                <w:rFonts w:ascii="Arial" w:cs="Arial" w:eastAsia="Arial" w:hAnsi="Arial"/>
                <w:sz w:val="17"/>
                <w:szCs w:val="17"/>
                <w:b w:val="1"/>
                <w:bCs w:val="1"/>
                <w:color w:val="auto"/>
              </w:rPr>
              <w:t>Total</w:t>
            </w:r>
          </w:p>
        </w:tc>
        <w:tc>
          <w:tcPr>
            <w:tcW w:w="230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405788"/>
            </w:tcBorders>
          </w:tcPr>
          <w:p>
            <w:pPr>
              <w:jc w:val="right"/>
              <w:ind w:right="19"/>
              <w:spacing w:after="0" w:line="188" w:lineRule="exact"/>
              <w:rPr>
                <w:sz w:val="20"/>
                <w:szCs w:val="20"/>
                <w:color w:val="auto"/>
              </w:rPr>
            </w:pPr>
            <w:r>
              <w:rPr>
                <w:rFonts w:ascii="Arial" w:cs="Arial" w:eastAsia="Arial" w:hAnsi="Arial"/>
                <w:sz w:val="17"/>
                <w:szCs w:val="17"/>
                <w:color w:val="auto"/>
              </w:rPr>
              <w:t>1,486,950</w:t>
            </w:r>
          </w:p>
        </w:tc>
        <w:tc>
          <w:tcPr>
            <w:tcW w:w="28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1,638,910</w:t>
            </w:r>
          </w:p>
        </w:tc>
      </w:tr>
    </w:tbl>
    <w:p>
      <w:pPr>
        <w:spacing w:after="0" w:line="96" w:lineRule="exact"/>
        <w:rPr>
          <w:sz w:val="20"/>
          <w:szCs w:val="20"/>
          <w:color w:val="auto"/>
        </w:rPr>
      </w:pPr>
    </w:p>
    <w:p>
      <w:pPr>
        <w:ind w:right="460"/>
        <w:spacing w:after="0" w:line="244" w:lineRule="auto"/>
        <w:rPr>
          <w:sz w:val="20"/>
          <w:szCs w:val="20"/>
          <w:color w:val="auto"/>
        </w:rPr>
      </w:pPr>
      <w:r>
        <w:rPr>
          <w:rFonts w:ascii="Arial" w:cs="Arial" w:eastAsia="Arial" w:hAnsi="Arial"/>
          <w:sz w:val="17"/>
          <w:szCs w:val="17"/>
          <w:color w:val="auto"/>
        </w:rPr>
        <w:t>The following is a description of the nature of the services comprising the fees disclosed in the table above for each of the three categories of services. The Audit Committee has considered whether providing non-audit services is compatible with maintaining BDO’s independence.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Fees</w:t>
      </w:r>
    </w:p>
    <w:p>
      <w:pPr>
        <w:spacing w:after="0" w:line="90" w:lineRule="exact"/>
        <w:rPr>
          <w:sz w:val="20"/>
          <w:szCs w:val="20"/>
          <w:color w:val="auto"/>
        </w:rPr>
      </w:pPr>
    </w:p>
    <w:p>
      <w:pPr>
        <w:jc w:val="both"/>
        <w:ind w:right="40"/>
        <w:spacing w:after="0" w:line="244" w:lineRule="auto"/>
        <w:rPr>
          <w:sz w:val="20"/>
          <w:szCs w:val="20"/>
          <w:color w:val="auto"/>
        </w:rPr>
      </w:pPr>
      <w:r>
        <w:rPr>
          <w:rFonts w:ascii="Arial" w:cs="Arial" w:eastAsia="Arial" w:hAnsi="Arial"/>
          <w:sz w:val="17"/>
          <w:szCs w:val="17"/>
          <w:color w:val="auto"/>
        </w:rPr>
        <w:t>These are fees for professional services for the integrated audit of our annual consolidated financial statements, the review of financial statements included in Quarterly Reports on Form 10-Q, Proxy Statements and services that are normally rendered in connection with statutory and regulatory filings or engagements.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Audit-Related Fees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These are fees for due diligence services in connection with acquisitions.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 Pre-Approval Policy</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Our Audit Committee is responsible for pre-approving all audit services and permitted non-audit services (including the fees and retention terms) to be performed for our Company by its auditors prior to their engagement for such services. Our Audit Committee has delegated to each of its members the authority to grant pre-approvals, such approvals to be presented to the full Audit Committee at the next scheduled meeting. All of the fees paid to BDO under the category, Audit-Related Fees, was pre-approved by the Audit Committee or the Audit Committee Chair and none of the fees for such services were under the de minimis exception to pre-approval provided in the applicable rules rendered established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246380</wp:posOffset>
            </wp:positionV>
            <wp:extent cx="483870" cy="2222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OTHER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MANAGEMENT OWNERSHIP</w:t>
      </w:r>
    </w:p>
    <w:p>
      <w:pPr>
        <w:spacing w:after="0" w:line="9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The following table shows the beneficial ownership of our common stock as of March 15, 2024, by (i) each of our directors, (ii) each of our named executive officers, and (iii) all directors and executive officers as a group. Beneficial ownership includes the right to acquire shares within 60 days of March 15, 2024, including upon the exercise of an option or vesting of an RSU; however, such shares are not deemed to be outstanding for the purpose of computing the percentage owned by any other person. Except as noted below, each person exercises sole voting and investment power with respect to the shares listed.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380" w:type="dxa"/>
            <w:vAlign w:val="bottom"/>
          </w:tcPr>
          <w:p>
            <w:pPr>
              <w:spacing w:after="0"/>
              <w:rPr>
                <w:sz w:val="13"/>
                <w:szCs w:val="13"/>
                <w:color w:val="auto"/>
              </w:rPr>
            </w:pPr>
          </w:p>
        </w:tc>
        <w:tc>
          <w:tcPr>
            <w:tcW w:w="2480" w:type="dxa"/>
            <w:vAlign w:val="bottom"/>
          </w:tcPr>
          <w:p>
            <w:pPr>
              <w:jc w:val="right"/>
              <w:ind w:right="140"/>
              <w:spacing w:after="0"/>
              <w:rPr>
                <w:sz w:val="20"/>
                <w:szCs w:val="20"/>
                <w:color w:val="auto"/>
              </w:rPr>
            </w:pPr>
            <w:r>
              <w:rPr>
                <w:rFonts w:ascii="Arial" w:cs="Arial" w:eastAsia="Arial" w:hAnsi="Arial"/>
                <w:sz w:val="13"/>
                <w:szCs w:val="13"/>
                <w:b w:val="1"/>
                <w:bCs w:val="1"/>
                <w:color w:val="auto"/>
              </w:rPr>
              <w:t>Number of Shares of</w:t>
            </w:r>
          </w:p>
        </w:tc>
        <w:tc>
          <w:tcPr>
            <w:tcW w:w="2060" w:type="dxa"/>
            <w:vAlign w:val="bottom"/>
          </w:tcPr>
          <w:p>
            <w:pPr>
              <w:spacing w:after="0"/>
              <w:rPr>
                <w:sz w:val="13"/>
                <w:szCs w:val="13"/>
                <w:color w:val="auto"/>
              </w:rPr>
            </w:pPr>
          </w:p>
        </w:tc>
      </w:tr>
      <w:tr>
        <w:trPr>
          <w:trHeight w:val="133"/>
        </w:trPr>
        <w:tc>
          <w:tcPr>
            <w:tcW w:w="5380" w:type="dxa"/>
            <w:vAlign w:val="bottom"/>
          </w:tcPr>
          <w:p>
            <w:pPr>
              <w:spacing w:after="0"/>
              <w:rPr>
                <w:sz w:val="11"/>
                <w:szCs w:val="11"/>
                <w:color w:val="auto"/>
              </w:rPr>
            </w:pPr>
          </w:p>
        </w:tc>
        <w:tc>
          <w:tcPr>
            <w:tcW w:w="2480" w:type="dxa"/>
            <w:vAlign w:val="bottom"/>
          </w:tcPr>
          <w:p>
            <w:pPr>
              <w:jc w:val="right"/>
              <w:ind w:right="140"/>
              <w:spacing w:after="0" w:line="133" w:lineRule="exact"/>
              <w:rPr>
                <w:sz w:val="20"/>
                <w:szCs w:val="20"/>
                <w:color w:val="auto"/>
              </w:rPr>
            </w:pPr>
            <w:r>
              <w:rPr>
                <w:rFonts w:ascii="Arial" w:cs="Arial" w:eastAsia="Arial" w:hAnsi="Arial"/>
                <w:sz w:val="13"/>
                <w:szCs w:val="13"/>
                <w:b w:val="1"/>
                <w:bCs w:val="1"/>
                <w:color w:val="auto"/>
              </w:rPr>
              <w:t>Common Stock</w:t>
            </w:r>
          </w:p>
        </w:tc>
        <w:tc>
          <w:tcPr>
            <w:tcW w:w="2060" w:type="dxa"/>
            <w:vAlign w:val="bottom"/>
          </w:tcPr>
          <w:p>
            <w:pPr>
              <w:jc w:val="right"/>
              <w:ind w:right="139"/>
              <w:spacing w:after="0" w:line="133" w:lineRule="exact"/>
              <w:rPr>
                <w:sz w:val="20"/>
                <w:szCs w:val="20"/>
                <w:color w:val="auto"/>
              </w:rPr>
            </w:pPr>
            <w:r>
              <w:rPr>
                <w:rFonts w:ascii="Arial" w:cs="Arial" w:eastAsia="Arial" w:hAnsi="Arial"/>
                <w:sz w:val="13"/>
                <w:szCs w:val="13"/>
                <w:b w:val="1"/>
                <w:bCs w:val="1"/>
                <w:color w:val="auto"/>
              </w:rPr>
              <w:t>Percent of Total Common</w:t>
            </w:r>
          </w:p>
        </w:tc>
      </w:tr>
      <w:tr>
        <w:trPr>
          <w:trHeight w:val="180"/>
        </w:trPr>
        <w:tc>
          <w:tcPr>
            <w:tcW w:w="53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 of Beneficial Owner</w:t>
            </w:r>
          </w:p>
        </w:tc>
        <w:tc>
          <w:tcPr>
            <w:tcW w:w="2480" w:type="dxa"/>
            <w:vAlign w:val="bottom"/>
            <w:tcBorders>
              <w:bottom w:val="single" w:sz="8" w:color="405788"/>
            </w:tcBorders>
          </w:tcPr>
          <w:p>
            <w:pPr>
              <w:jc w:val="right"/>
              <w:ind w:right="140"/>
              <w:spacing w:after="0" w:line="175" w:lineRule="exact"/>
              <w:rPr>
                <w:sz w:val="20"/>
                <w:szCs w:val="20"/>
                <w:color w:val="auto"/>
              </w:rPr>
            </w:pPr>
            <w:r>
              <w:rPr>
                <w:rFonts w:ascii="Arial" w:cs="Arial" w:eastAsia="Arial" w:hAnsi="Arial"/>
                <w:sz w:val="13"/>
                <w:szCs w:val="13"/>
                <w:b w:val="1"/>
                <w:bCs w:val="1"/>
                <w:color w:val="auto"/>
              </w:rPr>
              <w:t xml:space="preserve">Beneficially Owned </w:t>
            </w:r>
            <w:r>
              <w:rPr>
                <w:rFonts w:ascii="Arial" w:cs="Arial" w:eastAsia="Arial" w:hAnsi="Arial"/>
                <w:sz w:val="19"/>
                <w:szCs w:val="19"/>
                <w:b w:val="1"/>
                <w:bCs w:val="1"/>
                <w:color w:val="auto"/>
                <w:vertAlign w:val="superscript"/>
              </w:rPr>
              <w:t>2</w:t>
            </w:r>
          </w:p>
        </w:tc>
        <w:tc>
          <w:tcPr>
            <w:tcW w:w="2060" w:type="dxa"/>
            <w:vAlign w:val="bottom"/>
            <w:tcBorders>
              <w:bottom w:val="single" w:sz="8" w:color="405788"/>
            </w:tcBorders>
          </w:tcPr>
          <w:p>
            <w:pPr>
              <w:jc w:val="right"/>
              <w:ind w:right="139"/>
              <w:spacing w:after="0" w:line="175" w:lineRule="exact"/>
              <w:rPr>
                <w:sz w:val="20"/>
                <w:szCs w:val="20"/>
                <w:color w:val="auto"/>
              </w:rPr>
            </w:pPr>
            <w:r>
              <w:rPr>
                <w:rFonts w:ascii="Arial" w:cs="Arial" w:eastAsia="Arial" w:hAnsi="Arial"/>
                <w:sz w:val="13"/>
                <w:szCs w:val="13"/>
                <w:b w:val="1"/>
                <w:bCs w:val="1"/>
                <w:color w:val="auto"/>
              </w:rPr>
              <w:t xml:space="preserve">Stock Outstanding </w:t>
            </w:r>
            <w:r>
              <w:rPr>
                <w:rFonts w:ascii="Arial" w:cs="Arial" w:eastAsia="Arial" w:hAnsi="Arial"/>
                <w:sz w:val="19"/>
                <w:szCs w:val="19"/>
                <w:b w:val="1"/>
                <w:bCs w:val="1"/>
                <w:color w:val="auto"/>
                <w:vertAlign w:val="superscript"/>
              </w:rPr>
              <w:t>1</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All Executive Officers and Directors as a group (12 persons)</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5,895,671</w:t>
            </w:r>
          </w:p>
        </w:tc>
        <w:tc>
          <w:tcPr>
            <w:tcW w:w="20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16.9 %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5"/>
                <w:szCs w:val="15"/>
                <w:color w:val="auto"/>
              </w:rPr>
              <w:t xml:space="preserve">Jason DeZwirek </w:t>
            </w:r>
            <w:r>
              <w:rPr>
                <w:rFonts w:ascii="Arial" w:cs="Arial" w:eastAsia="Arial" w:hAnsi="Arial"/>
                <w:sz w:val="21"/>
                <w:szCs w:val="21"/>
                <w:color w:val="auto"/>
                <w:vertAlign w:val="superscript"/>
              </w:rPr>
              <w:t>3</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4,284,100</w:t>
            </w:r>
          </w:p>
        </w:tc>
        <w:tc>
          <w:tcPr>
            <w:tcW w:w="20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12.3 %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1,134,378</w:t>
            </w:r>
          </w:p>
        </w:tc>
        <w:tc>
          <w:tcPr>
            <w:tcW w:w="20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3.2 %</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Richard F. Wallman</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229,554</w:t>
            </w:r>
          </w:p>
        </w:tc>
        <w:tc>
          <w:tcPr>
            <w:tcW w:w="206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Claudio A. Mannarino</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83,284</w:t>
            </w:r>
          </w:p>
        </w:tc>
        <w:tc>
          <w:tcPr>
            <w:tcW w:w="206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Valerie Gentile Sachs</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74,446</w:t>
            </w:r>
          </w:p>
        </w:tc>
        <w:tc>
          <w:tcPr>
            <w:tcW w:w="206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Munish Nanda</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52,938</w:t>
            </w:r>
          </w:p>
        </w:tc>
        <w:tc>
          <w:tcPr>
            <w:tcW w:w="206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7,921</w:t>
            </w:r>
          </w:p>
        </w:tc>
        <w:tc>
          <w:tcPr>
            <w:tcW w:w="206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Robert E. Knowling, Jr.</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10,862</w:t>
            </w:r>
          </w:p>
        </w:tc>
        <w:tc>
          <w:tcPr>
            <w:tcW w:w="206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r>
        <w:trPr>
          <w:trHeight w:val="192"/>
        </w:trPr>
        <w:tc>
          <w:tcPr>
            <w:tcW w:w="53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2480" w:type="dxa"/>
            <w:vAlign w:val="bottom"/>
            <w:tcBorders>
              <w:bottom w:val="single" w:sz="8" w:color="D9D9D9"/>
            </w:tcBorders>
          </w:tcPr>
          <w:p>
            <w:pPr>
              <w:jc w:val="right"/>
              <w:ind w:right="140"/>
              <w:spacing w:after="0" w:line="188" w:lineRule="exact"/>
              <w:rPr>
                <w:sz w:val="20"/>
                <w:szCs w:val="20"/>
                <w:color w:val="auto"/>
              </w:rPr>
            </w:pPr>
            <w:r>
              <w:rPr>
                <w:rFonts w:ascii="Arial" w:cs="Arial" w:eastAsia="Arial" w:hAnsi="Arial"/>
                <w:sz w:val="17"/>
                <w:szCs w:val="17"/>
                <w:color w:val="auto"/>
              </w:rPr>
              <w:t>8,140</w:t>
            </w:r>
          </w:p>
        </w:tc>
        <w:tc>
          <w:tcPr>
            <w:tcW w:w="2060" w:type="dxa"/>
            <w:vAlign w:val="bottom"/>
            <w:tcBorders>
              <w:bottom w:val="single" w:sz="8" w:color="D9D9D9"/>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r>
        <w:trPr>
          <w:trHeight w:val="187"/>
        </w:trPr>
        <w:tc>
          <w:tcPr>
            <w:tcW w:w="53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Laurie A. Siegel</w:t>
            </w:r>
          </w:p>
        </w:tc>
        <w:tc>
          <w:tcPr>
            <w:tcW w:w="2480" w:type="dxa"/>
            <w:vAlign w:val="bottom"/>
            <w:tcBorders>
              <w:bottom w:val="single" w:sz="8" w:color="405788"/>
            </w:tcBorders>
          </w:tcPr>
          <w:p>
            <w:pPr>
              <w:jc w:val="right"/>
              <w:ind w:right="140"/>
              <w:spacing w:after="0" w:line="188" w:lineRule="exact"/>
              <w:rPr>
                <w:sz w:val="20"/>
                <w:szCs w:val="20"/>
                <w:color w:val="auto"/>
              </w:rPr>
            </w:pPr>
            <w:r>
              <w:rPr>
                <w:rFonts w:ascii="Arial" w:cs="Arial" w:eastAsia="Arial" w:hAnsi="Arial"/>
                <w:sz w:val="17"/>
                <w:szCs w:val="17"/>
                <w:color w:val="auto"/>
              </w:rPr>
              <w:t>2,500</w:t>
            </w:r>
          </w:p>
        </w:tc>
        <w:tc>
          <w:tcPr>
            <w:tcW w:w="2060" w:type="dxa"/>
            <w:vAlign w:val="bottom"/>
            <w:tcBorders>
              <w:bottom w:val="single" w:sz="8" w:color="405788"/>
            </w:tcBorders>
          </w:tcPr>
          <w:p>
            <w:pPr>
              <w:jc w:val="right"/>
              <w:ind w:right="139"/>
              <w:spacing w:after="0" w:line="188" w:lineRule="exact"/>
              <w:rPr>
                <w:sz w:val="20"/>
                <w:szCs w:val="20"/>
                <w:color w:val="auto"/>
              </w:rPr>
            </w:pPr>
            <w:r>
              <w:rPr>
                <w:rFonts w:ascii="Arial" w:cs="Arial" w:eastAsia="Arial" w:hAnsi="Arial"/>
                <w:sz w:val="17"/>
                <w:szCs w:val="17"/>
                <w:color w:val="auto"/>
              </w:rPr>
              <w:t>*</w:t>
            </w:r>
          </w:p>
        </w:tc>
      </w:tr>
    </w:tbl>
    <w:p>
      <w:pPr>
        <w:spacing w:after="0" w:line="75"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3"/>
          <w:szCs w:val="13"/>
          <w:color w:val="auto"/>
        </w:rPr>
        <w:t>Less than 1%</w:t>
      </w:r>
    </w:p>
    <w:p>
      <w:pPr>
        <w:spacing w:after="0" w:line="122" w:lineRule="exact"/>
        <w:rPr>
          <w:sz w:val="20"/>
          <w:szCs w:val="20"/>
          <w:color w:val="auto"/>
        </w:rPr>
      </w:pPr>
    </w:p>
    <w:p>
      <w:pPr>
        <w:ind w:left="300" w:hanging="299"/>
        <w:spacing w:after="0"/>
        <w:tabs>
          <w:tab w:leader="none" w:pos="3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Based on 34,925,873 shares of common stock outstanding as of March 15, 2024.</w:t>
      </w:r>
    </w:p>
    <w:p>
      <w:pPr>
        <w:spacing w:after="0" w:line="100" w:lineRule="exact"/>
        <w:rPr>
          <w:rFonts w:ascii="Arial" w:cs="Arial" w:eastAsia="Arial" w:hAnsi="Arial"/>
          <w:sz w:val="13"/>
          <w:szCs w:val="13"/>
          <w:color w:val="auto"/>
        </w:rPr>
      </w:pPr>
    </w:p>
    <w:p>
      <w:pPr>
        <w:ind w:left="300" w:right="60" w:hanging="299"/>
        <w:spacing w:after="0" w:line="281" w:lineRule="auto"/>
        <w:tabs>
          <w:tab w:leader="none" w:pos="3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Amounts reported in this column include RSUs that vest before May 14, 2024, and shares that could be acquired upon options that are exercisable before May 14, 2024, as shown in this table below:</w:t>
      </w:r>
    </w:p>
    <w:p>
      <w:pPr>
        <w:spacing w:after="0" w:line="162" w:lineRule="exact"/>
        <w:rPr>
          <w:sz w:val="20"/>
          <w:szCs w:val="20"/>
          <w:color w:val="auto"/>
        </w:rPr>
      </w:pPr>
    </w:p>
    <w:tbl>
      <w:tblPr>
        <w:tblLayout w:type="fixed"/>
        <w:tblInd w:w="600" w:type="dxa"/>
        <w:tblCellMar>
          <w:top w:w="0" w:type="dxa"/>
          <w:left w:w="0" w:type="dxa"/>
          <w:bottom w:w="0" w:type="dxa"/>
          <w:right w:w="0" w:type="dxa"/>
        </w:tblCellMar>
      </w:tblPr>
      <w:tr>
        <w:trPr>
          <w:trHeight w:val="163"/>
        </w:trPr>
        <w:tc>
          <w:tcPr>
            <w:tcW w:w="42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 of Beneficial Owner</w:t>
            </w:r>
          </w:p>
        </w:tc>
        <w:tc>
          <w:tcPr>
            <w:tcW w:w="3200" w:type="dxa"/>
            <w:vAlign w:val="bottom"/>
            <w:tcBorders>
              <w:bottom w:val="single" w:sz="8" w:color="405788"/>
            </w:tcBorders>
          </w:tcPr>
          <w:p>
            <w:pPr>
              <w:jc w:val="right"/>
              <w:ind w:right="38"/>
              <w:spacing w:after="0"/>
              <w:rPr>
                <w:sz w:val="20"/>
                <w:szCs w:val="20"/>
                <w:color w:val="auto"/>
              </w:rPr>
            </w:pPr>
            <w:r>
              <w:rPr>
                <w:rFonts w:ascii="Arial" w:cs="Arial" w:eastAsia="Arial" w:hAnsi="Arial"/>
                <w:sz w:val="13"/>
                <w:szCs w:val="13"/>
                <w:b w:val="1"/>
                <w:bCs w:val="1"/>
                <w:color w:val="auto"/>
              </w:rPr>
              <w:t>RSUs</w:t>
            </w:r>
          </w:p>
        </w:tc>
        <w:tc>
          <w:tcPr>
            <w:tcW w:w="1100" w:type="dxa"/>
            <w:vAlign w:val="bottom"/>
            <w:tcBorders>
              <w:bottom w:val="single" w:sz="8" w:color="405788"/>
            </w:tcBorders>
          </w:tcPr>
          <w:p>
            <w:pPr>
              <w:jc w:val="right"/>
              <w:spacing w:after="0"/>
              <w:rPr>
                <w:sz w:val="20"/>
                <w:szCs w:val="20"/>
                <w:color w:val="auto"/>
              </w:rPr>
            </w:pPr>
            <w:r>
              <w:rPr>
                <w:rFonts w:ascii="Arial" w:cs="Arial" w:eastAsia="Arial" w:hAnsi="Arial"/>
                <w:sz w:val="13"/>
                <w:szCs w:val="13"/>
                <w:b w:val="1"/>
                <w:bCs w:val="1"/>
                <w:color w:val="auto"/>
              </w:rPr>
              <w:t>Option Shares</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Todd Gleason</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14,552</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Peter Johansson</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2,680</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Lynn Watkins-Asiyanbi</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2,345</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Richard F. Wallman</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1,079</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Valerie Gentile Sachs</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903</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Jason DeZwirek</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Robert E. Knowling, Jr.</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Claudio A. Mannarino</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92"/>
        </w:trPr>
        <w:tc>
          <w:tcPr>
            <w:tcW w:w="4280" w:type="dxa"/>
            <w:vAlign w:val="bottom"/>
            <w:tcBorders>
              <w:bottom w:val="single" w:sz="8" w:color="D9D9D9"/>
            </w:tcBorders>
          </w:tcPr>
          <w:p>
            <w:pPr>
              <w:spacing w:after="0" w:line="188" w:lineRule="exact"/>
              <w:rPr>
                <w:sz w:val="20"/>
                <w:szCs w:val="20"/>
                <w:color w:val="auto"/>
              </w:rPr>
            </w:pPr>
            <w:r>
              <w:rPr>
                <w:rFonts w:ascii="Arial" w:cs="Arial" w:eastAsia="Arial" w:hAnsi="Arial"/>
                <w:sz w:val="17"/>
                <w:szCs w:val="17"/>
                <w:color w:val="auto"/>
              </w:rPr>
              <w:t>Munish Nanda</w:t>
            </w:r>
          </w:p>
        </w:tc>
        <w:tc>
          <w:tcPr>
            <w:tcW w:w="3200" w:type="dxa"/>
            <w:vAlign w:val="bottom"/>
            <w:tcBorders>
              <w:bottom w:val="single" w:sz="8" w:color="D9D9D9"/>
            </w:tcBorders>
          </w:tcPr>
          <w:p>
            <w:pPr>
              <w:jc w:val="right"/>
              <w:ind w:right="38"/>
              <w:spacing w:after="0" w:line="188"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w:t>
            </w:r>
          </w:p>
        </w:tc>
      </w:tr>
      <w:tr>
        <w:trPr>
          <w:trHeight w:val="187"/>
        </w:trPr>
        <w:tc>
          <w:tcPr>
            <w:tcW w:w="4280" w:type="dxa"/>
            <w:vAlign w:val="bottom"/>
            <w:tcBorders>
              <w:bottom w:val="single" w:sz="8" w:color="405788"/>
            </w:tcBorders>
          </w:tcPr>
          <w:p>
            <w:pPr>
              <w:spacing w:after="0" w:line="188" w:lineRule="exact"/>
              <w:rPr>
                <w:sz w:val="20"/>
                <w:szCs w:val="20"/>
                <w:color w:val="auto"/>
              </w:rPr>
            </w:pPr>
            <w:r>
              <w:rPr>
                <w:rFonts w:ascii="Arial" w:cs="Arial" w:eastAsia="Arial" w:hAnsi="Arial"/>
                <w:sz w:val="17"/>
                <w:szCs w:val="17"/>
                <w:color w:val="auto"/>
              </w:rPr>
              <w:t>Laurie A. Siegel</w:t>
            </w:r>
          </w:p>
        </w:tc>
        <w:tc>
          <w:tcPr>
            <w:tcW w:w="3200" w:type="dxa"/>
            <w:vAlign w:val="bottom"/>
            <w:tcBorders>
              <w:bottom w:val="single" w:sz="8" w:color="405788"/>
            </w:tcBorders>
          </w:tcPr>
          <w:p>
            <w:pPr>
              <w:jc w:val="right"/>
              <w:ind w:right="38"/>
              <w:spacing w:after="0" w:line="188"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w:t>
            </w:r>
          </w:p>
        </w:tc>
      </w:tr>
    </w:tbl>
    <w:p>
      <w:pPr>
        <w:spacing w:after="0" w:line="105" w:lineRule="exact"/>
        <w:rPr>
          <w:sz w:val="20"/>
          <w:szCs w:val="20"/>
          <w:color w:val="auto"/>
        </w:rPr>
      </w:pPr>
    </w:p>
    <w:p>
      <w:pPr>
        <w:ind w:left="300" w:right="140" w:hanging="299"/>
        <w:spacing w:after="0" w:line="260" w:lineRule="auto"/>
        <w:tabs>
          <w:tab w:leader="none" w:pos="3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This information was obtained from a Schedule 13D/A filed with the SEC on September 11, 2015, and is supplemented by a Form 4 filed with the SEC on June 7, 2023, by Jason DeZwirek. Jason DeZwirek is deemed to control Icarus and has sole voting and dispositive power over the shares of common stock owned by Icarus. Shares shown as beneficially owned by Mr. DeZwirek include the shares owned by Icarus.</w:t>
      </w:r>
    </w:p>
    <w:p>
      <w:pPr>
        <w:spacing w:after="0" w:line="64" w:lineRule="exact"/>
        <w:rPr>
          <w:rFonts w:ascii="Arial" w:cs="Arial" w:eastAsia="Arial" w:hAnsi="Arial"/>
          <w:sz w:val="13"/>
          <w:szCs w:val="13"/>
          <w:color w:val="auto"/>
        </w:rPr>
      </w:pPr>
    </w:p>
    <w:p>
      <w:pPr>
        <w:ind w:left="300" w:hanging="299"/>
        <w:spacing w:after="0"/>
        <w:tabs>
          <w:tab w:leader="none" w:pos="3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Mr. Wallman shares voting power with respect to 178,368 shares of common stock.</w:t>
      </w:r>
    </w:p>
    <w:p>
      <w:pPr>
        <w:spacing w:after="0" w:line="200" w:lineRule="exact"/>
        <w:rPr>
          <w:sz w:val="20"/>
          <w:szCs w:val="20"/>
          <w:color w:val="auto"/>
        </w:rPr>
      </w:pPr>
    </w:p>
    <w:p>
      <w:pPr>
        <w:spacing w:after="0" w:line="259"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44</w:t>
      </w:r>
      <w:r>
        <w:rPr>
          <w:sz w:val="20"/>
          <w:szCs w:val="20"/>
          <w:color w:val="auto"/>
        </w:rPr>
        <w:tab/>
      </w:r>
      <w:r>
        <w:rPr>
          <w:sz w:val="1"/>
          <w:szCs w:val="1"/>
          <w:color w:val="auto"/>
        </w:rPr>
        <w:drawing>
          <wp:inline distT="0" distB="0" distL="0" distR="0">
            <wp:extent cx="476250" cy="22225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OTHER SECURITY OWNERSHIP</w:t>
      </w:r>
    </w:p>
    <w:p>
      <w:pPr>
        <w:spacing w:after="0" w:line="92"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The table below lists the persons known by us to beneficially own more than five percent of our Common Stock, based on the most recent holdings reported by our stockholders on Schedule 13G: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40" w:type="dxa"/>
            <w:vAlign w:val="bottom"/>
          </w:tcPr>
          <w:p>
            <w:pPr>
              <w:spacing w:after="0"/>
              <w:rPr>
                <w:sz w:val="13"/>
                <w:szCs w:val="13"/>
                <w:color w:val="auto"/>
              </w:rPr>
            </w:pPr>
          </w:p>
        </w:tc>
        <w:tc>
          <w:tcPr>
            <w:tcW w:w="3140" w:type="dxa"/>
            <w:vAlign w:val="bottom"/>
          </w:tcPr>
          <w:p>
            <w:pPr>
              <w:jc w:val="right"/>
              <w:ind w:right="103"/>
              <w:spacing w:after="0"/>
              <w:rPr>
                <w:sz w:val="20"/>
                <w:szCs w:val="20"/>
                <w:color w:val="auto"/>
              </w:rPr>
            </w:pPr>
            <w:r>
              <w:rPr>
                <w:rFonts w:ascii="Arial" w:cs="Arial" w:eastAsia="Arial" w:hAnsi="Arial"/>
                <w:sz w:val="13"/>
                <w:szCs w:val="13"/>
                <w:b w:val="1"/>
                <w:bCs w:val="1"/>
                <w:color w:val="auto"/>
              </w:rPr>
              <w:t>Amount and Nature of</w:t>
            </w:r>
          </w:p>
        </w:tc>
        <w:tc>
          <w:tcPr>
            <w:tcW w:w="1040" w:type="dxa"/>
            <w:vAlign w:val="bottom"/>
          </w:tcPr>
          <w:p>
            <w:pPr>
              <w:jc w:val="right"/>
              <w:ind w:right="143"/>
              <w:spacing w:after="0"/>
              <w:rPr>
                <w:sz w:val="20"/>
                <w:szCs w:val="20"/>
                <w:color w:val="auto"/>
              </w:rPr>
            </w:pPr>
            <w:r>
              <w:rPr>
                <w:rFonts w:ascii="Arial" w:cs="Arial" w:eastAsia="Arial" w:hAnsi="Arial"/>
                <w:sz w:val="13"/>
                <w:szCs w:val="13"/>
                <w:b w:val="1"/>
                <w:bCs w:val="1"/>
                <w:color w:val="auto"/>
              </w:rPr>
              <w:t>Percent of</w:t>
            </w:r>
          </w:p>
        </w:tc>
      </w:tr>
      <w:tr>
        <w:trPr>
          <w:trHeight w:val="180"/>
        </w:trPr>
        <w:tc>
          <w:tcPr>
            <w:tcW w:w="574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color w:val="auto"/>
              </w:rPr>
              <w:t>Name of Beneficial Owner</w:t>
            </w:r>
          </w:p>
        </w:tc>
        <w:tc>
          <w:tcPr>
            <w:tcW w:w="3140" w:type="dxa"/>
            <w:vAlign w:val="bottom"/>
            <w:tcBorders>
              <w:bottom w:val="single" w:sz="8" w:color="405788"/>
            </w:tcBorders>
          </w:tcPr>
          <w:p>
            <w:pPr>
              <w:jc w:val="right"/>
              <w:ind w:right="103"/>
              <w:spacing w:after="0"/>
              <w:rPr>
                <w:sz w:val="20"/>
                <w:szCs w:val="20"/>
                <w:color w:val="auto"/>
              </w:rPr>
            </w:pPr>
            <w:r>
              <w:rPr>
                <w:rFonts w:ascii="Arial" w:cs="Arial" w:eastAsia="Arial" w:hAnsi="Arial"/>
                <w:sz w:val="13"/>
                <w:szCs w:val="13"/>
                <w:b w:val="1"/>
                <w:bCs w:val="1"/>
                <w:color w:val="auto"/>
              </w:rPr>
              <w:t>Beneficial Ownership</w:t>
            </w:r>
          </w:p>
        </w:tc>
        <w:tc>
          <w:tcPr>
            <w:tcW w:w="1040" w:type="dxa"/>
            <w:vAlign w:val="bottom"/>
            <w:tcBorders>
              <w:bottom w:val="single" w:sz="8" w:color="405788"/>
            </w:tcBorders>
          </w:tcPr>
          <w:p>
            <w:pPr>
              <w:jc w:val="right"/>
              <w:ind w:right="143"/>
              <w:spacing w:after="0" w:line="175" w:lineRule="exact"/>
              <w:rPr>
                <w:sz w:val="20"/>
                <w:szCs w:val="20"/>
                <w:color w:val="auto"/>
              </w:rPr>
            </w:pPr>
            <w:r>
              <w:rPr>
                <w:rFonts w:ascii="Arial" w:cs="Arial" w:eastAsia="Arial" w:hAnsi="Arial"/>
                <w:sz w:val="13"/>
                <w:szCs w:val="13"/>
                <w:b w:val="1"/>
                <w:bCs w:val="1"/>
                <w:color w:val="auto"/>
              </w:rPr>
              <w:t xml:space="preserve">Class </w:t>
            </w:r>
            <w:r>
              <w:rPr>
                <w:rFonts w:ascii="Arial" w:cs="Arial" w:eastAsia="Arial" w:hAnsi="Arial"/>
                <w:sz w:val="19"/>
                <w:szCs w:val="19"/>
                <w:b w:val="1"/>
                <w:bCs w:val="1"/>
                <w:color w:val="auto"/>
                <w:vertAlign w:val="superscript"/>
              </w:rPr>
              <w:t>1</w:t>
            </w:r>
          </w:p>
        </w:tc>
      </w:tr>
      <w:tr>
        <w:trPr>
          <w:trHeight w:val="171"/>
        </w:trPr>
        <w:tc>
          <w:tcPr>
            <w:tcW w:w="5740" w:type="dxa"/>
            <w:vAlign w:val="bottom"/>
          </w:tcPr>
          <w:p>
            <w:pPr>
              <w:spacing w:after="0" w:line="171" w:lineRule="exact"/>
              <w:rPr>
                <w:sz w:val="20"/>
                <w:szCs w:val="20"/>
                <w:color w:val="auto"/>
              </w:rPr>
            </w:pPr>
            <w:r>
              <w:rPr>
                <w:rFonts w:ascii="Arial" w:cs="Arial" w:eastAsia="Arial" w:hAnsi="Arial"/>
                <w:sz w:val="14"/>
                <w:szCs w:val="14"/>
                <w:color w:val="auto"/>
              </w:rPr>
              <w:t xml:space="preserve">Dimensional Fund Advisors LP </w:t>
            </w:r>
            <w:r>
              <w:rPr>
                <w:rFonts w:ascii="Arial" w:cs="Arial" w:eastAsia="Arial" w:hAnsi="Arial"/>
                <w:sz w:val="19"/>
                <w:szCs w:val="19"/>
                <w:color w:val="auto"/>
                <w:vertAlign w:val="superscript"/>
              </w:rPr>
              <w:t>2</w:t>
            </w:r>
          </w:p>
        </w:tc>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9"/>
        </w:trPr>
        <w:tc>
          <w:tcPr>
            <w:tcW w:w="5740" w:type="dxa"/>
            <w:vAlign w:val="bottom"/>
            <w:tcBorders>
              <w:bottom w:val="single" w:sz="8" w:color="D9D9D9"/>
            </w:tcBorders>
          </w:tcPr>
          <w:p>
            <w:pPr>
              <w:spacing w:after="0"/>
              <w:rPr>
                <w:sz w:val="20"/>
                <w:szCs w:val="20"/>
                <w:color w:val="auto"/>
              </w:rPr>
            </w:pPr>
            <w:r>
              <w:rPr>
                <w:rFonts w:ascii="Arial" w:cs="Arial" w:eastAsia="Arial" w:hAnsi="Arial"/>
                <w:sz w:val="17"/>
                <w:szCs w:val="17"/>
                <w:color w:val="auto"/>
              </w:rPr>
              <w:t>Building One 6300 Bee Cave Road Austin, Texas, 78746</w:t>
            </w:r>
          </w:p>
        </w:tc>
        <w:tc>
          <w:tcPr>
            <w:tcW w:w="3140" w:type="dxa"/>
            <w:vAlign w:val="bottom"/>
            <w:tcBorders>
              <w:bottom w:val="single" w:sz="8" w:color="D9D9D9"/>
            </w:tcBorders>
          </w:tcPr>
          <w:p>
            <w:pPr>
              <w:jc w:val="right"/>
              <w:ind w:right="103"/>
              <w:spacing w:after="0"/>
              <w:rPr>
                <w:sz w:val="20"/>
                <w:szCs w:val="20"/>
                <w:color w:val="auto"/>
              </w:rPr>
            </w:pPr>
            <w:r>
              <w:rPr>
                <w:rFonts w:ascii="Arial" w:cs="Arial" w:eastAsia="Arial" w:hAnsi="Arial"/>
                <w:sz w:val="17"/>
                <w:szCs w:val="17"/>
                <w:color w:val="auto"/>
              </w:rPr>
              <w:t>2,326,912</w:t>
            </w:r>
          </w:p>
        </w:tc>
        <w:tc>
          <w:tcPr>
            <w:tcW w:w="1040" w:type="dxa"/>
            <w:vAlign w:val="bottom"/>
            <w:tcBorders>
              <w:bottom w:val="single" w:sz="8" w:color="D9D9D9"/>
            </w:tcBorders>
          </w:tcPr>
          <w:p>
            <w:pPr>
              <w:jc w:val="right"/>
              <w:spacing w:after="0"/>
              <w:rPr>
                <w:sz w:val="20"/>
                <w:szCs w:val="20"/>
                <w:color w:val="auto"/>
              </w:rPr>
            </w:pPr>
            <w:r>
              <w:rPr>
                <w:rFonts w:ascii="Arial" w:cs="Arial" w:eastAsia="Arial" w:hAnsi="Arial"/>
                <w:sz w:val="17"/>
                <w:szCs w:val="17"/>
                <w:color w:val="auto"/>
              </w:rPr>
              <w:t>6.7 %</w:t>
            </w:r>
          </w:p>
        </w:tc>
      </w:tr>
      <w:tr>
        <w:trPr>
          <w:trHeight w:val="171"/>
        </w:trPr>
        <w:tc>
          <w:tcPr>
            <w:tcW w:w="5740" w:type="dxa"/>
            <w:vAlign w:val="bottom"/>
          </w:tcPr>
          <w:p>
            <w:pPr>
              <w:spacing w:after="0" w:line="171" w:lineRule="exact"/>
              <w:rPr>
                <w:sz w:val="20"/>
                <w:szCs w:val="20"/>
                <w:color w:val="auto"/>
              </w:rPr>
            </w:pPr>
            <w:r>
              <w:rPr>
                <w:rFonts w:ascii="Arial" w:cs="Arial" w:eastAsia="Arial" w:hAnsi="Arial"/>
                <w:sz w:val="14"/>
                <w:szCs w:val="14"/>
                <w:color w:val="auto"/>
              </w:rPr>
              <w:t>Icarus Investment Corp.</w:t>
            </w:r>
            <w:r>
              <w:rPr>
                <w:rFonts w:ascii="Arial" w:cs="Arial" w:eastAsia="Arial" w:hAnsi="Arial"/>
                <w:sz w:val="19"/>
                <w:szCs w:val="19"/>
                <w:color w:val="auto"/>
                <w:vertAlign w:val="superscript"/>
              </w:rPr>
              <w:t>3</w:t>
            </w:r>
          </w:p>
        </w:tc>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9"/>
        </w:trPr>
        <w:tc>
          <w:tcPr>
            <w:tcW w:w="5740" w:type="dxa"/>
            <w:vAlign w:val="bottom"/>
            <w:tcBorders>
              <w:bottom w:val="single" w:sz="8" w:color="D9D9D9"/>
            </w:tcBorders>
          </w:tcPr>
          <w:p>
            <w:pPr>
              <w:spacing w:after="0"/>
              <w:rPr>
                <w:sz w:val="20"/>
                <w:szCs w:val="20"/>
                <w:color w:val="auto"/>
              </w:rPr>
            </w:pPr>
            <w:r>
              <w:rPr>
                <w:rFonts w:ascii="Arial" w:cs="Arial" w:eastAsia="Arial" w:hAnsi="Arial"/>
                <w:sz w:val="17"/>
                <w:szCs w:val="17"/>
                <w:color w:val="auto"/>
              </w:rPr>
              <w:t>127 Davenport Road Toronto, Ontario M5R 1H8</w:t>
            </w:r>
          </w:p>
        </w:tc>
        <w:tc>
          <w:tcPr>
            <w:tcW w:w="3140" w:type="dxa"/>
            <w:vAlign w:val="bottom"/>
            <w:tcBorders>
              <w:bottom w:val="single" w:sz="8" w:color="D9D9D9"/>
            </w:tcBorders>
          </w:tcPr>
          <w:p>
            <w:pPr>
              <w:jc w:val="right"/>
              <w:ind w:right="103"/>
              <w:spacing w:after="0"/>
              <w:rPr>
                <w:sz w:val="20"/>
                <w:szCs w:val="20"/>
                <w:color w:val="auto"/>
              </w:rPr>
            </w:pPr>
            <w:r>
              <w:rPr>
                <w:rFonts w:ascii="Arial" w:cs="Arial" w:eastAsia="Arial" w:hAnsi="Arial"/>
                <w:sz w:val="17"/>
                <w:szCs w:val="17"/>
                <w:color w:val="auto"/>
              </w:rPr>
              <w:t>2,770,546</w:t>
            </w:r>
          </w:p>
        </w:tc>
        <w:tc>
          <w:tcPr>
            <w:tcW w:w="1040" w:type="dxa"/>
            <w:vAlign w:val="bottom"/>
            <w:tcBorders>
              <w:bottom w:val="single" w:sz="8" w:color="D9D9D9"/>
            </w:tcBorders>
          </w:tcPr>
          <w:p>
            <w:pPr>
              <w:jc w:val="right"/>
              <w:spacing w:after="0"/>
              <w:rPr>
                <w:sz w:val="20"/>
                <w:szCs w:val="20"/>
                <w:color w:val="auto"/>
              </w:rPr>
            </w:pPr>
            <w:r>
              <w:rPr>
                <w:rFonts w:ascii="Arial" w:cs="Arial" w:eastAsia="Arial" w:hAnsi="Arial"/>
                <w:sz w:val="17"/>
                <w:szCs w:val="17"/>
                <w:color w:val="auto"/>
              </w:rPr>
              <w:t>8.1 %</w:t>
            </w:r>
          </w:p>
        </w:tc>
      </w:tr>
      <w:tr>
        <w:trPr>
          <w:trHeight w:val="171"/>
        </w:trPr>
        <w:tc>
          <w:tcPr>
            <w:tcW w:w="5740" w:type="dxa"/>
            <w:vAlign w:val="bottom"/>
          </w:tcPr>
          <w:p>
            <w:pPr>
              <w:spacing w:after="0" w:line="171" w:lineRule="exact"/>
              <w:rPr>
                <w:sz w:val="20"/>
                <w:szCs w:val="20"/>
                <w:color w:val="auto"/>
              </w:rPr>
            </w:pPr>
            <w:r>
              <w:rPr>
                <w:rFonts w:ascii="Arial" w:cs="Arial" w:eastAsia="Arial" w:hAnsi="Arial"/>
                <w:sz w:val="14"/>
                <w:szCs w:val="14"/>
                <w:color w:val="auto"/>
              </w:rPr>
              <w:t>BlackRock, Inc.</w:t>
            </w:r>
            <w:r>
              <w:rPr>
                <w:rFonts w:ascii="Arial" w:cs="Arial" w:eastAsia="Arial" w:hAnsi="Arial"/>
                <w:sz w:val="19"/>
                <w:szCs w:val="19"/>
                <w:color w:val="auto"/>
                <w:vertAlign w:val="superscript"/>
              </w:rPr>
              <w:t>4</w:t>
            </w:r>
          </w:p>
        </w:tc>
        <w:tc>
          <w:tcPr>
            <w:tcW w:w="31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4"/>
        </w:trPr>
        <w:tc>
          <w:tcPr>
            <w:tcW w:w="5740" w:type="dxa"/>
            <w:vAlign w:val="bottom"/>
            <w:tcBorders>
              <w:bottom w:val="single" w:sz="8" w:color="405788"/>
            </w:tcBorders>
          </w:tcPr>
          <w:p>
            <w:pPr>
              <w:spacing w:after="0"/>
              <w:rPr>
                <w:sz w:val="20"/>
                <w:szCs w:val="20"/>
                <w:color w:val="auto"/>
              </w:rPr>
            </w:pPr>
            <w:r>
              <w:rPr>
                <w:rFonts w:ascii="Arial" w:cs="Arial" w:eastAsia="Arial" w:hAnsi="Arial"/>
                <w:sz w:val="17"/>
                <w:szCs w:val="17"/>
                <w:color w:val="auto"/>
              </w:rPr>
              <w:t>50 Hudson Yards New York, NY 10001</w:t>
            </w:r>
          </w:p>
        </w:tc>
        <w:tc>
          <w:tcPr>
            <w:tcW w:w="3140" w:type="dxa"/>
            <w:vAlign w:val="bottom"/>
            <w:tcBorders>
              <w:bottom w:val="single" w:sz="8" w:color="405788"/>
            </w:tcBorders>
          </w:tcPr>
          <w:p>
            <w:pPr>
              <w:jc w:val="right"/>
              <w:ind w:right="103"/>
              <w:spacing w:after="0"/>
              <w:rPr>
                <w:sz w:val="20"/>
                <w:szCs w:val="20"/>
                <w:color w:val="auto"/>
              </w:rPr>
            </w:pPr>
            <w:r>
              <w:rPr>
                <w:rFonts w:ascii="Arial" w:cs="Arial" w:eastAsia="Arial" w:hAnsi="Arial"/>
                <w:sz w:val="17"/>
                <w:szCs w:val="17"/>
                <w:color w:val="auto"/>
              </w:rPr>
              <w:t>2,579,295</w:t>
            </w:r>
          </w:p>
        </w:tc>
        <w:tc>
          <w:tcPr>
            <w:tcW w:w="1040" w:type="dxa"/>
            <w:vAlign w:val="bottom"/>
            <w:tcBorders>
              <w:bottom w:val="single" w:sz="8" w:color="405788"/>
            </w:tcBorders>
          </w:tcPr>
          <w:p>
            <w:pPr>
              <w:jc w:val="right"/>
              <w:spacing w:after="0"/>
              <w:rPr>
                <w:sz w:val="20"/>
                <w:szCs w:val="20"/>
                <w:color w:val="auto"/>
              </w:rPr>
            </w:pPr>
            <w:r>
              <w:rPr>
                <w:rFonts w:ascii="Arial" w:cs="Arial" w:eastAsia="Arial" w:hAnsi="Arial"/>
                <w:sz w:val="17"/>
                <w:szCs w:val="17"/>
                <w:color w:val="auto"/>
              </w:rPr>
              <w:t>7.4 %</w:t>
            </w:r>
          </w:p>
        </w:tc>
      </w:tr>
    </w:tbl>
    <w:p>
      <w:pPr>
        <w:spacing w:after="0" w:line="105" w:lineRule="exact"/>
        <w:rPr>
          <w:sz w:val="20"/>
          <w:szCs w:val="20"/>
          <w:color w:val="auto"/>
        </w:rPr>
      </w:pPr>
    </w:p>
    <w:p>
      <w:pPr>
        <w:ind w:left="300" w:right="100" w:hanging="299"/>
        <w:spacing w:after="0" w:line="281" w:lineRule="auto"/>
        <w:tabs>
          <w:tab w:leader="none" w:pos="3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Percentages are calculated on the basis of the amount of our outstanding shares (exclusive of treasury shares) plus shares deemed outstanding pursuant to Rule 13d-3(d)(1) under the Securities Exchange Act of 1934 of as December 31, 2023.</w:t>
      </w:r>
    </w:p>
    <w:p>
      <w:pPr>
        <w:spacing w:after="0" w:line="49" w:lineRule="exact"/>
        <w:rPr>
          <w:rFonts w:ascii="Arial" w:cs="Arial" w:eastAsia="Arial" w:hAnsi="Arial"/>
          <w:sz w:val="13"/>
          <w:szCs w:val="13"/>
          <w:color w:val="auto"/>
        </w:rPr>
      </w:pPr>
    </w:p>
    <w:p>
      <w:pPr>
        <w:ind w:left="300" w:right="40" w:hanging="299"/>
        <w:spacing w:after="0" w:line="260" w:lineRule="auto"/>
        <w:tabs>
          <w:tab w:leader="none" w:pos="3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Based on a Schedule 13G/A filed with the SEC on February 9, 2024, as of December 31, 2023, Dimensional Fund Advisors LP beneficially owned and has sole dispositive power over all of these shares and has sole voting power over 2,287,948 shares. Dimensional Fund Advisors LP disclaims beneficial ownership of all of these shares.</w:t>
      </w:r>
    </w:p>
    <w:p>
      <w:pPr>
        <w:spacing w:after="0" w:line="64" w:lineRule="exact"/>
        <w:rPr>
          <w:rFonts w:ascii="Arial" w:cs="Arial" w:eastAsia="Arial" w:hAnsi="Arial"/>
          <w:sz w:val="13"/>
          <w:szCs w:val="13"/>
          <w:color w:val="auto"/>
        </w:rPr>
      </w:pPr>
    </w:p>
    <w:p>
      <w:pPr>
        <w:ind w:left="300" w:right="140" w:hanging="299"/>
        <w:spacing w:after="0" w:line="260" w:lineRule="auto"/>
        <w:tabs>
          <w:tab w:leader="none" w:pos="3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This information was obtained from a Schedule 13D/A filed with the SEC on September 11, 2015, and is supplemented by a Form 4 filed with the SEC on June 7, 2023, by Jason DeZwirek. Jason DeZwirek is deemed to control Icarus and has sole voting and dispositive power over the shares of common stock owned by Icarus. Shares shown as beneficially owned by Mr. DeZwirek include the shares owned by Icarus.</w:t>
      </w:r>
    </w:p>
    <w:p>
      <w:pPr>
        <w:spacing w:after="0" w:line="64" w:lineRule="exact"/>
        <w:rPr>
          <w:rFonts w:ascii="Arial" w:cs="Arial" w:eastAsia="Arial" w:hAnsi="Arial"/>
          <w:sz w:val="13"/>
          <w:szCs w:val="13"/>
          <w:color w:val="auto"/>
        </w:rPr>
      </w:pPr>
    </w:p>
    <w:p>
      <w:pPr>
        <w:ind w:left="300" w:right="180" w:hanging="299"/>
        <w:spacing w:after="0" w:line="281" w:lineRule="auto"/>
        <w:tabs>
          <w:tab w:leader="none" w:pos="3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Based on a Schedule 13G filed with the SEC on January 26, 2024, as of December 31, 2023, BlackRock, Inc. beneficially owned and has sole dispositive power over all of these shares and has sole voting power over 2,503,381 shares.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1B657"/>
        </w:rPr>
        <w:t>COMPENSATION COMMITTEE INTERLOCKS AND INSIDER PARTICIPATION</w:t>
      </w:r>
    </w:p>
    <w:p>
      <w:pPr>
        <w:spacing w:after="0" w:line="192"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None of the members of our Compensation Committee is an officer or employee of the Company. None of our executive officers currently serves, or in the past year has served, as a member of the board of directors or compensation committee of any entity that has one or more executive officers serving on our Board or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608330</wp:posOffset>
            </wp:positionV>
            <wp:extent cx="483870" cy="2222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INFORMATION FOR OUR 2025 ANNUAL MEETING</w:t>
      </w:r>
    </w:p>
    <w:p>
      <w:pPr>
        <w:spacing w:after="0" w:line="92" w:lineRule="exact"/>
        <w:rPr>
          <w:sz w:val="20"/>
          <w:szCs w:val="20"/>
          <w:color w:val="auto"/>
        </w:rPr>
      </w:pPr>
    </w:p>
    <w:p>
      <w:pPr>
        <w:jc w:val="both"/>
        <w:ind w:right="420"/>
        <w:spacing w:after="0" w:line="244" w:lineRule="auto"/>
        <w:rPr>
          <w:sz w:val="20"/>
          <w:szCs w:val="20"/>
          <w:color w:val="auto"/>
        </w:rPr>
      </w:pPr>
      <w:r>
        <w:rPr>
          <w:rFonts w:ascii="Arial" w:cs="Arial" w:eastAsia="Arial" w:hAnsi="Arial"/>
          <w:sz w:val="17"/>
          <w:szCs w:val="17"/>
          <w:color w:val="auto"/>
        </w:rPr>
        <w:t>Stockholders who wish to submit a proposal to be considered at our 2025 Annual Meeting of Stockholders, must comply with the following procedures. Any communication to be made to us as described below should be addressed to the Corporate Secretary, CECO Environmental Corp., 14651 N. Dallas Parkway, Suite 500, Dallas, Texas 75254.</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Proxy Statement Proposals</w:t>
      </w:r>
    </w:p>
    <w:p>
      <w:pPr>
        <w:spacing w:after="0" w:line="90" w:lineRule="exact"/>
        <w:rPr>
          <w:sz w:val="20"/>
          <w:szCs w:val="20"/>
          <w:color w:val="auto"/>
        </w:rPr>
      </w:pPr>
    </w:p>
    <w:p>
      <w:pPr>
        <w:jc w:val="both"/>
        <w:ind w:right="20"/>
        <w:spacing w:after="0" w:line="244" w:lineRule="auto"/>
        <w:rPr>
          <w:sz w:val="20"/>
          <w:szCs w:val="20"/>
          <w:color w:val="auto"/>
        </w:rPr>
      </w:pPr>
      <w:r>
        <w:rPr>
          <w:rFonts w:ascii="Arial" w:cs="Arial" w:eastAsia="Arial" w:hAnsi="Arial"/>
          <w:sz w:val="17"/>
          <w:szCs w:val="17"/>
          <w:color w:val="auto"/>
        </w:rPr>
        <w:t>If you intend to present proposals for inclusion in our Proxy Statement for our 2025 Annual Meeting, you must give us written notice of your intent, and your proposal must comply with SEC regulations under Rule 14a-8. Our Corporate Secretary must receive your notice no later than December 11, 2024.</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Matters for Annual Meeting Agenda</w:t>
      </w:r>
    </w:p>
    <w:p>
      <w:pPr>
        <w:spacing w:after="0" w:line="90"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If you intend to bring a matter before the 2025 Annual Meeting, other than by submitting a proposal to be included in our Proxy Statement, we must receive your notice in accordance with our Bylaws. To be timely, such notice must be delivered to or mailed and received by us not less than 90 nor more than 120 calendar days prior to the first anniversary of the date of the preceding year’s Annual Meeting of Stockholders. In accordance with our Bylaws, we must receive your notice no earlier than January 20, 2025, and no later than February 19, 2025.</w:t>
      </w:r>
    </w:p>
    <w:p>
      <w:pPr>
        <w:spacing w:after="0" w:line="72" w:lineRule="exact"/>
        <w:rPr>
          <w:sz w:val="20"/>
          <w:szCs w:val="20"/>
          <w:color w:val="auto"/>
        </w:rPr>
      </w:pPr>
    </w:p>
    <w:p>
      <w:pPr>
        <w:ind w:right="80"/>
        <w:spacing w:after="0" w:line="219" w:lineRule="auto"/>
        <w:rPr>
          <w:sz w:val="20"/>
          <w:szCs w:val="20"/>
          <w:color w:val="auto"/>
        </w:rPr>
      </w:pPr>
      <w:r>
        <w:rPr>
          <w:rFonts w:ascii="Arial" w:cs="Arial" w:eastAsia="Arial" w:hAnsi="Arial"/>
          <w:sz w:val="17"/>
          <w:szCs w:val="17"/>
          <w:color w:val="auto"/>
        </w:rPr>
        <w:t>If, however, the date of the 2025 Annual Meeting is changed by more than 30 days from the anniversary date of this year’s Annual Meeting, the stockholder notice described above will be deemed timely if it is received not later than the close of business on the later of the 90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calendar day prior to such annual meeting and the 10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calendar day after public announcement of the date of such meeting. If the Company does not receive such notice within the timeframe described above, the notice will be considered untimely, and the proposal may not be brought.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Director Candidate Nominations</w:t>
      </w:r>
    </w:p>
    <w:p>
      <w:pPr>
        <w:spacing w:after="0" w:line="90"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Any stockholder may submit one candidate for consideration at each stockholder meeting at which directors are to be elected. Stockholders wishing to recommend a candidate must submit the recommendation no later than 120 days before the date our Proxy Statement was released to stockholders in connection with the previous year’s Annual Meeting of Stockholders, provided, that if we did not hold any annual meeting in the previous year, or if the date of the next annual meeting has been changed by more than 30 days from the date of the previous year’s meeting, then the deadline will be a date that is a reasonable time before we begin to print and mail our proxy materials, but in no event, less than 90 days prior to such mailing.</w:t>
      </w:r>
    </w:p>
    <w:p>
      <w:pPr>
        <w:spacing w:after="0" w:line="71"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color w:val="auto"/>
        </w:rPr>
        <w:t>Our Bylaws also provide certain requirements as to the form and content of a stockholder’s notice. These provisions may preclude stockholders from making nominations for directors at the Annual Meeting of Stockholders. A stockholder’s notice must set forth, among other things, as to a nomination the stockholder proposes to bring before the meeting:</w:t>
      </w:r>
    </w:p>
    <w:p>
      <w:pPr>
        <w:spacing w:after="0" w:line="66" w:lineRule="exact"/>
        <w:rPr>
          <w:sz w:val="20"/>
          <w:szCs w:val="20"/>
          <w:color w:val="auto"/>
        </w:rPr>
      </w:pPr>
    </w:p>
    <w:p>
      <w:pPr>
        <w:ind w:left="620" w:right="440" w:hanging="294"/>
        <w:spacing w:after="0" w:line="257" w:lineRule="auto"/>
        <w:tabs>
          <w:tab w:leader="none" w:pos="620" w:val="left"/>
        </w:tabs>
        <w:numPr>
          <w:ilvl w:val="0"/>
          <w:numId w:val="68"/>
        </w:numPr>
        <w:rPr>
          <w:rFonts w:ascii="Times New Roman" w:cs="Times New Roman" w:eastAsia="Times New Roman" w:hAnsi="Times New Roman"/>
          <w:sz w:val="17"/>
          <w:szCs w:val="17"/>
          <w:color w:val="3C578C"/>
        </w:rPr>
      </w:pPr>
      <w:r>
        <w:rPr>
          <w:rFonts w:ascii="Arial" w:cs="Arial" w:eastAsia="Arial" w:hAnsi="Arial"/>
          <w:sz w:val="17"/>
          <w:szCs w:val="17"/>
          <w:color w:val="auto"/>
        </w:rPr>
        <w:t>the name and address of the stockholder and the beneficial owner, if any, on whose behalf the proposal or nomination is made;</w:t>
      </w:r>
    </w:p>
    <w:p>
      <w:pPr>
        <w:spacing w:after="0" w:line="55" w:lineRule="exact"/>
        <w:rPr>
          <w:rFonts w:ascii="Times New Roman" w:cs="Times New Roman" w:eastAsia="Times New Roman" w:hAnsi="Times New Roman"/>
          <w:sz w:val="17"/>
          <w:szCs w:val="17"/>
          <w:color w:val="3C578C"/>
        </w:rPr>
      </w:pPr>
    </w:p>
    <w:p>
      <w:pPr>
        <w:ind w:left="620" w:right="80" w:hanging="294"/>
        <w:spacing w:after="0" w:line="257" w:lineRule="auto"/>
        <w:tabs>
          <w:tab w:leader="none" w:pos="620" w:val="left"/>
        </w:tabs>
        <w:numPr>
          <w:ilvl w:val="0"/>
          <w:numId w:val="68"/>
        </w:numPr>
        <w:rPr>
          <w:rFonts w:ascii="Times New Roman" w:cs="Times New Roman" w:eastAsia="Times New Roman" w:hAnsi="Times New Roman"/>
          <w:sz w:val="17"/>
          <w:szCs w:val="17"/>
          <w:color w:val="3C578C"/>
        </w:rPr>
      </w:pPr>
      <w:r>
        <w:rPr>
          <w:rFonts w:ascii="Arial" w:cs="Arial" w:eastAsia="Arial" w:hAnsi="Arial"/>
          <w:sz w:val="17"/>
          <w:szCs w:val="17"/>
          <w:color w:val="auto"/>
        </w:rPr>
        <w:t>the class, series and number of shares that are owned of record or beneficially by the stockholder nominating the nominee or nominees;</w:t>
      </w:r>
    </w:p>
    <w:p>
      <w:pPr>
        <w:spacing w:after="0" w:line="55" w:lineRule="exact"/>
        <w:rPr>
          <w:rFonts w:ascii="Times New Roman" w:cs="Times New Roman" w:eastAsia="Times New Roman" w:hAnsi="Times New Roman"/>
          <w:sz w:val="17"/>
          <w:szCs w:val="17"/>
          <w:color w:val="3C578C"/>
        </w:rPr>
      </w:pPr>
    </w:p>
    <w:p>
      <w:pPr>
        <w:ind w:left="620" w:right="240" w:hanging="294"/>
        <w:spacing w:after="0" w:line="244" w:lineRule="auto"/>
        <w:tabs>
          <w:tab w:leader="none" w:pos="620" w:val="left"/>
        </w:tabs>
        <w:numPr>
          <w:ilvl w:val="0"/>
          <w:numId w:val="68"/>
        </w:numPr>
        <w:rPr>
          <w:rFonts w:ascii="Times New Roman" w:cs="Times New Roman" w:eastAsia="Times New Roman" w:hAnsi="Times New Roman"/>
          <w:sz w:val="17"/>
          <w:szCs w:val="17"/>
          <w:color w:val="3C578C"/>
        </w:rPr>
      </w:pPr>
      <w:r>
        <w:rPr>
          <w:rFonts w:ascii="Arial" w:cs="Arial" w:eastAsia="Arial" w:hAnsi="Arial"/>
          <w:sz w:val="17"/>
          <w:szCs w:val="17"/>
          <w:color w:val="auto"/>
        </w:rPr>
        <w:t>a representation that the stockholder giving the notice is a holder of record of shares of our voting stock entitled to vote at such annual meeting and intends to appear in person or by proxy at the annual meeting to nominate the person or persons specified in the notice;</w:t>
      </w:r>
    </w:p>
    <w:p>
      <w:pPr>
        <w:spacing w:after="0" w:line="65" w:lineRule="exact"/>
        <w:rPr>
          <w:rFonts w:ascii="Times New Roman" w:cs="Times New Roman" w:eastAsia="Times New Roman" w:hAnsi="Times New Roman"/>
          <w:sz w:val="17"/>
          <w:szCs w:val="17"/>
          <w:color w:val="3C578C"/>
        </w:rPr>
      </w:pPr>
    </w:p>
    <w:p>
      <w:pPr>
        <w:ind w:left="620" w:right="240" w:hanging="294"/>
        <w:spacing w:after="0" w:line="257" w:lineRule="auto"/>
        <w:tabs>
          <w:tab w:leader="none" w:pos="620" w:val="left"/>
        </w:tabs>
        <w:numPr>
          <w:ilvl w:val="0"/>
          <w:numId w:val="68"/>
        </w:numPr>
        <w:rPr>
          <w:rFonts w:ascii="Times New Roman" w:cs="Times New Roman" w:eastAsia="Times New Roman" w:hAnsi="Times New Roman"/>
          <w:sz w:val="17"/>
          <w:szCs w:val="17"/>
          <w:color w:val="3C578C"/>
        </w:rPr>
      </w:pPr>
      <w:r>
        <w:rPr>
          <w:rFonts w:ascii="Arial" w:cs="Arial" w:eastAsia="Arial" w:hAnsi="Arial"/>
          <w:sz w:val="17"/>
          <w:szCs w:val="17"/>
          <w:color w:val="auto"/>
        </w:rPr>
        <w:t>whether such stockholder or beneficial owner intends to deliver a Proxy Statement and forms of proxy to holders of at least the percentage of shares of our voting stock required to nominate such nominee or nominees;</w:t>
      </w:r>
    </w:p>
    <w:p>
      <w:pPr>
        <w:spacing w:after="0" w:line="55"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68"/>
        </w:numPr>
        <w:rPr>
          <w:rFonts w:ascii="Times New Roman" w:cs="Times New Roman" w:eastAsia="Times New Roman" w:hAnsi="Times New Roman"/>
          <w:sz w:val="17"/>
          <w:szCs w:val="17"/>
          <w:color w:val="3C578C"/>
        </w:rPr>
      </w:pPr>
      <w:r>
        <w:rPr>
          <w:rFonts w:ascii="Arial" w:cs="Arial" w:eastAsia="Arial" w:hAnsi="Arial"/>
          <w:sz w:val="17"/>
          <w:szCs w:val="17"/>
          <w:color w:val="auto"/>
        </w:rPr>
        <w:t>any derivative interest in our Company’s securities (as such term is defined in our Bylaws);</w:t>
      </w:r>
    </w:p>
    <w:p>
      <w:pPr>
        <w:spacing w:after="0" w:line="103" w:lineRule="exact"/>
        <w:rPr>
          <w:rFonts w:ascii="Times New Roman" w:cs="Times New Roman" w:eastAsia="Times New Roman" w:hAnsi="Times New Roman"/>
          <w:sz w:val="17"/>
          <w:szCs w:val="17"/>
          <w:color w:val="3C578C"/>
        </w:rPr>
      </w:pPr>
    </w:p>
    <w:p>
      <w:pPr>
        <w:ind w:left="620" w:right="180" w:hanging="294"/>
        <w:spacing w:after="0" w:line="257" w:lineRule="auto"/>
        <w:tabs>
          <w:tab w:leader="none" w:pos="620" w:val="left"/>
        </w:tabs>
        <w:numPr>
          <w:ilvl w:val="0"/>
          <w:numId w:val="68"/>
        </w:numPr>
        <w:rPr>
          <w:rFonts w:ascii="Times New Roman" w:cs="Times New Roman" w:eastAsia="Times New Roman" w:hAnsi="Times New Roman"/>
          <w:sz w:val="17"/>
          <w:szCs w:val="17"/>
          <w:color w:val="3C578C"/>
        </w:rPr>
      </w:pPr>
      <w:r>
        <w:rPr>
          <w:rFonts w:ascii="Arial" w:cs="Arial" w:eastAsia="Arial" w:hAnsi="Arial"/>
          <w:sz w:val="17"/>
          <w:szCs w:val="17"/>
          <w:color w:val="auto"/>
        </w:rPr>
        <w:t>any voting arrangements pursuant to which such stockholder has the right to vote any shares of the Company, or which has the effect of increasing or decreasing such stockholder’s voting power;</w:t>
      </w:r>
    </w:p>
    <w:p>
      <w:pPr>
        <w:spacing w:after="0" w:line="55" w:lineRule="exact"/>
        <w:rPr>
          <w:rFonts w:ascii="Times New Roman" w:cs="Times New Roman" w:eastAsia="Times New Roman" w:hAnsi="Times New Roman"/>
          <w:sz w:val="17"/>
          <w:szCs w:val="17"/>
          <w:color w:val="3C578C"/>
        </w:rPr>
      </w:pPr>
    </w:p>
    <w:p>
      <w:pPr>
        <w:ind w:left="620" w:right="260" w:hanging="294"/>
        <w:spacing w:after="0" w:line="257" w:lineRule="auto"/>
        <w:tabs>
          <w:tab w:leader="none" w:pos="620" w:val="left"/>
        </w:tabs>
        <w:numPr>
          <w:ilvl w:val="0"/>
          <w:numId w:val="68"/>
        </w:numPr>
        <w:rPr>
          <w:rFonts w:ascii="Times New Roman" w:cs="Times New Roman" w:eastAsia="Times New Roman" w:hAnsi="Times New Roman"/>
          <w:sz w:val="17"/>
          <w:szCs w:val="17"/>
          <w:color w:val="3C578C"/>
        </w:rPr>
      </w:pPr>
      <w:r>
        <w:rPr>
          <w:rFonts w:ascii="Arial" w:cs="Arial" w:eastAsia="Arial" w:hAnsi="Arial"/>
          <w:sz w:val="17"/>
          <w:szCs w:val="17"/>
          <w:color w:val="auto"/>
        </w:rPr>
        <w:t>any contract or arrangement pursuant to which such stockholder is a party that provides any party, directly or indirectly, the opportunity to profit from any decrease in the price or value of our stock;</w:t>
      </w:r>
    </w:p>
    <w:p>
      <w:pPr>
        <w:spacing w:after="0" w:line="236"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46</w:t>
      </w:r>
      <w:r>
        <w:rPr>
          <w:sz w:val="20"/>
          <w:szCs w:val="20"/>
          <w:color w:val="auto"/>
        </w:rPr>
        <w:tab/>
      </w:r>
      <w:r>
        <w:rPr>
          <w:sz w:val="1"/>
          <w:szCs w:val="1"/>
          <w:color w:val="auto"/>
        </w:rPr>
        <w:drawing>
          <wp:inline distT="0" distB="0" distL="0" distR="0">
            <wp:extent cx="476250" cy="22225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ind w:left="620" w:right="440" w:hanging="294"/>
        <w:spacing w:after="0" w:line="257" w:lineRule="auto"/>
        <w:tabs>
          <w:tab w:leader="none" w:pos="620" w:val="left"/>
        </w:tabs>
        <w:numPr>
          <w:ilvl w:val="0"/>
          <w:numId w:val="69"/>
        </w:numPr>
        <w:rPr>
          <w:rFonts w:ascii="Times New Roman" w:cs="Times New Roman" w:eastAsia="Times New Roman" w:hAnsi="Times New Roman"/>
          <w:sz w:val="17"/>
          <w:szCs w:val="17"/>
          <w:color w:val="3C578C"/>
        </w:rPr>
      </w:pPr>
      <w:r>
        <w:rPr>
          <w:rFonts w:ascii="Arial" w:cs="Arial" w:eastAsia="Arial" w:hAnsi="Arial"/>
          <w:sz w:val="17"/>
          <w:szCs w:val="17"/>
          <w:color w:val="auto"/>
        </w:rPr>
        <w:t>any material pending or threatened legal proceeding involving our Company, any of its affiliates or any of our directors or officers;</w:t>
      </w:r>
    </w:p>
    <w:p>
      <w:pPr>
        <w:spacing w:after="0" w:line="55" w:lineRule="exact"/>
        <w:rPr>
          <w:rFonts w:ascii="Times New Roman" w:cs="Times New Roman" w:eastAsia="Times New Roman" w:hAnsi="Times New Roman"/>
          <w:sz w:val="17"/>
          <w:szCs w:val="17"/>
          <w:color w:val="3C578C"/>
        </w:rPr>
      </w:pPr>
    </w:p>
    <w:p>
      <w:pPr>
        <w:ind w:left="620" w:right="80" w:hanging="294"/>
        <w:spacing w:after="0" w:line="244" w:lineRule="auto"/>
        <w:tabs>
          <w:tab w:leader="none" w:pos="620" w:val="left"/>
        </w:tabs>
        <w:numPr>
          <w:ilvl w:val="0"/>
          <w:numId w:val="69"/>
        </w:numPr>
        <w:rPr>
          <w:rFonts w:ascii="Times New Roman" w:cs="Times New Roman" w:eastAsia="Times New Roman" w:hAnsi="Times New Roman"/>
          <w:sz w:val="17"/>
          <w:szCs w:val="17"/>
          <w:color w:val="3C578C"/>
        </w:rPr>
      </w:pPr>
      <w:r>
        <w:rPr>
          <w:rFonts w:ascii="Arial" w:cs="Arial" w:eastAsia="Arial" w:hAnsi="Arial"/>
          <w:sz w:val="17"/>
          <w:szCs w:val="17"/>
          <w:color w:val="auto"/>
        </w:rPr>
        <w:t>any rights to certain dividends on shares of Company stock that are separated or separable from the underlying shares of the Company and any entitlement to certain performance-related fees resulting from an increase or decrease in the value of shares of Company stock or derivative interests; and</w:t>
      </w:r>
    </w:p>
    <w:p>
      <w:pPr>
        <w:spacing w:after="0" w:line="65" w:lineRule="exact"/>
        <w:rPr>
          <w:rFonts w:ascii="Times New Roman" w:cs="Times New Roman" w:eastAsia="Times New Roman" w:hAnsi="Times New Roman"/>
          <w:sz w:val="17"/>
          <w:szCs w:val="17"/>
          <w:color w:val="3C578C"/>
        </w:rPr>
      </w:pPr>
    </w:p>
    <w:p>
      <w:pPr>
        <w:ind w:left="620" w:right="220" w:hanging="294"/>
        <w:spacing w:after="0" w:line="239" w:lineRule="auto"/>
        <w:tabs>
          <w:tab w:leader="none" w:pos="620" w:val="left"/>
        </w:tabs>
        <w:numPr>
          <w:ilvl w:val="0"/>
          <w:numId w:val="69"/>
        </w:numPr>
        <w:rPr>
          <w:rFonts w:ascii="Times New Roman" w:cs="Times New Roman" w:eastAsia="Times New Roman" w:hAnsi="Times New Roman"/>
          <w:sz w:val="17"/>
          <w:szCs w:val="17"/>
          <w:color w:val="3C578C"/>
        </w:rPr>
      </w:pPr>
      <w:r>
        <w:rPr>
          <w:rFonts w:ascii="Arial" w:cs="Arial" w:eastAsia="Arial" w:hAnsi="Arial"/>
          <w:sz w:val="17"/>
          <w:szCs w:val="17"/>
          <w:color w:val="auto"/>
        </w:rPr>
        <w:t>any equity interests, including any convertible, derivate or short interests, in any competitor of the Company; and any other information relating to such stockholder that would be required to be disclosed in a Proxy Statement or other filing required pursuant to Section 14(a) of the Exchange Act to be made in connection with a general solicitation of proxies or consents in support of the nomination of the nominee or nominees.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Universal Proxy Rules</w:t>
      </w:r>
    </w:p>
    <w:p>
      <w:pPr>
        <w:spacing w:after="0" w:line="90"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In addition to satisfying the requirements under our Bylaws, stockholders who intend to solicit proxies in support of director nominees other than the Company’s nominees must comply with Rule 14a-19 under the Exchange Act.</w:t>
      </w:r>
    </w:p>
    <w:p>
      <w:pPr>
        <w:spacing w:after="0" w:line="167"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By Order of the Board of Directors</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/s/ Jason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5715</wp:posOffset>
            </wp:positionV>
            <wp:extent cx="315087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50870" cy="762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7"/>
          <w:szCs w:val="17"/>
          <w:color w:val="auto"/>
        </w:rPr>
        <w:t>Jason DeZwirek</w:t>
      </w:r>
    </w:p>
    <w:p>
      <w:pPr>
        <w:ind w:left="4960"/>
        <w:spacing w:after="0"/>
        <w:rPr>
          <w:sz w:val="20"/>
          <w:szCs w:val="20"/>
          <w:color w:val="auto"/>
        </w:rPr>
      </w:pPr>
      <w:r>
        <w:rPr>
          <w:rFonts w:ascii="Arial" w:cs="Arial" w:eastAsia="Arial" w:hAnsi="Arial"/>
          <w:sz w:val="17"/>
          <w:szCs w:val="17"/>
          <w:color w:val="auto"/>
        </w:rPr>
        <w:t>Chairman of the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April __,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561340</wp:posOffset>
            </wp:positionV>
            <wp:extent cx="483870" cy="2222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3C578C"/>
        </w:rPr>
        <w:t>QUESTIONS AND ANSWERS ABOUT OUR 2024 ANNUAL MEETING</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Who is Soliciting My Vote?</w:t>
      </w:r>
    </w:p>
    <w:p>
      <w:pPr>
        <w:spacing w:after="0" w:line="19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 xml:space="preserve">The Board of Directors (the “Board”) of CECO Environmental Corp.(“CECO” or the “Company”, “we”, “us” or “our”) is soliciting proxies to be voted at the Annual Meeting to be held solely through virtual participation via webcast at </w:t>
      </w:r>
      <w:r>
        <w:rPr>
          <w:rFonts w:ascii="Arial" w:cs="Arial" w:eastAsia="Arial" w:hAnsi="Arial"/>
          <w:sz w:val="17"/>
          <w:szCs w:val="17"/>
          <w:u w:val="single" w:color="auto"/>
          <w:color w:val="auto"/>
        </w:rPr>
        <w:t>www.virtualshareholdermeeting.com/CECO2024</w:t>
      </w:r>
      <w:r>
        <w:rPr>
          <w:rFonts w:ascii="Arial" w:cs="Arial" w:eastAsia="Arial" w:hAnsi="Arial"/>
          <w:sz w:val="17"/>
          <w:szCs w:val="17"/>
          <w:color w:val="auto"/>
        </w:rPr>
        <w:t xml:space="preserve"> at 8:00 a.m., Central Time, on May 20, 2024, or any postponement or adjournment thereof.</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Why Did I Receive a Notice of Internet Availability of Proxy Materials?</w:t>
      </w:r>
    </w:p>
    <w:p>
      <w:pPr>
        <w:spacing w:after="0" w:line="90" w:lineRule="exact"/>
        <w:rPr>
          <w:sz w:val="20"/>
          <w:szCs w:val="20"/>
          <w:color w:val="auto"/>
        </w:rPr>
      </w:pPr>
    </w:p>
    <w:p>
      <w:pPr>
        <w:ind w:right="340"/>
        <w:spacing w:after="0" w:line="255" w:lineRule="auto"/>
        <w:rPr>
          <w:sz w:val="20"/>
          <w:szCs w:val="20"/>
          <w:color w:val="auto"/>
        </w:rPr>
      </w:pPr>
      <w:r>
        <w:rPr>
          <w:rFonts w:ascii="Arial" w:cs="Arial" w:eastAsia="Arial" w:hAnsi="Arial"/>
          <w:sz w:val="16"/>
          <w:szCs w:val="16"/>
          <w:color w:val="auto"/>
        </w:rPr>
        <w:t>Pursuant to rules adopted by the SEC, we have elected to provide access to our proxy materials over the internet. Accordingly, we have sent you a Notice of Internet Availability of Proxy Materials (“Notice”) because our Board is soliciting your proxy to vote at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60"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We mailed the Notice and released our proxy materials on or about April __, 2024, to all stockholders of record as of March 25, 2024, the Record Date, who are entitled to vote in connection with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Will I Receive Other Proxy Materials by Mail?</w:t>
      </w:r>
    </w:p>
    <w:p>
      <w:pPr>
        <w:spacing w:after="0" w:line="90" w:lineRule="exact"/>
        <w:rPr>
          <w:sz w:val="20"/>
          <w:szCs w:val="20"/>
          <w:color w:val="auto"/>
        </w:rPr>
      </w:pPr>
    </w:p>
    <w:p>
      <w:pPr>
        <w:jc w:val="both"/>
        <w:ind w:right="320"/>
        <w:spacing w:after="0" w:line="244" w:lineRule="auto"/>
        <w:rPr>
          <w:sz w:val="20"/>
          <w:szCs w:val="20"/>
          <w:color w:val="auto"/>
        </w:rPr>
      </w:pPr>
      <w:r>
        <w:rPr>
          <w:rFonts w:ascii="Arial" w:cs="Arial" w:eastAsia="Arial" w:hAnsi="Arial"/>
          <w:sz w:val="17"/>
          <w:szCs w:val="17"/>
          <w:color w:val="auto"/>
        </w:rPr>
        <w:t xml:space="preserve">No, you will not receive any proxy materials, other than the Notice, by mail unless you request a paper copy of proxy materials. To request that a full set of the proxy materials be sent to your specified postal address, please go to </w:t>
      </w:r>
      <w:r>
        <w:rPr>
          <w:rFonts w:ascii="Arial" w:cs="Arial" w:eastAsia="Arial" w:hAnsi="Arial"/>
          <w:sz w:val="17"/>
          <w:szCs w:val="17"/>
          <w:i w:val="1"/>
          <w:iCs w:val="1"/>
          <w:u w:val="single" w:color="auto"/>
          <w:color w:val="auto"/>
        </w:rPr>
        <w:t>www.ProxyVote.com</w:t>
      </w:r>
      <w:r>
        <w:rPr>
          <w:rFonts w:ascii="Arial" w:cs="Arial" w:eastAsia="Arial" w:hAnsi="Arial"/>
          <w:sz w:val="17"/>
          <w:szCs w:val="17"/>
          <w:color w:val="auto"/>
        </w:rPr>
        <w:t xml:space="preserve">, call 1-800-579-1639 or send an email to </w:t>
      </w:r>
      <w:r>
        <w:rPr>
          <w:rFonts w:ascii="Arial" w:cs="Arial" w:eastAsia="Arial" w:hAnsi="Arial"/>
          <w:sz w:val="17"/>
          <w:szCs w:val="17"/>
          <w:i w:val="1"/>
          <w:iCs w:val="1"/>
          <w:u w:val="single" w:color="auto"/>
          <w:color w:val="auto"/>
        </w:rPr>
        <w:t>sendmaterial@proxyvote.com</w:t>
      </w:r>
      <w:r>
        <w:rPr>
          <w:rFonts w:ascii="Arial" w:cs="Arial" w:eastAsia="Arial" w:hAnsi="Arial"/>
          <w:sz w:val="17"/>
          <w:szCs w:val="17"/>
          <w:color w:val="auto"/>
        </w:rPr>
        <w:t xml:space="preserve"> prior to May 22, 2023.</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Who Bears the Cost of Solicitation?</w:t>
      </w:r>
    </w:p>
    <w:p>
      <w:pPr>
        <w:spacing w:after="0" w:line="90" w:lineRule="exact"/>
        <w:rPr>
          <w:sz w:val="20"/>
          <w:szCs w:val="20"/>
          <w:color w:val="auto"/>
        </w:rPr>
      </w:pPr>
    </w:p>
    <w:p>
      <w:pPr>
        <w:ind w:right="40"/>
        <w:spacing w:after="0" w:line="209" w:lineRule="auto"/>
        <w:rPr>
          <w:sz w:val="20"/>
          <w:szCs w:val="20"/>
          <w:color w:val="auto"/>
        </w:rPr>
      </w:pPr>
      <w:r>
        <w:rPr>
          <w:rFonts w:ascii="Arial" w:cs="Arial" w:eastAsia="Arial" w:hAnsi="Arial"/>
          <w:sz w:val="16"/>
          <w:szCs w:val="16"/>
          <w:color w:val="auto"/>
        </w:rPr>
        <w:t>The Company is soliciting your votes for this Annual Meeting. The cost of solicitation of the proxies will be borne by us. The Company has retained Morrow Sodali LLC, 333 Ludlow Street, 5</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 South Tower, Stamford, Connecticut 06902 (Individuals may call toll-free</w:t>
      </w:r>
    </w:p>
    <w:p>
      <w:pPr>
        <w:ind w:right="60" w:firstLine="1"/>
        <w:spacing w:after="0" w:line="233" w:lineRule="auto"/>
        <w:tabs>
          <w:tab w:leader="none" w:pos="435" w:val="left"/>
        </w:tabs>
        <w:numPr>
          <w:ilvl w:val="0"/>
          <w:numId w:val="70"/>
        </w:numPr>
        <w:rPr>
          <w:rFonts w:ascii="Arial" w:cs="Arial" w:eastAsia="Arial" w:hAnsi="Arial"/>
          <w:sz w:val="17"/>
          <w:szCs w:val="17"/>
          <w:color w:val="auto"/>
        </w:rPr>
      </w:pPr>
      <w:r>
        <w:rPr>
          <w:rFonts w:ascii="Arial" w:cs="Arial" w:eastAsia="Arial" w:hAnsi="Arial"/>
          <w:sz w:val="17"/>
          <w:szCs w:val="17"/>
          <w:color w:val="auto"/>
        </w:rPr>
        <w:t>662-5200; Banks and brokers may call (203) 658-9400 and both may email CECO.info@investor.morrowsodali.com), to assist us in the solicitation of proxies for a fee not to exceed $10,000 plus expenses. In addition to this solicitation of the proxies, our employees, without extra remuneration, may solicit proxies personally or by telephone. We will reimburse brokerage firms, nominees, custodians, and fiduciaries for their out-of-pocket expenses for forwarding proxy materials to beneficial owners and seeking instruction regarding the proxy materials.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Who Can Vote?</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Only stockholders of record at the close of business on March 25, 2024, which we refer to as the record date, are entitled to notice of, and to attend and vote at, the Annual Meeting. As of the record date, there were ____________ outstanding shares of our common</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stock. Each share of our common stock outstanding on the record date will be entitled to cast one vote upon each matter submitted to a vote at the Annual Meeting.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Who is a Stockholder of Record?</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 stockholder of record (or record holder or registered holder) means that your shares are registered in your name directly on the books of our registrar and transfer agent Broadridge Financial Services, Inc. If you are a stockholder of record, we have provided these proxy materials directly to you.</w:t>
      </w:r>
    </w:p>
    <w:p>
      <w:pPr>
        <w:spacing w:after="0" w:line="66" w:lineRule="exact"/>
        <w:rPr>
          <w:sz w:val="20"/>
          <w:szCs w:val="20"/>
          <w:color w:val="auto"/>
        </w:rPr>
      </w:pPr>
    </w:p>
    <w:p>
      <w:pPr>
        <w:jc w:val="both"/>
        <w:ind w:right="80"/>
        <w:spacing w:after="0" w:line="267" w:lineRule="auto"/>
        <w:rPr>
          <w:sz w:val="20"/>
          <w:szCs w:val="20"/>
          <w:color w:val="auto"/>
        </w:rPr>
      </w:pPr>
      <w:r>
        <w:rPr>
          <w:rFonts w:ascii="Arial" w:cs="Arial" w:eastAsia="Arial" w:hAnsi="Arial"/>
          <w:sz w:val="16"/>
          <w:szCs w:val="16"/>
          <w:color w:val="auto"/>
        </w:rPr>
        <w:t>If you hold your shares through a bank, broker or other intermediary, you are considered the “beneficial owner” of those shares held in “street name.” If your shares are held in street name, these proxy materials have been forwarded to you by your bank, broker or other intermediary. As the beneficial owner, you have the right to instruct that institution on how to vote the shares you beneficially own.</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You Can Vote and What You are Voting on</w:t>
      </w:r>
    </w:p>
    <w:p>
      <w:pPr>
        <w:spacing w:after="0" w:line="90"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If you are a registered stockholder, there are several ways for you to vote. You may attend the Annual Meeting via the internet and vote during the Annual Meeting. You may also vote by internet before the date of the Annual Meeting, by</w:t>
      </w:r>
    </w:p>
    <w:p>
      <w:pPr>
        <w:spacing w:after="0" w:line="135"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48</w:t>
      </w:r>
      <w:r>
        <w:rPr>
          <w:sz w:val="20"/>
          <w:szCs w:val="20"/>
          <w:color w:val="auto"/>
        </w:rPr>
        <w:tab/>
      </w:r>
      <w:r>
        <w:rPr>
          <w:sz w:val="1"/>
          <w:szCs w:val="1"/>
          <w:color w:val="auto"/>
        </w:rPr>
        <w:drawing>
          <wp:inline distT="0" distB="0" distL="0" distR="0">
            <wp:extent cx="476250" cy="22225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proxy or by telephone using one of the methods described on the Notice and in the proxy card. We recommend you vote by mail, internet or telephone even if you plan to attend the Annual Meeting. If you vote by internet or telephone, please do not return the proxy card. If voting by mail, please complete, sign and date your proxy card enclosed with these proxy materials. If desired, you can change your vote at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Whether you hold your shares directly as the stockholder of record or beneficially in street name, you may vote without attending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Annual Meeting in one of the following manners:</w:t>
      </w:r>
    </w:p>
    <w:p>
      <w:pPr>
        <w:spacing w:after="0" w:line="76" w:lineRule="exact"/>
        <w:rPr>
          <w:sz w:val="20"/>
          <w:szCs w:val="20"/>
          <w:color w:val="auto"/>
        </w:rPr>
      </w:pPr>
    </w:p>
    <w:p>
      <w:pPr>
        <w:ind w:left="600" w:right="180"/>
        <w:spacing w:after="0" w:line="258" w:lineRule="auto"/>
        <w:rPr>
          <w:sz w:val="20"/>
          <w:szCs w:val="20"/>
          <w:color w:val="auto"/>
        </w:rPr>
      </w:pPr>
      <w:r>
        <w:rPr>
          <w:rFonts w:ascii="Arial" w:cs="Arial" w:eastAsia="Arial" w:hAnsi="Arial"/>
          <w:sz w:val="17"/>
          <w:szCs w:val="17"/>
          <w:b w:val="1"/>
          <w:bCs w:val="1"/>
          <w:color w:val="auto"/>
        </w:rPr>
        <w:t xml:space="preserve">By Internet: </w:t>
      </w:r>
      <w:r>
        <w:rPr>
          <w:rFonts w:ascii="Arial" w:cs="Arial" w:eastAsia="Arial" w:hAnsi="Arial"/>
          <w:sz w:val="17"/>
          <w:szCs w:val="17"/>
          <w:color w:val="auto"/>
        </w:rPr>
        <w:t>Go 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www.proxyvote.com</w:t>
      </w:r>
      <w:r>
        <w:rPr>
          <w:rFonts w:ascii="Arial" w:cs="Arial" w:eastAsia="Arial" w:hAnsi="Arial"/>
          <w:sz w:val="17"/>
          <w:szCs w:val="17"/>
          <w:b w:val="1"/>
          <w:bCs w:val="1"/>
          <w:color w:val="auto"/>
        </w:rPr>
        <w:t xml:space="preserve"> </w:t>
      </w:r>
      <w:r>
        <w:rPr>
          <w:rFonts w:ascii="Arial" w:cs="Arial" w:eastAsia="Arial" w:hAnsi="Arial"/>
          <w:sz w:val="17"/>
          <w:szCs w:val="17"/>
          <w:color w:val="auto"/>
        </w:rPr>
        <w:t>and follow the instructions. You will need the 16-digit control number included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proxy card or voting instruction form;</w:t>
      </w:r>
    </w:p>
    <w:p>
      <w:pPr>
        <w:spacing w:after="0" w:line="55" w:lineRule="exact"/>
        <w:rPr>
          <w:sz w:val="20"/>
          <w:szCs w:val="20"/>
          <w:color w:val="auto"/>
        </w:rPr>
      </w:pPr>
    </w:p>
    <w:p>
      <w:pPr>
        <w:ind w:left="600" w:right="60"/>
        <w:spacing w:after="0" w:line="258" w:lineRule="auto"/>
        <w:rPr>
          <w:sz w:val="20"/>
          <w:szCs w:val="20"/>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Dial 1-800-579-1639. You will need the control number included on the Notice, proxy card or voting instruction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form; or</w:t>
      </w:r>
    </w:p>
    <w:p>
      <w:pPr>
        <w:spacing w:after="0" w:line="5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Complete, date and sign your proxy card or voting instruction form and mail it.</w:t>
      </w:r>
    </w:p>
    <w:p>
      <w:pPr>
        <w:spacing w:after="0" w:line="192" w:lineRule="exact"/>
        <w:rPr>
          <w:sz w:val="20"/>
          <w:szCs w:val="20"/>
          <w:color w:val="auto"/>
        </w:rPr>
      </w:pPr>
    </w:p>
    <w:p>
      <w:pPr>
        <w:ind w:right="440"/>
        <w:spacing w:after="0" w:line="258" w:lineRule="auto"/>
        <w:rPr>
          <w:sz w:val="20"/>
          <w:szCs w:val="20"/>
          <w:color w:val="auto"/>
        </w:rPr>
      </w:pPr>
      <w:r>
        <w:rPr>
          <w:rFonts w:ascii="Arial" w:cs="Arial" w:eastAsia="Arial" w:hAnsi="Arial"/>
          <w:sz w:val="17"/>
          <w:szCs w:val="17"/>
          <w:color w:val="auto"/>
        </w:rPr>
        <w:t>Internet and telephone voting for stockholders is available 24 hours a day, and will close at 11:59 p.m., Eastern Time, on May 19, 2024.</w:t>
      </w:r>
    </w:p>
    <w:p>
      <w:pPr>
        <w:spacing w:after="0" w:line="55"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The persons named as proxies have informed the Company of their intention, if no contrary instructions are given, to vote the shares represented by such proxies as follows:</w:t>
      </w:r>
    </w:p>
    <w:p>
      <w:pPr>
        <w:spacing w:after="0" w:line="55" w:lineRule="exact"/>
        <w:rPr>
          <w:sz w:val="20"/>
          <w:szCs w:val="20"/>
          <w:color w:val="auto"/>
        </w:rPr>
      </w:pPr>
    </w:p>
    <w:p>
      <w:pPr>
        <w:ind w:left="620" w:hanging="294"/>
        <w:spacing w:after="0"/>
        <w:tabs>
          <w:tab w:leader="none" w:pos="620" w:val="left"/>
        </w:tabs>
        <w:numPr>
          <w:ilvl w:val="0"/>
          <w:numId w:val="71"/>
        </w:numPr>
        <w:rPr>
          <w:rFonts w:ascii="Times New Roman" w:cs="Times New Roman" w:eastAsia="Times New Roman" w:hAnsi="Times New Roman"/>
          <w:sz w:val="17"/>
          <w:szCs w:val="17"/>
          <w:color w:val="3C578C"/>
        </w:rPr>
      </w:pPr>
      <w:r>
        <w:rPr>
          <w:rFonts w:ascii="Arial" w:cs="Arial" w:eastAsia="Arial" w:hAnsi="Arial"/>
          <w:sz w:val="17"/>
          <w:szCs w:val="17"/>
          <w:color w:val="auto"/>
        </w:rPr>
        <w:t>FOR the election of each director nominee (Proposal 1);</w:t>
      </w:r>
    </w:p>
    <w:p>
      <w:pPr>
        <w:spacing w:after="0" w:line="103" w:lineRule="exact"/>
        <w:rPr>
          <w:rFonts w:ascii="Times New Roman" w:cs="Times New Roman" w:eastAsia="Times New Roman" w:hAnsi="Times New Roman"/>
          <w:sz w:val="17"/>
          <w:szCs w:val="17"/>
          <w:color w:val="3C578C"/>
        </w:rPr>
      </w:pPr>
    </w:p>
    <w:p>
      <w:pPr>
        <w:ind w:left="620" w:right="380" w:hanging="294"/>
        <w:spacing w:after="0" w:line="273" w:lineRule="auto"/>
        <w:tabs>
          <w:tab w:leader="none" w:pos="620" w:val="left"/>
        </w:tabs>
        <w:numPr>
          <w:ilvl w:val="0"/>
          <w:numId w:val="71"/>
        </w:numPr>
        <w:rPr>
          <w:rFonts w:ascii="Times New Roman" w:cs="Times New Roman" w:eastAsia="Times New Roman" w:hAnsi="Times New Roman"/>
          <w:sz w:val="17"/>
          <w:szCs w:val="17"/>
          <w:color w:val="3C578C"/>
        </w:rPr>
      </w:pPr>
      <w:r>
        <w:rPr>
          <w:rFonts w:ascii="Arial" w:cs="Arial" w:eastAsia="Arial" w:hAnsi="Arial"/>
          <w:sz w:val="17"/>
          <w:szCs w:val="17"/>
          <w:color w:val="auto"/>
        </w:rPr>
        <w:t>FOR the approval of the proposed amendment to the Company</w:t>
      </w:r>
      <w:r>
        <w:rPr>
          <w:rFonts w:ascii="Times New Roman" w:cs="Times New Roman" w:eastAsia="Times New Roman" w:hAnsi="Times New Roman"/>
          <w:sz w:val="17"/>
          <w:szCs w:val="17"/>
          <w:color w:val="auto"/>
        </w:rPr>
        <w:t>’</w:t>
      </w:r>
      <w:r>
        <w:rPr>
          <w:rFonts w:ascii="Arial" w:cs="Arial" w:eastAsia="Arial" w:hAnsi="Arial"/>
          <w:sz w:val="17"/>
          <w:szCs w:val="17"/>
          <w:color w:val="auto"/>
        </w:rPr>
        <w:t>s Certificate of Incorporation to incorporate Delaware law provisions regarding officer exculpation (Proposal 2)</w:t>
      </w:r>
    </w:p>
    <w:p>
      <w:pPr>
        <w:spacing w:after="0" w:line="41"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71"/>
        </w:numPr>
        <w:rPr>
          <w:rFonts w:ascii="Times New Roman" w:cs="Times New Roman" w:eastAsia="Times New Roman" w:hAnsi="Times New Roman"/>
          <w:sz w:val="17"/>
          <w:szCs w:val="17"/>
          <w:color w:val="3C578C"/>
        </w:rPr>
      </w:pPr>
      <w:r>
        <w:rPr>
          <w:rFonts w:ascii="Arial" w:cs="Arial" w:eastAsia="Arial" w:hAnsi="Arial"/>
          <w:sz w:val="17"/>
          <w:szCs w:val="17"/>
          <w:color w:val="auto"/>
        </w:rPr>
        <w:t>FOR the approval, on an advisory basis, of the compensation of our named executive officers (Proposal 3);</w:t>
      </w:r>
    </w:p>
    <w:p>
      <w:pPr>
        <w:spacing w:after="0" w:line="103" w:lineRule="exact"/>
        <w:rPr>
          <w:rFonts w:ascii="Times New Roman" w:cs="Times New Roman" w:eastAsia="Times New Roman" w:hAnsi="Times New Roman"/>
          <w:sz w:val="17"/>
          <w:szCs w:val="17"/>
          <w:color w:val="3C578C"/>
        </w:rPr>
      </w:pPr>
    </w:p>
    <w:p>
      <w:pPr>
        <w:ind w:left="620" w:right="660" w:hanging="294"/>
        <w:spacing w:after="0" w:line="257" w:lineRule="auto"/>
        <w:tabs>
          <w:tab w:leader="none" w:pos="620" w:val="left"/>
        </w:tabs>
        <w:numPr>
          <w:ilvl w:val="0"/>
          <w:numId w:val="71"/>
        </w:numPr>
        <w:rPr>
          <w:rFonts w:ascii="Times New Roman" w:cs="Times New Roman" w:eastAsia="Times New Roman" w:hAnsi="Times New Roman"/>
          <w:sz w:val="17"/>
          <w:szCs w:val="17"/>
          <w:color w:val="3C578C"/>
        </w:rPr>
      </w:pPr>
      <w:r>
        <w:rPr>
          <w:rFonts w:ascii="Arial" w:cs="Arial" w:eastAsia="Arial" w:hAnsi="Arial"/>
          <w:sz w:val="17"/>
          <w:szCs w:val="17"/>
          <w:color w:val="auto"/>
        </w:rPr>
        <w:t>FOR the ratification of the appointment of BDO USA, P.C. (f/k/a BDO USA, LLP) as our independent registered public accounting firm for 2024 (Proposal 4); and</w:t>
      </w:r>
    </w:p>
    <w:p>
      <w:pPr>
        <w:spacing w:after="0" w:line="55"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71"/>
        </w:numPr>
        <w:rPr>
          <w:rFonts w:ascii="Times New Roman" w:cs="Times New Roman" w:eastAsia="Times New Roman" w:hAnsi="Times New Roman"/>
          <w:sz w:val="17"/>
          <w:szCs w:val="17"/>
          <w:color w:val="3C578C"/>
        </w:rPr>
      </w:pPr>
      <w:r>
        <w:rPr>
          <w:rFonts w:ascii="Arial" w:cs="Arial" w:eastAsia="Arial" w:hAnsi="Arial"/>
          <w:sz w:val="17"/>
          <w:szCs w:val="17"/>
          <w:color w:val="auto"/>
        </w:rPr>
        <w:t>In accordance with their judgment on any other matters which may properly come before the Annual Meeting.</w:t>
      </w:r>
    </w:p>
    <w:p>
      <w:pPr>
        <w:spacing w:after="0" w:line="204"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The Board does not know of any other business to be brought before the Annual Meeting other than as indicated in the Notice of Annual Meeting of Stockholders. If other matters are properly presented at the Annual Meeting, the persons named as proxies may vote on such matters in their discretion. In addition, the persons named as proxies may vote your shares to adjourn the Annual Meeting and will be authorized to vote your shares at any adjournments or postponements of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Many Votes do I Have?</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On each matter to be voted upon, you have one vote for each share of common stock you own as of March 25, 2024.</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What Does it Mean if I Receive More Than One Notice?</w:t>
      </w:r>
    </w:p>
    <w:p>
      <w:pPr>
        <w:spacing w:after="0" w:line="90"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If you receive more than one Notice, your shares may be registered in more than one name or in different accounts. Please follow the voting instructions on each of the Notices you receive to ensure that all of your shares are voted.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Revocability of Proxies</w:t>
      </w:r>
    </w:p>
    <w:p>
      <w:pPr>
        <w:spacing w:after="0" w:line="90" w:lineRule="exact"/>
        <w:rPr>
          <w:sz w:val="20"/>
          <w:szCs w:val="20"/>
          <w:color w:val="auto"/>
        </w:rPr>
      </w:pPr>
    </w:p>
    <w:p>
      <w:pPr>
        <w:ind w:right="80"/>
        <w:spacing w:after="0" w:line="236" w:lineRule="auto"/>
        <w:rPr>
          <w:sz w:val="20"/>
          <w:szCs w:val="20"/>
          <w:color w:val="auto"/>
        </w:rPr>
      </w:pPr>
      <w:r>
        <w:rPr>
          <w:rFonts w:ascii="Arial" w:cs="Arial" w:eastAsia="Arial" w:hAnsi="Arial"/>
          <w:sz w:val="17"/>
          <w:szCs w:val="17"/>
          <w:color w:val="auto"/>
        </w:rPr>
        <w:t>Stockholders who execute proxies retain the right to revoke them at any time before the shares are voted by proxy at the meeting. A stockholder may revoke a proxy by delivering a signed statement to our Corporate Secretary at or prior to the Annual Meeting or by timely executing and delivering, by internet, mail or during the Annual Meeting, another proxy dated as of a later date. Furthermore, you may revoke a proxy by attending the Annual Meeting and voting in person, which will automatically cancel any proxy previously given. Unless you revoke your proxy at the Annual Meeting, your revocation must be received by 11:59 p.m. Eastern Time on May 19, 2024.</w:t>
      </w:r>
    </w:p>
    <w:p>
      <w:pPr>
        <w:spacing w:after="0" w:line="7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Attendance at the Annual Meeting, however, will not automatically revoke any proxy that you have given previously unless you request a ballot and vote during the Annual Meeting. If you hold shares through a bank, broker or other intermediary, you must contact the bank, broker or other intermediary to revoke any prior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243205</wp:posOffset>
            </wp:positionV>
            <wp:extent cx="483870" cy="2222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do I participate in, and ask questions during the Annual Meeting?</w:t>
      </w:r>
    </w:p>
    <w:p>
      <w:pPr>
        <w:spacing w:after="0" w:line="90"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 xml:space="preserve">If you would like to submit a question during the Annual Meeting, you may log in to </w:t>
      </w:r>
      <w:r>
        <w:rPr>
          <w:rFonts w:ascii="Arial" w:cs="Arial" w:eastAsia="Arial" w:hAnsi="Arial"/>
          <w:sz w:val="16"/>
          <w:szCs w:val="16"/>
          <w:i w:val="1"/>
          <w:iCs w:val="1"/>
          <w:color w:val="auto"/>
        </w:rPr>
        <w:t>www.virtualshareholdermeeting.com/CECO2024</w:t>
      </w:r>
      <w:r>
        <w:rPr>
          <w:rFonts w:ascii="Arial" w:cs="Arial" w:eastAsia="Arial" w:hAnsi="Arial"/>
          <w:sz w:val="16"/>
          <w:szCs w:val="16"/>
          <w:color w:val="auto"/>
        </w:rPr>
        <w:t xml:space="preserve"> using your control number, type your question into the “Ask a Question” field, and click “Submit.”</w:t>
      </w:r>
    </w:p>
    <w:p>
      <w:pPr>
        <w:spacing w:after="0" w:line="132"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To help ensure that we have a productive and efficient meeting, and in fairness to all stockholders in attendance, you will also find posted our rules of conduct for the Annual Meeting when you log in prior to its start. These rules of conduct will include the following guidelines:</w:t>
      </w:r>
    </w:p>
    <w:p>
      <w:pPr>
        <w:spacing w:after="0" w:line="66" w:lineRule="exact"/>
        <w:rPr>
          <w:sz w:val="20"/>
          <w:szCs w:val="20"/>
          <w:color w:val="auto"/>
        </w:rPr>
      </w:pPr>
    </w:p>
    <w:p>
      <w:pPr>
        <w:ind w:left="620" w:hanging="294"/>
        <w:spacing w:after="0"/>
        <w:tabs>
          <w:tab w:leader="none" w:pos="620" w:val="left"/>
        </w:tabs>
        <w:numPr>
          <w:ilvl w:val="0"/>
          <w:numId w:val="72"/>
        </w:numPr>
        <w:rPr>
          <w:rFonts w:ascii="Times New Roman" w:cs="Times New Roman" w:eastAsia="Times New Roman" w:hAnsi="Times New Roman"/>
          <w:sz w:val="17"/>
          <w:szCs w:val="17"/>
          <w:color w:val="3C578C"/>
        </w:rPr>
      </w:pPr>
      <w:r>
        <w:rPr>
          <w:rFonts w:ascii="Arial" w:cs="Arial" w:eastAsia="Arial" w:hAnsi="Arial"/>
          <w:sz w:val="17"/>
          <w:szCs w:val="17"/>
          <w:color w:val="auto"/>
        </w:rPr>
        <w:t>You may submit questions and comments electronically through the meeting portal during the Annual Meeting.</w:t>
      </w:r>
    </w:p>
    <w:p>
      <w:pPr>
        <w:spacing w:after="0" w:line="103" w:lineRule="exact"/>
        <w:rPr>
          <w:rFonts w:ascii="Times New Roman" w:cs="Times New Roman" w:eastAsia="Times New Roman" w:hAnsi="Times New Roman"/>
          <w:sz w:val="17"/>
          <w:szCs w:val="17"/>
          <w:color w:val="3C578C"/>
        </w:rPr>
      </w:pPr>
    </w:p>
    <w:p>
      <w:pPr>
        <w:ind w:left="620" w:right="260" w:hanging="294"/>
        <w:spacing w:after="0" w:line="257" w:lineRule="auto"/>
        <w:tabs>
          <w:tab w:leader="none" w:pos="620" w:val="left"/>
        </w:tabs>
        <w:numPr>
          <w:ilvl w:val="0"/>
          <w:numId w:val="72"/>
        </w:numPr>
        <w:rPr>
          <w:rFonts w:ascii="Times New Roman" w:cs="Times New Roman" w:eastAsia="Times New Roman" w:hAnsi="Times New Roman"/>
          <w:sz w:val="17"/>
          <w:szCs w:val="17"/>
          <w:color w:val="3C578C"/>
        </w:rPr>
      </w:pPr>
      <w:r>
        <w:rPr>
          <w:rFonts w:ascii="Arial" w:cs="Arial" w:eastAsia="Arial" w:hAnsi="Arial"/>
          <w:sz w:val="17"/>
          <w:szCs w:val="17"/>
          <w:color w:val="auto"/>
        </w:rPr>
        <w:t>Only stockholders of record as of the Record Date for the Annual Meeting and their proxy holders may submit questions or comments.</w:t>
      </w:r>
    </w:p>
    <w:p>
      <w:pPr>
        <w:spacing w:after="0" w:line="55" w:lineRule="exact"/>
        <w:rPr>
          <w:rFonts w:ascii="Times New Roman" w:cs="Times New Roman" w:eastAsia="Times New Roman" w:hAnsi="Times New Roman"/>
          <w:sz w:val="17"/>
          <w:szCs w:val="17"/>
          <w:color w:val="3C578C"/>
        </w:rPr>
      </w:pPr>
    </w:p>
    <w:p>
      <w:pPr>
        <w:ind w:left="620" w:right="220" w:hanging="294"/>
        <w:spacing w:after="0" w:line="244" w:lineRule="auto"/>
        <w:tabs>
          <w:tab w:leader="none" w:pos="620" w:val="left"/>
        </w:tabs>
        <w:numPr>
          <w:ilvl w:val="0"/>
          <w:numId w:val="72"/>
        </w:numPr>
        <w:rPr>
          <w:rFonts w:ascii="Times New Roman" w:cs="Times New Roman" w:eastAsia="Times New Roman" w:hAnsi="Times New Roman"/>
          <w:sz w:val="17"/>
          <w:szCs w:val="17"/>
          <w:color w:val="3C578C"/>
        </w:rPr>
      </w:pPr>
      <w:r>
        <w:rPr>
          <w:rFonts w:ascii="Arial" w:cs="Arial" w:eastAsia="Arial" w:hAnsi="Arial"/>
          <w:sz w:val="17"/>
          <w:szCs w:val="17"/>
          <w:color w:val="auto"/>
        </w:rPr>
        <w:t>Questions pertinent to the Annual Meeting and related to our business will be answered during the webcast, subject to time constraints. Any such questions that cannot be answered live due to time constraints will be posted and answered on our website, https://cecoenviro.com as soon as practical after the Annual Meeting.</w:t>
      </w:r>
    </w:p>
    <w:p>
      <w:pPr>
        <w:spacing w:after="0" w:line="65" w:lineRule="exact"/>
        <w:rPr>
          <w:rFonts w:ascii="Times New Roman" w:cs="Times New Roman" w:eastAsia="Times New Roman" w:hAnsi="Times New Roman"/>
          <w:sz w:val="17"/>
          <w:szCs w:val="17"/>
          <w:color w:val="3C578C"/>
        </w:rPr>
      </w:pPr>
    </w:p>
    <w:p>
      <w:pPr>
        <w:ind w:left="620" w:right="480" w:hanging="294"/>
        <w:spacing w:after="0" w:line="244" w:lineRule="auto"/>
        <w:tabs>
          <w:tab w:leader="none" w:pos="620" w:val="left"/>
        </w:tabs>
        <w:numPr>
          <w:ilvl w:val="0"/>
          <w:numId w:val="72"/>
        </w:numPr>
        <w:rPr>
          <w:rFonts w:ascii="Times New Roman" w:cs="Times New Roman" w:eastAsia="Times New Roman" w:hAnsi="Times New Roman"/>
          <w:sz w:val="17"/>
          <w:szCs w:val="17"/>
          <w:color w:val="3C578C"/>
        </w:rPr>
      </w:pPr>
      <w:r>
        <w:rPr>
          <w:rFonts w:ascii="Arial" w:cs="Arial" w:eastAsia="Arial" w:hAnsi="Arial"/>
          <w:sz w:val="17"/>
          <w:szCs w:val="17"/>
          <w:color w:val="auto"/>
        </w:rPr>
        <w:t>Questions may be omitted if they are, among other things, irrelevant to our business, related to pending or threatened litigation, disorderly, repetitious of statements already made, or in furtherance of the speaker’s own personal, political or business interests.</w:t>
      </w:r>
    </w:p>
    <w:p>
      <w:pPr>
        <w:spacing w:after="0" w:line="65" w:lineRule="exact"/>
        <w:rPr>
          <w:rFonts w:ascii="Times New Roman" w:cs="Times New Roman" w:eastAsia="Times New Roman" w:hAnsi="Times New Roman"/>
          <w:sz w:val="17"/>
          <w:szCs w:val="17"/>
          <w:color w:val="3C578C"/>
        </w:rPr>
      </w:pPr>
    </w:p>
    <w:p>
      <w:pPr>
        <w:ind w:left="620" w:hanging="294"/>
        <w:spacing w:after="0"/>
        <w:tabs>
          <w:tab w:leader="none" w:pos="620" w:val="left"/>
        </w:tabs>
        <w:numPr>
          <w:ilvl w:val="0"/>
          <w:numId w:val="72"/>
        </w:numPr>
        <w:rPr>
          <w:rFonts w:ascii="Times New Roman" w:cs="Times New Roman" w:eastAsia="Times New Roman" w:hAnsi="Times New Roman"/>
          <w:sz w:val="17"/>
          <w:szCs w:val="17"/>
          <w:color w:val="3C578C"/>
        </w:rPr>
      </w:pPr>
      <w:r>
        <w:rPr>
          <w:rFonts w:ascii="Arial" w:cs="Arial" w:eastAsia="Arial" w:hAnsi="Arial"/>
          <w:sz w:val="17"/>
          <w:szCs w:val="17"/>
          <w:color w:val="auto"/>
        </w:rPr>
        <w:t>No audio or video recordings of the Annual Meeting are permitted.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are Votes Counted and how are Abstentions and Broker Non-Votes Treated?</w:t>
      </w:r>
    </w:p>
    <w:p>
      <w:pPr>
        <w:spacing w:after="0" w:line="90"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color w:val="auto"/>
        </w:rPr>
        <w:t>Votes will be counted by the inspector of election appointed for the meeting, who will separately count votes “For” (Proposals 1, 2, 3 and 4), “Against” (Proposals 1, 2, 3 and 4), broker non-votes (Proposals 1, 2 and 3) and “Abstain” (Proposals 1, 2, 3 and 4).</w:t>
      </w:r>
    </w:p>
    <w:p>
      <w:pPr>
        <w:spacing w:after="0" w:line="155"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Abstentions will be counted towards the vote total for Proposals 1, 2, 3 and 4 and will have the same effect as “Against” votes. Broker non-votes will have the same effect as a vote against each director in Proposal 1 and against Proposals 2 and 3.</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Quorum Required</w:t>
      </w:r>
    </w:p>
    <w:p>
      <w:pPr>
        <w:spacing w:after="0" w:line="90"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In order for business to be conducted, a quorum must be represented at the Annual Meeting. The holders of a majority of the outstanding shares of common stock, present at the Annual Meeting or represented by proxy, shall constitute a quorum at the Annual Meeting. Shares represented by a proxy marked “abstain” or a proxy as to which there is a “broker non-vote” will be considered present at the meeting for purposes of determining a quorum.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Required Vote to Elect Directors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Directors will each be elected by an affirmative vote of the majority of shares represented at the Annual Meeting in person or by proxy.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Required Votes to Pass Other Proposals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Proposal 2 (to approve the proposed amendment to the Company’s Certificate of Incorporation to incorporate Delaware law provisions regarding officer exculpation) requires the affirmative vote of a majority of outstanding stock entitled to vote on Proposal 2 for approval.</w:t>
      </w:r>
    </w:p>
    <w:p>
      <w:pPr>
        <w:spacing w:after="0" w:line="3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Proposal 3 (to approve, on an advisory basis, the compensation paid to our named executive officers) and Proposal 4 (to ratify the appointment of BDO USA, P.C. (f/k/a BDO USA, LLP) as our independent registered public accounting firm for 2024) each require the affirmative vote of the majority of shares represented at the Annual Meeting in person or by proxy for approval.</w:t>
      </w:r>
    </w:p>
    <w:p>
      <w:pPr>
        <w:spacing w:after="0" w:line="66"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votes for Proposal 3 and Proposal 4 are advisory in nature and are not binding on our Company; however, our Board will consider the outcomes of these votes in future deliberations.</w:t>
      </w:r>
    </w:p>
    <w:p>
      <w:pPr>
        <w:spacing w:after="0" w:line="335" w:lineRule="exact"/>
        <w:rPr>
          <w:sz w:val="20"/>
          <w:szCs w:val="20"/>
          <w:color w:val="auto"/>
        </w:rPr>
      </w:pPr>
    </w:p>
    <w:p>
      <w:pPr>
        <w:spacing w:after="0"/>
        <w:tabs>
          <w:tab w:leader="none" w:pos="407" w:val="left"/>
        </w:tabs>
        <w:rPr>
          <w:sz w:val="20"/>
          <w:szCs w:val="20"/>
          <w:color w:val="auto"/>
        </w:rPr>
      </w:pPr>
      <w:r>
        <w:rPr>
          <w:rFonts w:ascii="Arial" w:cs="Arial" w:eastAsia="Arial" w:hAnsi="Arial"/>
          <w:sz w:val="17"/>
          <w:szCs w:val="17"/>
          <w:color w:val="7F7F7F"/>
        </w:rPr>
        <w:t>50</w:t>
      </w:r>
      <w:r>
        <w:rPr>
          <w:sz w:val="20"/>
          <w:szCs w:val="20"/>
          <w:color w:val="auto"/>
        </w:rPr>
        <w:tab/>
      </w:r>
      <w:r>
        <w:rPr>
          <w:sz w:val="1"/>
          <w:szCs w:val="1"/>
          <w:color w:val="auto"/>
        </w:rPr>
        <w:drawing>
          <wp:inline distT="0" distB="0" distL="0" distR="0">
            <wp:extent cx="476250" cy="2222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00"/>
          </w:cols>
          <w:pgMar w:left="980" w:top="485" w:right="101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ind w:left="7980"/>
        <w:spacing w:after="0"/>
        <w:rPr>
          <w:sz w:val="20"/>
          <w:szCs w:val="20"/>
          <w:color w:val="auto"/>
        </w:rPr>
      </w:pPr>
      <w:r>
        <w:rPr>
          <w:rFonts w:ascii="Arial" w:cs="Arial" w:eastAsia="Arial" w:hAnsi="Arial"/>
          <w:sz w:val="16"/>
          <w:szCs w:val="16"/>
          <w:color w:val="D9D9D9"/>
        </w:rPr>
        <w:t>CECO ENVIRONMENTAL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Broker Non-Votes</w:t>
      </w:r>
    </w:p>
    <w:p>
      <w:pPr>
        <w:spacing w:after="0" w:line="90"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If your shares are held by a bank, broker or other nominee and you do not provide the bank, broker or other nominee with specific voting instructions, the organization that holds your shares may generally vote on “routine” matters but cannot vote on non-routine matters. 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When our Inspector of Elections tabulates the votes for any matter, broker non-votes will be counted for purposes of determining whether a quorum is present.</w:t>
      </w:r>
    </w:p>
    <w:p>
      <w:pPr>
        <w:spacing w:after="0" w:line="71"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Only Proposal 4 (ratification of the selection of BDO USA, P.C. (f/k/a BDO USA, LLP) as our independent registered public accounting firm for 2024) is a routine proposal. Proposal 1 (election of directors), Proposal 2 (to approve the proposed amendment to the Company’s Certificate of Incorporation to incorporate Delaware law provisions regarding officer exculpation) and Proposal 3 (to approve, on an advisory basis, the compensation of our named executive officers) will be considered “non-routine,” and banks, brokers and certain other nominees that hold your shares in street name will not have the authority to vote on these proposals if you do not provide them with voting instructions. Any broker non-votes will have the same effect as a vote against each director in Proposal 1 and against Proposals 2 and 3.</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Please provide voting instructions to the bank, broker or other nominee that holds your shares by carefully following their instructions.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Where Can I Find the Voting Results?</w:t>
      </w:r>
    </w:p>
    <w:p>
      <w:pPr>
        <w:spacing w:after="0" w:line="90"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Preliminary voting results will be announced at the Annual Meeting. In addition, final voting results will be published in a Current Report on Form 8-K that we expect to file within four business days after the Annual Meeting. The report will be available on our website at </w:t>
      </w:r>
      <w:r>
        <w:rPr>
          <w:rFonts w:ascii="Arial" w:cs="Arial" w:eastAsia="Arial" w:hAnsi="Arial"/>
          <w:sz w:val="17"/>
          <w:szCs w:val="17"/>
          <w:i w:val="1"/>
          <w:iCs w:val="1"/>
          <w:color w:val="auto"/>
        </w:rPr>
        <w:t>www.cecoenviro.com</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Householding Information</w:t>
      </w:r>
    </w:p>
    <w:p>
      <w:pPr>
        <w:spacing w:after="0" w:line="90"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stockholders would like to receive only a single set of our disclosure documents, the stockholders should follow these instructions;</w:t>
      </w:r>
    </w:p>
    <w:p>
      <w:pPr>
        <w:spacing w:after="0" w:line="61" w:lineRule="exact"/>
        <w:rPr>
          <w:sz w:val="20"/>
          <w:szCs w:val="20"/>
          <w:color w:val="auto"/>
        </w:rPr>
      </w:pPr>
    </w:p>
    <w:p>
      <w:pPr>
        <w:ind w:left="620" w:right="240" w:hanging="294"/>
        <w:spacing w:after="0" w:line="288" w:lineRule="auto"/>
        <w:tabs>
          <w:tab w:leader="none" w:pos="620" w:val="left"/>
        </w:tabs>
        <w:numPr>
          <w:ilvl w:val="0"/>
          <w:numId w:val="73"/>
        </w:numPr>
        <w:rPr>
          <w:rFonts w:ascii="Times New Roman" w:cs="Times New Roman" w:eastAsia="Times New Roman" w:hAnsi="Times New Roman"/>
          <w:sz w:val="16"/>
          <w:szCs w:val="16"/>
          <w:color w:val="3C578C"/>
        </w:rPr>
      </w:pPr>
      <w:r>
        <w:rPr>
          <w:rFonts w:ascii="Arial" w:cs="Arial" w:eastAsia="Arial" w:hAnsi="Arial"/>
          <w:sz w:val="16"/>
          <w:szCs w:val="16"/>
          <w:color w:val="auto"/>
        </w:rPr>
        <w:t>If the shares are registered in the name of the stockholder, the stockholder should contact Corporate Secretary at 14651 N. Dallas Parkway, Suite 500 Dallas, Texas 75254, or via telephone at (214) 357-6181, to inform us of his or her request; or</w:t>
      </w:r>
    </w:p>
    <w:p>
      <w:pPr>
        <w:spacing w:after="0" w:line="32" w:lineRule="exact"/>
        <w:rPr>
          <w:rFonts w:ascii="Times New Roman" w:cs="Times New Roman" w:eastAsia="Times New Roman" w:hAnsi="Times New Roman"/>
          <w:sz w:val="16"/>
          <w:szCs w:val="16"/>
          <w:color w:val="3C578C"/>
        </w:rPr>
      </w:pPr>
    </w:p>
    <w:p>
      <w:pPr>
        <w:ind w:left="620" w:right="180" w:hanging="294"/>
        <w:spacing w:after="0" w:line="257" w:lineRule="auto"/>
        <w:tabs>
          <w:tab w:leader="none" w:pos="620" w:val="left"/>
        </w:tabs>
        <w:numPr>
          <w:ilvl w:val="0"/>
          <w:numId w:val="73"/>
        </w:numPr>
        <w:rPr>
          <w:rFonts w:ascii="Times New Roman" w:cs="Times New Roman" w:eastAsia="Times New Roman" w:hAnsi="Times New Roman"/>
          <w:sz w:val="17"/>
          <w:szCs w:val="17"/>
          <w:color w:val="3C578C"/>
        </w:rPr>
      </w:pPr>
      <w:r>
        <w:rPr>
          <w:rFonts w:ascii="Arial" w:cs="Arial" w:eastAsia="Arial" w:hAnsi="Arial"/>
          <w:sz w:val="17"/>
          <w:szCs w:val="17"/>
          <w:color w:val="auto"/>
        </w:rPr>
        <w:t>If a broker, bank, broker-dealer, custodian or other similar organization holds the shares, the stockholder should contact that representative directly.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Information</w:t>
      </w:r>
    </w:p>
    <w:p>
      <w:pPr>
        <w:spacing w:after="0" w:line="90"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If no instructions are indicated on a duly executed and returned proxy, the shares represented by the proxy will be voted FOR the election of the eight director nominees proposed by our Board, FOR approval of the proposed amendment to the Company’s Certificate of Incorporation to incorporate Delaware law provisions regarding officer exculpation, FOR the approval, on an advisory basis, of the compensation paid to our named executive officers, FOR the ratification of the appointment of BDO USA, P.C. (f/k/a BDO USA, LLP) as our independent registered public accounting firm for 2024, and in accordance with the judgment of the persons named in the proxy as to such other matters as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4422140</wp:posOffset>
            </wp:positionH>
            <wp:positionV relativeFrom="paragraph">
              <wp:posOffset>238760</wp:posOffset>
            </wp:positionV>
            <wp:extent cx="483870" cy="2222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7880"/>
        <w:spacing w:after="0"/>
        <w:tabs>
          <w:tab w:leader="none" w:pos="972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630110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3C578C"/>
        </w:rPr>
        <w:t>Appendix 1</w:t>
      </w:r>
    </w:p>
    <w:p>
      <w:pPr>
        <w:spacing w:after="0" w:line="27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 xml:space="preserve">Subject to approval by the requisite vote of stockholders pursuant to Proposal 2, the Company intends to file the following Certificate of Amendment to the Company’s Certificate of Incorporation, with deleted text shown in </w:t>
      </w:r>
      <w:r>
        <w:rPr>
          <w:rFonts w:ascii="Arial" w:cs="Arial" w:eastAsia="Arial" w:hAnsi="Arial"/>
          <w:sz w:val="17"/>
          <w:szCs w:val="17"/>
          <w:color w:val="auto"/>
          <w:strike w:val="1"/>
        </w:rPr>
        <w:t>strikethrough</w:t>
      </w:r>
      <w:r>
        <w:rPr>
          <w:rFonts w:ascii="Arial" w:cs="Arial" w:eastAsia="Arial" w:hAnsi="Arial"/>
          <w:sz w:val="17"/>
          <w:szCs w:val="17"/>
          <w:color w:val="auto"/>
        </w:rPr>
        <w:t xml:space="preserve"> and added or moved text shown as </w:t>
      </w:r>
      <w:r>
        <w:rPr>
          <w:rFonts w:ascii="Arial" w:cs="Arial" w:eastAsia="Arial" w:hAnsi="Arial"/>
          <w:sz w:val="17"/>
          <w:szCs w:val="17"/>
          <w:u w:val="single" w:color="auto"/>
          <w:color w:val="auto"/>
        </w:rPr>
        <w:t>underlined</w:t>
      </w:r>
      <w:r>
        <w:rPr>
          <w:rFonts w:ascii="Arial" w:cs="Arial" w:eastAsia="Arial" w:hAnsi="Arial"/>
          <w:sz w:val="17"/>
          <w:szCs w:val="17"/>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AMENDMENT TO THE CERTIFICATE OF INCORPORATION OF CECO ENVIRONMENTAL CORP.</w:t>
      </w:r>
    </w:p>
    <w:p>
      <w:pPr>
        <w:spacing w:after="0" w:line="117" w:lineRule="exact"/>
        <w:rPr>
          <w:sz w:val="20"/>
          <w:szCs w:val="20"/>
          <w:color w:val="auto"/>
        </w:rPr>
      </w:pPr>
    </w:p>
    <w:p>
      <w:pPr>
        <w:jc w:val="both"/>
        <w:ind w:firstLine="600"/>
        <w:spacing w:after="0" w:line="335" w:lineRule="auto"/>
        <w:rPr>
          <w:sz w:val="20"/>
          <w:szCs w:val="20"/>
          <w:color w:val="auto"/>
        </w:rPr>
      </w:pPr>
      <w:r>
        <w:rPr>
          <w:rFonts w:ascii="Arial" w:cs="Arial" w:eastAsia="Arial" w:hAnsi="Arial"/>
          <w:sz w:val="17"/>
          <w:szCs w:val="17"/>
          <w:color w:val="auto"/>
        </w:rPr>
        <w:t>CECO Environmental Corp. (the “Corporation”), a corporation organized and existing under the General Corporation Law of the State of Delaware (the “DGCL”), does hereby certify as follows:</w:t>
      </w:r>
    </w:p>
    <w:p>
      <w:pPr>
        <w:spacing w:after="0" w:line="67" w:lineRule="exact"/>
        <w:rPr>
          <w:sz w:val="20"/>
          <w:szCs w:val="20"/>
          <w:color w:val="auto"/>
        </w:rPr>
      </w:pPr>
    </w:p>
    <w:p>
      <w:pPr>
        <w:ind w:left="600" w:hanging="599"/>
        <w:spacing w:after="0" w:line="374" w:lineRule="auto"/>
        <w:tabs>
          <w:tab w:leader="none" w:pos="600" w:val="left"/>
        </w:tabs>
        <w:numPr>
          <w:ilvl w:val="0"/>
          <w:numId w:val="74"/>
        </w:numPr>
        <w:rPr>
          <w:rFonts w:ascii="Times New Roman" w:cs="Times New Roman" w:eastAsia="Times New Roman" w:hAnsi="Times New Roman"/>
          <w:sz w:val="14"/>
          <w:szCs w:val="14"/>
          <w:color w:val="auto"/>
        </w:rPr>
      </w:pPr>
      <w:r>
        <w:rPr>
          <w:rFonts w:ascii="Arial" w:cs="Arial" w:eastAsia="Arial" w:hAnsi="Arial"/>
          <w:sz w:val="16"/>
          <w:szCs w:val="16"/>
          <w:color w:val="auto"/>
        </w:rPr>
        <w:t>This Certificate of Amendment (the “Certificate of Amendment”) amends certain provisions of the Corporation’s Certificate of Incorporation filed with the Secretary of State of the State of Delaware on January 4, 2002 (the “Certificate of Incorporation”).</w:t>
      </w:r>
    </w:p>
    <w:p>
      <w:pPr>
        <w:spacing w:after="0" w:line="1" w:lineRule="exact"/>
        <w:rPr>
          <w:rFonts w:ascii="Times New Roman" w:cs="Times New Roman" w:eastAsia="Times New Roman" w:hAnsi="Times New Roman"/>
          <w:sz w:val="14"/>
          <w:szCs w:val="14"/>
          <w:color w:val="auto"/>
        </w:rPr>
      </w:pPr>
    </w:p>
    <w:p>
      <w:pPr>
        <w:ind w:left="600" w:hanging="599"/>
        <w:spacing w:after="0"/>
        <w:tabs>
          <w:tab w:leader="none" w:pos="600" w:val="left"/>
        </w:tabs>
        <w:numPr>
          <w:ilvl w:val="0"/>
          <w:numId w:val="74"/>
        </w:numPr>
        <w:rPr>
          <w:rFonts w:ascii="Times New Roman" w:cs="Times New Roman" w:eastAsia="Times New Roman" w:hAnsi="Times New Roman"/>
          <w:sz w:val="15"/>
          <w:szCs w:val="15"/>
          <w:color w:val="auto"/>
        </w:rPr>
      </w:pPr>
      <w:r>
        <w:rPr>
          <w:rFonts w:ascii="Arial" w:cs="Arial" w:eastAsia="Arial" w:hAnsi="Arial"/>
          <w:sz w:val="17"/>
          <w:szCs w:val="17"/>
          <w:color w:val="auto"/>
        </w:rPr>
        <w:t>This Certificate of Amendment was duly adopted in accordance with the provisions of Section 242 of the DGCL.</w:t>
      </w:r>
    </w:p>
    <w:p>
      <w:pPr>
        <w:spacing w:after="0" w:line="141" w:lineRule="exact"/>
        <w:rPr>
          <w:rFonts w:ascii="Times New Roman" w:cs="Times New Roman" w:eastAsia="Times New Roman" w:hAnsi="Times New Roman"/>
          <w:sz w:val="15"/>
          <w:szCs w:val="15"/>
          <w:color w:val="auto"/>
        </w:rPr>
      </w:pPr>
    </w:p>
    <w:p>
      <w:pPr>
        <w:ind w:left="600" w:hanging="599"/>
        <w:spacing w:after="0"/>
        <w:tabs>
          <w:tab w:leader="none" w:pos="600" w:val="left"/>
        </w:tabs>
        <w:numPr>
          <w:ilvl w:val="0"/>
          <w:numId w:val="74"/>
        </w:numPr>
        <w:rPr>
          <w:rFonts w:ascii="Times New Roman" w:cs="Times New Roman" w:eastAsia="Times New Roman" w:hAnsi="Times New Roman"/>
          <w:sz w:val="15"/>
          <w:szCs w:val="15"/>
          <w:color w:val="auto"/>
        </w:rPr>
      </w:pPr>
      <w:r>
        <w:rPr>
          <w:rFonts w:ascii="Arial" w:cs="Arial" w:eastAsia="Arial" w:hAnsi="Arial"/>
          <w:sz w:val="17"/>
          <w:szCs w:val="17"/>
          <w:color w:val="auto"/>
        </w:rPr>
        <w:t>Article IX, Section B. of the Certificate of Incorporation is hereby amended and restated in its entirety to read as follows:</w:t>
      </w:r>
    </w:p>
    <w:p>
      <w:pPr>
        <w:spacing w:after="0" w:line="167" w:lineRule="exact"/>
        <w:rPr>
          <w:sz w:val="20"/>
          <w:szCs w:val="20"/>
          <w:color w:val="auto"/>
        </w:rPr>
      </w:pPr>
    </w:p>
    <w:p>
      <w:pPr>
        <w:jc w:val="center"/>
        <w:ind w:left="1100"/>
        <w:spacing w:after="0"/>
        <w:rPr>
          <w:sz w:val="20"/>
          <w:szCs w:val="20"/>
          <w:color w:val="auto"/>
        </w:rPr>
      </w:pPr>
      <w:r>
        <w:rPr>
          <w:rFonts w:ascii="Arial" w:cs="Arial" w:eastAsia="Arial" w:hAnsi="Arial"/>
          <w:sz w:val="17"/>
          <w:szCs w:val="17"/>
          <w:b w:val="1"/>
          <w:bCs w:val="1"/>
          <w:color w:val="auto"/>
        </w:rPr>
        <w:t>B. Elimination of Certain Liability of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-9525</wp:posOffset>
            </wp:positionV>
            <wp:extent cx="64643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6430" cy="7620"/>
                    </a:xfrm>
                    <a:prstGeom prst="rect">
                      <a:avLst/>
                    </a:prstGeom>
                    <a:noFill/>
                  </pic:spPr>
                </pic:pic>
              </a:graphicData>
            </a:graphic>
          </wp:anchor>
        </w:drawing>
      </w:r>
    </w:p>
    <w:p>
      <w:pPr>
        <w:spacing w:after="0" w:line="134" w:lineRule="exact"/>
        <w:rPr>
          <w:sz w:val="20"/>
          <w:szCs w:val="20"/>
          <w:color w:val="auto"/>
        </w:rPr>
      </w:pPr>
    </w:p>
    <w:p>
      <w:pPr>
        <w:jc w:val="both"/>
        <w:ind w:left="520" w:firstLine="600"/>
        <w:spacing w:after="0" w:line="320" w:lineRule="auto"/>
        <w:rPr>
          <w:sz w:val="20"/>
          <w:szCs w:val="20"/>
          <w:color w:val="auto"/>
        </w:rPr>
      </w:pPr>
      <w:r>
        <w:rPr>
          <w:rFonts w:ascii="Arial" w:cs="Arial" w:eastAsia="Arial" w:hAnsi="Arial"/>
          <w:sz w:val="17"/>
          <w:szCs w:val="17"/>
          <w:color w:val="auto"/>
        </w:rPr>
        <w:t xml:space="preserve">No director </w:t>
      </w:r>
      <w:r>
        <w:rPr>
          <w:rFonts w:ascii="Arial" w:cs="Arial" w:eastAsia="Arial" w:hAnsi="Arial"/>
          <w:sz w:val="17"/>
          <w:szCs w:val="17"/>
          <w:u w:val="single" w:color="auto"/>
          <w:color w:val="auto"/>
        </w:rPr>
        <w:t>or officer</w:t>
      </w:r>
      <w:r>
        <w:rPr>
          <w:rFonts w:ascii="Arial" w:cs="Arial" w:eastAsia="Arial" w:hAnsi="Arial"/>
          <w:sz w:val="17"/>
          <w:szCs w:val="17"/>
          <w:color w:val="auto"/>
        </w:rPr>
        <w:t xml:space="preserve"> of the Corporation shall be personally liable to the Corporation or its stockholders for monetary damages for breach of fiduciary duty as a director </w:t>
      </w:r>
      <w:r>
        <w:rPr>
          <w:rFonts w:ascii="Arial" w:cs="Arial" w:eastAsia="Arial" w:hAnsi="Arial"/>
          <w:sz w:val="17"/>
          <w:szCs w:val="17"/>
          <w:u w:val="single" w:color="auto"/>
          <w:color w:val="auto"/>
        </w:rPr>
        <w:t>or officer</w:t>
      </w:r>
      <w:r>
        <w:rPr>
          <w:rFonts w:ascii="Arial" w:cs="Arial" w:eastAsia="Arial" w:hAnsi="Arial"/>
          <w:sz w:val="17"/>
          <w:szCs w:val="17"/>
          <w:color w:val="auto"/>
        </w:rPr>
        <w:t xml:space="preserve">, except for liability (i) for any breach of the director’s </w:t>
      </w:r>
      <w:r>
        <w:rPr>
          <w:rFonts w:ascii="Arial" w:cs="Arial" w:eastAsia="Arial" w:hAnsi="Arial"/>
          <w:sz w:val="17"/>
          <w:szCs w:val="17"/>
          <w:u w:val="single" w:color="auto"/>
          <w:color w:val="auto"/>
        </w:rPr>
        <w:t>or officer’s</w:t>
      </w:r>
      <w:r>
        <w:rPr>
          <w:rFonts w:ascii="Arial" w:cs="Arial" w:eastAsia="Arial" w:hAnsi="Arial"/>
          <w:sz w:val="17"/>
          <w:szCs w:val="17"/>
          <w:color w:val="auto"/>
        </w:rPr>
        <w:t xml:space="preserve"> duty of loyalty to the Corporation or its stockholders, (ii) for acts or omissions not in good faith or which involve intentional misconduct or a knowing violation of law, (iii) </w:t>
      </w:r>
      <w:r>
        <w:rPr>
          <w:rFonts w:ascii="Arial" w:cs="Arial" w:eastAsia="Arial" w:hAnsi="Arial"/>
          <w:sz w:val="17"/>
          <w:szCs w:val="17"/>
          <w:u w:val="single" w:color="auto"/>
          <w:color w:val="auto"/>
        </w:rPr>
        <w:t>in the case of directors only</w:t>
      </w:r>
      <w:r>
        <w:rPr>
          <w:rFonts w:ascii="Arial" w:cs="Arial" w:eastAsia="Arial" w:hAnsi="Arial"/>
          <w:sz w:val="17"/>
          <w:szCs w:val="17"/>
          <w:color w:val="auto"/>
        </w:rPr>
        <w:t xml:space="preserve">, under Section 174 of the DGCL, as the same exists or hereafter may be amended, </w:t>
      </w:r>
      <w:r>
        <w:rPr>
          <w:rFonts w:ascii="Arial" w:cs="Arial" w:eastAsia="Arial" w:hAnsi="Arial"/>
          <w:sz w:val="17"/>
          <w:szCs w:val="17"/>
          <w:color w:val="auto"/>
          <w:strike w:val="1"/>
        </w:rPr>
        <w:t>or</w:t>
      </w:r>
      <w:r>
        <w:rPr>
          <w:rFonts w:ascii="Arial" w:cs="Arial" w:eastAsia="Arial" w:hAnsi="Arial"/>
          <w:sz w:val="17"/>
          <w:szCs w:val="17"/>
          <w:color w:val="auto"/>
        </w:rPr>
        <w:t xml:space="preserve"> (iv) for any transaction from which the director </w:t>
      </w:r>
      <w:r>
        <w:rPr>
          <w:rFonts w:ascii="Arial" w:cs="Arial" w:eastAsia="Arial" w:hAnsi="Arial"/>
          <w:sz w:val="17"/>
          <w:szCs w:val="17"/>
          <w:u w:val="single" w:color="auto"/>
          <w:color w:val="auto"/>
        </w:rPr>
        <w:t>or officer</w:t>
      </w:r>
      <w:r>
        <w:rPr>
          <w:rFonts w:ascii="Arial" w:cs="Arial" w:eastAsia="Arial" w:hAnsi="Arial"/>
          <w:sz w:val="17"/>
          <w:szCs w:val="17"/>
          <w:color w:val="auto"/>
        </w:rPr>
        <w:t xml:space="preserve"> derived an improper personal benefit</w:t>
      </w:r>
      <w:r>
        <w:rPr>
          <w:rFonts w:ascii="Arial" w:cs="Arial" w:eastAsia="Arial" w:hAnsi="Arial"/>
          <w:sz w:val="17"/>
          <w:szCs w:val="17"/>
          <w:u w:val="single" w:color="auto"/>
          <w:color w:val="auto"/>
        </w:rPr>
        <w:t>, or (v) in the case of officers only, for any action by or in the right of the Corporation</w:t>
      </w:r>
      <w:r>
        <w:rPr>
          <w:rFonts w:ascii="Arial" w:cs="Arial" w:eastAsia="Arial" w:hAnsi="Arial"/>
          <w:sz w:val="17"/>
          <w:szCs w:val="17"/>
          <w:color w:val="auto"/>
        </w:rPr>
        <w:t xml:space="preserve">. If the DGCL is amended to authorize the further elimination or limitation of liability of directors </w:t>
      </w:r>
      <w:r>
        <w:rPr>
          <w:rFonts w:ascii="Arial" w:cs="Arial" w:eastAsia="Arial" w:hAnsi="Arial"/>
          <w:sz w:val="17"/>
          <w:szCs w:val="17"/>
          <w:u w:val="single" w:color="auto"/>
          <w:color w:val="auto"/>
        </w:rPr>
        <w:t>or officers</w:t>
      </w:r>
      <w:r>
        <w:rPr>
          <w:rFonts w:ascii="Arial" w:cs="Arial" w:eastAsia="Arial" w:hAnsi="Arial"/>
          <w:sz w:val="17"/>
          <w:szCs w:val="17"/>
          <w:color w:val="auto"/>
        </w:rPr>
        <w:t xml:space="preserve">, then the liability of a director </w:t>
      </w:r>
      <w:r>
        <w:rPr>
          <w:rFonts w:ascii="Arial" w:cs="Arial" w:eastAsia="Arial" w:hAnsi="Arial"/>
          <w:sz w:val="17"/>
          <w:szCs w:val="17"/>
          <w:u w:val="single" w:color="auto"/>
          <w:color w:val="auto"/>
        </w:rPr>
        <w:t>or officer</w:t>
      </w:r>
      <w:r>
        <w:rPr>
          <w:rFonts w:ascii="Arial" w:cs="Arial" w:eastAsia="Arial" w:hAnsi="Arial"/>
          <w:sz w:val="17"/>
          <w:szCs w:val="17"/>
          <w:color w:val="auto"/>
        </w:rPr>
        <w:t xml:space="preserve"> of the Corporation, in addition to the limitation on personal liability provided herein, shall be </w:t>
      </w:r>
      <w:r>
        <w:rPr>
          <w:rFonts w:ascii="Arial" w:cs="Arial" w:eastAsia="Arial" w:hAnsi="Arial"/>
          <w:sz w:val="17"/>
          <w:szCs w:val="17"/>
          <w:u w:val="single" w:color="auto"/>
          <w:color w:val="auto"/>
        </w:rPr>
        <w:t>eliminated or</w:t>
      </w:r>
      <w:r>
        <w:rPr>
          <w:rFonts w:ascii="Arial" w:cs="Arial" w:eastAsia="Arial" w:hAnsi="Arial"/>
          <w:sz w:val="17"/>
          <w:szCs w:val="17"/>
          <w:color w:val="auto"/>
        </w:rPr>
        <w:t xml:space="preserve"> limited to the fullest extent permitted by </w:t>
      </w:r>
      <w:r>
        <w:rPr>
          <w:rFonts w:ascii="Arial" w:cs="Arial" w:eastAsia="Arial" w:hAnsi="Arial"/>
          <w:sz w:val="17"/>
          <w:szCs w:val="17"/>
          <w:color w:val="auto"/>
          <w:strike w:val="1"/>
        </w:rPr>
        <w:t>an amended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w:t>
      </w:r>
      <w:r>
        <w:rPr>
          <w:rFonts w:ascii="Arial" w:cs="Arial" w:eastAsia="Arial" w:hAnsi="Arial"/>
          <w:sz w:val="17"/>
          <w:szCs w:val="17"/>
          <w:color w:val="auto"/>
        </w:rPr>
        <w:t xml:space="preserve"> DGCL</w:t>
      </w:r>
      <w:r>
        <w:rPr>
          <w:rFonts w:ascii="Arial" w:cs="Arial" w:eastAsia="Arial" w:hAnsi="Arial"/>
          <w:sz w:val="17"/>
          <w:szCs w:val="17"/>
          <w:u w:val="single" w:color="auto"/>
          <w:color w:val="auto"/>
        </w:rPr>
        <w:t>, as so amended</w:t>
      </w:r>
      <w:r>
        <w:rPr>
          <w:rFonts w:ascii="Arial" w:cs="Arial" w:eastAsia="Arial" w:hAnsi="Arial"/>
          <w:sz w:val="17"/>
          <w:szCs w:val="17"/>
          <w:color w:val="auto"/>
        </w:rPr>
        <w:t xml:space="preserve">. Any repeal or modification of this Article IX by the stockholders of the Corporation shall be prospective only, and shall not adversely affect any limitation on the personal liability of a director </w:t>
      </w:r>
      <w:r>
        <w:rPr>
          <w:rFonts w:ascii="Arial" w:cs="Arial" w:eastAsia="Arial" w:hAnsi="Arial"/>
          <w:sz w:val="17"/>
          <w:szCs w:val="17"/>
          <w:u w:val="single" w:color="auto"/>
          <w:color w:val="auto"/>
        </w:rPr>
        <w:t>or officer</w:t>
      </w:r>
      <w:r>
        <w:rPr>
          <w:rFonts w:ascii="Arial" w:cs="Arial" w:eastAsia="Arial" w:hAnsi="Arial"/>
          <w:sz w:val="17"/>
          <w:szCs w:val="17"/>
          <w:color w:val="auto"/>
        </w:rPr>
        <w:t xml:space="preserve"> of the Corporation existing at the time of such repeal or modification.</w:t>
      </w:r>
    </w:p>
    <w:p>
      <w:pPr>
        <w:spacing w:after="0" w:line="8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WITNESS WHEREOF, the Corporation has caused this Certificate of Amendment to be signed this ___ day of May, 2024.</w:t>
      </w:r>
    </w:p>
    <w:p>
      <w:pPr>
        <w:spacing w:after="0" w:line="141"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CECO ENVIRONMENTAL CORP.</w:t>
      </w:r>
    </w:p>
    <w:p>
      <w:pPr>
        <w:spacing w:after="0" w:line="392"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By:</w:t>
      </w:r>
    </w:p>
    <w:p>
      <w:pPr>
        <w:spacing w:after="0" w:line="8" w:lineRule="exact"/>
        <w:rPr>
          <w:sz w:val="20"/>
          <w:szCs w:val="20"/>
          <w:color w:val="auto"/>
        </w:rPr>
      </w:pPr>
    </w:p>
    <w:p>
      <w:pPr>
        <w:ind w:left="43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-123190</wp:posOffset>
            </wp:positionV>
            <wp:extent cx="249999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99995" cy="7620"/>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3175</wp:posOffset>
            </wp:positionV>
            <wp:extent cx="249999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99995" cy="7620"/>
                    </a:xfrm>
                    <a:prstGeom prst="rect">
                      <a:avLst/>
                    </a:prstGeom>
                    <a:noFill/>
                  </pic:spPr>
                </pic:pic>
              </a:graphicData>
            </a:graphic>
          </wp:anchor>
        </w:drawing>
        <w:drawing>
          <wp:anchor simplePos="0" relativeHeight="251657728" behindDoc="1" locked="0" layoutInCell="0" allowOverlap="1">
            <wp:simplePos x="0" y="0"/>
            <wp:positionH relativeFrom="column">
              <wp:posOffset>3152140</wp:posOffset>
            </wp:positionH>
            <wp:positionV relativeFrom="paragraph">
              <wp:posOffset>-123190</wp:posOffset>
            </wp:positionV>
            <wp:extent cx="249999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99995" cy="7620"/>
                    </a:xfrm>
                    <a:prstGeom prst="rect">
                      <a:avLst/>
                    </a:prstGeom>
                    <a:noFill/>
                  </pic:spPr>
                </pic:pic>
              </a:graphicData>
            </a:graphic>
          </wp:anchor>
        </w:drawing>
        <w:drawing>
          <wp:anchor simplePos="0" relativeHeight="251657728" behindDoc="1" locked="0" layoutInCell="0" allowOverlap="1">
            <wp:simplePos x="0" y="0"/>
            <wp:positionH relativeFrom="column">
              <wp:posOffset>4429760</wp:posOffset>
            </wp:positionH>
            <wp:positionV relativeFrom="paragraph">
              <wp:posOffset>415925</wp:posOffset>
            </wp:positionV>
            <wp:extent cx="483870" cy="2222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840"/>
        <w:spacing w:after="0"/>
        <w:tabs>
          <w:tab w:leader="none" w:pos="964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394335</wp:posOffset>
            </wp:positionV>
            <wp:extent cx="6301105" cy="234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EE"/>
        </w:rPr>
        <w:t>Table of Contents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D9D9D9"/>
        </w:rPr>
        <w:t>CECO ENVIRONMENTAL</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3C578C"/>
        </w:rPr>
        <w:t>Appendix 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RTSR Peer Group Entities (n=104)</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Borders>
              <w:top w:val="single" w:sz="8" w:color="405788"/>
              <w:bottom w:val="single" w:sz="8" w:color="D9D9D9"/>
            </w:tcBorders>
          </w:tcPr>
          <w:p>
            <w:pPr>
              <w:spacing w:after="0"/>
              <w:rPr>
                <w:sz w:val="20"/>
                <w:szCs w:val="20"/>
                <w:color w:val="auto"/>
              </w:rPr>
            </w:pPr>
            <w:r>
              <w:rPr>
                <w:rFonts w:ascii="Arial" w:cs="Arial" w:eastAsia="Arial" w:hAnsi="Arial"/>
                <w:sz w:val="15"/>
                <w:szCs w:val="15"/>
                <w:color w:val="auto"/>
              </w:rPr>
              <w:t>ACCO Brands Corporation</w:t>
            </w:r>
          </w:p>
        </w:tc>
        <w:tc>
          <w:tcPr>
            <w:tcW w:w="3400" w:type="dxa"/>
            <w:vAlign w:val="bottom"/>
            <w:tcBorders>
              <w:top w:val="single" w:sz="8" w:color="405788"/>
              <w:bottom w:val="single" w:sz="8" w:color="D9D9D9"/>
            </w:tcBorders>
          </w:tcPr>
          <w:p>
            <w:pPr>
              <w:ind w:left="360"/>
              <w:spacing w:after="0"/>
              <w:rPr>
                <w:sz w:val="20"/>
                <w:szCs w:val="20"/>
                <w:color w:val="auto"/>
              </w:rPr>
            </w:pPr>
            <w:r>
              <w:rPr>
                <w:rFonts w:ascii="Arial" w:cs="Arial" w:eastAsia="Arial" w:hAnsi="Arial"/>
                <w:sz w:val="15"/>
                <w:szCs w:val="15"/>
                <w:color w:val="auto"/>
              </w:rPr>
              <w:t>FTAI Infrastructure Inc.</w:t>
            </w:r>
          </w:p>
        </w:tc>
        <w:tc>
          <w:tcPr>
            <w:tcW w:w="3640" w:type="dxa"/>
            <w:vAlign w:val="bottom"/>
            <w:tcBorders>
              <w:top w:val="single" w:sz="8" w:color="405788"/>
              <w:bottom w:val="single" w:sz="8" w:color="D9D9D9"/>
            </w:tcBorders>
          </w:tcPr>
          <w:p>
            <w:pPr>
              <w:ind w:left="340"/>
              <w:spacing w:after="0"/>
              <w:rPr>
                <w:sz w:val="20"/>
                <w:szCs w:val="20"/>
                <w:color w:val="auto"/>
              </w:rPr>
            </w:pPr>
            <w:r>
              <w:rPr>
                <w:rFonts w:ascii="Arial" w:cs="Arial" w:eastAsia="Arial" w:hAnsi="Arial"/>
                <w:sz w:val="15"/>
                <w:szCs w:val="15"/>
                <w:color w:val="auto"/>
              </w:rPr>
              <w:t>Powell Industries,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Allied Motion Technologies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FTC Solar,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Preformed Line Products Company</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Alta Equipment Group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FutureFuel Corp.</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Proto Labs,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American Vanguard Corporation</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Genco Shipping &amp; Trading Limited</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Quad/Graphics,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Amyris,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Great Lakes Dredge &amp; Dock Corporation</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Quanex Building Products Corporation</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Argan,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Harsco Corporation</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Ramaco Resources,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Aris Water Solutions,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Hawaiian Holdings,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Ranpak Holdings Corp.</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Aspen Aerogels,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Haynes International,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Rayonier Advanced Materials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Astronics Corporation</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Heidrick &amp; Struggles International,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Resources Connection,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Babcock &amp; Wilcox Enterprises,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Heritage-Crystal Clean,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REV Group,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Barrett Business Services,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Hudson Technologies,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Sisecam Resources LP</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Blade Air Mobility,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Hyster-Yale Materials Handling,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Skillsoft Corp.</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Blue Bird Corporation</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IES Holdings,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Southland Holdings,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BlueLinx Holdings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Insteel Industries,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SP Plus Corporation</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Bowman Consulting Group Ltd.</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Interface,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Steelcase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BrightView Holdings,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Intrepid Potash,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SunCoke Energy,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Cadre Holdings,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Kaman Corporation</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Symbotic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Century Aluminum Company</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Karat Packaging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The Gorman-Rupp Company</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CIRCOR International,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Kelly Services,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The Manitowoc Company,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Civeo Corporation</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Kimball International,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Thermon Group Holdings,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Clearwater Paper Corporation</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Koppers Holdings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TPI Composites,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Commercial Vehicle Group,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Liquidity Services,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Transcat,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CompX International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LSI Industries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Tredegar Corporation</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Concrete Pumping Holdings,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Luxfer Holdings PLC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Trinseo PLC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Covenant Logistics Group,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Mayville Engineering Company,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Triumph Group,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Daseke,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Microvast Holdings,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TrueBlue,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Deluxe Corporation</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Miller Industries,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Tutor Perini Corporation</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Desktop Metal,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National Presto Industries,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United States Lime &amp; Minerals,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Ducommun Incorporated</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NL Industries,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Valhi,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DXP Enterprises,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Northwest Pipe Company</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Viad Corp</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Eagle Bulk Shipping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Olympic Steel,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VSE Corporation</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Ennis,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P.A.M. Transportation Services, Inc.</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Wheels Up Experience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EVI Industries,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Pangaea Logistics Solutions, Ltd.</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Willdan Group, Inc.</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Forrester Research, Inc.</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Performant Financial Corporation</w:t>
            </w:r>
          </w:p>
        </w:tc>
        <w:tc>
          <w:tcPr>
            <w:tcW w:w="3640" w:type="dxa"/>
            <w:vAlign w:val="bottom"/>
            <w:tcBorders>
              <w:bottom w:val="single" w:sz="8" w:color="D9D9D9"/>
            </w:tcBorders>
          </w:tcPr>
          <w:p>
            <w:pPr>
              <w:ind w:left="340"/>
              <w:spacing w:after="0"/>
              <w:rPr>
                <w:sz w:val="20"/>
                <w:szCs w:val="20"/>
                <w:color w:val="auto"/>
              </w:rPr>
            </w:pPr>
            <w:r>
              <w:rPr>
                <w:rFonts w:ascii="Arial" w:cs="Arial" w:eastAsia="Arial" w:hAnsi="Arial"/>
                <w:sz w:val="15"/>
                <w:szCs w:val="15"/>
                <w:color w:val="auto"/>
              </w:rPr>
              <w:t>Willis Lease Finance Corporation</w:t>
            </w:r>
          </w:p>
        </w:tc>
      </w:tr>
      <w:tr>
        <w:trPr>
          <w:trHeight w:val="180"/>
        </w:trPr>
        <w:tc>
          <w:tcPr>
            <w:tcW w:w="2880" w:type="dxa"/>
            <w:vAlign w:val="bottom"/>
            <w:tcBorders>
              <w:bottom w:val="single" w:sz="8" w:color="D9D9D9"/>
            </w:tcBorders>
          </w:tcPr>
          <w:p>
            <w:pPr>
              <w:spacing w:after="0"/>
              <w:rPr>
                <w:sz w:val="20"/>
                <w:szCs w:val="20"/>
                <w:color w:val="auto"/>
              </w:rPr>
            </w:pPr>
            <w:r>
              <w:rPr>
                <w:rFonts w:ascii="Arial" w:cs="Arial" w:eastAsia="Arial" w:hAnsi="Arial"/>
                <w:sz w:val="15"/>
                <w:szCs w:val="15"/>
                <w:color w:val="auto"/>
              </w:rPr>
              <w:t>Franklin Covey Co.</w:t>
            </w:r>
          </w:p>
        </w:tc>
        <w:tc>
          <w:tcPr>
            <w:tcW w:w="3400" w:type="dxa"/>
            <w:vAlign w:val="bottom"/>
            <w:tcBorders>
              <w:bottom w:val="single" w:sz="8" w:color="D9D9D9"/>
            </w:tcBorders>
          </w:tcPr>
          <w:p>
            <w:pPr>
              <w:ind w:left="360"/>
              <w:spacing w:after="0"/>
              <w:rPr>
                <w:sz w:val="20"/>
                <w:szCs w:val="20"/>
                <w:color w:val="auto"/>
              </w:rPr>
            </w:pPr>
            <w:r>
              <w:rPr>
                <w:rFonts w:ascii="Arial" w:cs="Arial" w:eastAsia="Arial" w:hAnsi="Arial"/>
                <w:sz w:val="15"/>
                <w:szCs w:val="15"/>
                <w:color w:val="auto"/>
              </w:rPr>
              <w:t>Pitney Bowes Inc.</w:t>
            </w:r>
          </w:p>
        </w:tc>
        <w:tc>
          <w:tcPr>
            <w:tcW w:w="3640" w:type="dxa"/>
            <w:vAlign w:val="bottom"/>
            <w:tcBorders>
              <w:bottom w:val="single" w:sz="8" w:color="D9D9D9"/>
            </w:tcBorders>
          </w:tcPr>
          <w:p>
            <w:pPr>
              <w:spacing w:after="0"/>
              <w:rPr>
                <w:sz w:val="15"/>
                <w:szCs w:val="15"/>
                <w:color w:val="auto"/>
              </w:rPr>
            </w:pPr>
          </w:p>
        </w:tc>
      </w:tr>
      <w:tr>
        <w:trPr>
          <w:trHeight w:val="180"/>
        </w:trPr>
        <w:tc>
          <w:tcPr>
            <w:tcW w:w="2880" w:type="dxa"/>
            <w:vAlign w:val="bottom"/>
            <w:tcBorders>
              <w:bottom w:val="single" w:sz="8" w:color="D9D9D9"/>
            </w:tcBorders>
          </w:tcPr>
          <w:p>
            <w:pPr>
              <w:spacing w:after="0"/>
              <w:rPr>
                <w:sz w:val="15"/>
                <w:szCs w:val="15"/>
                <w:color w:val="auto"/>
              </w:rPr>
            </w:pPr>
          </w:p>
        </w:tc>
        <w:tc>
          <w:tcPr>
            <w:tcW w:w="3400" w:type="dxa"/>
            <w:vAlign w:val="bottom"/>
            <w:tcBorders>
              <w:bottom w:val="single" w:sz="8" w:color="D9D9D9"/>
            </w:tcBorders>
          </w:tcPr>
          <w:p>
            <w:pPr>
              <w:spacing w:after="0"/>
              <w:rPr>
                <w:sz w:val="15"/>
                <w:szCs w:val="15"/>
                <w:color w:val="auto"/>
              </w:rPr>
            </w:pPr>
          </w:p>
        </w:tc>
        <w:tc>
          <w:tcPr>
            <w:tcW w:w="3640" w:type="dxa"/>
            <w:vAlign w:val="bottom"/>
            <w:tcBorders>
              <w:bottom w:val="single" w:sz="8" w:color="D9D9D9"/>
            </w:tcBorders>
          </w:tcPr>
          <w:p>
            <w:pPr>
              <w:spacing w:after="0"/>
              <w:rPr>
                <w:sz w:val="15"/>
                <w:szCs w:val="15"/>
                <w:color w:val="auto"/>
              </w:rPr>
            </w:pPr>
          </w:p>
        </w:tc>
      </w:tr>
      <w:tr>
        <w:trPr>
          <w:trHeight w:val="175"/>
        </w:trPr>
        <w:tc>
          <w:tcPr>
            <w:tcW w:w="2880" w:type="dxa"/>
            <w:vAlign w:val="bottom"/>
            <w:tcBorders>
              <w:bottom w:val="single" w:sz="8" w:color="405788"/>
            </w:tcBorders>
          </w:tcPr>
          <w:p>
            <w:pPr>
              <w:spacing w:after="0"/>
              <w:rPr>
                <w:sz w:val="20"/>
                <w:szCs w:val="20"/>
                <w:color w:val="auto"/>
              </w:rPr>
            </w:pPr>
            <w:r>
              <w:rPr>
                <w:rFonts w:ascii="Arial" w:cs="Arial" w:eastAsia="Arial" w:hAnsi="Arial"/>
                <w:sz w:val="13"/>
                <w:szCs w:val="13"/>
                <w:b w:val="1"/>
                <w:bCs w:val="1"/>
                <w:i w:val="1"/>
                <w:iCs w:val="1"/>
                <w:color w:val="auto"/>
              </w:rPr>
              <w:t>Source: CapIQ as of December 31, 2022</w:t>
            </w:r>
          </w:p>
        </w:tc>
        <w:tc>
          <w:tcPr>
            <w:tcW w:w="3400" w:type="dxa"/>
            <w:vAlign w:val="bottom"/>
            <w:tcBorders>
              <w:bottom w:val="single" w:sz="8" w:color="405788"/>
            </w:tcBorders>
          </w:tcPr>
          <w:p>
            <w:pPr>
              <w:spacing w:after="0"/>
              <w:rPr>
                <w:sz w:val="15"/>
                <w:szCs w:val="15"/>
                <w:color w:val="auto"/>
              </w:rPr>
            </w:pPr>
          </w:p>
        </w:tc>
        <w:tc>
          <w:tcPr>
            <w:tcW w:w="3640" w:type="dxa"/>
            <w:vAlign w:val="bottom"/>
            <w:tcBorders>
              <w:bottom w:val="single" w:sz="8" w:color="405788"/>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7F7F7F"/>
        </w:rPr>
        <w:t xml:space="preserve">A-2    </w:t>
      </w:r>
      <w:r>
        <w:rPr>
          <w:sz w:val="1"/>
          <w:szCs w:val="1"/>
          <w:color w:val="auto"/>
        </w:rPr>
        <w:drawing>
          <wp:inline distT="0" distB="0" distL="0" distR="0">
            <wp:extent cx="476250" cy="22225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6250" cy="222250"/>
                    </a:xfrm>
                    <a:prstGeom prst="rect">
                      <a:avLst/>
                    </a:prstGeom>
                    <a:noFill/>
                    <a:ln>
                      <a:noFill/>
                    </a:ln>
                  </pic:spPr>
                </pic:pic>
              </a:graphicData>
            </a:graphic>
          </wp:inline>
        </w:drawing>
      </w:r>
      <w:r>
        <w:rPr>
          <w:rFonts w:ascii="Arial" w:cs="Arial" w:eastAsia="Arial" w:hAnsi="Arial"/>
          <w:sz w:val="17"/>
          <w:szCs w:val="17"/>
          <w:color w:val="7F7F7F"/>
        </w:rPr>
        <w:t xml:space="preserve">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325120</wp:posOffset>
            </wp:positionV>
            <wp:extent cx="6301105" cy="234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01105" cy="23495"/>
                    </a:xfrm>
                    <a:prstGeom prst="rect">
                      <a:avLst/>
                    </a:prstGeom>
                    <a:noFill/>
                  </pic:spPr>
                </pic:pic>
              </a:graphicData>
            </a:graphic>
          </wp:anchor>
        </w:drawing>
      </w:r>
    </w:p>
    <w:p>
      <w:pPr>
        <w:sectPr>
          <w:pgSz w:w="11900" w:h="16838" w:orient="portrait"/>
          <w:cols w:equalWidth="0" w:num="1">
            <w:col w:w="9920"/>
          </w:cols>
          <w:pgMar w:left="980" w:top="485" w:right="99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4520" w:type="dxa"/>
            <w:vAlign w:val="bottom"/>
            <w:gridSpan w:val="2"/>
          </w:tcPr>
          <w:p>
            <w:pPr>
              <w:spacing w:after="0"/>
              <w:rPr>
                <w:sz w:val="20"/>
                <w:szCs w:val="20"/>
                <w:color w:val="auto"/>
              </w:rPr>
            </w:pPr>
            <w:r>
              <w:rPr>
                <w:rFonts w:ascii="Arial" w:cs="Arial" w:eastAsia="Arial" w:hAnsi="Arial"/>
                <w:sz w:val="17"/>
                <w:szCs w:val="17"/>
                <w:color w:val="0000EE"/>
              </w:rPr>
              <w:t>Table of Contents</w:t>
            </w: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07"/>
        </w:trPr>
        <w:tc>
          <w:tcPr>
            <w:tcW w:w="130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7"/>
                <w:szCs w:val="17"/>
                <w:color w:val="D9D9D9"/>
                <w:w w:val="95"/>
              </w:rPr>
              <w:t>CECO ENVIRONMENTAL</w:t>
            </w:r>
          </w:p>
        </w:tc>
      </w:tr>
      <w:tr>
        <w:trPr>
          <w:trHeight w:val="385"/>
        </w:trPr>
        <w:tc>
          <w:tcPr>
            <w:tcW w:w="13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3C578C"/>
              </w:rPr>
              <w:t>Appendix 3</w:t>
            </w:r>
          </w:p>
        </w:tc>
      </w:tr>
      <w:tr>
        <w:trPr>
          <w:trHeight w:val="287"/>
        </w:trPr>
        <w:tc>
          <w:tcPr>
            <w:tcW w:w="5180" w:type="dxa"/>
            <w:vAlign w:val="bottom"/>
            <w:gridSpan w:val="3"/>
          </w:tcPr>
          <w:p>
            <w:pPr>
              <w:spacing w:after="0"/>
              <w:rPr>
                <w:sz w:val="20"/>
                <w:szCs w:val="20"/>
                <w:color w:val="auto"/>
              </w:rPr>
            </w:pPr>
            <w:r>
              <w:rPr>
                <w:rFonts w:ascii="Arial" w:cs="Arial" w:eastAsia="Arial" w:hAnsi="Arial"/>
                <w:sz w:val="17"/>
                <w:szCs w:val="17"/>
                <w:b w:val="1"/>
                <w:bCs w:val="1"/>
                <w:color w:val="A1B657"/>
                <w:w w:val="98"/>
              </w:rPr>
              <w:t>Supplementary Reconciliation of Non-GAAP Financial Measures:</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0"/>
        </w:trPr>
        <w:tc>
          <w:tcPr>
            <w:tcW w:w="4520" w:type="dxa"/>
            <w:vAlign w:val="bottom"/>
            <w:gridSpan w:val="2"/>
          </w:tcPr>
          <w:p>
            <w:pPr>
              <w:spacing w:after="0"/>
              <w:rPr>
                <w:sz w:val="20"/>
                <w:szCs w:val="20"/>
                <w:color w:val="auto"/>
              </w:rPr>
            </w:pPr>
            <w:r>
              <w:rPr>
                <w:rFonts w:ascii="Arial" w:cs="Arial" w:eastAsia="Arial" w:hAnsi="Arial"/>
                <w:sz w:val="17"/>
                <w:szCs w:val="17"/>
                <w:b w:val="1"/>
                <w:bCs w:val="1"/>
                <w:color w:val="auto"/>
              </w:rPr>
              <w:t>(dollars in [millions])</w:t>
            </w:r>
          </w:p>
        </w:tc>
        <w:tc>
          <w:tcPr>
            <w:tcW w:w="660" w:type="dxa"/>
            <w:vAlign w:val="bottom"/>
          </w:tcPr>
          <w:p>
            <w:pPr>
              <w:spacing w:after="0"/>
              <w:rPr>
                <w:sz w:val="24"/>
                <w:szCs w:val="24"/>
                <w:color w:val="auto"/>
              </w:rPr>
            </w:pPr>
          </w:p>
        </w:tc>
        <w:tc>
          <w:tcPr>
            <w:tcW w:w="1240" w:type="dxa"/>
            <w:vAlign w:val="bottom"/>
          </w:tcPr>
          <w:p>
            <w:pPr>
              <w:jc w:val="right"/>
              <w:ind w:right="157"/>
              <w:spacing w:after="0"/>
              <w:rPr>
                <w:sz w:val="20"/>
                <w:szCs w:val="20"/>
                <w:color w:val="auto"/>
              </w:rPr>
            </w:pPr>
            <w:r>
              <w:rPr>
                <w:rFonts w:ascii="Arial" w:cs="Arial" w:eastAsia="Arial" w:hAnsi="Arial"/>
                <w:sz w:val="17"/>
                <w:szCs w:val="17"/>
                <w:b w:val="1"/>
                <w:bCs w:val="1"/>
                <w:color w:val="auto"/>
                <w:w w:val="97"/>
              </w:rPr>
              <w:t>Annual 2021</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Annual 2022</w:t>
            </w:r>
          </w:p>
        </w:tc>
        <w:tc>
          <w:tcPr>
            <w:tcW w:w="480" w:type="dxa"/>
            <w:vAlign w:val="bottom"/>
          </w:tcPr>
          <w:p>
            <w:pPr>
              <w:spacing w:after="0"/>
              <w:rPr>
                <w:sz w:val="24"/>
                <w:szCs w:val="2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Annual 2023</w:t>
            </w:r>
          </w:p>
        </w:tc>
      </w:tr>
      <w:tr>
        <w:trPr>
          <w:trHeight w:val="192"/>
        </w:trPr>
        <w:tc>
          <w:tcPr>
            <w:tcW w:w="4520" w:type="dxa"/>
            <w:vAlign w:val="bottom"/>
            <w:tcBorders>
              <w:top w:val="single" w:sz="8" w:color="405788"/>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Net income as reported in accordance with GAAP</w:t>
            </w:r>
          </w:p>
        </w:tc>
        <w:tc>
          <w:tcPr>
            <w:tcW w:w="660" w:type="dxa"/>
            <w:vAlign w:val="bottom"/>
            <w:tcBorders>
              <w:top w:val="single" w:sz="8" w:color="405788"/>
              <w:bottom w:val="single" w:sz="8" w:color="D9D9D9"/>
            </w:tcBorders>
          </w:tcPr>
          <w:p>
            <w:pPr>
              <w:jc w:val="right"/>
              <w:ind w:right="25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top w:val="single" w:sz="8" w:color="405788"/>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1.4</w:t>
            </w:r>
          </w:p>
        </w:tc>
        <w:tc>
          <w:tcPr>
            <w:tcW w:w="320" w:type="dxa"/>
            <w:vAlign w:val="bottom"/>
            <w:tcBorders>
              <w:top w:val="single" w:sz="8" w:color="405788"/>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top w:val="single" w:sz="8" w:color="405788"/>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17.4</w:t>
            </w:r>
          </w:p>
        </w:tc>
        <w:tc>
          <w:tcPr>
            <w:tcW w:w="480" w:type="dxa"/>
            <w:vAlign w:val="bottom"/>
            <w:tcBorders>
              <w:top w:val="single" w:sz="8" w:color="405788"/>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60" w:type="dxa"/>
            <w:vAlign w:val="bottom"/>
            <w:tcBorders>
              <w:top w:val="single" w:sz="8" w:color="405788"/>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12.9</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Amortization expenses</w:t>
            </w:r>
          </w:p>
        </w:tc>
        <w:tc>
          <w:tcPr>
            <w:tcW w:w="66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6.7</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7.0</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7.4</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Earnout expenses</w:t>
            </w:r>
          </w:p>
        </w:tc>
        <w:tc>
          <w:tcPr>
            <w:tcW w:w="66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1.1</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(0.2)</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0.8</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Restructuring expenses</w:t>
            </w:r>
          </w:p>
        </w:tc>
        <w:tc>
          <w:tcPr>
            <w:tcW w:w="66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0.6</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0.1</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1.3</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Acquisition and integration expenses</w:t>
            </w:r>
          </w:p>
        </w:tc>
        <w:tc>
          <w:tcPr>
            <w:tcW w:w="66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0.8</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4.5</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2.5</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Executive transition expenses</w:t>
            </w:r>
          </w:p>
        </w:tc>
        <w:tc>
          <w:tcPr>
            <w:tcW w:w="66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1.2</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1.5</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Foreign currency remeasurement</w:t>
            </w:r>
          </w:p>
        </w:tc>
        <w:tc>
          <w:tcPr>
            <w:tcW w:w="66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2.0</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(1.3)</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(1.0)</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Tax expense (benefit) of adjustments</w:t>
            </w:r>
          </w:p>
        </w:tc>
        <w:tc>
          <w:tcPr>
            <w:tcW w:w="660" w:type="dxa"/>
            <w:vAlign w:val="bottom"/>
            <w:tcBorders>
              <w:bottom w:val="single" w:sz="8" w:color="405788"/>
            </w:tcBorders>
          </w:tcPr>
          <w:p>
            <w:pPr>
              <w:spacing w:after="0"/>
              <w:rPr>
                <w:sz w:val="16"/>
                <w:szCs w:val="16"/>
                <w:color w:val="auto"/>
              </w:rPr>
            </w:pPr>
          </w:p>
        </w:tc>
        <w:tc>
          <w:tcPr>
            <w:tcW w:w="1240" w:type="dxa"/>
            <w:vAlign w:val="bottom"/>
            <w:tcBorders>
              <w:bottom w:val="single" w:sz="8" w:color="405788"/>
            </w:tcBorders>
          </w:tcPr>
          <w:p>
            <w:pPr>
              <w:jc w:val="right"/>
              <w:ind w:right="97"/>
              <w:spacing w:after="0" w:line="188" w:lineRule="exact"/>
              <w:rPr>
                <w:sz w:val="20"/>
                <w:szCs w:val="20"/>
                <w:color w:val="auto"/>
              </w:rPr>
            </w:pPr>
            <w:r>
              <w:rPr>
                <w:rFonts w:ascii="Arial" w:cs="Arial" w:eastAsia="Arial" w:hAnsi="Arial"/>
                <w:sz w:val="17"/>
                <w:szCs w:val="17"/>
                <w:color w:val="auto"/>
              </w:rPr>
              <w:t>(2.8)</w:t>
            </w:r>
          </w:p>
        </w:tc>
        <w:tc>
          <w:tcPr>
            <w:tcW w:w="320" w:type="dxa"/>
            <w:vAlign w:val="bottom"/>
            <w:tcBorders>
              <w:bottom w:val="single" w:sz="8" w:color="405788"/>
            </w:tcBorders>
          </w:tcPr>
          <w:p>
            <w:pPr>
              <w:spacing w:after="0"/>
              <w:rPr>
                <w:sz w:val="16"/>
                <w:szCs w:val="16"/>
                <w:color w:val="auto"/>
              </w:rPr>
            </w:pPr>
          </w:p>
        </w:tc>
        <w:tc>
          <w:tcPr>
            <w:tcW w:w="124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(2.8)</w:t>
            </w:r>
          </w:p>
        </w:tc>
        <w:tc>
          <w:tcPr>
            <w:tcW w:w="480" w:type="dxa"/>
            <w:vAlign w:val="bottom"/>
            <w:tcBorders>
              <w:bottom w:val="single" w:sz="8" w:color="405788"/>
            </w:tcBorders>
          </w:tcPr>
          <w:p>
            <w:pPr>
              <w:spacing w:after="0"/>
              <w:rPr>
                <w:sz w:val="16"/>
                <w:szCs w:val="16"/>
                <w:color w:val="auto"/>
              </w:rPr>
            </w:pPr>
          </w:p>
        </w:tc>
        <w:tc>
          <w:tcPr>
            <w:tcW w:w="1460" w:type="dxa"/>
            <w:vAlign w:val="bottom"/>
            <w:tcBorders>
              <w:bottom w:val="single" w:sz="8" w:color="405788"/>
            </w:tcBorders>
          </w:tcPr>
          <w:p>
            <w:pPr>
              <w:jc w:val="right"/>
              <w:ind w:right="197"/>
              <w:spacing w:after="0" w:line="188" w:lineRule="exact"/>
              <w:rPr>
                <w:sz w:val="20"/>
                <w:szCs w:val="20"/>
                <w:color w:val="auto"/>
              </w:rPr>
            </w:pPr>
            <w:r>
              <w:rPr>
                <w:rFonts w:ascii="Arial" w:cs="Arial" w:eastAsia="Arial" w:hAnsi="Arial"/>
                <w:sz w:val="17"/>
                <w:szCs w:val="17"/>
                <w:color w:val="auto"/>
              </w:rPr>
              <w:t>1.2</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Non-GAAP net income</w:t>
            </w:r>
          </w:p>
        </w:tc>
        <w:tc>
          <w:tcPr>
            <w:tcW w:w="660" w:type="dxa"/>
            <w:vAlign w:val="bottom"/>
            <w:tcBorders>
              <w:bottom w:val="single" w:sz="8" w:color="D9D9D9"/>
            </w:tcBorders>
          </w:tcPr>
          <w:p>
            <w:pPr>
              <w:jc w:val="right"/>
              <w:ind w:right="25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9.8</w:t>
            </w:r>
          </w:p>
        </w:tc>
        <w:tc>
          <w:tcPr>
            <w:tcW w:w="32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25.9</w:t>
            </w:r>
          </w:p>
        </w:tc>
        <w:tc>
          <w:tcPr>
            <w:tcW w:w="48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26.6</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Depreciation</w:t>
            </w:r>
          </w:p>
        </w:tc>
        <w:tc>
          <w:tcPr>
            <w:tcW w:w="66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3.2</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3.6</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5.1</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Non-cash stock compensation</w:t>
            </w:r>
          </w:p>
        </w:tc>
        <w:tc>
          <w:tcPr>
            <w:tcW w:w="66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3.3</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3.9</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4.5</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Other (income) expense, net</w:t>
            </w:r>
          </w:p>
        </w:tc>
        <w:tc>
          <w:tcPr>
            <w:tcW w:w="66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0.2</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(5.6)</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0.8</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Interest expense</w:t>
            </w:r>
          </w:p>
        </w:tc>
        <w:tc>
          <w:tcPr>
            <w:tcW w:w="66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3.0</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5.4</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13.4</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Income tax expense</w:t>
            </w:r>
          </w:p>
        </w:tc>
        <w:tc>
          <w:tcPr>
            <w:tcW w:w="66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5.5</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8.2</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5.7</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Noncontrolling interest</w:t>
            </w:r>
          </w:p>
        </w:tc>
        <w:tc>
          <w:tcPr>
            <w:tcW w:w="660" w:type="dxa"/>
            <w:vAlign w:val="bottom"/>
            <w:tcBorders>
              <w:bottom w:val="single" w:sz="8" w:color="405788"/>
            </w:tcBorders>
          </w:tcPr>
          <w:p>
            <w:pPr>
              <w:spacing w:after="0"/>
              <w:rPr>
                <w:sz w:val="16"/>
                <w:szCs w:val="16"/>
                <w:color w:val="auto"/>
              </w:rPr>
            </w:pPr>
          </w:p>
        </w:tc>
        <w:tc>
          <w:tcPr>
            <w:tcW w:w="1240" w:type="dxa"/>
            <w:vAlign w:val="bottom"/>
            <w:tcBorders>
              <w:bottom w:val="single" w:sz="8" w:color="405788"/>
            </w:tcBorders>
          </w:tcPr>
          <w:p>
            <w:pPr>
              <w:jc w:val="right"/>
              <w:ind w:right="157"/>
              <w:spacing w:after="0" w:line="188" w:lineRule="exact"/>
              <w:rPr>
                <w:sz w:val="20"/>
                <w:szCs w:val="20"/>
                <w:color w:val="auto"/>
              </w:rPr>
            </w:pPr>
            <w:r>
              <w:rPr>
                <w:rFonts w:ascii="Arial" w:cs="Arial" w:eastAsia="Arial" w:hAnsi="Arial"/>
                <w:sz w:val="17"/>
                <w:szCs w:val="17"/>
                <w:color w:val="auto"/>
              </w:rPr>
              <w:t>0.6</w:t>
            </w:r>
          </w:p>
        </w:tc>
        <w:tc>
          <w:tcPr>
            <w:tcW w:w="320" w:type="dxa"/>
            <w:vAlign w:val="bottom"/>
            <w:tcBorders>
              <w:bottom w:val="single" w:sz="8" w:color="405788"/>
            </w:tcBorders>
          </w:tcPr>
          <w:p>
            <w:pPr>
              <w:spacing w:after="0"/>
              <w:rPr>
                <w:sz w:val="16"/>
                <w:szCs w:val="16"/>
                <w:color w:val="auto"/>
              </w:rPr>
            </w:pPr>
          </w:p>
        </w:tc>
        <w:tc>
          <w:tcPr>
            <w:tcW w:w="124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0.8</w:t>
            </w:r>
          </w:p>
        </w:tc>
        <w:tc>
          <w:tcPr>
            <w:tcW w:w="480" w:type="dxa"/>
            <w:vAlign w:val="bottom"/>
            <w:tcBorders>
              <w:bottom w:val="single" w:sz="8" w:color="405788"/>
            </w:tcBorders>
          </w:tcPr>
          <w:p>
            <w:pPr>
              <w:spacing w:after="0"/>
              <w:rPr>
                <w:sz w:val="16"/>
                <w:szCs w:val="16"/>
                <w:color w:val="auto"/>
              </w:rPr>
            </w:pPr>
          </w:p>
        </w:tc>
        <w:tc>
          <w:tcPr>
            <w:tcW w:w="1460" w:type="dxa"/>
            <w:vAlign w:val="bottom"/>
            <w:tcBorders>
              <w:bottom w:val="single" w:sz="8" w:color="405788"/>
            </w:tcBorders>
          </w:tcPr>
          <w:p>
            <w:pPr>
              <w:jc w:val="right"/>
              <w:ind w:right="197"/>
              <w:spacing w:after="0" w:line="188" w:lineRule="exact"/>
              <w:rPr>
                <w:sz w:val="20"/>
                <w:szCs w:val="20"/>
                <w:color w:val="auto"/>
              </w:rPr>
            </w:pPr>
            <w:r>
              <w:rPr>
                <w:rFonts w:ascii="Arial" w:cs="Arial" w:eastAsia="Arial" w:hAnsi="Arial"/>
                <w:sz w:val="17"/>
                <w:szCs w:val="17"/>
                <w:color w:val="auto"/>
              </w:rPr>
              <w:t>1.6</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Adjusted EBITDA</w:t>
            </w:r>
          </w:p>
        </w:tc>
        <w:tc>
          <w:tcPr>
            <w:tcW w:w="660" w:type="dxa"/>
            <w:vAlign w:val="bottom"/>
            <w:tcBorders>
              <w:bottom w:val="single" w:sz="8" w:color="D9D9D9"/>
            </w:tcBorders>
          </w:tcPr>
          <w:p>
            <w:pPr>
              <w:jc w:val="right"/>
              <w:ind w:right="25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25.6</w:t>
            </w:r>
          </w:p>
        </w:tc>
        <w:tc>
          <w:tcPr>
            <w:tcW w:w="32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42.2</w:t>
            </w:r>
          </w:p>
        </w:tc>
        <w:tc>
          <w:tcPr>
            <w:tcW w:w="48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57.7</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i w:val="1"/>
                <w:iCs w:val="1"/>
                <w:color w:val="auto"/>
              </w:rPr>
              <w:t>Adjusted EBITDA margin</w:t>
            </w:r>
          </w:p>
        </w:tc>
        <w:tc>
          <w:tcPr>
            <w:tcW w:w="66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7.9 %</w:t>
            </w:r>
          </w:p>
        </w:tc>
        <w:tc>
          <w:tcPr>
            <w:tcW w:w="320" w:type="dxa"/>
            <w:vAlign w:val="bottom"/>
            <w:tcBorders>
              <w:bottom w:val="single" w:sz="8" w:color="D9D9D9"/>
            </w:tcBorders>
          </w:tcPr>
          <w:p>
            <w:pPr>
              <w:spacing w:after="0"/>
              <w:rPr>
                <w:sz w:val="16"/>
                <w:szCs w:val="16"/>
                <w:color w:val="auto"/>
              </w:rPr>
            </w:pPr>
          </w:p>
        </w:tc>
        <w:tc>
          <w:tcPr>
            <w:tcW w:w="1720" w:type="dxa"/>
            <w:vAlign w:val="bottom"/>
            <w:tcBorders>
              <w:bottom w:val="single" w:sz="8" w:color="D9D9D9"/>
            </w:tcBorders>
            <w:gridSpan w:val="2"/>
          </w:tcPr>
          <w:p>
            <w:pPr>
              <w:jc w:val="right"/>
              <w:ind w:right="257"/>
              <w:spacing w:after="0" w:line="188" w:lineRule="exact"/>
              <w:rPr>
                <w:sz w:val="20"/>
                <w:szCs w:val="20"/>
                <w:color w:val="auto"/>
              </w:rPr>
            </w:pPr>
            <w:r>
              <w:rPr>
                <w:rFonts w:ascii="Arial" w:cs="Arial" w:eastAsia="Arial" w:hAnsi="Arial"/>
                <w:sz w:val="17"/>
                <w:szCs w:val="17"/>
                <w:color w:val="auto"/>
              </w:rPr>
              <w:t>10.0 %</w:t>
            </w:r>
          </w:p>
        </w:tc>
        <w:tc>
          <w:tcPr>
            <w:tcW w:w="146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10.6 %</w:t>
            </w:r>
          </w:p>
        </w:tc>
        <w:tc>
          <w:tcPr>
            <w:tcW w:w="20" w:type="dxa"/>
            <w:vAlign w:val="bottom"/>
          </w:tcPr>
          <w:p>
            <w:pPr>
              <w:spacing w:after="0"/>
              <w:rPr>
                <w:sz w:val="16"/>
                <w:szCs w:val="16"/>
                <w:color w:val="auto"/>
              </w:rPr>
            </w:pPr>
          </w:p>
        </w:tc>
      </w:tr>
      <w:tr>
        <w:trPr>
          <w:trHeight w:val="392"/>
        </w:trPr>
        <w:tc>
          <w:tcPr>
            <w:tcW w:w="4520" w:type="dxa"/>
            <w:vAlign w:val="bottom"/>
            <w:gridSpan w:val="2"/>
          </w:tcPr>
          <w:p>
            <w:pPr>
              <w:spacing w:after="0"/>
              <w:rPr>
                <w:sz w:val="20"/>
                <w:szCs w:val="20"/>
                <w:color w:val="auto"/>
              </w:rPr>
            </w:pPr>
            <w:r>
              <w:rPr>
                <w:rFonts w:ascii="Arial" w:cs="Arial" w:eastAsia="Arial" w:hAnsi="Arial"/>
                <w:sz w:val="17"/>
                <w:szCs w:val="17"/>
                <w:b w:val="1"/>
                <w:bCs w:val="1"/>
                <w:color w:val="auto"/>
              </w:rPr>
              <w:t>(dollars in millions)</w:t>
            </w:r>
          </w:p>
        </w:tc>
        <w:tc>
          <w:tcPr>
            <w:tcW w:w="660" w:type="dxa"/>
            <w:vAlign w:val="bottom"/>
          </w:tcPr>
          <w:p>
            <w:pPr>
              <w:spacing w:after="0"/>
              <w:rPr>
                <w:sz w:val="24"/>
                <w:szCs w:val="24"/>
                <w:color w:val="auto"/>
              </w:rPr>
            </w:pPr>
          </w:p>
        </w:tc>
        <w:tc>
          <w:tcPr>
            <w:tcW w:w="1240" w:type="dxa"/>
            <w:vAlign w:val="bottom"/>
          </w:tcPr>
          <w:p>
            <w:pPr>
              <w:jc w:val="right"/>
              <w:ind w:right="157"/>
              <w:spacing w:after="0"/>
              <w:rPr>
                <w:sz w:val="20"/>
                <w:szCs w:val="20"/>
                <w:color w:val="auto"/>
              </w:rPr>
            </w:pPr>
            <w:r>
              <w:rPr>
                <w:rFonts w:ascii="Arial" w:cs="Arial" w:eastAsia="Arial" w:hAnsi="Arial"/>
                <w:sz w:val="17"/>
                <w:szCs w:val="17"/>
                <w:b w:val="1"/>
                <w:bCs w:val="1"/>
                <w:color w:val="auto"/>
                <w:w w:val="97"/>
              </w:rPr>
              <w:t>Annual 2021</w:t>
            </w:r>
          </w:p>
        </w:tc>
        <w:tc>
          <w:tcPr>
            <w:tcW w:w="3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Annual 2022</w:t>
            </w:r>
          </w:p>
        </w:tc>
        <w:tc>
          <w:tcPr>
            <w:tcW w:w="480" w:type="dxa"/>
            <w:vAlign w:val="bottom"/>
          </w:tcPr>
          <w:p>
            <w:pPr>
              <w:spacing w:after="0"/>
              <w:rPr>
                <w:sz w:val="24"/>
                <w:szCs w:val="2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Annual 2023</w:t>
            </w:r>
          </w:p>
        </w:tc>
      </w:tr>
      <w:tr>
        <w:trPr>
          <w:trHeight w:val="192"/>
        </w:trPr>
        <w:tc>
          <w:tcPr>
            <w:tcW w:w="4520" w:type="dxa"/>
            <w:vAlign w:val="bottom"/>
            <w:tcBorders>
              <w:top w:val="single" w:sz="8" w:color="405788"/>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Net cash provided by operating activities</w:t>
            </w:r>
          </w:p>
        </w:tc>
        <w:tc>
          <w:tcPr>
            <w:tcW w:w="660" w:type="dxa"/>
            <w:vAlign w:val="bottom"/>
            <w:tcBorders>
              <w:top w:val="single" w:sz="8" w:color="405788"/>
              <w:bottom w:val="single" w:sz="8" w:color="D9D9D9"/>
            </w:tcBorders>
          </w:tcPr>
          <w:p>
            <w:pPr>
              <w:jc w:val="right"/>
              <w:ind w:right="25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top w:val="single" w:sz="8" w:color="405788"/>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13.3</w:t>
            </w:r>
          </w:p>
        </w:tc>
        <w:tc>
          <w:tcPr>
            <w:tcW w:w="320" w:type="dxa"/>
            <w:vAlign w:val="bottom"/>
            <w:tcBorders>
              <w:top w:val="single" w:sz="8" w:color="405788"/>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top w:val="single" w:sz="8" w:color="405788"/>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29.6</w:t>
            </w:r>
          </w:p>
        </w:tc>
        <w:tc>
          <w:tcPr>
            <w:tcW w:w="480" w:type="dxa"/>
            <w:vAlign w:val="bottom"/>
            <w:tcBorders>
              <w:top w:val="single" w:sz="8" w:color="405788"/>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60" w:type="dxa"/>
            <w:vAlign w:val="bottom"/>
            <w:tcBorders>
              <w:top w:val="single" w:sz="8" w:color="405788"/>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44.6</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Earnouts payments (within operating activities)</w:t>
            </w:r>
          </w:p>
        </w:tc>
        <w:tc>
          <w:tcPr>
            <w:tcW w:w="66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0.6</w:t>
            </w:r>
          </w:p>
        </w:tc>
        <w:tc>
          <w:tcPr>
            <w:tcW w:w="320" w:type="dxa"/>
            <w:vAlign w:val="bottom"/>
            <w:tcBorders>
              <w:bottom w:val="single" w:sz="8" w:color="D9D9D9"/>
            </w:tcBorders>
          </w:tcPr>
          <w:p>
            <w:pPr>
              <w:spacing w:after="0"/>
              <w:rPr>
                <w:sz w:val="16"/>
                <w:szCs w:val="16"/>
                <w:color w:val="auto"/>
              </w:rPr>
            </w:pP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1.0</w:t>
            </w:r>
          </w:p>
        </w:tc>
        <w:tc>
          <w:tcPr>
            <w:tcW w:w="480" w:type="dxa"/>
            <w:vAlign w:val="bottom"/>
            <w:tcBorders>
              <w:bottom w:val="single" w:sz="8" w:color="D9D9D9"/>
            </w:tcBorders>
          </w:tcPr>
          <w:p>
            <w:pPr>
              <w:spacing w:after="0"/>
              <w:rPr>
                <w:sz w:val="16"/>
                <w:szCs w:val="16"/>
                <w:color w:val="auto"/>
              </w:rPr>
            </w:pP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Acquisitions of property and equipment</w:t>
            </w:r>
          </w:p>
        </w:tc>
        <w:tc>
          <w:tcPr>
            <w:tcW w:w="660" w:type="dxa"/>
            <w:vAlign w:val="bottom"/>
            <w:tcBorders>
              <w:bottom w:val="single" w:sz="8" w:color="405788"/>
            </w:tcBorders>
          </w:tcPr>
          <w:p>
            <w:pPr>
              <w:spacing w:after="0"/>
              <w:rPr>
                <w:sz w:val="16"/>
                <w:szCs w:val="16"/>
                <w:color w:val="auto"/>
              </w:rPr>
            </w:pPr>
          </w:p>
        </w:tc>
        <w:tc>
          <w:tcPr>
            <w:tcW w:w="1240" w:type="dxa"/>
            <w:vAlign w:val="bottom"/>
            <w:tcBorders>
              <w:bottom w:val="single" w:sz="8" w:color="405788"/>
            </w:tcBorders>
          </w:tcPr>
          <w:p>
            <w:pPr>
              <w:jc w:val="right"/>
              <w:ind w:right="97"/>
              <w:spacing w:after="0" w:line="188" w:lineRule="exact"/>
              <w:rPr>
                <w:sz w:val="20"/>
                <w:szCs w:val="20"/>
                <w:color w:val="auto"/>
              </w:rPr>
            </w:pPr>
            <w:r>
              <w:rPr>
                <w:rFonts w:ascii="Arial" w:cs="Arial" w:eastAsia="Arial" w:hAnsi="Arial"/>
                <w:sz w:val="17"/>
                <w:szCs w:val="17"/>
                <w:color w:val="auto"/>
              </w:rPr>
              <w:t>(2.6)</w:t>
            </w:r>
          </w:p>
        </w:tc>
        <w:tc>
          <w:tcPr>
            <w:tcW w:w="320" w:type="dxa"/>
            <w:vAlign w:val="bottom"/>
            <w:tcBorders>
              <w:bottom w:val="single" w:sz="8" w:color="405788"/>
            </w:tcBorders>
          </w:tcPr>
          <w:p>
            <w:pPr>
              <w:spacing w:after="0"/>
              <w:rPr>
                <w:sz w:val="16"/>
                <w:szCs w:val="16"/>
                <w:color w:val="auto"/>
              </w:rPr>
            </w:pPr>
          </w:p>
        </w:tc>
        <w:tc>
          <w:tcPr>
            <w:tcW w:w="1240" w:type="dxa"/>
            <w:vAlign w:val="bottom"/>
            <w:tcBorders>
              <w:bottom w:val="single" w:sz="8" w:color="405788"/>
            </w:tcBorders>
          </w:tcPr>
          <w:p>
            <w:pPr>
              <w:jc w:val="right"/>
              <w:spacing w:after="0" w:line="188" w:lineRule="exact"/>
              <w:rPr>
                <w:sz w:val="20"/>
                <w:szCs w:val="20"/>
                <w:color w:val="auto"/>
              </w:rPr>
            </w:pPr>
            <w:r>
              <w:rPr>
                <w:rFonts w:ascii="Arial" w:cs="Arial" w:eastAsia="Arial" w:hAnsi="Arial"/>
                <w:sz w:val="17"/>
                <w:szCs w:val="17"/>
                <w:color w:val="auto"/>
              </w:rPr>
              <w:t>(3.4)</w:t>
            </w:r>
          </w:p>
        </w:tc>
        <w:tc>
          <w:tcPr>
            <w:tcW w:w="480" w:type="dxa"/>
            <w:vAlign w:val="bottom"/>
            <w:tcBorders>
              <w:bottom w:val="single" w:sz="8" w:color="405788"/>
            </w:tcBorders>
          </w:tcPr>
          <w:p>
            <w:pPr>
              <w:spacing w:after="0"/>
              <w:rPr>
                <w:sz w:val="16"/>
                <w:szCs w:val="16"/>
                <w:color w:val="auto"/>
              </w:rPr>
            </w:pPr>
          </w:p>
        </w:tc>
        <w:tc>
          <w:tcPr>
            <w:tcW w:w="1460" w:type="dxa"/>
            <w:vAlign w:val="bottom"/>
            <w:tcBorders>
              <w:bottom w:val="single" w:sz="8" w:color="405788"/>
            </w:tcBorders>
          </w:tcPr>
          <w:p>
            <w:pPr>
              <w:jc w:val="right"/>
              <w:ind w:right="157"/>
              <w:spacing w:after="0" w:line="188" w:lineRule="exact"/>
              <w:rPr>
                <w:sz w:val="20"/>
                <w:szCs w:val="20"/>
                <w:color w:val="auto"/>
              </w:rPr>
            </w:pPr>
            <w:r>
              <w:rPr>
                <w:rFonts w:ascii="Arial" w:cs="Arial" w:eastAsia="Arial" w:hAnsi="Arial"/>
                <w:sz w:val="17"/>
                <w:szCs w:val="17"/>
                <w:color w:val="auto"/>
              </w:rPr>
              <w:t>(8.4)</w:t>
            </w:r>
          </w:p>
        </w:tc>
        <w:tc>
          <w:tcPr>
            <w:tcW w:w="20" w:type="dxa"/>
            <w:vAlign w:val="bottom"/>
          </w:tcPr>
          <w:p>
            <w:pPr>
              <w:spacing w:after="0"/>
              <w:rPr>
                <w:sz w:val="16"/>
                <w:szCs w:val="16"/>
                <w:color w:val="auto"/>
              </w:rPr>
            </w:pPr>
          </w:p>
        </w:tc>
      </w:tr>
      <w:tr>
        <w:trPr>
          <w:trHeight w:val="192"/>
        </w:trPr>
        <w:tc>
          <w:tcPr>
            <w:tcW w:w="4520" w:type="dxa"/>
            <w:vAlign w:val="bottom"/>
            <w:tcBorders>
              <w:bottom w:val="single" w:sz="8" w:color="D9D9D9"/>
            </w:tcBorders>
            <w:gridSpan w:val="2"/>
          </w:tcPr>
          <w:p>
            <w:pPr>
              <w:spacing w:after="0" w:line="188" w:lineRule="exact"/>
              <w:rPr>
                <w:sz w:val="20"/>
                <w:szCs w:val="20"/>
                <w:color w:val="auto"/>
              </w:rPr>
            </w:pPr>
            <w:r>
              <w:rPr>
                <w:rFonts w:ascii="Arial" w:cs="Arial" w:eastAsia="Arial" w:hAnsi="Arial"/>
                <w:sz w:val="17"/>
                <w:szCs w:val="17"/>
                <w:color w:val="auto"/>
              </w:rPr>
              <w:t>Free Cash Flow</w:t>
            </w:r>
          </w:p>
        </w:tc>
        <w:tc>
          <w:tcPr>
            <w:tcW w:w="660" w:type="dxa"/>
            <w:vAlign w:val="bottom"/>
            <w:tcBorders>
              <w:bottom w:val="single" w:sz="8" w:color="D9D9D9"/>
            </w:tcBorders>
          </w:tcPr>
          <w:p>
            <w:pPr>
              <w:jc w:val="right"/>
              <w:ind w:right="25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D9D9D9"/>
            </w:tcBorders>
          </w:tcPr>
          <w:p>
            <w:pPr>
              <w:jc w:val="right"/>
              <w:ind w:right="157"/>
              <w:spacing w:after="0" w:line="188" w:lineRule="exact"/>
              <w:rPr>
                <w:sz w:val="20"/>
                <w:szCs w:val="20"/>
                <w:color w:val="auto"/>
              </w:rPr>
            </w:pPr>
            <w:r>
              <w:rPr>
                <w:rFonts w:ascii="Arial" w:cs="Arial" w:eastAsia="Arial" w:hAnsi="Arial"/>
                <w:sz w:val="17"/>
                <w:szCs w:val="17"/>
                <w:color w:val="auto"/>
              </w:rPr>
              <w:t>11.3</w:t>
            </w:r>
          </w:p>
        </w:tc>
        <w:tc>
          <w:tcPr>
            <w:tcW w:w="32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D9D9D9"/>
            </w:tcBorders>
          </w:tcPr>
          <w:p>
            <w:pPr>
              <w:jc w:val="right"/>
              <w:spacing w:after="0" w:line="188" w:lineRule="exact"/>
              <w:rPr>
                <w:sz w:val="20"/>
                <w:szCs w:val="20"/>
                <w:color w:val="auto"/>
              </w:rPr>
            </w:pPr>
            <w:r>
              <w:rPr>
                <w:rFonts w:ascii="Arial" w:cs="Arial" w:eastAsia="Arial" w:hAnsi="Arial"/>
                <w:sz w:val="17"/>
                <w:szCs w:val="17"/>
                <w:color w:val="auto"/>
              </w:rPr>
              <w:t>27.2</w:t>
            </w:r>
          </w:p>
        </w:tc>
        <w:tc>
          <w:tcPr>
            <w:tcW w:w="480" w:type="dxa"/>
            <w:vAlign w:val="bottom"/>
            <w:tcBorders>
              <w:bottom w:val="single" w:sz="8" w:color="D9D9D9"/>
            </w:tcBorders>
          </w:tcPr>
          <w:p>
            <w:pPr>
              <w:jc w:val="right"/>
              <w:ind w:right="97"/>
              <w:spacing w:after="0" w:line="188" w:lineRule="exact"/>
              <w:rPr>
                <w:sz w:val="20"/>
                <w:szCs w:val="20"/>
                <w:color w:val="auto"/>
              </w:rPr>
            </w:pPr>
            <w:r>
              <w:rPr>
                <w:rFonts w:ascii="Arial" w:cs="Arial" w:eastAsia="Arial" w:hAnsi="Arial"/>
                <w:sz w:val="17"/>
                <w:szCs w:val="17"/>
                <w:color w:val="auto"/>
              </w:rPr>
              <w:t>$</w:t>
            </w:r>
          </w:p>
        </w:tc>
        <w:tc>
          <w:tcPr>
            <w:tcW w:w="1460" w:type="dxa"/>
            <w:vAlign w:val="bottom"/>
            <w:tcBorders>
              <w:bottom w:val="single" w:sz="8" w:color="D9D9D9"/>
            </w:tcBorders>
          </w:tcPr>
          <w:p>
            <w:pPr>
              <w:jc w:val="right"/>
              <w:ind w:right="197"/>
              <w:spacing w:after="0" w:line="188" w:lineRule="exact"/>
              <w:rPr>
                <w:sz w:val="20"/>
                <w:szCs w:val="20"/>
                <w:color w:val="auto"/>
              </w:rPr>
            </w:pPr>
            <w:r>
              <w:rPr>
                <w:rFonts w:ascii="Arial" w:cs="Arial" w:eastAsia="Arial" w:hAnsi="Arial"/>
                <w:sz w:val="17"/>
                <w:szCs w:val="17"/>
                <w:color w:val="auto"/>
              </w:rPr>
              <w:t>36.2</w:t>
            </w:r>
          </w:p>
        </w:tc>
        <w:tc>
          <w:tcPr>
            <w:tcW w:w="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4429760</wp:posOffset>
            </wp:positionH>
            <wp:positionV relativeFrom="paragraph">
              <wp:posOffset>610870</wp:posOffset>
            </wp:positionV>
            <wp:extent cx="483870" cy="2222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8387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840"/>
        <w:spacing w:after="0"/>
        <w:tabs>
          <w:tab w:leader="none" w:pos="9640" w:val="left"/>
        </w:tabs>
        <w:rPr>
          <w:sz w:val="20"/>
          <w:szCs w:val="20"/>
          <w:color w:val="auto"/>
        </w:rPr>
      </w:pPr>
      <w:r>
        <w:rPr>
          <w:rFonts w:ascii="Arial" w:cs="Arial" w:eastAsia="Arial" w:hAnsi="Arial"/>
          <w:sz w:val="17"/>
          <w:szCs w:val="17"/>
          <w:color w:val="7F7F7F"/>
        </w:rPr>
        <w:t>2024 Proxy Statement</w:t>
      </w:r>
      <w:r>
        <w:rPr>
          <w:sz w:val="20"/>
          <w:szCs w:val="20"/>
          <w:color w:val="auto"/>
        </w:rPr>
        <w:tab/>
      </w:r>
      <w:r>
        <w:rPr>
          <w:rFonts w:ascii="Arial" w:cs="Arial" w:eastAsia="Arial" w:hAnsi="Arial"/>
          <w:sz w:val="16"/>
          <w:szCs w:val="16"/>
          <w:color w:val="7F7F7F"/>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394335</wp:posOffset>
            </wp:positionV>
            <wp:extent cx="6301105"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01105" cy="15875"/>
                    </a:xfrm>
                    <a:prstGeom prst="rect">
                      <a:avLst/>
                    </a:prstGeom>
                    <a:noFill/>
                  </pic:spPr>
                </pic:pic>
              </a:graphicData>
            </a:graphic>
          </wp:anchor>
        </w:drawing>
      </w:r>
    </w:p>
    <w:p>
      <w:pPr>
        <w:sectPr>
          <w:pgSz w:w="11900" w:h="16838" w:orient="portrait"/>
          <w:cols w:equalWidth="0" w:num="1">
            <w:col w:w="9920"/>
          </w:cols>
          <w:pgMar w:left="980" w:top="469" w:right="999" w:bottom="1440"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8480" cy="90709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88480" cy="90709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bullet"/>
      <w:start w:val="1"/>
    </w:lvl>
  </w:abstractNum>
  <w:abstractNum w:abstractNumId="5">
    <w:nsid w:val="2D517796"/>
    <w:multiLevelType w:val="hybridMultilevel"/>
    <w:lvl w:ilvl="0">
      <w:lvlJc w:val="left"/>
      <w:lvlText w:val="2"/>
      <w:numFmt w:val="bullet"/>
      <w:start w:val="1"/>
    </w:lvl>
  </w:abstractNum>
  <w:abstractNum w:abstractNumId="6">
    <w:nsid w:val="580BD78F"/>
    <w:multiLevelType w:val="hybridMultilevel"/>
    <w:lvl w:ilvl="0">
      <w:lvlJc w:val="left"/>
      <w:lvlText w:val="3"/>
      <w:numFmt w:val="bullet"/>
      <w:start w:val="1"/>
    </w:lvl>
  </w:abstractNum>
  <w:abstractNum w:abstractNumId="7">
    <w:nsid w:val="153EA438"/>
    <w:multiLevelType w:val="hybridMultilevel"/>
    <w:lvl w:ilvl="0">
      <w:lvlJc w:val="left"/>
      <w:lvlText w:val="4"/>
      <w:numFmt w:val="bullet"/>
      <w:start w:val="1"/>
    </w:lvl>
  </w:abstractNum>
  <w:abstractNum w:abstractNumId="8">
    <w:nsid w:val="3855585C"/>
    <w:multiLevelType w:val="hybridMultilevel"/>
    <w:lvl w:ilvl="0">
      <w:lvlJc w:val="left"/>
      <w:lvlText w:val="5"/>
      <w:numFmt w:val="bullet"/>
      <w:start w:val="1"/>
    </w:lvl>
  </w:abstractNum>
  <w:abstractNum w:abstractNumId="9">
    <w:nsid w:val="70A64E2A"/>
    <w:multiLevelType w:val="hybridMultilevel"/>
    <w:lvl w:ilvl="0">
      <w:lvlJc w:val="left"/>
      <w:lvlText w:val="1"/>
      <w:numFmt w:val="bullet"/>
      <w:start w:val="1"/>
    </w:lvl>
  </w:abstractNum>
  <w:abstractNum w:abstractNumId="10">
    <w:nsid w:val="6A2342EC"/>
    <w:multiLevelType w:val="hybridMultilevel"/>
    <w:lvl w:ilvl="0">
      <w:lvlJc w:val="left"/>
      <w:lvlText w:val="2"/>
      <w:numFmt w:val="bullet"/>
      <w:start w:val="1"/>
    </w:lvl>
  </w:abstractNum>
  <w:abstractNum w:abstractNumId="11">
    <w:nsid w:val="2A487CB0"/>
    <w:multiLevelType w:val="hybridMultilevel"/>
    <w:lvl w:ilvl="0">
      <w:lvlJc w:val="left"/>
      <w:lvlText w:val="3"/>
      <w:numFmt w:val="bullet"/>
      <w:start w:val="1"/>
    </w:lvl>
  </w:abstractNum>
  <w:abstractNum w:abstractNumId="12">
    <w:nsid w:val="1D4ED43B"/>
    <w:multiLevelType w:val="hybridMultilevel"/>
    <w:lvl w:ilvl="0">
      <w:lvlJc w:val="left"/>
      <w:lvlText w:val="4"/>
      <w:numFmt w:val="bullet"/>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decimal"/>
      <w:start w:val="2"/>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decimal"/>
      <w:start w:val="2"/>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1)"/>
      <w:numFmt w:val="decimal"/>
      <w:start w:val="1"/>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decimal"/>
      <w:start w:val="1"/>
    </w:lvl>
  </w:abstractNum>
  <w:abstractNum w:abstractNumId="61">
    <w:nsid w:val="5DB70AE5"/>
    <w:multiLevelType w:val="hybridMultilevel"/>
    <w:lvl w:ilvl="0">
      <w:lvlJc w:val="left"/>
      <w:lvlText w:val="(%1)"/>
      <w:numFmt w:val="decimal"/>
      <w:start w:val="2"/>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decimal"/>
      <w:start w:val="4"/>
    </w:lvl>
  </w:abstractNum>
  <w:abstractNum w:abstractNumId="64">
    <w:nsid w:val="15014ACB"/>
    <w:multiLevelType w:val="hybridMultilevel"/>
    <w:lvl w:ilvl="0">
      <w:lvlJc w:val="left"/>
      <w:lvlText w:val="(%1)"/>
      <w:numFmt w:val="decimal"/>
      <w:start w:val="1"/>
    </w:lvl>
  </w:abstractNum>
  <w:abstractNum w:abstractNumId="65">
    <w:nsid w:val="5F5E7FD0"/>
    <w:multiLevelType w:val="hybridMultilevel"/>
    <w:lvl w:ilvl="0">
      <w:lvlJc w:val="left"/>
      <w:lvlText w:val="(%1)"/>
      <w:numFmt w:val="decimal"/>
      <w:start w:val="3"/>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1)"/>
      <w:numFmt w:val="decimal"/>
      <w:start w:val="800"/>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2024-03-22T14:35:44Z</dcterms:created>
  <dcterms:modified xsi:type="dcterms:W3CDTF">2024-03-22T14:35:44Z</dcterms:modified>
</cp:coreProperties>
</file>