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124460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2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151765</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Date of Report (Date of earliest event reported): August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161925</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6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CECO ENVIRONMENTAL CORP.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133350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660" w:space="720"/>
            <w:col w:w="3060" w:space="720"/>
            <w:col w:w="2240"/>
          </w:cols>
          <w:pgMar w:left="240" w:top="391" w:right="259" w:bottom="1440" w:gutter="0" w:footer="0" w:header="0"/>
          <w:type w:val="continuous"/>
        </w:sectPr>
      </w:pPr>
    </w:p>
    <w:p>
      <w:pPr>
        <w:spacing w:after="0" w:line="12" w:lineRule="exact"/>
        <w:rPr>
          <w:sz w:val="24"/>
          <w:szCs w:val="24"/>
          <w:color w:val="auto"/>
        </w:rPr>
      </w:pPr>
    </w:p>
    <w:p>
      <w:pPr>
        <w:jc w:val="center"/>
        <w:ind w:right="920"/>
        <w:spacing w:after="0"/>
        <w:rPr>
          <w:sz w:val="20"/>
          <w:szCs w:val="20"/>
          <w:color w:val="auto"/>
        </w:rPr>
      </w:pPr>
      <w:r>
        <w:rPr>
          <w:rFonts w:ascii="Arial" w:cs="Arial" w:eastAsia="Arial" w:hAnsi="Arial"/>
          <w:sz w:val="13"/>
          <w:szCs w:val="13"/>
          <w:b w:val="1"/>
          <w:bCs w:val="1"/>
          <w:color w:val="auto"/>
        </w:rPr>
        <w:t>(State or other jurisdiction</w:t>
      </w:r>
    </w:p>
    <w:p>
      <w:pPr>
        <w:jc w:val="center"/>
        <w:ind w:right="9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b w:val="1"/>
          <w:bCs w:val="1"/>
          <w:color w:val="auto"/>
        </w:rPr>
        <w:t>(IRS Employer</w:t>
      </w:r>
    </w:p>
    <w:p>
      <w:pPr>
        <w:jc w:val="center"/>
        <w:ind w:right="124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600" w:space="720"/>
            <w:col w:w="3000" w:space="720"/>
            <w:col w:w="2360"/>
          </w:cols>
          <w:pgMar w:left="240" w:top="391" w:right="259" w:bottom="1440" w:gutter="0" w:footer="0" w:header="0"/>
          <w:type w:val="continuous"/>
        </w:sectPr>
      </w:pPr>
    </w:p>
    <w:p>
      <w:pPr>
        <w:jc w:val="center"/>
        <w:ind w:right="2060"/>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Suite 500</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75254</w:t>
      </w:r>
    </w:p>
    <w:p>
      <w:pPr>
        <w:spacing w:after="0" w:line="61" w:lineRule="exact"/>
        <w:rPr>
          <w:sz w:val="24"/>
          <w:szCs w:val="24"/>
          <w:color w:val="auto"/>
        </w:rPr>
      </w:pPr>
    </w:p>
    <w:p>
      <w:pPr>
        <w:sectPr>
          <w:pgSz w:w="11900" w:h="16838" w:orient="portrait"/>
          <w:cols w:equalWidth="0" w:num="2">
            <w:col w:w="7680" w:space="720"/>
            <w:col w:w="3000"/>
          </w:cols>
          <w:pgMar w:left="240" w:top="391" w:right="25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580" w:space="720"/>
            <w:col w:w="3100"/>
          </w:cols>
          <w:pgMar w:left="240" w:top="391"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40" w:right="2760" w:hanging="3632"/>
        <w:spacing w:after="0" w:line="428" w:lineRule="auto"/>
        <w:tabs>
          <w:tab w:leader="none" w:pos="60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140" w:type="dxa"/>
        <w:tblCellMar>
          <w:top w:w="0" w:type="dxa"/>
          <w:left w:w="0" w:type="dxa"/>
          <w:bottom w:w="0" w:type="dxa"/>
          <w:right w:w="0" w:type="dxa"/>
        </w:tblCellMar>
      </w:tblPr>
      <w:tr>
        <w:trPr>
          <w:trHeight w:val="182"/>
        </w:trPr>
        <w:tc>
          <w:tcPr>
            <w:tcW w:w="3120" w:type="dxa"/>
            <w:vAlign w:val="bottom"/>
          </w:tcPr>
          <w:p>
            <w:pPr>
              <w:jc w:val="center"/>
              <w:ind w:right="608"/>
              <w:spacing w:after="0"/>
              <w:rPr>
                <w:sz w:val="20"/>
                <w:szCs w:val="20"/>
                <w:color w:val="auto"/>
              </w:rPr>
            </w:pPr>
            <w:r>
              <w:rPr>
                <w:rFonts w:ascii="Arial" w:cs="Arial" w:eastAsia="Arial" w:hAnsi="Arial"/>
                <w:sz w:val="14"/>
                <w:szCs w:val="14"/>
                <w:color w:val="auto"/>
                <w:w w:val="92"/>
              </w:rPr>
              <w:t>Title of each class</w:t>
            </w:r>
          </w:p>
        </w:tc>
        <w:tc>
          <w:tcPr>
            <w:tcW w:w="2440" w:type="dxa"/>
            <w:vAlign w:val="bottom"/>
          </w:tcPr>
          <w:p>
            <w:pPr>
              <w:jc w:val="center"/>
              <w:ind w:right="68"/>
              <w:spacing w:after="0"/>
              <w:rPr>
                <w:sz w:val="20"/>
                <w:szCs w:val="20"/>
                <w:color w:val="auto"/>
              </w:rPr>
            </w:pPr>
            <w:r>
              <w:rPr>
                <w:rFonts w:ascii="Arial" w:cs="Arial" w:eastAsia="Arial" w:hAnsi="Arial"/>
                <w:sz w:val="14"/>
                <w:szCs w:val="14"/>
                <w:color w:val="auto"/>
                <w:w w:val="95"/>
              </w:rPr>
              <w:t>Trading Symbol</w:t>
            </w:r>
          </w:p>
        </w:tc>
        <w:tc>
          <w:tcPr>
            <w:tcW w:w="3360" w:type="dxa"/>
            <w:vAlign w:val="bottom"/>
          </w:tcPr>
          <w:p>
            <w:pPr>
              <w:jc w:val="center"/>
              <w:ind w:left="748"/>
              <w:spacing w:after="0"/>
              <w:rPr>
                <w:sz w:val="20"/>
                <w:szCs w:val="20"/>
                <w:color w:val="auto"/>
              </w:rPr>
            </w:pPr>
            <w:r>
              <w:rPr>
                <w:rFonts w:ascii="Arial" w:cs="Arial" w:eastAsia="Arial" w:hAnsi="Arial"/>
                <w:sz w:val="14"/>
                <w:szCs w:val="14"/>
                <w:color w:val="auto"/>
                <w:w w:val="91"/>
              </w:rPr>
              <w:t>Name of each exchange on which registered</w:t>
            </w:r>
          </w:p>
        </w:tc>
      </w:tr>
      <w:tr>
        <w:trPr>
          <w:trHeight w:val="203"/>
        </w:trPr>
        <w:tc>
          <w:tcPr>
            <w:tcW w:w="3120" w:type="dxa"/>
            <w:vAlign w:val="bottom"/>
          </w:tcPr>
          <w:p>
            <w:pPr>
              <w:jc w:val="center"/>
              <w:ind w:right="628"/>
              <w:spacing w:after="0"/>
              <w:rPr>
                <w:sz w:val="20"/>
                <w:szCs w:val="20"/>
                <w:color w:val="auto"/>
              </w:rPr>
            </w:pPr>
            <w:r>
              <w:rPr>
                <w:rFonts w:ascii="Arial" w:cs="Arial" w:eastAsia="Arial" w:hAnsi="Arial"/>
                <w:sz w:val="14"/>
                <w:szCs w:val="14"/>
                <w:color w:val="auto"/>
                <w:w w:val="91"/>
              </w:rPr>
              <w:t>Common Stock, par value $0.01 per share</w:t>
            </w:r>
          </w:p>
        </w:tc>
        <w:tc>
          <w:tcPr>
            <w:tcW w:w="2440" w:type="dxa"/>
            <w:vAlign w:val="bottom"/>
          </w:tcPr>
          <w:p>
            <w:pPr>
              <w:jc w:val="center"/>
              <w:ind w:right="48"/>
              <w:spacing w:after="0"/>
              <w:rPr>
                <w:sz w:val="20"/>
                <w:szCs w:val="20"/>
                <w:color w:val="auto"/>
              </w:rPr>
            </w:pPr>
            <w:r>
              <w:rPr>
                <w:rFonts w:ascii="Arial" w:cs="Arial" w:eastAsia="Arial" w:hAnsi="Arial"/>
                <w:sz w:val="14"/>
                <w:szCs w:val="14"/>
                <w:color w:val="auto"/>
                <w:w w:val="92"/>
              </w:rPr>
              <w:t>CECE</w:t>
            </w:r>
          </w:p>
        </w:tc>
        <w:tc>
          <w:tcPr>
            <w:tcW w:w="3360" w:type="dxa"/>
            <w:vAlign w:val="bottom"/>
          </w:tcPr>
          <w:p>
            <w:pPr>
              <w:jc w:val="center"/>
              <w:ind w:left="748"/>
              <w:spacing w:after="0"/>
              <w:rPr>
                <w:sz w:val="20"/>
                <w:szCs w:val="20"/>
                <w:color w:val="auto"/>
              </w:rPr>
            </w:pPr>
            <w:r>
              <w:rPr>
                <w:rFonts w:ascii="Arial" w:cs="Arial" w:eastAsia="Arial" w:hAnsi="Arial"/>
                <w:sz w:val="14"/>
                <w:szCs w:val="14"/>
                <w:color w:val="auto"/>
                <w:w w:val="97"/>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-240665</wp:posOffset>
            </wp:positionV>
            <wp:extent cx="6835140"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5140" cy="266065"/>
                    </a:xfrm>
                    <a:prstGeom prst="rect">
                      <a:avLst/>
                    </a:prstGeom>
                    <a:noFill/>
                  </pic:spPr>
                </pic:pic>
              </a:graphicData>
            </a:graphic>
          </wp:anchor>
        </w:drawing>
      </w:r>
    </w:p>
    <w:p>
      <w:pPr>
        <w:spacing w:after="0" w:line="16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4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361315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60" w:firstLine="598"/>
        <w:spacing w:after="0" w:line="308" w:lineRule="auto"/>
        <w:rPr>
          <w:sz w:val="20"/>
          <w:szCs w:val="20"/>
          <w:color w:val="auto"/>
        </w:rPr>
      </w:pPr>
      <w:r>
        <w:rPr>
          <w:rFonts w:ascii="Arial" w:cs="Arial" w:eastAsia="Arial" w:hAnsi="Arial"/>
          <w:sz w:val="17"/>
          <w:szCs w:val="17"/>
          <w:color w:val="auto"/>
        </w:rPr>
        <w:t>On August 6, 2019, CECO Environmental Corp., a Delaware corporation, issued a press release announcing its financial results for the three and six months ended June 30, 2019. A copy of the press release is furnished as Exhibit 99.1 to this report and is incorporated herein by reference.</w:t>
      </w:r>
    </w:p>
    <w:p>
      <w:pPr>
        <w:spacing w:after="0" w:line="14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600" w:hanging="59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20" w:type="dxa"/>
            <w:vAlign w:val="bottom"/>
            <w:tcBorders>
              <w:top w:val="single" w:sz="8" w:color="auto"/>
            </w:tcBorders>
          </w:tcPr>
          <w:p>
            <w:pPr>
              <w:jc w:val="right"/>
              <w:ind w:right="522"/>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22"/>
                <w:szCs w:val="22"/>
                <w:color w:val="auto"/>
              </w:rPr>
            </w:pPr>
          </w:p>
        </w:tc>
        <w:tc>
          <w:tcPr>
            <w:tcW w:w="10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EE"/>
              </w:rPr>
              <w:t>Press Release, dated August 6, 2019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20" w:type="dxa"/>
            <w:vAlign w:val="bottom"/>
            <w:tcBorders>
              <w:top w:val="single" w:sz="8" w:color="0000EE"/>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6, 2019</w:t>
      </w:r>
      <w:r>
        <w:rPr>
          <w:sz w:val="20"/>
          <w:szCs w:val="20"/>
          <w:color w:val="auto"/>
        </w:rPr>
        <w:tab/>
      </w:r>
      <w:r>
        <w:rPr>
          <w:rFonts w:ascii="Arial" w:cs="Arial" w:eastAsia="Arial" w:hAnsi="Arial"/>
          <w:sz w:val="16"/>
          <w:szCs w:val="16"/>
          <w:color w:val="auto"/>
        </w:rPr>
        <w:t>CECO Environmental Corp.</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Matthew Eckl</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80"/>
          </w:cols>
          <w:pgMar w:left="240" w:top="121"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9791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 Reports Second Quarter and Six Months 2019 Results;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Strong Bookings and Growing Backlog Support Second Half Ramp Up</w:t>
      </w:r>
    </w:p>
    <w:p>
      <w:pPr>
        <w:spacing w:after="0" w:line="243" w:lineRule="exact"/>
        <w:rPr>
          <w:sz w:val="20"/>
          <w:szCs w:val="20"/>
          <w:color w:val="auto"/>
        </w:rPr>
      </w:pPr>
    </w:p>
    <w:p>
      <w:pPr>
        <w:jc w:val="both"/>
        <w:ind w:left="120" w:right="60"/>
        <w:spacing w:after="0" w:line="241" w:lineRule="auto"/>
        <w:rPr>
          <w:sz w:val="20"/>
          <w:szCs w:val="20"/>
          <w:color w:val="auto"/>
        </w:rPr>
      </w:pPr>
      <w:r>
        <w:rPr>
          <w:rFonts w:ascii="Arial" w:cs="Arial" w:eastAsia="Arial" w:hAnsi="Arial"/>
          <w:sz w:val="20"/>
          <w:szCs w:val="20"/>
          <w:b w:val="1"/>
          <w:bCs w:val="1"/>
          <w:color w:val="auto"/>
        </w:rPr>
        <w:t xml:space="preserve">DALLAS, Texas, August 6, 2019 -- CECO Environmental Corp. (Nasdaq: CECE), </w:t>
      </w:r>
      <w:r>
        <w:rPr>
          <w:rFonts w:ascii="Arial" w:cs="Arial" w:eastAsia="Arial" w:hAnsi="Arial"/>
          <w:sz w:val="20"/>
          <w:szCs w:val="20"/>
          <w:color w:val="auto"/>
        </w:rPr>
        <w:t>a leading global air quality and fluid</w:t>
      </w:r>
      <w:r>
        <w:rPr>
          <w:rFonts w:ascii="Arial" w:cs="Arial" w:eastAsia="Arial" w:hAnsi="Arial"/>
          <w:sz w:val="20"/>
          <w:szCs w:val="20"/>
          <w:b w:val="1"/>
          <w:bCs w:val="1"/>
          <w:color w:val="auto"/>
        </w:rPr>
        <w:t xml:space="preserve"> </w:t>
      </w:r>
      <w:r>
        <w:rPr>
          <w:rFonts w:ascii="Arial" w:cs="Arial" w:eastAsia="Arial" w:hAnsi="Arial"/>
          <w:sz w:val="20"/>
          <w:szCs w:val="20"/>
          <w:color w:val="auto"/>
        </w:rPr>
        <w:t>handling company serving the energy, industrial and other niche markets, today reported its financial results for the second quarter and first six months of 2019.</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Highlights of the Second Quarter 2019*</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Bookings of $103.0 million, compared with $99.1 million, adjusted for divestitures</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Backlog of $208.8 million, compared with $182.1 million as of December 31, 2018</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Revenue of $81.2 million, compared with $81.1 million</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Revenue of $81.2 million, compared with organic revenue of $79.9 million</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Gross profit of $26.8 million (33.0% margin), compared with $27.2 million (33.5% margin)</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Operating income of $2.0 million, compared with $2.6 million</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Non-GAAP operating income of $4.4 million, compared with $5.2 million</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Net income was $5.5 million, compared with net loss of $(0.9) million</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Non-GAAP net income of $3.0 million, compared with $1.8 million</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Net income per diluted share was $0.15, compared with net loss per diluted share of $(0.03)</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Non-GAAP net income per diluted share of $0.08, compared with $0.05</w:t>
      </w:r>
    </w:p>
    <w:p>
      <w:pPr>
        <w:ind w:left="760" w:hanging="374"/>
        <w:spacing w:after="0"/>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Adjusted EBITDA of $6.0 million, compared with $6.9 million</w:t>
      </w:r>
    </w:p>
    <w:p>
      <w:pPr>
        <w:spacing w:after="0" w:line="222" w:lineRule="exact"/>
        <w:rPr>
          <w:rFonts w:ascii="Arial" w:cs="Arial" w:eastAsia="Arial" w:hAnsi="Arial"/>
          <w:sz w:val="20"/>
          <w:szCs w:val="20"/>
          <w:color w:val="auto"/>
        </w:rPr>
      </w:pPr>
    </w:p>
    <w:p>
      <w:pPr>
        <w:ind w:left="120"/>
        <w:spacing w:after="0"/>
        <w:rPr>
          <w:rFonts w:ascii="Arial" w:cs="Arial" w:eastAsia="Arial" w:hAnsi="Arial"/>
          <w:sz w:val="20"/>
          <w:szCs w:val="20"/>
          <w:color w:val="auto"/>
        </w:rPr>
      </w:pPr>
      <w:r>
        <w:rPr>
          <w:rFonts w:ascii="Arial" w:cs="Arial" w:eastAsia="Arial" w:hAnsi="Arial"/>
          <w:sz w:val="16"/>
          <w:szCs w:val="16"/>
          <w:color w:val="auto"/>
        </w:rPr>
        <w:t>* All comparisons are versus the comparable prior-year period, which include results from divestitures, unless otherwise stated.</w:t>
      </w:r>
    </w:p>
    <w:p>
      <w:pPr>
        <w:spacing w:after="0" w:line="241" w:lineRule="exact"/>
        <w:rPr>
          <w:sz w:val="20"/>
          <w:szCs w:val="20"/>
          <w:color w:val="auto"/>
        </w:rPr>
      </w:pPr>
    </w:p>
    <w:p>
      <w:pPr>
        <w:ind w:left="120" w:right="120"/>
        <w:spacing w:after="0" w:line="244" w:lineRule="auto"/>
        <w:rPr>
          <w:sz w:val="20"/>
          <w:szCs w:val="20"/>
          <w:color w:val="auto"/>
        </w:rPr>
      </w:pPr>
      <w:r>
        <w:rPr>
          <w:rFonts w:ascii="Arial" w:cs="Arial" w:eastAsia="Arial" w:hAnsi="Arial"/>
          <w:sz w:val="19"/>
          <w:szCs w:val="19"/>
          <w:color w:val="auto"/>
        </w:rPr>
        <w:t>CECO’s Chief Executive Officer Dennis Sadlowski commented, “CECO continues to execute well in the market as new orders once again exceeded $100 million driving backlog up to near record levels. Unfortunately, several customer driven project delays dampened revenue in the quarter which led to second quarter profitability below expectations. Going forward, our strong backlog, solid margins, and a growing sales pipeline are expected to generate improved results in the second half of 2019.”</w:t>
      </w:r>
    </w:p>
    <w:p>
      <w:pPr>
        <w:spacing w:after="0" w:line="205" w:lineRule="exact"/>
        <w:rPr>
          <w:sz w:val="20"/>
          <w:szCs w:val="20"/>
          <w:color w:val="auto"/>
        </w:rPr>
      </w:pPr>
    </w:p>
    <w:p>
      <w:pPr>
        <w:ind w:left="120" w:right="200"/>
        <w:spacing w:after="0" w:line="231" w:lineRule="auto"/>
        <w:rPr>
          <w:sz w:val="20"/>
          <w:szCs w:val="20"/>
          <w:color w:val="auto"/>
        </w:rPr>
      </w:pPr>
      <w:r>
        <w:rPr>
          <w:rFonts w:ascii="Arial" w:cs="Arial" w:eastAsia="Arial" w:hAnsi="Arial"/>
          <w:sz w:val="20"/>
          <w:szCs w:val="20"/>
          <w:color w:val="auto"/>
        </w:rPr>
        <w:t>Mr. Sadlowski added, “We remain committed and on track to deliver our 2021 financial targets. Our investments in sales and innovation have us well positioned to take advantage of the healthy demand across our growing end markets. We are building a reputation as the go to resource in the expanding low carbon economy with solutions that deliver efficiency and sustainability for our customers.”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SECOND QUARTER RESULTS</w:t>
      </w:r>
    </w:p>
    <w:p>
      <w:pPr>
        <w:spacing w:after="0" w:line="240"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20"/>
          <w:szCs w:val="20"/>
          <w:color w:val="auto"/>
        </w:rPr>
        <w:t>Revenue in the second quarter of 2019 was $81.2 million, up $0.1 from $81.1 million in the prior-year period. Excluding revenue of $1.2 million attributable to the businesses divested in 2018, organic revenues increased 1.6%.</w:t>
      </w:r>
    </w:p>
    <w:p>
      <w:pPr>
        <w:spacing w:after="0" w:line="209"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Operating income was $2.0 million for the second quarter of 2019, compared with $2.6 million in the prior-year period. Non-GAAP operating income was $4.4 million for the second quarter of 2019 (5.4% margin), compared with $5.2 million in the prior-year period (6.4% margin).</w:t>
      </w:r>
    </w:p>
    <w:p>
      <w:pPr>
        <w:spacing w:after="0" w:line="211"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Net income was $5.5 million for the second quarter of 2019, compared with net loss of $0.9 million in the prior-year period. Net income on a non-GAAP basis was $3.0 million for the second quarter of 2019, compared with $1.8 million in the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left="10540"/>
        <w:spacing w:after="0"/>
        <w:rPr>
          <w:sz w:val="20"/>
          <w:szCs w:val="20"/>
          <w:color w:val="auto"/>
        </w:rPr>
      </w:pPr>
      <w:r>
        <w:rPr>
          <w:rFonts w:ascii="Arial" w:cs="Arial" w:eastAsia="Arial" w:hAnsi="Arial"/>
          <w:sz w:val="16"/>
          <w:szCs w:val="16"/>
          <w:color w:val="auto"/>
        </w:rPr>
        <w:t>Exhibit 99.1</w:t>
      </w:r>
    </w:p>
    <w:p>
      <w:pPr>
        <w:spacing w:after="0" w:line="43"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Net income per diluted share was $0.15 for the second quarter of 2019, compared with net loss per diluted share of $0.03 in the prior-year period. Non-GAAP net income per diluted share was $0.08 for the second quarter of 2019, compared with $0.05 for the prior-year period.</w:t>
      </w:r>
    </w:p>
    <w:p>
      <w:pPr>
        <w:spacing w:after="0" w:line="197"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20"/>
          <w:szCs w:val="20"/>
          <w:color w:val="auto"/>
        </w:rPr>
        <w:t>Cash and cash equivalents were $28.8 million and bank debt was $77.0 million as of June 30, 2019, compared with $43.7 million and $76.1 million, respectively, as of December 31, 2018.</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BACKLOG AND BOOKINGS</w:t>
      </w:r>
    </w:p>
    <w:p>
      <w:pPr>
        <w:spacing w:after="0" w:line="240" w:lineRule="exact"/>
        <w:rPr>
          <w:sz w:val="20"/>
          <w:szCs w:val="20"/>
          <w:color w:val="auto"/>
        </w:rPr>
      </w:pPr>
    </w:p>
    <w:p>
      <w:pPr>
        <w:jc w:val="both"/>
        <w:ind w:left="120" w:right="80"/>
        <w:spacing w:after="0" w:line="229" w:lineRule="auto"/>
        <w:rPr>
          <w:sz w:val="20"/>
          <w:szCs w:val="20"/>
          <w:color w:val="auto"/>
        </w:rPr>
      </w:pPr>
      <w:r>
        <w:rPr>
          <w:rFonts w:ascii="Arial" w:cs="Arial" w:eastAsia="Arial" w:hAnsi="Arial"/>
          <w:sz w:val="20"/>
          <w:szCs w:val="20"/>
          <w:color w:val="auto"/>
        </w:rPr>
        <w:t>Total backlog at June 30, 2019 was $208.8 million as compared with $182.1 million on December 31, 2018 and $200.0 million on June 30, 2018. During the second quarter of 2019, the Company removed $6.7 million of orders that were previously disclosed as backlog in prior quarters, due to cancellations by customers. In the second quarter of 2018, $9.0 million of backlog was attributable to the divested businesses. Adjusted for divestitures, backlog increased $17.8 million from second quarter 2018 to second quarter 2019.</w:t>
      </w:r>
    </w:p>
    <w:p>
      <w:pPr>
        <w:spacing w:after="0" w:line="213" w:lineRule="exact"/>
        <w:rPr>
          <w:sz w:val="20"/>
          <w:szCs w:val="20"/>
          <w:color w:val="auto"/>
        </w:rPr>
      </w:pPr>
    </w:p>
    <w:p>
      <w:pPr>
        <w:jc w:val="both"/>
        <w:ind w:left="120" w:right="80"/>
        <w:spacing w:after="0" w:line="231" w:lineRule="auto"/>
        <w:rPr>
          <w:sz w:val="20"/>
          <w:szCs w:val="20"/>
          <w:color w:val="auto"/>
        </w:rPr>
      </w:pPr>
      <w:r>
        <w:rPr>
          <w:rFonts w:ascii="Arial" w:cs="Arial" w:eastAsia="Arial" w:hAnsi="Arial"/>
          <w:sz w:val="20"/>
          <w:szCs w:val="20"/>
          <w:color w:val="auto"/>
        </w:rPr>
        <w:t>Bookings were $103.0 million for the second quarter of 2019, compared with $100.4 million in the prior-year period. Excluding bookings of $1.3 million attributable to the businesses divested in 2018, 2019 organic bookings increased $3.9 million, or 3.9%. Bookings were $200.3 million for the first six months of 2019 compared with $195.4 million for the prior-year period. Excluding the impact of divestitures, bookings increased $10.9 million during the first six months of 2019.</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YEAR-TO-DATE RESULTS</w:t>
      </w:r>
    </w:p>
    <w:p>
      <w:pPr>
        <w:spacing w:after="0" w:line="240" w:lineRule="exact"/>
        <w:rPr>
          <w:sz w:val="20"/>
          <w:szCs w:val="20"/>
          <w:color w:val="auto"/>
        </w:rPr>
      </w:pPr>
    </w:p>
    <w:p>
      <w:pPr>
        <w:jc w:val="both"/>
        <w:ind w:left="100" w:right="60"/>
        <w:spacing w:after="0" w:line="236" w:lineRule="auto"/>
        <w:rPr>
          <w:sz w:val="20"/>
          <w:szCs w:val="20"/>
          <w:color w:val="auto"/>
        </w:rPr>
      </w:pPr>
      <w:r>
        <w:rPr>
          <w:rFonts w:ascii="Arial" w:cs="Arial" w:eastAsia="Arial" w:hAnsi="Arial"/>
          <w:sz w:val="20"/>
          <w:szCs w:val="20"/>
          <w:color w:val="auto"/>
        </w:rPr>
        <w:t>Revenue in the first six months of 2019 was $167.2 million, up 7.7% from $155.2 million in the prior-year period. Excluding revenue of $7.7 million attributable to the business divested in 2018, organic revenues increased 13.4%.</w:t>
      </w:r>
    </w:p>
    <w:p>
      <w:pPr>
        <w:spacing w:after="0" w:line="196" w:lineRule="exact"/>
        <w:rPr>
          <w:sz w:val="20"/>
          <w:szCs w:val="20"/>
          <w:color w:val="auto"/>
        </w:rPr>
      </w:pPr>
    </w:p>
    <w:p>
      <w:pPr>
        <w:jc w:val="both"/>
        <w:ind w:left="100" w:right="60"/>
        <w:spacing w:after="0" w:line="232" w:lineRule="auto"/>
        <w:rPr>
          <w:sz w:val="20"/>
          <w:szCs w:val="20"/>
          <w:color w:val="auto"/>
        </w:rPr>
      </w:pPr>
      <w:r>
        <w:rPr>
          <w:rFonts w:ascii="Arial" w:cs="Arial" w:eastAsia="Arial" w:hAnsi="Arial"/>
          <w:sz w:val="20"/>
          <w:szCs w:val="20"/>
          <w:color w:val="auto"/>
        </w:rPr>
        <w:t>Operating income was $6.9 million for the first six months of 2019 (4.1% margin), compared with $14.7 million in the prior-year period (9.5% margin). Operating income on a non-GAAP basis was $11.5 million for the first six months of 2019 (6.9% margin), compared with $9.2 million in the prior-year period (5.9% margin).</w:t>
      </w:r>
    </w:p>
    <w:p>
      <w:pPr>
        <w:spacing w:after="0" w:line="197" w:lineRule="exact"/>
        <w:rPr>
          <w:sz w:val="20"/>
          <w:szCs w:val="20"/>
          <w:color w:val="auto"/>
        </w:rPr>
      </w:pPr>
    </w:p>
    <w:p>
      <w:pPr>
        <w:jc w:val="both"/>
        <w:ind w:left="100" w:right="60"/>
        <w:spacing w:after="0" w:line="236" w:lineRule="auto"/>
        <w:rPr>
          <w:sz w:val="20"/>
          <w:szCs w:val="20"/>
          <w:color w:val="auto"/>
        </w:rPr>
      </w:pPr>
      <w:r>
        <w:rPr>
          <w:rFonts w:ascii="Arial" w:cs="Arial" w:eastAsia="Arial" w:hAnsi="Arial"/>
          <w:sz w:val="20"/>
          <w:szCs w:val="20"/>
          <w:color w:val="auto"/>
        </w:rPr>
        <w:t>Net income was $7.4 million for the first six months of 2019, compared with $4.9 million in the prior-year period. Net income on a non-GAAP basis was $7.0 million for the first six months of 2019, compared with $3.5 million in the prior-year period.</w:t>
      </w:r>
    </w:p>
    <w:p>
      <w:pPr>
        <w:spacing w:after="0" w:line="209" w:lineRule="exact"/>
        <w:rPr>
          <w:sz w:val="20"/>
          <w:szCs w:val="20"/>
          <w:color w:val="auto"/>
        </w:rPr>
      </w:pPr>
    </w:p>
    <w:p>
      <w:pPr>
        <w:ind w:left="100" w:right="860"/>
        <w:spacing w:after="0" w:line="257" w:lineRule="auto"/>
        <w:rPr>
          <w:sz w:val="20"/>
          <w:szCs w:val="20"/>
          <w:color w:val="auto"/>
        </w:rPr>
      </w:pPr>
      <w:r>
        <w:rPr>
          <w:rFonts w:ascii="Arial" w:cs="Arial" w:eastAsia="Arial" w:hAnsi="Arial"/>
          <w:sz w:val="19"/>
          <w:szCs w:val="19"/>
          <w:color w:val="auto"/>
        </w:rPr>
        <w:t>Net income per diluted share was $ 0.21 for the first six months of 2019, compared with $0.14 in the prior-year period. Non-GAAP net income per diluted share was $0.20 for the first six months of 2019, compared with $0.10 for the prior-year period.</w:t>
      </w:r>
    </w:p>
    <w:p>
      <w:pPr>
        <w:spacing w:after="0" w:line="39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CONFERENCE CALL</w:t>
      </w:r>
    </w:p>
    <w:p>
      <w:pPr>
        <w:spacing w:after="0" w:line="240"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auto"/>
        </w:rPr>
        <w:t>A conference call is scheduled for today at 8:30 a.m. ET to discuss the second quarter 2019 financial results. The conference call may also be accessed by dialing (888) 346-4547 (Toll-Free) within the U.S., (855) 669-9657 (Toll-Free) within Canada or Toll/International (412) 317-5251.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The live webcast and slides can also be accessed at </w:t>
      </w:r>
      <w:r>
        <w:rPr>
          <w:rFonts w:ascii="Arial" w:cs="Arial" w:eastAsia="Arial" w:hAnsi="Arial"/>
          <w:sz w:val="20"/>
          <w:szCs w:val="20"/>
          <w:u w:val="single" w:color="auto"/>
          <w:color w:val="auto"/>
        </w:rPr>
        <w:t>https://investors.cecoenviro.com/events-webcasts-and-presentations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722630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ind w:left="10540"/>
        <w:spacing w:after="0"/>
        <w:rPr>
          <w:sz w:val="20"/>
          <w:szCs w:val="20"/>
          <w:color w:val="auto"/>
        </w:rPr>
      </w:pPr>
      <w:r>
        <w:rPr>
          <w:rFonts w:ascii="Arial" w:cs="Arial" w:eastAsia="Arial" w:hAnsi="Arial"/>
          <w:sz w:val="16"/>
          <w:szCs w:val="16"/>
          <w:color w:val="auto"/>
        </w:rPr>
        <w:t>Exhibit 99.1</w:t>
      </w:r>
    </w:p>
    <w:p>
      <w:pPr>
        <w:spacing w:after="0" w:line="43"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20"/>
          <w:szCs w:val="20"/>
          <w:color w:val="auto"/>
        </w:rPr>
        <w:t>A replay of the conference call will be available on the Company’s website for 7 days. The replay may be accessed by dialing toll free (877) 344-7529 within North America or Toll/International (412) 317-0088 and entering passcode 10132357.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ABOUT CECO ENVIRONMENTAL</w:t>
      </w:r>
    </w:p>
    <w:p>
      <w:pPr>
        <w:spacing w:after="0" w:line="216" w:lineRule="exact"/>
        <w:rPr>
          <w:sz w:val="20"/>
          <w:szCs w:val="20"/>
          <w:color w:val="auto"/>
        </w:rPr>
      </w:pPr>
    </w:p>
    <w:p>
      <w:pPr>
        <w:jc w:val="both"/>
        <w:ind w:left="120" w:right="80"/>
        <w:spacing w:after="0" w:line="228" w:lineRule="auto"/>
        <w:rPr>
          <w:sz w:val="20"/>
          <w:szCs w:val="20"/>
          <w:color w:val="auto"/>
        </w:rPr>
      </w:pPr>
      <w:r>
        <w:rPr>
          <w:rFonts w:ascii="Arial" w:cs="Arial" w:eastAsia="Arial" w:hAnsi="Arial"/>
          <w:sz w:val="20"/>
          <w:szCs w:val="20"/>
          <w:color w:val="auto"/>
        </w:rPr>
        <w:t>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 CECO is listed on Nasdaq under the ticker symbol "CECE". For more information, please visit www.cecoenviro.com.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ind w:right="8540" w:firstLine="8"/>
        <w:spacing w:after="0" w:line="257"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5511165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5665470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8160" w:type="dxa"/>
            <w:vAlign w:val="bottom"/>
            <w:vMerge w:val="restart"/>
          </w:tcPr>
          <w:p>
            <w:pPr>
              <w:ind w:left="3460"/>
              <w:spacing w:after="0"/>
              <w:rPr>
                <w:sz w:val="20"/>
                <w:szCs w:val="20"/>
                <w:color w:val="auto"/>
              </w:rPr>
            </w:pPr>
            <w:r>
              <w:rPr>
                <w:rFonts w:ascii="Arial" w:cs="Arial" w:eastAsia="Arial" w:hAnsi="Arial"/>
                <w:sz w:val="18"/>
                <w:szCs w:val="18"/>
                <w:b w:val="1"/>
                <w:bCs w:val="1"/>
                <w:color w:val="auto"/>
              </w:rPr>
              <w:t>CECO ENVIRONMENTAL CORP. AND SUBSIDIARIES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198"/>
        </w:trPr>
        <w:tc>
          <w:tcPr>
            <w:tcW w:w="8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60" w:type="dxa"/>
            <w:vAlign w:val="bottom"/>
          </w:tcPr>
          <w:p>
            <w:pPr>
              <w:ind w:left="3560"/>
              <w:spacing w:after="0"/>
              <w:rPr>
                <w:sz w:val="20"/>
                <w:szCs w:val="20"/>
                <w:color w:val="auto"/>
              </w:rPr>
            </w:pPr>
            <w:r>
              <w:rPr>
                <w:rFonts w:ascii="Arial" w:cs="Arial" w:eastAsia="Arial" w:hAnsi="Arial"/>
                <w:sz w:val="18"/>
                <w:szCs w:val="18"/>
                <w:b w:val="1"/>
                <w:bCs w:val="1"/>
                <w:color w:val="auto"/>
              </w:rPr>
              <w:t>CONDENSED CONSOLIDATED BALANCE SHEETS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1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00" w:type="dxa"/>
            <w:vAlign w:val="bottom"/>
          </w:tcPr>
          <w:p>
            <w:pPr>
              <w:spacing w:after="0"/>
              <w:rPr>
                <w:sz w:val="24"/>
                <w:szCs w:val="2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JUNE 30, 2019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3"/>
              </w:rPr>
              <w:t>DECEMBER 31, 2018</w:t>
            </w:r>
          </w:p>
        </w:tc>
        <w:tc>
          <w:tcPr>
            <w:tcW w:w="0" w:type="dxa"/>
            <w:vAlign w:val="bottom"/>
          </w:tcPr>
          <w:p>
            <w:pPr>
              <w:spacing w:after="0"/>
              <w:rPr>
                <w:sz w:val="1"/>
                <w:szCs w:val="1"/>
                <w:color w:val="auto"/>
              </w:rPr>
            </w:pPr>
          </w:p>
        </w:tc>
      </w:tr>
      <w:tr>
        <w:trPr>
          <w:trHeight w:val="223"/>
        </w:trPr>
        <w:tc>
          <w:tcPr>
            <w:tcW w:w="8160" w:type="dxa"/>
            <w:vAlign w:val="bottom"/>
            <w:tcBorders>
              <w:top w:val="single" w:sz="8" w:color="CFF0FC"/>
            </w:tcBorders>
            <w:shd w:val="clear" w:color="auto" w:fill="CFF0FC"/>
          </w:tcPr>
          <w:p>
            <w:pPr>
              <w:ind w:left="366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28,828</w:t>
            </w:r>
          </w:p>
        </w:tc>
        <w:tc>
          <w:tcPr>
            <w:tcW w:w="2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60,037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32,205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12,754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160,514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11,858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152,199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391,726</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160" w:type="dxa"/>
            <w:vAlign w:val="bottom"/>
            <w:shd w:val="clear" w:color="auto" w:fill="CFF0FC"/>
          </w:tcPr>
          <w:p>
            <w:pPr>
              <w:ind w:left="20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75,084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Note payable</w:t>
            </w:r>
          </w:p>
        </w:tc>
        <w:tc>
          <w:tcPr>
            <w:tcW w:w="20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99,599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Debt, less 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72,539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 net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209,157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20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100,000,000 shares authorized, 35,180,060 and</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34,953,825 shares issued and outstanding at June 30, 2019 and December 31,</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2018, respectively</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252,916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loss</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(56,668)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(59,427)</w:t>
            </w: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(13,675)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(13,415)</w:t>
            </w:r>
          </w:p>
        </w:tc>
        <w:tc>
          <w:tcPr>
            <w:tcW w:w="0" w:type="dxa"/>
            <w:vAlign w:val="bottom"/>
          </w:tcPr>
          <w:p>
            <w:pPr>
              <w:spacing w:after="0"/>
              <w:rPr>
                <w:sz w:val="1"/>
                <w:szCs w:val="1"/>
                <w:color w:val="auto"/>
              </w:rPr>
            </w:pPr>
          </w:p>
        </w:tc>
      </w:tr>
      <w:tr>
        <w:trPr>
          <w:trHeight w:val="223"/>
        </w:trPr>
        <w:tc>
          <w:tcPr>
            <w:tcW w:w="8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182,925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Less treasury stock, at cost, 137,920 shares at March 31, 2019 and December 31, 2018</w:t>
            </w:r>
          </w:p>
        </w:tc>
        <w:tc>
          <w:tcPr>
            <w:tcW w:w="2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8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182,569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391,726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tcBorders>
              <w:bottom w:val="single" w:sz="8" w:color="D9D9D9"/>
            </w:tcBorders>
          </w:tcPr>
          <w:p>
            <w:pPr>
              <w:spacing w:after="0"/>
              <w:rPr>
                <w:sz w:val="17"/>
                <w:szCs w:val="17"/>
                <w:color w:val="auto"/>
              </w:rPr>
            </w:pPr>
          </w:p>
        </w:tc>
        <w:tc>
          <w:tcPr>
            <w:tcW w:w="200" w:type="dxa"/>
            <w:vAlign w:val="bottom"/>
            <w:tcBorders>
              <w:bottom w:val="single" w:sz="8" w:color="D9D9D9"/>
            </w:tcBorders>
          </w:tcPr>
          <w:p>
            <w:pPr>
              <w:spacing w:after="0"/>
              <w:rPr>
                <w:sz w:val="17"/>
                <w:szCs w:val="17"/>
                <w:color w:val="auto"/>
              </w:rPr>
            </w:pPr>
          </w:p>
        </w:tc>
        <w:tc>
          <w:tcPr>
            <w:tcW w:w="1240" w:type="dxa"/>
            <w:vAlign w:val="bottom"/>
            <w:tcBorders>
              <w:bottom w:val="single" w:sz="8" w:color="D9D9D9"/>
            </w:tcBorders>
          </w:tcPr>
          <w:p>
            <w:pPr>
              <w:spacing w:after="0"/>
              <w:rPr>
                <w:sz w:val="17"/>
                <w:szCs w:val="17"/>
                <w:color w:val="auto"/>
              </w:rPr>
            </w:pPr>
          </w:p>
        </w:tc>
        <w:tc>
          <w:tcPr>
            <w:tcW w:w="260" w:type="dxa"/>
            <w:vAlign w:val="bottom"/>
            <w:tcBorders>
              <w:bottom w:val="single" w:sz="8" w:color="D9D9D9"/>
            </w:tcBorders>
          </w:tcPr>
          <w:p>
            <w:pPr>
              <w:spacing w:after="0"/>
              <w:rPr>
                <w:sz w:val="17"/>
                <w:szCs w:val="17"/>
                <w:color w:val="auto"/>
              </w:rPr>
            </w:pPr>
          </w:p>
        </w:tc>
        <w:tc>
          <w:tcPr>
            <w:tcW w:w="20" w:type="dxa"/>
            <w:vAlign w:val="bottom"/>
            <w:tcBorders>
              <w:bottom w:val="single" w:sz="8" w:color="D9D9D9"/>
            </w:tcBorders>
          </w:tcPr>
          <w:p>
            <w:pPr>
              <w:spacing w:after="0"/>
              <w:rPr>
                <w:sz w:val="17"/>
                <w:szCs w:val="17"/>
                <w:color w:val="auto"/>
              </w:rPr>
            </w:pPr>
          </w:p>
        </w:tc>
        <w:tc>
          <w:tcPr>
            <w:tcW w:w="80" w:type="dxa"/>
            <w:vAlign w:val="bottom"/>
            <w:tcBorders>
              <w:bottom w:val="single" w:sz="8" w:color="D9D9D9"/>
            </w:tcBorders>
          </w:tcPr>
          <w:p>
            <w:pPr>
              <w:spacing w:after="0"/>
              <w:rPr>
                <w:sz w:val="17"/>
                <w:szCs w:val="17"/>
                <w:color w:val="auto"/>
              </w:rPr>
            </w:pPr>
          </w:p>
        </w:tc>
        <w:tc>
          <w:tcPr>
            <w:tcW w:w="1360" w:type="dxa"/>
            <w:vAlign w:val="bottom"/>
            <w:tcBorders>
              <w:bottom w:val="single" w:sz="8" w:color="D9D9D9"/>
            </w:tcBorders>
          </w:tcPr>
          <w:p>
            <w:pPr>
              <w:spacing w:after="0"/>
              <w:rPr>
                <w:sz w:val="17"/>
                <w:szCs w:val="17"/>
                <w:color w:val="auto"/>
              </w:rPr>
            </w:pPr>
          </w:p>
        </w:tc>
        <w:tc>
          <w:tcPr>
            <w:tcW w:w="100" w:type="dxa"/>
            <w:vAlign w:val="bottom"/>
            <w:tcBorders>
              <w:bottom w:val="single" w:sz="8" w:color="D9D9D9"/>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160" w:type="dxa"/>
            <w:vAlign w:val="bottom"/>
            <w:tcBorders>
              <w:bottom w:val="single" w:sz="8" w:color="D9D9D9"/>
            </w:tcBorders>
          </w:tcPr>
          <w:p>
            <w:pPr>
              <w:spacing w:after="0"/>
              <w:rPr>
                <w:sz w:val="19"/>
                <w:szCs w:val="19"/>
                <w:color w:val="auto"/>
              </w:rPr>
            </w:pPr>
          </w:p>
        </w:tc>
        <w:tc>
          <w:tcPr>
            <w:tcW w:w="200" w:type="dxa"/>
            <w:vAlign w:val="bottom"/>
            <w:tcBorders>
              <w:bottom w:val="single" w:sz="8" w:color="D9D9D9"/>
            </w:tcBorders>
          </w:tcPr>
          <w:p>
            <w:pPr>
              <w:spacing w:after="0"/>
              <w:rPr>
                <w:sz w:val="19"/>
                <w:szCs w:val="19"/>
                <w:color w:val="auto"/>
              </w:rPr>
            </w:pPr>
          </w:p>
        </w:tc>
        <w:tc>
          <w:tcPr>
            <w:tcW w:w="124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36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left="10540"/>
        <w:spacing w:after="0"/>
        <w:rPr>
          <w:sz w:val="20"/>
          <w:szCs w:val="20"/>
          <w:color w:val="auto"/>
        </w:rPr>
      </w:pPr>
      <w:r>
        <w:rPr>
          <w:rFonts w:ascii="Arial" w:cs="Arial" w:eastAsia="Arial" w:hAnsi="Arial"/>
          <w:sz w:val="16"/>
          <w:szCs w:val="16"/>
          <w:color w:val="auto"/>
        </w:rPr>
        <w:t>Exhibit 99.1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160" w:type="dxa"/>
            <w:vAlign w:val="bottom"/>
          </w:tcPr>
          <w:p>
            <w:pPr>
              <w:spacing w:after="0"/>
              <w:rPr>
                <w:sz w:val="14"/>
                <w:szCs w:val="14"/>
                <w:color w:val="auto"/>
              </w:rPr>
            </w:pPr>
          </w:p>
        </w:tc>
        <w:tc>
          <w:tcPr>
            <w:tcW w:w="2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25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64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81,179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81,089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111,911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21,967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Loss (gain) on divestitures, net of selling costs</w:t>
            </w:r>
          </w:p>
        </w:tc>
        <w:tc>
          <w:tcPr>
            <w:tcW w:w="16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(11,104)</w:t>
            </w: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w:t>
            </w: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(1,460)</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(1,793)</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23"/>
        </w:trPr>
        <w:tc>
          <w:tcPr>
            <w:tcW w:w="5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(4,149)</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34,923,587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34,669,810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34,879,811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34,631,519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35,582,727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34,669,810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35,471,628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34,715,141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702945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40" w:type="dxa"/>
            <w:vAlign w:val="bottom"/>
            <w:gridSpan w:val="17"/>
            <w:vMerge w:val="restart"/>
          </w:tcPr>
          <w:p>
            <w:pPr>
              <w:ind w:left="3440"/>
              <w:spacing w:after="0"/>
              <w:rPr>
                <w:sz w:val="20"/>
                <w:szCs w:val="20"/>
                <w:color w:val="auto"/>
              </w:rPr>
            </w:pPr>
            <w:r>
              <w:rPr>
                <w:rFonts w:ascii="Arial" w:cs="Arial" w:eastAsia="Arial" w:hAnsi="Arial"/>
                <w:sz w:val="18"/>
                <w:szCs w:val="18"/>
                <w:b w:val="1"/>
                <w:bCs w:val="1"/>
                <w:color w:val="auto"/>
              </w:rPr>
              <w:t>CECO ENVIRONMENTAL CORP. AND SUBSIDIARIES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40" w:type="dxa"/>
            <w:vAlign w:val="bottom"/>
            <w:gridSpan w:val="17"/>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17"/>
          </w:tcPr>
          <w:p>
            <w:pPr>
              <w:ind w:left="3280"/>
              <w:spacing w:after="0"/>
              <w:rPr>
                <w:sz w:val="20"/>
                <w:szCs w:val="20"/>
                <w:color w:val="auto"/>
              </w:rPr>
            </w:pPr>
            <w:r>
              <w:rPr>
                <w:rFonts w:ascii="Arial" w:cs="Arial" w:eastAsia="Arial" w:hAnsi="Arial"/>
                <w:sz w:val="18"/>
                <w:szCs w:val="18"/>
                <w:b w:val="1"/>
                <w:bCs w:val="1"/>
                <w:color w:val="auto"/>
              </w:rPr>
              <w:t>RECONCILIATION OF GAAP TO NON-GAAP MEASURES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12"/>
          </w:tcPr>
          <w:p>
            <w:pPr>
              <w:jc w:val="right"/>
              <w:ind w:right="620"/>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6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as reported in accordance with GAAP</w:t>
            </w:r>
          </w:p>
        </w:tc>
        <w:tc>
          <w:tcPr>
            <w:tcW w:w="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81.1</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167.2</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155.2</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Less revenue attributable to divestitures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Organic revenue</w:t>
            </w:r>
          </w:p>
        </w:tc>
        <w:tc>
          <w:tcPr>
            <w:tcW w:w="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79.9</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167.2</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147.5</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94"/>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12"/>
          </w:tcPr>
          <w:p>
            <w:pPr>
              <w:jc w:val="right"/>
              <w:ind w:right="740"/>
              <w:spacing w:after="0"/>
              <w:rPr>
                <w:sz w:val="20"/>
                <w:szCs w:val="20"/>
                <w:color w:val="auto"/>
              </w:rPr>
            </w:pPr>
            <w:r>
              <w:rPr>
                <w:rFonts w:ascii="Arial" w:cs="Arial" w:eastAsia="Arial" w:hAnsi="Arial"/>
                <w:sz w:val="14"/>
                <w:szCs w:val="14"/>
                <w:b w:val="1"/>
                <w:bCs w:val="1"/>
                <w:color w:val="auto"/>
                <w:w w:val="94"/>
              </w:rPr>
              <w:t>Three Months Ended June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10"/>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6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i w:val="1"/>
                <w:iCs w:val="1"/>
                <w:color w:val="auto"/>
              </w:rPr>
              <w:t>Operating margin in accordance with GAAP</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i w:val="1"/>
                <w:iCs w:val="1"/>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i w:val="1"/>
                <w:iCs w:val="1"/>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and earnout expenses</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Loss (gain) on divestitures, net of selling costs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Restructuring expenses</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6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Non-GAAP operating margin</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i w:val="1"/>
                <w:iCs w:val="1"/>
                <w:color w:val="auto"/>
              </w:rPr>
              <w:t>5.4%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i w:val="1"/>
                <w:iCs w:val="1"/>
                <w:color w:val="auto"/>
              </w:rPr>
              <w:t>6.4%</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i w:val="1"/>
                <w:iCs w:val="1"/>
                <w:color w:val="auto"/>
              </w:rPr>
              <w:t>6.9%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5.9%</w:t>
            </w:r>
          </w:p>
        </w:tc>
        <w:tc>
          <w:tcPr>
            <w:tcW w:w="0" w:type="dxa"/>
            <w:vAlign w:val="bottom"/>
          </w:tcPr>
          <w:p>
            <w:pPr>
              <w:spacing w:after="0"/>
              <w:rPr>
                <w:sz w:val="1"/>
                <w:szCs w:val="1"/>
                <w:color w:val="auto"/>
              </w:rPr>
            </w:pPr>
          </w:p>
        </w:tc>
      </w:tr>
      <w:tr>
        <w:trPr>
          <w:trHeight w:val="581"/>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12"/>
          </w:tcPr>
          <w:p>
            <w:pPr>
              <w:jc w:val="center"/>
              <w:ind w:right="260"/>
              <w:spacing w:after="0"/>
              <w:rPr>
                <w:sz w:val="20"/>
                <w:szCs w:val="20"/>
                <w:color w:val="auto"/>
              </w:rPr>
            </w:pPr>
            <w:r>
              <w:rPr>
                <w:rFonts w:ascii="Arial" w:cs="Arial" w:eastAsia="Arial" w:hAnsi="Arial"/>
                <w:sz w:val="14"/>
                <w:szCs w:val="14"/>
                <w:b w:val="1"/>
                <w:bCs w:val="1"/>
                <w:color w:val="auto"/>
                <w:w w:val="93"/>
              </w:rPr>
              <w:t>Three Months Ended June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6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 as reported in accordance with GAAP</w:t>
            </w:r>
          </w:p>
        </w:tc>
        <w:tc>
          <w:tcPr>
            <w:tcW w:w="900" w:type="dxa"/>
            <w:vAlign w:val="bottom"/>
            <w:gridSpan w:val="3"/>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gridSpan w:val="3"/>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CFF0FC"/>
          </w:tcPr>
          <w:p>
            <w:pPr>
              <w:spacing w:after="0" w:line="20" w:lineRule="exact"/>
              <w:rPr>
                <w:sz w:val="1"/>
                <w:szCs w:val="1"/>
                <w:color w:val="auto"/>
              </w:rPr>
            </w:pPr>
          </w:p>
        </w:tc>
        <w:tc>
          <w:tcPr>
            <w:tcW w:w="220" w:type="dxa"/>
            <w:vAlign w:val="bottom"/>
            <w:gridSpan w:val="3"/>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gridSpan w:val="2"/>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vMerge w:val="continue"/>
            <w:shd w:val="clear" w:color="auto" w:fill="CFF0FC"/>
          </w:tcPr>
          <w:p>
            <w:pPr>
              <w:spacing w:after="0"/>
              <w:rPr>
                <w:sz w:val="19"/>
                <w:szCs w:val="19"/>
                <w:color w:val="auto"/>
              </w:rPr>
            </w:pPr>
          </w:p>
        </w:tc>
        <w:tc>
          <w:tcPr>
            <w:tcW w:w="900" w:type="dxa"/>
            <w:vAlign w:val="bottom"/>
            <w:gridSpan w:val="3"/>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9"/>
                <w:szCs w:val="19"/>
                <w:color w:val="auto"/>
              </w:rPr>
            </w:pPr>
          </w:p>
        </w:tc>
        <w:tc>
          <w:tcPr>
            <w:tcW w:w="200" w:type="dxa"/>
            <w:vAlign w:val="bottom"/>
            <w:gridSpan w:val="3"/>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(0.9)</w:t>
            </w:r>
          </w:p>
        </w:tc>
        <w:tc>
          <w:tcPr>
            <w:tcW w:w="220" w:type="dxa"/>
            <w:vAlign w:val="bottom"/>
            <w:gridSpan w:val="3"/>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19"/>
                <w:szCs w:val="19"/>
                <w:color w:val="auto"/>
              </w:rPr>
            </w:pPr>
          </w:p>
        </w:tc>
        <w:tc>
          <w:tcPr>
            <w:tcW w:w="18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Amortization and earnout expenses, net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Gain on divestiture, net of selling costs</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Restructuring expense</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financing fee adjustment</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Foreign currency remeasurement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Tax (benefit) expense of adjustments</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(0.9)</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Zhongli tax benefit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w:t>
            </w:r>
          </w:p>
        </w:tc>
        <w:tc>
          <w:tcPr>
            <w:tcW w:w="900" w:type="dxa"/>
            <w:vAlign w:val="bottom"/>
            <w:tcBorders>
              <w:top w:val="single" w:sz="8" w:color="CFF0FC"/>
            </w:tcBorders>
            <w:gridSpan w:val="3"/>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3"/>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gridSpan w:val="3"/>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gridSpan w:val="2"/>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Non-cash stock compensation</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Other income</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Income tax expense</w:t>
            </w:r>
          </w:p>
        </w:tc>
        <w:tc>
          <w:tcPr>
            <w:tcW w:w="6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Adjusted EBITDA</w:t>
            </w:r>
          </w:p>
        </w:tc>
        <w:tc>
          <w:tcPr>
            <w:tcW w:w="900" w:type="dxa"/>
            <w:vAlign w:val="bottom"/>
            <w:gridSpan w:val="3"/>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Basic</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9"/>
                <w:szCs w:val="19"/>
                <w:color w:val="auto"/>
              </w:rPr>
            </w:pPr>
          </w:p>
        </w:tc>
        <w:tc>
          <w:tcPr>
            <w:tcW w:w="40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(0.03)</w:t>
            </w:r>
          </w:p>
        </w:tc>
        <w:tc>
          <w:tcPr>
            <w:tcW w:w="420" w:type="dxa"/>
            <w:vAlign w:val="bottom"/>
            <w:gridSpan w:val="4"/>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9"/>
                <w:szCs w:val="19"/>
                <w:color w:val="auto"/>
              </w:rPr>
            </w:pP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0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FF0FC"/>
          </w:tcPr>
          <w:p>
            <w:pPr>
              <w:spacing w:after="0"/>
              <w:rPr>
                <w:sz w:val="19"/>
                <w:szCs w:val="19"/>
                <w:color w:val="auto"/>
              </w:rPr>
            </w:pPr>
          </w:p>
        </w:tc>
        <w:tc>
          <w:tcPr>
            <w:tcW w:w="400" w:type="dxa"/>
            <w:vAlign w:val="bottom"/>
            <w:gridSpan w:val="4"/>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(0.03)</w:t>
            </w:r>
          </w:p>
        </w:tc>
        <w:tc>
          <w:tcPr>
            <w:tcW w:w="420" w:type="dxa"/>
            <w:vAlign w:val="bottom"/>
            <w:gridSpan w:val="4"/>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Non-GAAP net income per share:</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Basic</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40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4"/>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0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FF0FC"/>
          </w:tcPr>
          <w:p>
            <w:pPr>
              <w:spacing w:after="0"/>
              <w:rPr>
                <w:sz w:val="19"/>
                <w:szCs w:val="19"/>
                <w:color w:val="auto"/>
              </w:rPr>
            </w:pPr>
          </w:p>
        </w:tc>
        <w:tc>
          <w:tcPr>
            <w:tcW w:w="400" w:type="dxa"/>
            <w:vAlign w:val="bottom"/>
            <w:gridSpan w:val="4"/>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gridSpan w:val="4"/>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D9D9D9"/>
            </w:tcBorders>
          </w:tcPr>
          <w:p>
            <w:pPr>
              <w:spacing w:after="0"/>
              <w:rPr>
                <w:sz w:val="18"/>
                <w:szCs w:val="18"/>
                <w:color w:val="auto"/>
              </w:rPr>
            </w:pPr>
          </w:p>
        </w:tc>
        <w:tc>
          <w:tcPr>
            <w:tcW w:w="600" w:type="dxa"/>
            <w:vAlign w:val="bottom"/>
            <w:tcBorders>
              <w:bottom w:val="single" w:sz="8" w:color="D9D9D9"/>
            </w:tcBorders>
          </w:tcPr>
          <w:p>
            <w:pPr>
              <w:spacing w:after="0"/>
              <w:rPr>
                <w:sz w:val="18"/>
                <w:szCs w:val="18"/>
                <w:color w:val="auto"/>
              </w:rPr>
            </w:pPr>
          </w:p>
        </w:tc>
        <w:tc>
          <w:tcPr>
            <w:tcW w:w="16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820" w:type="dxa"/>
            <w:vAlign w:val="bottom"/>
            <w:tcBorders>
              <w:bottom w:val="single" w:sz="8" w:color="D9D9D9"/>
            </w:tcBorders>
          </w:tcPr>
          <w:p>
            <w:pPr>
              <w:spacing w:after="0"/>
              <w:rPr>
                <w:sz w:val="18"/>
                <w:szCs w:val="18"/>
                <w:color w:val="auto"/>
              </w:rPr>
            </w:pPr>
          </w:p>
        </w:tc>
        <w:tc>
          <w:tcPr>
            <w:tcW w:w="20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200" w:type="dxa"/>
            <w:vAlign w:val="bottom"/>
            <w:tcBorders>
              <w:bottom w:val="single" w:sz="8" w:color="D9D9D9"/>
            </w:tcBorders>
          </w:tcPr>
          <w:p>
            <w:pPr>
              <w:spacing w:after="0"/>
              <w:rPr>
                <w:sz w:val="18"/>
                <w:szCs w:val="18"/>
                <w:color w:val="auto"/>
              </w:rPr>
            </w:pPr>
          </w:p>
        </w:tc>
        <w:tc>
          <w:tcPr>
            <w:tcW w:w="88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200" w:type="dxa"/>
            <w:vAlign w:val="bottom"/>
            <w:tcBorders>
              <w:bottom w:val="single" w:sz="8" w:color="D9D9D9"/>
            </w:tcBorders>
          </w:tcPr>
          <w:p>
            <w:pPr>
              <w:spacing w:after="0"/>
              <w:rPr>
                <w:sz w:val="18"/>
                <w:szCs w:val="18"/>
                <w:color w:val="auto"/>
              </w:rPr>
            </w:pPr>
          </w:p>
        </w:tc>
        <w:tc>
          <w:tcPr>
            <w:tcW w:w="90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60" w:type="dxa"/>
            <w:vAlign w:val="bottom"/>
            <w:tcBorders>
              <w:bottom w:val="single" w:sz="8" w:color="D9D9D9"/>
            </w:tcBorders>
          </w:tcPr>
          <w:p>
            <w:pPr>
              <w:spacing w:after="0"/>
              <w:rPr>
                <w:sz w:val="18"/>
                <w:szCs w:val="18"/>
                <w:color w:val="auto"/>
              </w:rPr>
            </w:pPr>
          </w:p>
        </w:tc>
        <w:tc>
          <w:tcPr>
            <w:tcW w:w="940" w:type="dxa"/>
            <w:vAlign w:val="bottom"/>
            <w:tcBorders>
              <w:bottom w:val="single" w:sz="8" w:color="D9D9D9"/>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D9D9D9"/>
            </w:tcBorders>
          </w:tcPr>
          <w:p>
            <w:pPr>
              <w:spacing w:after="0"/>
              <w:rPr>
                <w:sz w:val="19"/>
                <w:szCs w:val="19"/>
                <w:color w:val="auto"/>
              </w:rPr>
            </w:pPr>
          </w:p>
        </w:tc>
        <w:tc>
          <w:tcPr>
            <w:tcW w:w="600" w:type="dxa"/>
            <w:vAlign w:val="bottom"/>
            <w:tcBorders>
              <w:bottom w:val="single" w:sz="8" w:color="D9D9D9"/>
            </w:tcBorders>
          </w:tcPr>
          <w:p>
            <w:pPr>
              <w:spacing w:after="0"/>
              <w:rPr>
                <w:sz w:val="19"/>
                <w:szCs w:val="19"/>
                <w:color w:val="auto"/>
              </w:rPr>
            </w:pPr>
          </w:p>
        </w:tc>
        <w:tc>
          <w:tcPr>
            <w:tcW w:w="16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820" w:type="dxa"/>
            <w:vAlign w:val="bottom"/>
            <w:tcBorders>
              <w:bottom w:val="single" w:sz="8" w:color="D9D9D9"/>
            </w:tcBorders>
          </w:tcPr>
          <w:p>
            <w:pPr>
              <w:spacing w:after="0"/>
              <w:rPr>
                <w:sz w:val="19"/>
                <w:szCs w:val="19"/>
                <w:color w:val="auto"/>
              </w:rPr>
            </w:pPr>
          </w:p>
        </w:tc>
        <w:tc>
          <w:tcPr>
            <w:tcW w:w="20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200" w:type="dxa"/>
            <w:vAlign w:val="bottom"/>
            <w:tcBorders>
              <w:bottom w:val="single" w:sz="8" w:color="D9D9D9"/>
            </w:tcBorders>
          </w:tcPr>
          <w:p>
            <w:pPr>
              <w:spacing w:after="0"/>
              <w:rPr>
                <w:sz w:val="19"/>
                <w:szCs w:val="19"/>
                <w:color w:val="auto"/>
              </w:rPr>
            </w:pPr>
          </w:p>
        </w:tc>
        <w:tc>
          <w:tcPr>
            <w:tcW w:w="88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200" w:type="dxa"/>
            <w:vAlign w:val="bottom"/>
            <w:tcBorders>
              <w:bottom w:val="single" w:sz="8" w:color="D9D9D9"/>
            </w:tcBorders>
          </w:tcPr>
          <w:p>
            <w:pPr>
              <w:spacing w:after="0"/>
              <w:rPr>
                <w:sz w:val="19"/>
                <w:szCs w:val="19"/>
                <w:color w:val="auto"/>
              </w:rPr>
            </w:pPr>
          </w:p>
        </w:tc>
        <w:tc>
          <w:tcPr>
            <w:tcW w:w="90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94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189"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CECO is providing organic revenue for comparability purposes given the impact of divestitures. A "non-GAAP financial measure" is a numerical measure of a company's historical financial performance that excludes amounts that are included in the most directly comparable measure calculated and presented in the GAAP statement of operations.</w:t>
      </w:r>
    </w:p>
    <w:p>
      <w:pPr>
        <w:spacing w:after="0" w:line="213"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as we present them in the financial data included in this press release, have been adjusted to exclude the effects of transactions related to loss on divestitures, net of selling costs, acquisition and integration expense activities including retention, legal, accounting, banking, amortization and contingent earn-out expenses, foreign currency re-measurement, other nonrecurring or infrequent items and the associated tax benefit of these items. Organic revenue, as we present them in the financial data included in this press release, excludes revenue attributable to divested businesses.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214" w:lineRule="exact"/>
        <w:rPr>
          <w:sz w:val="20"/>
          <w:szCs w:val="20"/>
          <w:color w:val="auto"/>
        </w:rPr>
      </w:pPr>
    </w:p>
    <w:p>
      <w:pPr>
        <w:ind w:right="300"/>
        <w:spacing w:after="0" w:line="228" w:lineRule="auto"/>
        <w:rPr>
          <w:sz w:val="20"/>
          <w:szCs w:val="20"/>
          <w:color w:val="auto"/>
        </w:rPr>
      </w:pPr>
      <w:r>
        <w:rPr>
          <w:rFonts w:ascii="Arial" w:cs="Arial" w:eastAsia="Arial" w:hAnsi="Arial"/>
          <w:sz w:val="20"/>
          <w:szCs w:val="20"/>
          <w:color w:val="auto"/>
        </w:rPr>
        <w:t>Organic revenue, 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213" w:lineRule="exact"/>
        <w:rPr>
          <w:sz w:val="20"/>
          <w:szCs w:val="20"/>
          <w:color w:val="auto"/>
        </w:rPr>
      </w:pPr>
    </w:p>
    <w:p>
      <w:pPr>
        <w:ind w:right="140"/>
        <w:spacing w:after="0" w:line="231"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organic revenue, non-GAAP operating income, non-GAAP net income, non-GAAP operating margin, non-GAAP earnings per basic and diluted share and adjusted EBITDA stated in the tables above present the most directly comparable GAAP financial measure and reconcile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226" w:lineRule="exact"/>
        <w:rPr>
          <w:sz w:val="20"/>
          <w:szCs w:val="20"/>
          <w:color w:val="auto"/>
        </w:rPr>
      </w:pPr>
    </w:p>
    <w:p>
      <w:pPr>
        <w:ind w:right="20" w:firstLine="518"/>
        <w:spacing w:after="0"/>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2018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our service areas; dependence on fixed price contracts and the risks associated therewith, including actual costs exceeding estimates and method of accounting for revenue; fluctuations in operating results from period to period due to cyclicality or seasonality of the business; the effect of growth on our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our ability to successfully complete the divestitures of non-core assets and the effect of competition in the industries served by our Energy Solutions segment, Industrial Solutions segment and Fluid Handling Solutions segment.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535940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2019-11-30T09:44:13Z</dcterms:created>
  <dcterms:modified xsi:type="dcterms:W3CDTF">2019-11-30T09:44:13Z</dcterms:modified>
</cp:coreProperties>
</file>