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 w:lineRule="exact"/>
        <w:rPr>
          <w:sz w:val="24"/>
          <w:szCs w:val="24"/>
          <w:color w:val="auto"/>
        </w:rPr>
      </w:pPr>
    </w:p>
    <w:p>
      <w:pPr>
        <w:ind w:left="540" w:hanging="519"/>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 w:lineRule="exact"/>
        <w:rPr>
          <w:sz w:val="24"/>
          <w:szCs w:val="24"/>
          <w:color w:val="auto"/>
        </w:rPr>
      </w:pPr>
    </w:p>
    <w:p>
      <w:pPr>
        <w:ind w:left="540" w:hanging="519"/>
        <w:spacing w:after="0"/>
        <w:tabs>
          <w:tab w:leader="none" w:pos="5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6"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3590925</wp:posOffset>
            </wp:positionH>
            <wp:positionV relativeFrom="paragraph">
              <wp:posOffset>-5080</wp:posOffset>
            </wp:positionV>
            <wp:extent cx="628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191135</wp:posOffset>
            </wp:positionV>
            <wp:extent cx="71120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790" w:type="dxa"/>
        <w:tblCellMar>
          <w:top w:w="0" w:type="dxa"/>
          <w:left w:w="0" w:type="dxa"/>
          <w:bottom w:w="0" w:type="dxa"/>
          <w:right w:w="0" w:type="dxa"/>
        </w:tblCellMar>
      </w:tblPr>
      <w:tr>
        <w:trPr>
          <w:trHeight w:val="238"/>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4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51"/>
        </w:trPr>
        <w:tc>
          <w:tcPr>
            <w:tcW w:w="3200" w:type="dxa"/>
            <w:vAlign w:val="bottom"/>
          </w:tcPr>
          <w:p>
            <w:pPr>
              <w:jc w:val="center"/>
              <w:ind w:left="677"/>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640" w:type="dxa"/>
            <w:vAlign w:val="bottom"/>
          </w:tcPr>
          <w:p>
            <w:pPr>
              <w:jc w:val="center"/>
              <w:ind w:right="860"/>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5080 Spectrum Drive</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Suite 800E</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38"/>
        </w:trPr>
        <w:tc>
          <w:tcPr>
            <w:tcW w:w="3200" w:type="dxa"/>
            <w:vAlign w:val="bottom"/>
          </w:tcPr>
          <w:p>
            <w:pPr>
              <w:jc w:val="center"/>
              <w:ind w:left="717"/>
              <w:spacing w:after="0"/>
              <w:rPr>
                <w:sz w:val="20"/>
                <w:szCs w:val="20"/>
                <w:color w:val="auto"/>
              </w:rPr>
            </w:pPr>
            <w:r>
              <w:rPr>
                <w:rFonts w:ascii="Times New Roman" w:cs="Times New Roman" w:eastAsia="Times New Roman" w:hAnsi="Times New Roman"/>
                <w:sz w:val="18"/>
                <w:szCs w:val="18"/>
                <w:b w:val="1"/>
                <w:bCs w:val="1"/>
                <w:color w:val="auto"/>
                <w:w w:val="98"/>
              </w:rPr>
              <w:t>Addison, Texas</w:t>
            </w:r>
          </w:p>
        </w:tc>
        <w:tc>
          <w:tcPr>
            <w:tcW w:w="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64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75001</w:t>
            </w:r>
          </w:p>
        </w:tc>
      </w:tr>
      <w:tr>
        <w:trPr>
          <w:trHeight w:val="193"/>
        </w:trPr>
        <w:tc>
          <w:tcPr>
            <w:tcW w:w="320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34"/>
        </w:trPr>
        <w:tc>
          <w:tcPr>
            <w:tcW w:w="10000" w:type="dxa"/>
            <w:vAlign w:val="bottom"/>
            <w:gridSpan w:val="4"/>
          </w:tcPr>
          <w:p>
            <w:pPr>
              <w:ind w:left="22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tc>
      </w:tr>
      <w:tr>
        <w:trPr>
          <w:trHeight w:val="326"/>
        </w:trPr>
        <w:tc>
          <w:tcPr>
            <w:tcW w:w="32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2"/>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Title of each class</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87"/>
        </w:trPr>
        <w:tc>
          <w:tcPr>
            <w:tcW w:w="3200" w:type="dxa"/>
            <w:vAlign w:val="bottom"/>
            <w:tcBorders>
              <w:left w:val="single" w:sz="8" w:color="auto"/>
              <w:bottom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2800" w:type="dxa"/>
            <w:vAlign w:val="bottom"/>
            <w:tcBorders>
              <w:bottom w:val="single" w:sz="8" w:color="auto"/>
              <w:right w:val="single" w:sz="8" w:color="auto"/>
            </w:tcBorders>
          </w:tcPr>
          <w:p>
            <w:pPr>
              <w:spacing w:after="0"/>
              <w:rPr>
                <w:sz w:val="7"/>
                <w:szCs w:val="7"/>
                <w:color w:val="auto"/>
              </w:rPr>
            </w:pPr>
          </w:p>
        </w:tc>
        <w:tc>
          <w:tcPr>
            <w:tcW w:w="3640" w:type="dxa"/>
            <w:vAlign w:val="bottom"/>
            <w:tcBorders>
              <w:bottom w:val="single" w:sz="8" w:color="auto"/>
              <w:right w:val="single" w:sz="8" w:color="auto"/>
            </w:tcBorders>
          </w:tcPr>
          <w:p>
            <w:pPr>
              <w:spacing w:after="0"/>
              <w:rPr>
                <w:sz w:val="7"/>
                <w:szCs w:val="7"/>
                <w:color w:val="auto"/>
              </w:rPr>
            </w:pPr>
          </w:p>
        </w:tc>
      </w:tr>
      <w:tr>
        <w:trPr>
          <w:trHeight w:val="190"/>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CECO</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56"/>
        </w:trPr>
        <w:tc>
          <w:tcPr>
            <w:tcW w:w="3200" w:type="dxa"/>
            <w:vAlign w:val="bottom"/>
            <w:tcBorders>
              <w:left w:val="single" w:sz="8" w:color="auto"/>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800" w:type="dxa"/>
            <w:vAlign w:val="bottom"/>
            <w:tcBorders>
              <w:bottom w:val="single" w:sz="8" w:color="auto"/>
              <w:right w:val="single" w:sz="8" w:color="auto"/>
            </w:tcBorders>
          </w:tcPr>
          <w:p>
            <w:pPr>
              <w:spacing w:after="0"/>
              <w:rPr>
                <w:sz w:val="4"/>
                <w:szCs w:val="4"/>
                <w:color w:val="auto"/>
              </w:rPr>
            </w:pPr>
          </w:p>
        </w:tc>
        <w:tc>
          <w:tcPr>
            <w:tcW w:w="3640" w:type="dxa"/>
            <w:vAlign w:val="bottom"/>
            <w:tcBorders>
              <w:bottom w:val="single" w:sz="8" w:color="auto"/>
              <w:right w:val="single" w:sz="8" w:color="auto"/>
            </w:tcBorders>
          </w:tcPr>
          <w:p>
            <w:pPr>
              <w:spacing w:after="0"/>
              <w:rPr>
                <w:sz w:val="4"/>
                <w:szCs w:val="4"/>
                <w:color w:val="auto"/>
              </w:rPr>
            </w:pPr>
          </w:p>
        </w:tc>
      </w:tr>
    </w:tbl>
    <w:p>
      <w:pPr>
        <w:spacing w:after="0" w:line="86" w:lineRule="exact"/>
        <w:rPr>
          <w:sz w:val="24"/>
          <w:szCs w:val="24"/>
          <w:color w:val="auto"/>
        </w:rPr>
      </w:pPr>
    </w:p>
    <w:p>
      <w:pPr>
        <w:jc w:val="both"/>
        <w:ind w:right="40" w:firstLine="26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0" w:firstLine="269"/>
        <w:spacing w:after="0" w:line="227"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260" w:firstLine="26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60" w:type="dxa"/>
        <w:tblCellMar>
          <w:top w:w="0" w:type="dxa"/>
          <w:left w:w="0" w:type="dxa"/>
          <w:bottom w:w="0" w:type="dxa"/>
          <w:right w:w="0" w:type="dxa"/>
        </w:tblCellMar>
      </w:tblPr>
      <w:tr>
        <w:trPr>
          <w:trHeight w:val="287"/>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4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Accelerated filer</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429"/>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4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640" w:type="dxa"/>
            <w:vAlign w:val="bottom"/>
          </w:tcPr>
          <w:p>
            <w:pPr>
              <w:ind w:left="4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3140" w:type="dxa"/>
            <w:vAlign w:val="bottom"/>
          </w:tcPr>
          <w:p>
            <w:pPr>
              <w:ind w:left="260"/>
              <w:spacing w:after="0" w:line="171" w:lineRule="exact"/>
              <w:rPr>
                <w:sz w:val="20"/>
                <w:szCs w:val="20"/>
                <w:color w:val="auto"/>
              </w:rPr>
            </w:pPr>
            <w:r>
              <w:rPr>
                <w:rFonts w:ascii="MS PGothic" w:cs="MS PGothic" w:eastAsia="MS PGothic" w:hAnsi="MS PGothic"/>
                <w:sz w:val="17"/>
                <w:szCs w:val="17"/>
                <w:color w:val="auto"/>
              </w:rPr>
              <w:t>☐</w:t>
            </w:r>
          </w:p>
        </w:tc>
        <w:tc>
          <w:tcPr>
            <w:tcW w:w="50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70" w:lineRule="exact"/>
        <w:rPr>
          <w:sz w:val="24"/>
          <w:szCs w:val="24"/>
          <w:color w:val="auto"/>
        </w:rPr>
      </w:pPr>
    </w:p>
    <w:p>
      <w:pPr>
        <w:ind w:right="260" w:firstLine="26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32" w:lineRule="exact"/>
        <w:rPr>
          <w:sz w:val="24"/>
          <w:szCs w:val="24"/>
          <w:color w:val="auto"/>
        </w:rPr>
      </w:pPr>
    </w:p>
    <w:p>
      <w:pPr>
        <w:ind w:left="280"/>
        <w:spacing w:after="0" w:line="196" w:lineRule="exact"/>
        <w:tabs>
          <w:tab w:leader="none" w:pos="882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63" w:lineRule="exact"/>
        <w:rPr>
          <w:sz w:val="24"/>
          <w:szCs w:val="24"/>
          <w:color w:val="auto"/>
        </w:rPr>
      </w:pPr>
    </w:p>
    <w:p>
      <w:pPr>
        <w:ind w:firstLine="269"/>
        <w:spacing w:after="0" w:line="259" w:lineRule="auto"/>
        <w:rPr>
          <w:sz w:val="20"/>
          <w:szCs w:val="20"/>
          <w:color w:val="auto"/>
        </w:rPr>
      </w:pPr>
      <w:r>
        <w:rPr>
          <w:rFonts w:ascii="Times New Roman" w:cs="Times New Roman" w:eastAsia="Times New Roman" w:hAnsi="Times New Roman"/>
          <w:sz w:val="17"/>
          <w:szCs w:val="17"/>
          <w:color w:val="auto"/>
        </w:rPr>
        <w:t>The number of shares outstanding of each of the issuer’s classes of common equity, as of the latest practical date: 34,979,018 shares of common stock, par value $0.01 per share, as of October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center"/>
        <w:ind w:left="68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31"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For the quarter ended September 30, 2024</w:t>
      </w:r>
    </w:p>
    <w:p>
      <w:pPr>
        <w:spacing w:after="0" w:line="95"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 –</w:t>
      </w:r>
      <w:r>
        <w:rPr>
          <w:sz w:val="20"/>
          <w:szCs w:val="20"/>
          <w:color w:val="auto"/>
        </w:rPr>
        <w:tab/>
      </w:r>
      <w:r>
        <w:rPr>
          <w:rFonts w:ascii="Times New Roman" w:cs="Times New Roman" w:eastAsia="Times New Roman" w:hAnsi="Times New Roman"/>
          <w:sz w:val="17"/>
          <w:szCs w:val="17"/>
          <w:u w:val="single" w:color="auto"/>
          <w:color w:val="0000FF"/>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999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9949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307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Balance Sheets as of September 30,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41757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75760"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Income for the 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5232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32400" cy="8890"/>
                    </a:xfrm>
                    <a:prstGeom prst="rect">
                      <a:avLst/>
                    </a:prstGeom>
                    <a:noFill/>
                  </pic:spPr>
                </pic:pic>
              </a:graphicData>
            </a:graphic>
          </wp:anchor>
        </w:drawing>
      </w:r>
    </w:p>
    <w:p>
      <w:pPr>
        <w:spacing w:after="0" w:line="165" w:lineRule="exact"/>
        <w:rPr>
          <w:sz w:val="20"/>
          <w:szCs w:val="20"/>
          <w:color w:val="auto"/>
        </w:rPr>
      </w:pPr>
    </w:p>
    <w:p>
      <w:pPr>
        <w:ind w:left="1560" w:hanging="219"/>
        <w:spacing w:after="0" w:line="282"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 and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-185420</wp:posOffset>
            </wp:positionV>
            <wp:extent cx="55556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55615" cy="8255"/>
                    </a:xfrm>
                    <a:prstGeom prst="rect">
                      <a:avLst/>
                    </a:prstGeom>
                    <a:noFill/>
                  </pic:spPr>
                </pic:pic>
              </a:graphicData>
            </a:graphic>
          </wp:anchor>
        </w:drawing>
        <w:drawing>
          <wp:anchor simplePos="0" relativeHeight="251657728" behindDoc="1" locked="0" layoutInCell="0" allowOverlap="1">
            <wp:simplePos x="0" y="0"/>
            <wp:positionH relativeFrom="column">
              <wp:posOffset>988695</wp:posOffset>
            </wp:positionH>
            <wp:positionV relativeFrom="paragraph">
              <wp:posOffset>-48260</wp:posOffset>
            </wp:positionV>
            <wp:extent cx="4216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1640" cy="8890"/>
                    </a:xfrm>
                    <a:prstGeom prst="rect">
                      <a:avLst/>
                    </a:prstGeom>
                    <a:noFill/>
                  </pic:spPr>
                </pic:pic>
              </a:graphicData>
            </a:graphic>
          </wp:anchor>
        </w:drawing>
      </w:r>
    </w:p>
    <w:p>
      <w:pPr>
        <w:spacing w:after="0" w:line="8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Shareholders’ Equity 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54070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7025"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nine months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497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5860" cy="8255"/>
                    </a:xfrm>
                    <a:prstGeom prst="rect">
                      <a:avLst/>
                    </a:prstGeom>
                    <a:noFill/>
                  </pic:spPr>
                </pic:pic>
              </a:graphicData>
            </a:graphic>
          </wp:anchor>
        </w:drawing>
      </w:r>
    </w:p>
    <w:p>
      <w:pPr>
        <w:spacing w:after="0" w:line="16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u w:val="single" w:color="auto"/>
          <w:color w:val="0000FF"/>
        </w:rPr>
        <w:t>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-7620</wp:posOffset>
            </wp:positionV>
            <wp:extent cx="25355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3555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44519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198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30873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8737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475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Part II –</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8343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34390"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199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0090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9015"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31127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12770"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827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7530"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4751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75105" cy="8255"/>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1186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6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568325</wp:posOffset>
            </wp:positionH>
            <wp:positionV relativeFrom="paragraph">
              <wp:posOffset>-7620</wp:posOffset>
            </wp:positionV>
            <wp:extent cx="7327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826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826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31</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2">
            <w:col w:w="10040" w:space="520"/>
            <w:col w:w="180"/>
          </w:cols>
          <w:pgMar w:left="580" w:top="981"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80" w:type="dxa"/>
            <w:vAlign w:val="bottom"/>
          </w:tcPr>
          <w:p>
            <w:pPr>
              <w:spacing w:after="0"/>
              <w:rPr>
                <w:sz w:val="16"/>
                <w:szCs w:val="16"/>
                <w:color w:val="auto"/>
              </w:rPr>
            </w:pPr>
          </w:p>
        </w:tc>
        <w:tc>
          <w:tcPr>
            <w:tcW w:w="18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 of $7,214 and $6,460</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276,266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32,306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220,026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621,512</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Pr>
          <w:p>
            <w:pPr>
              <w:spacing w:after="0"/>
              <w:rPr>
                <w:sz w:val="20"/>
                <w:szCs w:val="20"/>
                <w:color w:val="auto"/>
              </w:rPr>
            </w:pPr>
          </w:p>
        </w:tc>
      </w:tr>
      <w:tr>
        <w:trPr>
          <w:trHeight w:val="20"/>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92,316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43,762</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20"/>
                <w:szCs w:val="20"/>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213,159</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122,818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375,631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100" w:type="dxa"/>
            <w:vAlign w:val="bottom"/>
          </w:tcPr>
          <w:p>
            <w:pPr>
              <w:spacing w:after="0"/>
              <w:rPr>
                <w:sz w:val="20"/>
                <w:szCs w:val="20"/>
                <w:color w:val="auto"/>
              </w:rPr>
            </w:pPr>
          </w:p>
        </w:tc>
      </w:tr>
      <w:tr>
        <w:trPr>
          <w:trHeight w:val="241"/>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$.01 par value; 100,000,000 shares authorized, 34,979,018 and</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34,835,293 shares issued and outstanding at September 30, 2024 and December 31, 2023,</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r>
      <w:tr>
        <w:trPr>
          <w:trHeight w:val="250"/>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8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253,590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100" w:type="dxa"/>
            <w:vAlign w:val="bottom"/>
            <w:shd w:val="clear" w:color="auto" w:fill="CFF0FC"/>
          </w:tcPr>
          <w:p>
            <w:pPr>
              <w:spacing w:after="0"/>
              <w:rPr>
                <w:sz w:val="21"/>
                <w:szCs w:val="21"/>
                <w:color w:val="auto"/>
              </w:rPr>
            </w:pPr>
          </w:p>
        </w:tc>
      </w:tr>
      <w:tr>
        <w:trPr>
          <w:trHeight w:val="239"/>
        </w:trPr>
        <w:tc>
          <w:tcPr>
            <w:tcW w:w="7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loss)</w:t>
            </w: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(6,387 )</w:t>
            </w:r>
          </w:p>
        </w:tc>
      </w:tr>
      <w:tr>
        <w:trPr>
          <w:trHeight w:val="243"/>
        </w:trPr>
        <w:tc>
          <w:tcPr>
            <w:tcW w:w="7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(14,374 )</w:t>
            </w:r>
          </w:p>
        </w:tc>
        <w:tc>
          <w:tcPr>
            <w:tcW w:w="18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r>
      <w:tr>
        <w:trPr>
          <w:trHeight w:val="236"/>
        </w:trPr>
        <w:tc>
          <w:tcPr>
            <w:tcW w:w="74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1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241,257</w:t>
            </w:r>
          </w:p>
        </w:tc>
        <w:tc>
          <w:tcPr>
            <w:tcW w:w="26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100" w:type="dxa"/>
            <w:vAlign w:val="bottom"/>
            <w:tcBorders>
              <w:top w:val="single" w:sz="8" w:color="CFF0FC"/>
            </w:tcBorders>
          </w:tcPr>
          <w:p>
            <w:pPr>
              <w:spacing w:after="0"/>
              <w:rPr>
                <w:sz w:val="20"/>
                <w:szCs w:val="20"/>
                <w:color w:val="auto"/>
              </w:rPr>
            </w:pPr>
          </w:p>
        </w:tc>
      </w:tr>
      <w:tr>
        <w:trPr>
          <w:trHeight w:val="243"/>
        </w:trPr>
        <w:tc>
          <w:tcPr>
            <w:tcW w:w="74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245,881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100" w:type="dxa"/>
            <w:vAlign w:val="bottom"/>
          </w:tcPr>
          <w:p>
            <w:pPr>
              <w:spacing w:after="0"/>
              <w:rPr>
                <w:sz w:val="20"/>
                <w:szCs w:val="20"/>
                <w:color w:val="auto"/>
              </w:rPr>
            </w:pPr>
          </w:p>
        </w:tc>
      </w:tr>
      <w:tr>
        <w:trPr>
          <w:trHeight w:val="276"/>
        </w:trPr>
        <w:tc>
          <w:tcPr>
            <w:tcW w:w="74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621,512</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-5640070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-4396740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-2193925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-668020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-351155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-25400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-8255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149,390</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391,134</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90,247</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106,269</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259,921</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273,303</w:t>
            </w:r>
          </w:p>
        </w:tc>
        <w:tc>
          <w:tcPr>
            <w:tcW w:w="100" w:type="dxa"/>
            <w:vAlign w:val="bottom"/>
          </w:tcPr>
          <w:p>
            <w:pPr>
              <w:spacing w:after="0"/>
              <w:rPr>
                <w:sz w:val="21"/>
                <w:szCs w:val="21"/>
                <w:color w:val="auto"/>
              </w:rPr>
            </w:pPr>
          </w:p>
        </w:tc>
      </w:tr>
      <w:tr>
        <w:trPr>
          <w:trHeight w:val="237"/>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43,121</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139,446</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117,831</w:t>
            </w:r>
          </w:p>
        </w:tc>
        <w:tc>
          <w:tcPr>
            <w:tcW w:w="100" w:type="dxa"/>
            <w:vAlign w:val="bottom"/>
            <w:shd w:val="clear" w:color="auto" w:fill="CFF0FC"/>
          </w:tcPr>
          <w:p>
            <w:pPr>
              <w:spacing w:after="0"/>
              <w:rPr>
                <w:sz w:val="20"/>
                <w:szCs w:val="20"/>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86,082</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55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tcBorders>
              <w:top w:val="single" w:sz="8" w:color="CFF0FC"/>
            </w:tcBorders>
          </w:tcPr>
          <w:p>
            <w:pPr>
              <w:spacing w:after="0"/>
              <w:rPr>
                <w:sz w:val="20"/>
                <w:szCs w:val="20"/>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(398 )</w:t>
            </w: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(216 )</w:t>
            </w:r>
          </w:p>
        </w:tc>
        <w:tc>
          <w:tcPr>
            <w:tcW w:w="18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(2,589 )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(670 )</w:t>
            </w: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(2,648 )</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(3,340 )</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(9,315 )</w:t>
            </w: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(9,498 )</w:t>
            </w:r>
          </w:p>
        </w:tc>
      </w:tr>
      <w:tr>
        <w:trPr>
          <w:trHeight w:val="237"/>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11,749</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tcPr>
          <w:p>
            <w:pPr>
              <w:spacing w:after="0"/>
              <w:rPr>
                <w:sz w:val="21"/>
                <w:szCs w:val="21"/>
                <w:color w:val="auto"/>
              </w:rPr>
            </w:pPr>
          </w:p>
        </w:tc>
      </w:tr>
      <w:tr>
        <w:trPr>
          <w:trHeight w:val="237"/>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(453 )</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(382 )</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(1,482 )</w:t>
            </w:r>
          </w:p>
        </w:tc>
        <w:tc>
          <w:tcPr>
            <w:tcW w:w="2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(1,140 )</w:t>
            </w:r>
          </w:p>
        </w:tc>
      </w:tr>
      <w:tr>
        <w:trPr>
          <w:trHeight w:val="236"/>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7"/>
        </w:trPr>
        <w:tc>
          <w:tcPr>
            <w:tcW w:w="5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34,966,625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34,771,742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34,910,165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34,612,163</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36,488,788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35,301,429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36,322,690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35,215,843</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-2253615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-2253615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-2253615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-984885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-984885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-984885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-984885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-668020</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-650875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-668020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-650875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-668020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-650875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2"/>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5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3,712</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5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shd w:val="clear" w:color="auto" w:fill="CFF0FC"/>
          </w:tcPr>
          <w:p>
            <w:pPr>
              <w:spacing w:after="0"/>
              <w:rPr>
                <w:sz w:val="20"/>
                <w:szCs w:val="20"/>
                <w:color w:val="auto"/>
              </w:rPr>
            </w:pPr>
          </w:p>
        </w:tc>
      </w:tr>
      <w:tr>
        <w:trPr>
          <w:trHeight w:val="237"/>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5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(1,160 )</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(255 )</w:t>
            </w:r>
          </w:p>
        </w:tc>
      </w:tr>
      <w:tr>
        <w:trPr>
          <w:trHeight w:val="237"/>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22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w:t>
            </w:r>
          </w:p>
        </w:tc>
        <w:tc>
          <w:tcPr>
            <w:tcW w:w="100" w:type="dxa"/>
            <w:vAlign w:val="bottom"/>
            <w:tcBorders>
              <w:top w:val="single" w:sz="8" w:color="CFF0FC"/>
            </w:tcBorders>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-505460</wp:posOffset>
            </wp:positionV>
            <wp:extent cx="768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-505460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-505460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-187960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-187960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4"/>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2"/>
                <w:szCs w:val="12"/>
                <w:color w:val="auto"/>
              </w:rPr>
            </w:pPr>
          </w:p>
        </w:tc>
        <w:tc>
          <w:tcPr>
            <w:tcW w:w="132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80" w:type="dxa"/>
            <w:vAlign w:val="bottom"/>
            <w:gridSpan w:val="7"/>
            <w:vMerge w:val="restart"/>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100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140" w:type="dxa"/>
            <w:vAlign w:val="bottom"/>
          </w:tcPr>
          <w:p>
            <w:pPr>
              <w:spacing w:after="0"/>
              <w:rPr>
                <w:sz w:val="12"/>
                <w:szCs w:val="12"/>
                <w:color w:val="auto"/>
              </w:rPr>
            </w:pPr>
          </w:p>
        </w:tc>
        <w:tc>
          <w:tcPr>
            <w:tcW w:w="98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40" w:type="dxa"/>
            <w:vAlign w:val="bottom"/>
          </w:tcPr>
          <w:p>
            <w:pPr>
              <w:spacing w:after="0"/>
              <w:rPr>
                <w:sz w:val="12"/>
                <w:szCs w:val="12"/>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80" w:type="dxa"/>
            <w:vAlign w:val="bottom"/>
            <w:gridSpan w:val="7"/>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112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1140" w:type="dxa"/>
            <w:vAlign w:val="bottom"/>
            <w:tcBorders>
              <w:top w:val="single" w:sz="8" w:color="auto"/>
            </w:tcBorders>
            <w:gridSpan w:val="4"/>
          </w:tcPr>
          <w:p>
            <w:pPr>
              <w:jc w:val="right"/>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center"/>
              <w:ind w:right="50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2"/>
                <w:szCs w:val="12"/>
                <w:color w:val="auto"/>
              </w:rPr>
            </w:pPr>
          </w:p>
        </w:tc>
        <w:tc>
          <w:tcPr>
            <w:tcW w:w="132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2"/>
                <w:szCs w:val="12"/>
                <w:color w:val="auto"/>
              </w:rPr>
            </w:pPr>
          </w:p>
        </w:tc>
        <w:tc>
          <w:tcPr>
            <w:tcW w:w="860" w:type="dxa"/>
            <w:vAlign w:val="bottom"/>
            <w:gridSpan w:val="4"/>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34,835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254,956</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(6,387 )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(16,274 )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237,491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March 31, 2024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(2,204 )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(2,202 )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(144 )</w:t>
            </w:r>
          </w:p>
        </w:tc>
        <w:tc>
          <w:tcPr>
            <w:tcW w:w="18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(3,000 )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(3,001 )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(804 )</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(804 )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34,908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251,673</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(4,879 )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(15,620 )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236,152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June 30, 2024</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4,485</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4,930</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(466 )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(465 )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14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(86 )</w:t>
            </w:r>
          </w:p>
        </w:tc>
        <w:tc>
          <w:tcPr>
            <w:tcW w:w="180" w:type="dxa"/>
            <w:vAlign w:val="bottom"/>
          </w:tcPr>
          <w:p>
            <w:pPr>
              <w:spacing w:after="0"/>
              <w:rPr>
                <w:sz w:val="15"/>
                <w:szCs w:val="15"/>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(1,999 )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(2,000 )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(856 )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(856 )</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(301 )</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(301 )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34,924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251,560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(394 )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(16,476 )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239,812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3160" w:type="dxa"/>
            <w:vAlign w:val="bottom"/>
            <w:tcBorders>
              <w:top w:val="single" w:sz="8" w:color="CFF0FC"/>
            </w:tcBorders>
          </w:tcPr>
          <w:p>
            <w:pPr>
              <w:ind w:left="20"/>
              <w:spacing w:after="0" w:line="130" w:lineRule="exact"/>
              <w:rPr>
                <w:sz w:val="20"/>
                <w:szCs w:val="20"/>
                <w:color w:val="auto"/>
              </w:rPr>
            </w:pPr>
            <w:r>
              <w:rPr>
                <w:rFonts w:ascii="Times New Roman" w:cs="Times New Roman" w:eastAsia="Times New Roman" w:hAnsi="Times New Roman"/>
                <w:sz w:val="13"/>
                <w:szCs w:val="13"/>
                <w:color w:val="auto"/>
              </w:rPr>
              <w:t>Net income for the three months ended September 30,</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spacing w:after="0" w:line="130" w:lineRule="exact"/>
              <w:rPr>
                <w:sz w:val="20"/>
                <w:szCs w:val="20"/>
                <w:color w:val="auto"/>
              </w:rPr>
            </w:pPr>
            <w:r>
              <w:rPr>
                <w:rFonts w:ascii="Times New Roman" w:cs="Times New Roman" w:eastAsia="Times New Roman" w:hAnsi="Times New Roman"/>
                <w:sz w:val="13"/>
                <w:szCs w:val="13"/>
                <w:color w:val="auto"/>
              </w:rPr>
              <w:t>2,086</w:t>
            </w:r>
          </w:p>
        </w:tc>
        <w:tc>
          <w:tcPr>
            <w:tcW w:w="20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30" w:lineRule="exact"/>
              <w:rPr>
                <w:sz w:val="20"/>
                <w:szCs w:val="20"/>
                <w:color w:val="auto"/>
              </w:rPr>
            </w:pPr>
            <w:r>
              <w:rPr>
                <w:rFonts w:ascii="Times New Roman" w:cs="Times New Roman" w:eastAsia="Times New Roman" w:hAnsi="Times New Roman"/>
                <w:sz w:val="13"/>
                <w:szCs w:val="13"/>
                <w:color w:val="auto"/>
              </w:rPr>
              <w:t>453</w:t>
            </w:r>
          </w:p>
        </w:tc>
        <w:tc>
          <w:tcPr>
            <w:tcW w:w="22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3"/>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2,539</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2024</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(340 )</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(340 )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2,276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2,102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(602 )</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(602 )</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September 30, 2024</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34,979</w:t>
            </w:r>
          </w:p>
        </w:tc>
        <w:tc>
          <w:tcPr>
            <w:tcW w:w="2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253,590</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(14,374 )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4,624</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245,881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-1859280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-1842770</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-1859280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-1842770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-1859280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-1842770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-1859280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-1842770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-1859280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-1842770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-1859280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-1842770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-1842770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-934085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-916305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-934085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-916305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-934085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-916305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-934085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-916305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-934085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-916305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-934085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-916305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-145415</wp:posOffset>
            </wp:positionV>
            <wp:extent cx="768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-145415</wp:posOffset>
            </wp:positionV>
            <wp:extent cx="768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-145415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-145415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-145415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-145415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6"/>
            <w:vMerge w:val="restart"/>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1120" w:type="dxa"/>
            <w:vAlign w:val="bottom"/>
            <w:gridSpan w:val="4"/>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4"/>
                <w:szCs w:val="14"/>
                <w:color w:val="auto"/>
              </w:rPr>
            </w:pPr>
          </w:p>
        </w:tc>
        <w:tc>
          <w:tcPr>
            <w:tcW w:w="13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4"/>
                <w:szCs w:val="14"/>
                <w:color w:val="auto"/>
              </w:rPr>
            </w:pPr>
          </w:p>
        </w:tc>
        <w:tc>
          <w:tcPr>
            <w:tcW w:w="1020" w:type="dxa"/>
            <w:vAlign w:val="bottom"/>
            <w:gridSpan w:val="4"/>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900" w:type="dxa"/>
            <w:vAlign w:val="bottom"/>
            <w:gridSpan w:val="3"/>
          </w:tcPr>
          <w:p>
            <w:pPr>
              <w:jc w:val="right"/>
              <w:ind w:right="193"/>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320" w:type="dxa"/>
            <w:vAlign w:val="bottom"/>
          </w:tcPr>
          <w:p>
            <w:pPr>
              <w:spacing w:after="0"/>
              <w:rPr>
                <w:sz w:val="12"/>
                <w:szCs w:val="12"/>
                <w:color w:val="auto"/>
              </w:rPr>
            </w:pPr>
          </w:p>
        </w:tc>
        <w:tc>
          <w:tcPr>
            <w:tcW w:w="800" w:type="dxa"/>
            <w:vAlign w:val="bottom"/>
            <w:gridSpan w:val="3"/>
          </w:tcPr>
          <w:p>
            <w:pPr>
              <w:jc w:val="right"/>
              <w:ind w:right="52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40" w:type="dxa"/>
            <w:vAlign w:val="bottom"/>
          </w:tcPr>
          <w:p>
            <w:pPr>
              <w:spacing w:after="0"/>
              <w:rPr>
                <w:sz w:val="12"/>
                <w:szCs w:val="12"/>
                <w:color w:val="auto"/>
              </w:rPr>
            </w:pPr>
          </w:p>
        </w:tc>
        <w:tc>
          <w:tcPr>
            <w:tcW w:w="1320" w:type="dxa"/>
            <w:vAlign w:val="bottom"/>
            <w:gridSpan w:val="4"/>
          </w:tcPr>
          <w:p>
            <w:pPr>
              <w:jc w:val="center"/>
              <w:ind w:right="34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line="142"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160" w:type="dxa"/>
            <w:vAlign w:val="bottom"/>
          </w:tcPr>
          <w:p>
            <w:pPr>
              <w:spacing w:after="0"/>
              <w:rPr>
                <w:sz w:val="12"/>
                <w:szCs w:val="12"/>
                <w:color w:val="auto"/>
              </w:rPr>
            </w:pPr>
          </w:p>
        </w:tc>
        <w:tc>
          <w:tcPr>
            <w:tcW w:w="860" w:type="dxa"/>
            <w:vAlign w:val="bottom"/>
            <w:gridSpan w:val="4"/>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December 31, 2022</w:t>
            </w:r>
          </w:p>
        </w:tc>
        <w:tc>
          <w:tcPr>
            <w:tcW w:w="260" w:type="dxa"/>
            <w:vAlign w:val="bottom"/>
            <w:shd w:val="clear" w:color="auto" w:fill="CFF0FC"/>
          </w:tcPr>
          <w:p>
            <w:pPr>
              <w:spacing w:after="0"/>
              <w:rPr>
                <w:sz w:val="15"/>
                <w:szCs w:val="15"/>
                <w:color w:val="auto"/>
              </w:rPr>
            </w:pP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34,382</w:t>
            </w:r>
          </w:p>
        </w:tc>
        <w:tc>
          <w:tcPr>
            <w:tcW w:w="420" w:type="dxa"/>
            <w:vAlign w:val="bottom"/>
            <w:gridSpan w:val="2"/>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250,174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(19,298 )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(17,996 )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4,924</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218,148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March 31, 2023</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2,469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(622 )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(621 )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766</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766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March 31, 2023</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34,557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250,971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(17,320 )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(17,230 )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222,182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Net income for the three months ended June 30, 2023</w:t>
            </w: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FF0FC"/>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3,724</w:t>
            </w:r>
          </w:p>
        </w:tc>
        <w:tc>
          <w:tcPr>
            <w:tcW w:w="2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2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3,990</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3"/>
                <w:szCs w:val="13"/>
                <w:color w:val="auto"/>
              </w:rPr>
              <w:t>(271 )</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(270 )</w:t>
            </w: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1,389</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1,389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(599 )</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(599 )</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34,738</w:t>
            </w:r>
          </w:p>
        </w:tc>
        <w:tc>
          <w:tcPr>
            <w:tcW w:w="2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252,406</w:t>
            </w:r>
          </w:p>
        </w:tc>
        <w:tc>
          <w:tcPr>
            <w:tcW w:w="200" w:type="dxa"/>
            <w:vAlign w:val="bottom"/>
          </w:tcPr>
          <w:p>
            <w:pPr>
              <w:spacing w:after="0"/>
              <w:rPr>
                <w:sz w:val="14"/>
                <w:szCs w:val="14"/>
                <w:color w:val="auto"/>
              </w:rPr>
            </w:pPr>
          </w:p>
        </w:tc>
        <w:tc>
          <w:tcPr>
            <w:tcW w:w="32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(13,596 )</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(17,091 )</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5,082</w:t>
            </w:r>
          </w:p>
        </w:tc>
        <w:tc>
          <w:tcPr>
            <w:tcW w:w="22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227,148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316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Net income for the three months ended September 30,</w:t>
            </w:r>
          </w:p>
        </w:tc>
        <w:tc>
          <w:tcPr>
            <w:tcW w:w="2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26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00" w:type="dxa"/>
            <w:vAlign w:val="bottom"/>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400" w:type="dxa"/>
            <w:vAlign w:val="bottom"/>
            <w:gridSpan w:val="2"/>
            <w:shd w:val="clear" w:color="auto" w:fill="CFF0FC"/>
          </w:tcPr>
          <w:p>
            <w:pPr>
              <w:jc w:val="right"/>
              <w:ind w:right="220"/>
              <w:spacing w:after="0" w:line="130"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3,330</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240"/>
              <w:spacing w:after="0" w:line="130"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3"/>
            <w:shd w:val="clear" w:color="auto" w:fill="CFF0FC"/>
          </w:tcPr>
          <w:p>
            <w:pPr>
              <w:jc w:val="right"/>
              <w:spacing w:after="0" w:line="130" w:lineRule="exact"/>
              <w:rPr>
                <w:sz w:val="20"/>
                <w:szCs w:val="20"/>
                <w:color w:val="auto"/>
              </w:rPr>
            </w:pPr>
            <w:r>
              <w:rPr>
                <w:rFonts w:ascii="Times New Roman" w:cs="Times New Roman" w:eastAsia="Times New Roman" w:hAnsi="Times New Roman"/>
                <w:sz w:val="13"/>
                <w:szCs w:val="13"/>
                <w:color w:val="auto"/>
              </w:rPr>
              <w:t>382</w:t>
            </w: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gridSpan w:val="3"/>
            <w:shd w:val="clear" w:color="auto" w:fill="CFF0FC"/>
          </w:tcPr>
          <w:p>
            <w:pPr>
              <w:jc w:val="right"/>
              <w:ind w:right="20"/>
              <w:spacing w:after="0" w:line="130" w:lineRule="exact"/>
              <w:rPr>
                <w:sz w:val="20"/>
                <w:szCs w:val="20"/>
                <w:color w:val="auto"/>
              </w:rPr>
            </w:pPr>
            <w:r>
              <w:rPr>
                <w:rFonts w:ascii="Times New Roman" w:cs="Times New Roman" w:eastAsia="Times New Roman" w:hAnsi="Times New Roman"/>
                <w:sz w:val="13"/>
                <w:szCs w:val="13"/>
                <w:color w:val="auto"/>
              </w:rPr>
              <w:t>3,712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2023</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281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(203 )</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(203 )</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1,129</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Translation loss</w:t>
            </w:r>
          </w:p>
        </w:tc>
        <w:tc>
          <w:tcPr>
            <w:tcW w:w="26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(1,160 )</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spacing w:after="0"/>
              <w:rPr>
                <w:sz w:val="15"/>
                <w:szCs w:val="15"/>
                <w:color w:val="auto"/>
              </w:rPr>
            </w:pPr>
          </w:p>
        </w:tc>
        <w:tc>
          <w:tcPr>
            <w:tcW w:w="860" w:type="dxa"/>
            <w:vAlign w:val="bottom"/>
            <w:gridSpan w:val="4"/>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(1,160 )</w:t>
            </w:r>
          </w:p>
        </w:tc>
        <w:tc>
          <w:tcPr>
            <w:tcW w:w="0" w:type="dxa"/>
            <w:vAlign w:val="bottom"/>
          </w:tcPr>
          <w:p>
            <w:pPr>
              <w:spacing w:after="0"/>
              <w:rPr>
                <w:sz w:val="1"/>
                <w:szCs w:val="1"/>
                <w:color w:val="auto"/>
              </w:rPr>
            </w:pPr>
          </w:p>
        </w:tc>
      </w:tr>
      <w:tr>
        <w:trPr>
          <w:trHeight w:val="175"/>
        </w:trPr>
        <w:tc>
          <w:tcPr>
            <w:tcW w:w="3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(765 )</w:t>
            </w:r>
          </w:p>
        </w:tc>
        <w:tc>
          <w:tcPr>
            <w:tcW w:w="160" w:type="dxa"/>
            <w:vAlign w:val="bottom"/>
          </w:tcPr>
          <w:p>
            <w:pPr>
              <w:spacing w:after="0"/>
              <w:rPr>
                <w:sz w:val="15"/>
                <w:szCs w:val="15"/>
                <w:color w:val="auto"/>
              </w:rPr>
            </w:pPr>
          </w:p>
        </w:tc>
        <w:tc>
          <w:tcPr>
            <w:tcW w:w="86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(765 )</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September 30, 2023</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34,811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253,613</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7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(10,266 )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(18,251 )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4,699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230,142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-1748155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-1731010</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-1748155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-1731010</wp:posOffset>
            </wp:positionV>
            <wp:extent cx="768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-1748155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-1731010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-1748155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-1731010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-1748155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-1731010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-1748155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-1731010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-1054100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-1054100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-1054100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-1054100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-1054100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-1054100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-1054100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-25400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-8255</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-25400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-8255</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-25400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-25400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-25400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10,172</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(used in) operating activities: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(138 )</w:t>
            </w: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(25,961 )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(1,498 )</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6,006</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Inventories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(4,305 )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(10,395 )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(18,059 )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(8,228 )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(2,755 )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(268 )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15,387</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21,162</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(550 )</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7,868</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19,330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 payable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(1,140 )</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9"/>
                <w:szCs w:val="19"/>
                <w:color w:val="auto"/>
              </w:rPr>
            </w:pPr>
          </w:p>
        </w:tc>
      </w:tr>
      <w:tr>
        <w:trPr>
          <w:trHeight w:val="23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liabilities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(9,330 )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(3,473 )</w:t>
            </w:r>
          </w:p>
        </w:tc>
      </w:tr>
      <w:tr>
        <w:trPr>
          <w:trHeight w:val="223"/>
        </w:trPr>
        <w:tc>
          <w:tcPr>
            <w:tcW w:w="732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29,491</w:t>
            </w:r>
          </w:p>
        </w:tc>
        <w:tc>
          <w:tcPr>
            <w:tcW w:w="100" w:type="dxa"/>
            <w:vAlign w:val="bottom"/>
            <w:tcBorders>
              <w:top w:val="single" w:sz="8" w:color="CFF0FC"/>
            </w:tcBorders>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(11,237 )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(5,511 )</w:t>
            </w:r>
          </w:p>
        </w:tc>
      </w:tr>
      <w:tr>
        <w:trPr>
          <w:trHeight w:val="230"/>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cash paid for acquisitions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(14,954 )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(48,102 )</w:t>
            </w:r>
          </w:p>
        </w:tc>
      </w:tr>
      <w:tr>
        <w:trPr>
          <w:trHeight w:val="23"/>
        </w:trPr>
        <w:tc>
          <w:tcPr>
            <w:tcW w:w="732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73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(26,191 )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(53,613 )</w:t>
            </w:r>
          </w:p>
        </w:tc>
      </w:tr>
      <w:tr>
        <w:trPr>
          <w:trHeight w:val="229"/>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58,400</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94,200</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(54,800 )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(63,200 )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(7,843 )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(2,478 )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(692 )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(680 )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(2,050 )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(1,247 )</w:t>
            </w: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Earnout payments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(1,672 )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(1,496 )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employee stock purchase plan and exercise of stock options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(1,707 )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(1,364 )</w:t>
            </w:r>
          </w:p>
        </w:tc>
      </w:tr>
      <w:tr>
        <w:trPr>
          <w:trHeight w:val="22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(5,000 )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
        </w:trPr>
        <w:tc>
          <w:tcPr>
            <w:tcW w:w="7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(14,518 )</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25,170</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tcBorders>
              <w:top w:val="single" w:sz="8" w:color="CFF0FC"/>
            </w:tcBorders>
          </w:tcPr>
          <w:p>
            <w:pPr>
              <w:spacing w:after="0"/>
              <w:rPr>
                <w:sz w:val="19"/>
                <w:szCs w:val="19"/>
                <w:color w:val="auto"/>
              </w:rPr>
            </w:pPr>
          </w:p>
        </w:tc>
      </w:tr>
      <w:tr>
        <w:trPr>
          <w:trHeight w:val="23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(16,522 )</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shd w:val="clear" w:color="auto" w:fill="CFF0FC"/>
          </w:tcPr>
          <w:p>
            <w:pPr>
              <w:spacing w:after="0"/>
              <w:rPr>
                <w:sz w:val="19"/>
                <w:szCs w:val="19"/>
                <w:color w:val="auto"/>
              </w:rPr>
            </w:pPr>
          </w:p>
        </w:tc>
      </w:tr>
      <w:tr>
        <w:trPr>
          <w:trHeight w:val="223"/>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Pr>
          <w:p>
            <w:pPr>
              <w:spacing w:after="0"/>
              <w:rPr>
                <w:sz w:val="19"/>
                <w:szCs w:val="19"/>
                <w:color w:val="auto"/>
              </w:rPr>
            </w:pP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38,926</w:t>
            </w:r>
          </w:p>
        </w:tc>
        <w:tc>
          <w:tcPr>
            <w:tcW w:w="2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9,714</w:t>
            </w:r>
          </w:p>
        </w:tc>
        <w:tc>
          <w:tcPr>
            <w:tcW w:w="26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8,531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3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4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26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8,633</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-3505200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-2905125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-1130935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-521970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-504825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-196215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-179070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u w:val="single" w:color="auto"/>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203"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29" w:lineRule="exact"/>
        <w:rPr>
          <w:sz w:val="20"/>
          <w:szCs w:val="20"/>
          <w:color w:val="auto"/>
        </w:rPr>
      </w:pPr>
    </w:p>
    <w:p>
      <w:pPr>
        <w:ind w:left="520" w:right="8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September 30, 2024 and the results of operations, cash flows and shareholders’ equity for the three and nine months ended September 30, 2024 and 2023. The results of operations for the three and nine months ended September 30, 2024 are not necessarily indicative of the results to be expected for the full year. The balance sheet as of December 31, 2023 has been derived from the audited consolidated financial statements included in the Company’s Annual Report on Form 10-K for the year ended December 31, 2023 as filed with the SEC on March 5, 2024 (the “Form 10-K”).</w:t>
      </w:r>
    </w:p>
    <w:p>
      <w:pPr>
        <w:spacing w:after="0" w:line="194" w:lineRule="exact"/>
        <w:rPr>
          <w:sz w:val="20"/>
          <w:szCs w:val="20"/>
          <w:color w:val="auto"/>
        </w:rPr>
      </w:pPr>
    </w:p>
    <w:p>
      <w:pPr>
        <w:jc w:val="both"/>
        <w:ind w:left="520" w:right="8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520" w:right="600"/>
        <w:spacing w:after="0" w:line="282" w:lineRule="auto"/>
        <w:rPr>
          <w:sz w:val="20"/>
          <w:szCs w:val="20"/>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Form 10-K.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Unless otherwise indicated, all balances within tables are in thousands, except per share amounts.</w:t>
      </w:r>
    </w:p>
    <w:p>
      <w:pPr>
        <w:spacing w:after="0" w:line="221" w:lineRule="exact"/>
        <w:rPr>
          <w:sz w:val="20"/>
          <w:szCs w:val="20"/>
          <w:color w:val="auto"/>
        </w:rPr>
      </w:pPr>
    </w:p>
    <w:p>
      <w:pPr>
        <w:ind w:left="520" w:right="7200" w:hanging="512"/>
        <w:spacing w:after="0" w:line="500" w:lineRule="auto"/>
        <w:tabs>
          <w:tab w:leader="none" w:pos="371"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Financial Accounting Pronouncements Accounting Standards Adopted in Fiscal 2024 </w:t>
      </w:r>
      <w:r>
        <w:rPr>
          <w:rFonts w:ascii="Times New Roman" w:cs="Times New Roman" w:eastAsia="Times New Roman" w:hAnsi="Times New Roman"/>
          <w:sz w:val="18"/>
          <w:szCs w:val="18"/>
          <w:color w:val="auto"/>
        </w:rPr>
        <w:t>None.</w:t>
      </w:r>
    </w:p>
    <w:p>
      <w:pPr>
        <w:spacing w:after="0" w:line="2"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Standards to be Adopted</w:t>
      </w:r>
    </w:p>
    <w:p>
      <w:pPr>
        <w:spacing w:after="0" w:line="229"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2023-09, Income Taxes (Topic 740): Improvements to Income Tax Disclosures, which addresses income tax disclosure requirements, primarily around the disclosure of the rate reconciliation and income taxes paid. The ASU is effective for fiscal years beginning after December 15, 2024. The Company is currently evaluating the impact the adoption of the standard will have on the Company’s consolidated financial statements.</w:t>
      </w:r>
    </w:p>
    <w:p>
      <w:pPr>
        <w:spacing w:after="0" w:line="180"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addresses segment disclosure requirements, primarily the disclosure of significant segment expenses. The ASU is effective for fiscal years beginning after December 15, 2023, and interim periods beginning after December 15, 2024. The Company is currently evaluating the impact the adoption of the standard will have on the Company’s consolidated financial statements.</w:t>
      </w:r>
    </w:p>
    <w:p>
      <w:pPr>
        <w:spacing w:after="0" w:line="176"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Accounts receivable as of September 30,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3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107,325</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119,193</w:t>
            </w:r>
          </w:p>
        </w:tc>
        <w:tc>
          <w:tcPr>
            <w:tcW w:w="100" w:type="dxa"/>
            <w:vAlign w:val="bottom"/>
            <w:shd w:val="clear" w:color="auto" w:fill="CFF0FC"/>
          </w:tcPr>
          <w:p>
            <w:pPr>
              <w:spacing w:after="0"/>
              <w:rPr>
                <w:sz w:val="20"/>
                <w:szCs w:val="20"/>
                <w:color w:val="auto"/>
              </w:rPr>
            </w:pPr>
          </w:p>
        </w:tc>
      </w:tr>
      <w:tr>
        <w:trPr>
          <w:trHeight w:val="23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(7,214 )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(6,460 )</w:t>
            </w:r>
          </w:p>
        </w:tc>
      </w:tr>
      <w:tr>
        <w:trPr>
          <w:trHeight w:val="277"/>
        </w:trPr>
        <w:tc>
          <w:tcPr>
            <w:tcW w:w="39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33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100,111</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3960" w:type="dxa"/>
            <w:vAlign w:val="bottom"/>
          </w:tcPr>
          <w:p>
            <w:pPr>
              <w:spacing w:after="0"/>
              <w:rPr>
                <w:sz w:val="24"/>
                <w:szCs w:val="24"/>
                <w:color w:val="auto"/>
              </w:rPr>
            </w:pPr>
          </w:p>
        </w:tc>
        <w:tc>
          <w:tcPr>
            <w:tcW w:w="336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-933450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-916305</wp:posOffset>
            </wp:positionV>
            <wp:extent cx="768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color w:val="auto"/>
        </w:rPr>
        <w:t>Accounts receivable, net as of the beginning of the prior year period, or January 1, 2023, were $83.1 million.</w:t>
      </w:r>
    </w:p>
    <w:p>
      <w:pPr>
        <w:spacing w:after="0" w:line="225"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$5.3 million and $3.2 million as of September 30, 2024 and December 31, 2023, respectively. Retainage receivables on contracts in progress are generally collected within a year or two subsequent to contract completion, and are recorded in either "Accounts receivable, net" or "Deferred charges and other assets" within the Condensed Consolidated Balance Sheets depending on timing of expected collection.</w:t>
      </w:r>
    </w:p>
    <w:p>
      <w:pPr>
        <w:spacing w:after="0" w:line="180" w:lineRule="exact"/>
        <w:rPr>
          <w:sz w:val="20"/>
          <w:szCs w:val="20"/>
          <w:color w:val="auto"/>
        </w:rPr>
      </w:pPr>
    </w:p>
    <w:p>
      <w:pPr>
        <w:ind w:left="520" w:right="400"/>
        <w:spacing w:after="0" w:line="282" w:lineRule="auto"/>
        <w:rPr>
          <w:sz w:val="20"/>
          <w:szCs w:val="20"/>
          <w:color w:val="auto"/>
        </w:rPr>
      </w:pPr>
      <w:r>
        <w:rPr>
          <w:rFonts w:ascii="Times New Roman" w:cs="Times New Roman" w:eastAsia="Times New Roman" w:hAnsi="Times New Roman"/>
          <w:sz w:val="18"/>
          <w:szCs w:val="18"/>
          <w:color w:val="auto"/>
        </w:rPr>
        <w:t>Amounts charged to the provision for credit losses was $0.1 million and $0.2 million for the three months ended September 30, 2024 and 2023, respectively, and $0.4 million and $0.2 for the nine months ended September 30, 2024 and 2023, respectively.</w:t>
      </w:r>
    </w:p>
    <w:p>
      <w:pPr>
        <w:spacing w:after="0" w:line="158"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and Liabilities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Contract assets and liabilities as of September 30,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6"/>
        </w:trPr>
        <w:tc>
          <w:tcPr>
            <w:tcW w:w="6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68,500</w:t>
            </w:r>
          </w:p>
        </w:tc>
        <w:tc>
          <w:tcPr>
            <w:tcW w:w="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shd w:val="clear" w:color="auto" w:fill="CFF0FC"/>
          </w:tcPr>
          <w:p>
            <w:pPr>
              <w:spacing w:after="0"/>
              <w:rPr>
                <w:sz w:val="20"/>
                <w:szCs w:val="20"/>
                <w:color w:val="auto"/>
              </w:rPr>
            </w:pPr>
          </w:p>
        </w:tc>
      </w:tr>
      <w:tr>
        <w:trPr>
          <w:trHeight w:val="234"/>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right="320"/>
        <w:spacing w:after="0" w:line="258" w:lineRule="auto"/>
        <w:rPr>
          <w:sz w:val="20"/>
          <w:szCs w:val="20"/>
          <w:color w:val="auto"/>
        </w:rPr>
      </w:pPr>
      <w:r>
        <w:rPr>
          <w:rFonts w:ascii="Times New Roman" w:cs="Times New Roman" w:eastAsia="Times New Roman" w:hAnsi="Times New Roman"/>
          <w:sz w:val="18"/>
          <w:szCs w:val="18"/>
          <w:color w:val="auto"/>
        </w:rPr>
        <w:t>As of the beginning of the prior year period, or January 1, 2023, costs and estimated earnings in excess of billings on uncompleted contracts and billings in excess of costs and estimated earnings on uncompleted contracts were $71.0 million and $32.7 million, respectively. The contract liabilities recorded in “Accrued expenses” on the Condensed Consolidated Balance Sheets were $8.3 million, $7.9 million and $4.5 million as of September 30, 2024, December 31, 2023 and January 1, 2023, respectively. Approximately 80% of the Company's contract liabilities as of December 31, 2023 were recognized as revenue in the nine months ended September 30, 2024.</w:t>
      </w:r>
    </w:p>
    <w:p>
      <w:pPr>
        <w:spacing w:after="0" w:line="200" w:lineRule="exact"/>
        <w:rPr>
          <w:sz w:val="20"/>
          <w:szCs w:val="20"/>
          <w:color w:val="auto"/>
        </w:rPr>
      </w:pPr>
    </w:p>
    <w:p>
      <w:pPr>
        <w:spacing w:after="0" w:line="22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Inventories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Inventories as of September 30,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27,871</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25,819</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2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Obsolescence allowance</w:t>
            </w:r>
          </w:p>
        </w:tc>
        <w:tc>
          <w:tcPr>
            <w:tcW w:w="200" w:type="dxa"/>
            <w:vAlign w:val="bottom"/>
          </w:tcPr>
          <w:p>
            <w:pPr>
              <w:spacing w:after="0"/>
              <w:rPr>
                <w:sz w:val="20"/>
                <w:szCs w:val="20"/>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(4,007 )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(3,808 )</w:t>
            </w:r>
          </w:p>
        </w:tc>
      </w:tr>
      <w:tr>
        <w:trPr>
          <w:trHeight w:val="277"/>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37,760</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spacing w:after="0" w:line="312" w:lineRule="auto"/>
        <w:rPr>
          <w:sz w:val="20"/>
          <w:szCs w:val="20"/>
          <w:color w:val="auto"/>
        </w:rPr>
      </w:pPr>
      <w:r>
        <w:rPr>
          <w:rFonts w:ascii="Times New Roman" w:cs="Times New Roman" w:eastAsia="Times New Roman" w:hAnsi="Times New Roman"/>
          <w:sz w:val="17"/>
          <w:szCs w:val="17"/>
          <w:color w:val="auto"/>
        </w:rPr>
        <w:t>Amounts credited to the allowance for obsolete inventory and charged to cost of sales amounted to $0.2 million and zero for the three months ended September 30, 2024 and 2023, respectively, and $0.8 million and $0.5 million for the nine months ended September 30, 2024 and 2023, respectively.</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Goodwill activity for the nine months ended September 30, 2024 and the year ended December 31, 2023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286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Goodwill / Tradename</w:t>
            </w:r>
          </w:p>
        </w:tc>
        <w:tc>
          <w:tcPr>
            <w:tcW w:w="22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Tradename</w:t>
            </w:r>
          </w:p>
        </w:tc>
        <w:tc>
          <w:tcPr>
            <w:tcW w:w="100" w:type="dxa"/>
            <w:vAlign w:val="bottom"/>
          </w:tcPr>
          <w:p>
            <w:pPr>
              <w:spacing w:after="0"/>
              <w:rPr>
                <w:sz w:val="14"/>
                <w:szCs w:val="14"/>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183,197</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shd w:val="clear" w:color="auto" w:fill="CFF0FC"/>
          </w:tcPr>
          <w:p>
            <w:pPr>
              <w:spacing w:after="0"/>
              <w:rPr>
                <w:sz w:val="20"/>
                <w:szCs w:val="20"/>
                <w:color w:val="auto"/>
              </w:rPr>
            </w:pPr>
          </w:p>
        </w:tc>
      </w:tr>
      <w:tr>
        <w:trPr>
          <w:trHeight w:val="23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220,026</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-187960</wp:posOffset>
            </wp:positionV>
            <wp:extent cx="77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60"/>
        <w:spacing w:after="0" w:line="266" w:lineRule="auto"/>
        <w:rPr>
          <w:sz w:val="20"/>
          <w:szCs w:val="20"/>
          <w:color w:val="auto"/>
        </w:rPr>
      </w:pPr>
      <w:r>
        <w:rPr>
          <w:rFonts w:ascii="Times New Roman" w:cs="Times New Roman" w:eastAsia="Times New Roman" w:hAnsi="Times New Roman"/>
          <w:sz w:val="18"/>
          <w:szCs w:val="18"/>
          <w:color w:val="auto"/>
        </w:rPr>
        <w:t>During the first quarter of 2024, the Company recorded measurement period adjustments related to the acquisition of Kemco Systems Co., LLC ("Kemco"), as discussed in Note 15, resulting in an increase to goodwill of $0.1 million. During the third quarter of 2024, the Company completed its acquisition of EnviroCare International, as discussed in Note 15, resulting in goodwill of $7.6 million.</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Finite life intangible assets as of September 30,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00" w:type="dxa"/>
            <w:vAlign w:val="bottom"/>
          </w:tcPr>
          <w:p>
            <w:pPr>
              <w:spacing w:after="0"/>
              <w:rPr>
                <w:sz w:val="16"/>
                <w:szCs w:val="16"/>
                <w:color w:val="auto"/>
              </w:rPr>
            </w:pPr>
          </w:p>
        </w:tc>
        <w:tc>
          <w:tcPr>
            <w:tcW w:w="25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5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Accum. Amort.</w:t>
            </w:r>
          </w:p>
        </w:tc>
        <w:tc>
          <w:tcPr>
            <w:tcW w:w="2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Accum. Amort.</w:t>
            </w:r>
          </w:p>
        </w:tc>
        <w:tc>
          <w:tcPr>
            <w:tcW w:w="100" w:type="dxa"/>
            <w:vAlign w:val="bottom"/>
          </w:tcPr>
          <w:p>
            <w:pPr>
              <w:spacing w:after="0"/>
              <w:rPr>
                <w:sz w:val="14"/>
                <w:szCs w:val="14"/>
                <w:color w:val="auto"/>
              </w:rPr>
            </w:pPr>
          </w:p>
        </w:tc>
      </w:tr>
      <w:tr>
        <w:trPr>
          <w:trHeight w:val="23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17,248</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14,552</w:t>
            </w:r>
          </w:p>
        </w:tc>
        <w:tc>
          <w:tcPr>
            <w:tcW w:w="22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16,517</w:t>
            </w: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shd w:val="clear" w:color="auto" w:fill="CFF0FC"/>
          </w:tcPr>
          <w:p>
            <w:pPr>
              <w:spacing w:after="0"/>
              <w:rPr>
                <w:sz w:val="20"/>
                <w:szCs w:val="20"/>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lists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109,151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63,420</w:t>
            </w:r>
          </w:p>
        </w:tc>
        <w:tc>
          <w:tcPr>
            <w:tcW w:w="100" w:type="dxa"/>
            <w:vAlign w:val="bottom"/>
          </w:tcPr>
          <w:p>
            <w:pPr>
              <w:spacing w:after="0"/>
              <w:rPr>
                <w:sz w:val="20"/>
                <w:szCs w:val="20"/>
                <w:color w:val="auto"/>
              </w:rPr>
            </w:pPr>
          </w:p>
        </w:tc>
      </w:tr>
      <w:tr>
        <w:trPr>
          <w:trHeight w:val="247"/>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5,001</w:t>
            </w:r>
          </w:p>
        </w:tc>
        <w:tc>
          <w:tcPr>
            <w:tcW w:w="100" w:type="dxa"/>
            <w:vAlign w:val="bottom"/>
            <w:shd w:val="clear" w:color="auto" w:fill="CFF0FC"/>
          </w:tcPr>
          <w:p>
            <w:pPr>
              <w:spacing w:after="0"/>
              <w:rPr>
                <w:sz w:val="21"/>
                <w:szCs w:val="21"/>
                <w:color w:val="auto"/>
              </w:rPr>
            </w:pPr>
          </w:p>
        </w:tc>
      </w:tr>
      <w:tr>
        <w:trPr>
          <w:trHeight w:val="23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3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(1,396 )</w:t>
            </w:r>
          </w:p>
        </w:tc>
        <w:tc>
          <w:tcPr>
            <w:tcW w:w="16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(592 )</w:t>
            </w:r>
          </w:p>
        </w:tc>
        <w:tc>
          <w:tcPr>
            <w:tcW w:w="3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(1,083 )</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r>
      <w:tr>
        <w:trPr>
          <w:trHeight w:val="277"/>
        </w:trPr>
        <w:tc>
          <w:tcPr>
            <w:tcW w:w="50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intangible assets – finite life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139,917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88,370</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132,999</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82,538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-24765</wp:posOffset>
            </wp:positionV>
            <wp:extent cx="7747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Finite life intangible asset activity for the nine months ended September 30, 2024 and 2023 was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50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2"/>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 at beginning of period</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2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35,251</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(6,478 )</w:t>
            </w:r>
          </w:p>
        </w:tc>
        <w:tc>
          <w:tcPr>
            <w:tcW w:w="42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(5,306 )</w:t>
            </w: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 at end of period</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51,547</w:t>
            </w:r>
          </w:p>
        </w:tc>
        <w:tc>
          <w:tcPr>
            <w:tcW w:w="280" w:type="dxa"/>
            <w:vAlign w:val="bottom"/>
          </w:tcPr>
          <w:p>
            <w:pPr>
              <w:spacing w:after="0"/>
              <w:rPr>
                <w:sz w:val="20"/>
                <w:szCs w:val="20"/>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52,340</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Amortization expense of finite life intangible assets was $2.2 million and $1.9 million for the three months ended September 30, 2024 and 2023, respectively, and $6.5 million and $5.3 million for the nine months ended September 30, 2024 and 2023, respectively. Amortization over the next five years for finite life intangibles is expected to be $2.2 million for the remainder of 2024, $8.4 million in 2025, $7.3 million in 2026, $7.1 million in 2027, and $6.7 million in 2028.</w:t>
      </w:r>
    </w:p>
    <w:p>
      <w:pPr>
        <w:spacing w:after="0" w:line="180"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The Company completes its goodwill and indefinite life intangible asset impairment assessment annually in the fourth quarter, or more often if circumstances require. As a part of its impairment assessment, the Company first qualitatively assesses whether current events or changes in circumstances lead to a determination that it is more likely than not, defined as a likelihood of more than 50 percent, that the fair value of a reporting unit or indefinite life intangible asset is less than its carrying amount. If there is a qualitative determination that the fair value is more likely than not greater than the carrying value, the Company does not quantitatively test for impairment. If this qualitative assessment indicates a more likely than not potential that the asset may be impaired, the estimated fair value is calculated. If the estimated fair value is less than carrying value, an impairment charge is recorded.</w:t>
      </w:r>
    </w:p>
    <w:p>
      <w:pPr>
        <w:spacing w:after="0" w:line="189"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reviewed its previous forecasts and assumptions based on its current projections, which are subject to various risks and uncertainties, including projected revenue, projected operational profit, terminal growth rates, and the cost of capital. The Company did not identify any triggering events during the three or nine months ended September 30, 2024 that would require an interim impairment assessment of goodwill or intangible assets.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jc w:val="both"/>
        <w:ind w:left="520" w:right="20"/>
        <w:spacing w:after="0" w:line="266" w:lineRule="auto"/>
        <w:rPr>
          <w:sz w:val="20"/>
          <w:szCs w:val="20"/>
          <w:color w:val="auto"/>
        </w:rPr>
      </w:pPr>
      <w:r>
        <w:rPr>
          <w:rFonts w:ascii="Times New Roman" w:cs="Times New Roman" w:eastAsia="Times New Roman" w:hAnsi="Times New Roman"/>
          <w:sz w:val="18"/>
          <w:szCs w:val="18"/>
          <w:color w:val="auto"/>
        </w:rPr>
        <w:t>The Company’s assumptions about future conditions important to its assessment of potential impairment of its goodwill and indefinite life intangible assets are subject to uncertainty, and the Company will continue to monitor these conditions in future periods as new information becomes available, and will update its analysis accordingly.</w:t>
      </w:r>
    </w:p>
    <w:p>
      <w:pPr>
        <w:spacing w:after="0" w:line="172"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as of September 30,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10,829</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11,278</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liability</w:t>
            </w: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100" w:type="dxa"/>
            <w:vAlign w:val="bottom"/>
          </w:tcPr>
          <w:p>
            <w:pPr>
              <w:spacing w:after="0"/>
              <w:rPr>
                <w:sz w:val="20"/>
                <w:szCs w:val="20"/>
                <w:color w:val="auto"/>
              </w:rPr>
            </w:pPr>
          </w:p>
        </w:tc>
      </w:tr>
      <w:tr>
        <w:trPr>
          <w:trHeight w:val="24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14,994</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accrued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43,762</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Senior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as of September 30, 2024 and December 31, 2023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5"/>
        </w:trPr>
        <w:tc>
          <w:tcPr>
            <w:tcW w:w="79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$550 through September</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$2,232 through September 2025 and $2,977 thereafter with balance due upon</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maturity in December 2026</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112,424</w:t>
            </w:r>
          </w:p>
        </w:tc>
        <w:tc>
          <w:tcPr>
            <w:tcW w:w="100" w:type="dxa"/>
            <w:vAlign w:val="bottom"/>
          </w:tcPr>
          <w:p>
            <w:pPr>
              <w:spacing w:after="0"/>
              <w:rPr>
                <w:sz w:val="20"/>
                <w:szCs w:val="20"/>
                <w:color w:val="auto"/>
              </w:rPr>
            </w:pPr>
          </w:p>
        </w:tc>
      </w:tr>
      <w:tr>
        <w:trPr>
          <w:trHeight w:val="247"/>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(939 )</w:t>
            </w:r>
          </w:p>
        </w:tc>
        <w:tc>
          <w:tcPr>
            <w:tcW w:w="1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(1,296 )</w:t>
            </w:r>
          </w:p>
        </w:tc>
      </w:tr>
      <w:tr>
        <w:trPr>
          <w:trHeight w:val="23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133,398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100" w:type="dxa"/>
            <w:vAlign w:val="bottom"/>
            <w:shd w:val="clear" w:color="auto" w:fill="CFF0FC"/>
          </w:tcPr>
          <w:p>
            <w:pPr>
              <w:spacing w:after="0"/>
              <w:rPr>
                <w:sz w:val="20"/>
                <w:szCs w:val="20"/>
                <w:color w:val="auto"/>
              </w:rPr>
            </w:pPr>
          </w:p>
        </w:tc>
      </w:tr>
      <w:tr>
        <w:trPr>
          <w:trHeight w:val="24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(10,580 )</w:t>
            </w:r>
          </w:p>
        </w:tc>
        <w:tc>
          <w:tcPr>
            <w:tcW w:w="1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(10,488 )</w:t>
            </w:r>
          </w:p>
        </w:tc>
      </w:tr>
      <w:tr>
        <w:trPr>
          <w:trHeight w:val="277"/>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122,818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-976630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44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$2.6 million for the remainder of 2024, $11.3 million in 2025, $116.5 million in 2026, $3.9 million in 2027, and zero in 2028.</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520" w:right="120"/>
        <w:spacing w:after="0" w:line="258" w:lineRule="auto"/>
        <w:rPr>
          <w:sz w:val="20"/>
          <w:szCs w:val="20"/>
          <w:color w:val="auto"/>
        </w:rPr>
      </w:pPr>
      <w:r>
        <w:rPr>
          <w:rFonts w:ascii="Times New Roman" w:cs="Times New Roman" w:eastAsia="Times New Roman" w:hAnsi="Times New Roman"/>
          <w:sz w:val="18"/>
          <w:szCs w:val="18"/>
          <w:color w:val="auto"/>
        </w:rPr>
        <w:t>As of September 30, 2024 and December 31, 2023, $13.8 million and $13.3 million of letters of credit were outstanding, respectively. Total unused credit availability, in consideration of borrowing limitations, under the Company’s senior secured term loan and senior secured revolver loan with sub-facilities for letters of credit, swing-line loans and senior secured multi-currency loans (the "Credit Facility") was $82.7 million and $109.4 million at September 30, 2024 and December 31, 2023, respectively. Revolving loans may be borrowed, repaid and reborrowed until December 17, 2026, at which time all outstanding balances of the Credit Facility must be repaid.</w:t>
      </w:r>
    </w:p>
    <w:p>
      <w:pPr>
        <w:spacing w:after="0" w:line="183" w:lineRule="exact"/>
        <w:rPr>
          <w:sz w:val="20"/>
          <w:szCs w:val="20"/>
          <w:color w:val="auto"/>
        </w:rPr>
      </w:pP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At the Company’s option, revolving loans and the term loans accrue interest at a per annum rate based on (a) either the highest of (i) the federal funds rate plus 0.5%, or (ii) the prime lending rate of the Agent (as defined in the Credit Facility), (b) Daily Simple SOFR plus the Daily Simple SOFR Adjustment of 0.11% plus 1.0%, (c) 1.0%, plus a margin ranging from 1.75% to 3.25% depending on the Company’s Consolidated Leverage Ratio, or (d) a one/three/six-month Term SOFR Rate (as defined in the Credit Facility) plus the Term SOFR Adjustment ranging from 0.11% to 0.43% plus 1.75% to 3.25% depending on the Company’s Consolidated Leverage Ratio. Interest on swing line loans is the Base Rate.</w:t>
      </w:r>
    </w:p>
    <w:p>
      <w:pPr>
        <w:spacing w:after="0" w:line="183"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agreement), but in no event less than once every three months and at maturity. The weighted average stated interest rate on outstanding borrowings was 7.33% and 8.29% at September 30, 2024 and December 31, 2023, respectively. The effective interest rate was 8.09% and 7.70% at September 30, 2024 and December 31, 2023,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ind w:right="20"/>
        <w:spacing w:after="0" w:line="261" w:lineRule="auto"/>
        <w:rPr>
          <w:sz w:val="20"/>
          <w:szCs w:val="20"/>
          <w:color w:val="auto"/>
        </w:rPr>
      </w:pPr>
      <w:r>
        <w:rPr>
          <w:rFonts w:ascii="Times New Roman" w:cs="Times New Roman" w:eastAsia="Times New Roman" w:hAnsi="Times New Roman"/>
          <w:sz w:val="18"/>
          <w:szCs w:val="18"/>
          <w:color w:val="auto"/>
        </w:rPr>
        <w:t>Under the terms of the Credit Facility, the Company is required to maintain certain financial covenants, including the maintenance of a Consolidated Net Leverage Ratio (as defined in the Credit Facility). In the third quarter of 2023, the Company entered into an Elevated Ratio Period resulting in a maximum Consolidated Net Leverage Ratio of 4.00 through June 30, 2024, after which time it decreased to 3.50 until the end of the term of the Credit Facility.</w:t>
      </w:r>
    </w:p>
    <w:p>
      <w:pPr>
        <w:spacing w:after="0" w:line="180"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17"/>
          <w:szCs w:val="17"/>
          <w:color w:val="auto"/>
        </w:rP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spacing w:after="0" w:line="16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September 30, 2024 and December 31, 2023, the Company was in compliance with all related financial and other restrictive covenants under the Credit Facility.</w:t>
      </w:r>
    </w:p>
    <w:p>
      <w:pPr>
        <w:spacing w:after="0" w:line="162"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which amends and restates in its entirety the Company’s Credit Facility. The amended credit agreement provides for a senior secured revolving credit facility in an initial aggregate principal amount of up to $400.0 million. See Note 17 for further information.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March 7, 2022, the Company's Effox-Flextor-Mader, Inc. joint venture ("EFM JV"), for which the Company holds 63% of the equity, entered into a loan agreement secured by the assets of the EFM JV in the aggregate principal amount of $11.0 million for the acquisition of General Rubber, LLC ("GRC"). As of September 30, 2024 and December 31, 2023, $7.7 million and $8.9 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September 30, 2024 and December 31, 2023 was 7.96% and 8.70%, respectively. As of September 30, 2024 and December 31, 2023, the EFM JV was in compliance with all related financial and other restrictive covenants under this loan agreement. This loan balance does not impact the Company’s borrowing capacity or the financial covenants under the Credit Facility. As of September 30, 2024, there were $16.9 million in current assets, $25.8 million in long-lived assets, and $31.3 million in total liabilities related to the EFM JV included in the Condensed Consolidated Balance Sheets. As of December 31, 2023, there were $14.5 million in current assets, $26.7 million in long-lived assets, and $12.5 million in total liabilities related to the EFM JV included in the Consolidated Balance Sheets. For the three months ended September 30, 2024 and 2023, the EFM JV accounted for $10.7 million and $9.0 million in revenue, respectively, included in the Company's results. For the nine months ended September 30, 2024 and 2023, the EFM JV accounted for $34.6 million and $28.3 million in revenue, respectively, included in the Company's results. For the three months ended September 30, 2024 and 2023, the EFM JV accounted for $1.2 million and $1.0 million in net income, respectively, included in the Company's results. For the nine months ended September 30, 2024 and 2023, the EFM JV accounted for $3.9 million and $3.0 million in net income, respectively, included in the Company's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In March 2023, the Company amended the Credit Facility, allowing letters of credit and bank guarantee issuances of up to $80.0 million from the bilateral lines of credit secured through pledged assets and collateral under the Credit Facility. As of September 30, 2024 and December 31, 2023, $46.3 million and $45.8 million in bank guarantees were outstanding, respectively, inclusive of $1.7 million and $1.3 million in outstanding bank guarantees as of September 30, 2024 and December 31, 2023, respectively, under a Euro-denominated bank guarantee agreement held by a subsidiary of the Company located in the Netherlands and secured by local assets, as well as $2.4 million and $2.3 million in outstanding bank guarantees as of September 30, 2024 and December 31, 2023, respectively, under Yuan-denominated bank guarantee agreements held by a subsidiary of the Company located in China and secured by local assets.</w:t>
      </w:r>
    </w:p>
    <w:p>
      <w:pPr>
        <w:spacing w:after="0" w:line="200" w:lineRule="exact"/>
        <w:rPr>
          <w:sz w:val="20"/>
          <w:szCs w:val="20"/>
          <w:color w:val="auto"/>
        </w:rPr>
      </w:pPr>
    </w:p>
    <w:p>
      <w:pPr>
        <w:spacing w:after="0" w:line="208"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201" w:right="339" w:bottom="1440" w:gutter="0" w:footer="0" w:header="0"/>
        </w:sectPr>
      </w:pPr>
    </w:p>
    <w:bookmarkStart w:id="13" w:name="page14"/>
    <w:bookmarkEnd w:id="13"/>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computational components of basic and diluted earnings per share for the three months ended September 30, 2024 and 2023 are as follows:</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60" w:right="2560" w:hanging="44"/>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income attributable to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803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9" w:lineRule="exact"/>
        <w:rPr>
          <w:sz w:val="20"/>
          <w:szCs w:val="20"/>
          <w:color w:val="auto"/>
        </w:rPr>
      </w:pPr>
    </w:p>
    <w:p>
      <w:pPr>
        <w:ind w:left="740"/>
        <w:spacing w:after="0"/>
        <w:tabs>
          <w:tab w:leader="none" w:pos="27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4257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3" w:lineRule="exact"/>
        <w:rPr>
          <w:sz w:val="20"/>
          <w:szCs w:val="20"/>
          <w:color w:val="auto"/>
        </w:rPr>
      </w:pPr>
    </w:p>
    <w:p>
      <w:pPr>
        <w:spacing w:after="0"/>
        <w:tabs>
          <w:tab w:leader="none" w:pos="1340" w:val="left"/>
          <w:tab w:leader="none" w:pos="2060" w:val="left"/>
          <w:tab w:leader="none" w:pos="3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2,086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3,330</w:t>
      </w:r>
    </w:p>
    <w:p>
      <w:pPr>
        <w:spacing w:after="0" w:line="200" w:lineRule="exact"/>
        <w:rPr>
          <w:sz w:val="20"/>
          <w:szCs w:val="20"/>
          <w:color w:val="auto"/>
        </w:rPr>
      </w:pPr>
    </w:p>
    <w:p>
      <w:pPr>
        <w:spacing w:after="0" w:line="363" w:lineRule="exact"/>
        <w:rPr>
          <w:sz w:val="20"/>
          <w:szCs w:val="20"/>
          <w:color w:val="auto"/>
        </w:rPr>
      </w:pPr>
    </w:p>
    <w:p>
      <w:pPr>
        <w:jc w:val="both"/>
        <w:ind w:left="1260"/>
        <w:spacing w:after="0"/>
        <w:tabs>
          <w:tab w:leader="none" w:pos="3280" w:val="left"/>
        </w:tabs>
        <w:rPr>
          <w:sz w:val="20"/>
          <w:szCs w:val="20"/>
          <w:color w:val="auto"/>
        </w:rPr>
      </w:pPr>
      <w:r>
        <w:rPr>
          <w:rFonts w:ascii="Times New Roman" w:cs="Times New Roman" w:eastAsia="Times New Roman" w:hAnsi="Times New Roman"/>
          <w:sz w:val="18"/>
          <w:szCs w:val="18"/>
          <w:color w:val="auto"/>
        </w:rPr>
        <w:t>34,967</w:t>
      </w:r>
      <w:r>
        <w:rPr>
          <w:sz w:val="20"/>
          <w:szCs w:val="20"/>
          <w:color w:val="auto"/>
        </w:rPr>
        <w:tab/>
      </w:r>
      <w:r>
        <w:rPr>
          <w:rFonts w:ascii="Times New Roman" w:cs="Times New Roman" w:eastAsia="Times New Roman" w:hAnsi="Times New Roman"/>
          <w:sz w:val="18"/>
          <w:szCs w:val="18"/>
          <w:color w:val="auto"/>
        </w:rPr>
        <w:t>34,772</w:t>
      </w:r>
    </w:p>
    <w:p>
      <w:pPr>
        <w:spacing w:after="0" w:line="47" w:lineRule="exact"/>
        <w:rPr>
          <w:sz w:val="20"/>
          <w:szCs w:val="20"/>
          <w:color w:val="auto"/>
        </w:rPr>
      </w:pPr>
    </w:p>
    <w:p>
      <w:pPr>
        <w:sectPr>
          <w:pgSz w:w="11900" w:h="16838" w:orient="portrait"/>
          <w:cols w:equalWidth="0" w:num="2">
            <w:col w:w="6600" w:space="720"/>
            <w:col w:w="392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7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80" w:type="dxa"/>
            <w:vAlign w:val="bottom"/>
            <w:tcBorders>
              <w:bottom w:val="single" w:sz="8" w:color="CCECFF"/>
            </w:tcBorders>
            <w:shd w:val="clear" w:color="auto" w:fill="CCECFF"/>
          </w:tcPr>
          <w:p>
            <w:pPr>
              <w:spacing w:after="0"/>
              <w:rPr>
                <w:sz w:val="20"/>
                <w:szCs w:val="20"/>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nine months ended September 30, 2024 and 2023 are as follows:</w:t>
      </w:r>
    </w:p>
    <w:p>
      <w:pPr>
        <w:sectPr>
          <w:pgSz w:w="11900" w:h="16838" w:orient="portrait"/>
          <w:cols w:equalWidth="0" w:num="1">
            <w:col w:w="11240"/>
          </w:cols>
          <w:pgMar w:left="320" w:top="1197"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9" w:lineRule="exact"/>
        <w:rPr>
          <w:sz w:val="20"/>
          <w:szCs w:val="20"/>
          <w:color w:val="auto"/>
        </w:rPr>
      </w:pPr>
    </w:p>
    <w:p>
      <w:pPr>
        <w:ind w:left="60" w:right="2560" w:hanging="44"/>
        <w:spacing w:after="0" w:line="350" w:lineRule="auto"/>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income attributable to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132320" cy="1797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9" w:lineRule="exact"/>
        <w:rPr>
          <w:sz w:val="20"/>
          <w:szCs w:val="20"/>
          <w:color w:val="auto"/>
        </w:rPr>
      </w:pPr>
    </w:p>
    <w:p>
      <w:pPr>
        <w:ind w:left="740"/>
        <w:spacing w:after="0"/>
        <w:tabs>
          <w:tab w:leader="none" w:pos="27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2425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43" w:lineRule="exact"/>
        <w:rPr>
          <w:sz w:val="20"/>
          <w:szCs w:val="20"/>
          <w:color w:val="auto"/>
        </w:rPr>
      </w:pPr>
    </w:p>
    <w:p>
      <w:pPr>
        <w:spacing w:after="0"/>
        <w:tabs>
          <w:tab w:leader="none" w:pos="1340" w:val="left"/>
          <w:tab w:leader="none" w:pos="2060" w:val="left"/>
          <w:tab w:leader="none" w:pos="3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8,079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9,032</w:t>
      </w:r>
    </w:p>
    <w:p>
      <w:pPr>
        <w:spacing w:after="0" w:line="200" w:lineRule="exact"/>
        <w:rPr>
          <w:sz w:val="20"/>
          <w:szCs w:val="20"/>
          <w:color w:val="auto"/>
        </w:rPr>
      </w:pPr>
    </w:p>
    <w:p>
      <w:pPr>
        <w:spacing w:after="0" w:line="363" w:lineRule="exact"/>
        <w:rPr>
          <w:sz w:val="20"/>
          <w:szCs w:val="20"/>
          <w:color w:val="auto"/>
        </w:rPr>
      </w:pPr>
    </w:p>
    <w:p>
      <w:pPr>
        <w:jc w:val="both"/>
        <w:ind w:left="1260"/>
        <w:spacing w:after="0"/>
        <w:tabs>
          <w:tab w:leader="none" w:pos="3280" w:val="left"/>
        </w:tabs>
        <w:rPr>
          <w:sz w:val="20"/>
          <w:szCs w:val="20"/>
          <w:color w:val="auto"/>
        </w:rPr>
      </w:pPr>
      <w:r>
        <w:rPr>
          <w:rFonts w:ascii="Times New Roman" w:cs="Times New Roman" w:eastAsia="Times New Roman" w:hAnsi="Times New Roman"/>
          <w:sz w:val="18"/>
          <w:szCs w:val="18"/>
          <w:color w:val="auto"/>
        </w:rPr>
        <w:t>34,910</w:t>
      </w:r>
      <w:r>
        <w:rPr>
          <w:sz w:val="20"/>
          <w:szCs w:val="20"/>
          <w:color w:val="auto"/>
        </w:rPr>
        <w:tab/>
      </w:r>
      <w:r>
        <w:rPr>
          <w:rFonts w:ascii="Times New Roman" w:cs="Times New Roman" w:eastAsia="Times New Roman" w:hAnsi="Times New Roman"/>
          <w:sz w:val="18"/>
          <w:szCs w:val="18"/>
          <w:color w:val="auto"/>
        </w:rPr>
        <w:t>34,612</w:t>
      </w:r>
    </w:p>
    <w:p>
      <w:pPr>
        <w:spacing w:after="0" w:line="47" w:lineRule="exact"/>
        <w:rPr>
          <w:sz w:val="20"/>
          <w:szCs w:val="20"/>
          <w:color w:val="auto"/>
        </w:rPr>
      </w:pPr>
    </w:p>
    <w:p>
      <w:pPr>
        <w:sectPr>
          <w:pgSz w:w="11900" w:h="16838" w:orient="portrait"/>
          <w:cols w:equalWidth="0" w:num="2">
            <w:col w:w="6600" w:space="720"/>
            <w:col w:w="392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7320" w:type="dxa"/>
            <w:vAlign w:val="bottom"/>
            <w:tcBorders>
              <w:bottom w:val="single" w:sz="8" w:color="CCECFF"/>
            </w:tcBorders>
            <w:shd w:val="clear" w:color="auto" w:fill="CCECFF"/>
          </w:tcPr>
          <w:p>
            <w:pPr>
              <w:ind w:left="20"/>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80" w:type="dxa"/>
            <w:vAlign w:val="bottom"/>
            <w:tcBorders>
              <w:bottom w:val="single" w:sz="8" w:color="CCECFF"/>
            </w:tcBorders>
            <w:shd w:val="clear" w:color="auto" w:fill="CCECFF"/>
          </w:tcPr>
          <w:p>
            <w:pPr>
              <w:spacing w:after="0"/>
              <w:rPr>
                <w:sz w:val="20"/>
                <w:szCs w:val="20"/>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35,216</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-187960</wp:posOffset>
            </wp:positionV>
            <wp:extent cx="768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180"/>
        <w:spacing w:after="0" w:line="261" w:lineRule="auto"/>
        <w:rPr>
          <w:sz w:val="20"/>
          <w:szCs w:val="20"/>
          <w:color w:val="auto"/>
        </w:rPr>
      </w:pPr>
      <w:r>
        <w:rPr>
          <w:rFonts w:ascii="Times New Roman" w:cs="Times New Roman" w:eastAsia="Times New Roman" w:hAnsi="Times New Roman"/>
          <w:sz w:val="18"/>
          <w:szCs w:val="18"/>
          <w:color w:val="auto"/>
        </w:rPr>
        <w:t>Options and restricted stock units included in the computation of diluted earnings per share are calculated using the treasury stock method. For the three months ended September 30, 2024 and 2023, zero and zero, respectively, and for the nine months ended September 30, 2024 and 2023, 0.1 million and 0.7 million, respectively, of outstanding options and restricted stock units were excluded from the computation of diluted earnings per share due to their having an anti-dilutive effect.</w:t>
      </w:r>
    </w:p>
    <w:p>
      <w:pPr>
        <w:spacing w:after="0" w:line="180"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27" w:lineRule="exact"/>
        <w:rPr>
          <w:sz w:val="20"/>
          <w:szCs w:val="20"/>
          <w:color w:val="auto"/>
        </w:rPr>
      </w:pPr>
    </w:p>
    <w:p>
      <w:pPr>
        <w:ind w:left="520" w:right="100"/>
        <w:spacing w:after="0" w:line="256" w:lineRule="auto"/>
        <w:rPr>
          <w:sz w:val="20"/>
          <w:szCs w:val="20"/>
          <w:color w:val="auto"/>
        </w:rPr>
      </w:pPr>
      <w:r>
        <w:rPr>
          <w:rFonts w:ascii="Times New Roman" w:cs="Times New Roman" w:eastAsia="Times New Roman" w:hAnsi="Times New Roman"/>
          <w:sz w:val="18"/>
          <w:szCs w:val="18"/>
          <w:color w:val="auto"/>
        </w:rPr>
        <w:t>On May 10, 2022, the Company's Board of Directors authorized a share repurchase program under which the Company may purchase up to $20.0 million of its outstanding shares of common stock through April 30, 2025. The authorization permits the Company to repurchase shares in the open market, through accelerated share repurchases, block trades, Rule 10b5-1 trading plans or through privately negotiated transactions in accordance with applicable laws, rules and regulations. During the three and nine months ended September 30, 2024, the Company repurchased approximately zero and 230,000 shares under the program, respectively, for a cost of zero and $5.0 million, respectively. There were no shares repurchased under the program during the three or nine months ended September 30,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9" w:lineRule="exact"/>
        <w:rPr>
          <w:sz w:val="20"/>
          <w:szCs w:val="20"/>
          <w:color w:val="auto"/>
        </w:rPr>
      </w:pPr>
    </w:p>
    <w:p>
      <w:pPr>
        <w:ind w:left="520" w:right="60"/>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compensation in accordance with Accounting Standards Codification (“ASC”) Topic 718, “Compensation – Stock Compensation,” which requires the Company to recognize compensation expense for share-based awards, measured at the fair value of the awards at the grant date. The Company recognized $1.9 million and $1.2 million of share-based compensation related expense during the three months ended September 30, 2024 and 2023, respectively, and $5.8 million and $3.1 million of share-based compensation related expense during the nine months ended September 30, 2024 and 2023, respectively.</w:t>
      </w:r>
    </w:p>
    <w:p>
      <w:pPr>
        <w:spacing w:after="0" w:line="183" w:lineRule="exact"/>
        <w:rPr>
          <w:sz w:val="20"/>
          <w:szCs w:val="20"/>
          <w:color w:val="auto"/>
        </w:rPr>
      </w:pPr>
    </w:p>
    <w:p>
      <w:pPr>
        <w:ind w:left="520" w:right="720"/>
        <w:spacing w:after="0" w:line="266" w:lineRule="auto"/>
        <w:rPr>
          <w:sz w:val="20"/>
          <w:szCs w:val="20"/>
          <w:color w:val="auto"/>
        </w:rPr>
      </w:pPr>
      <w:r>
        <w:rPr>
          <w:rFonts w:ascii="Times New Roman" w:cs="Times New Roman" w:eastAsia="Times New Roman" w:hAnsi="Times New Roman"/>
          <w:sz w:val="18"/>
          <w:szCs w:val="18"/>
          <w:color w:val="auto"/>
        </w:rPr>
        <w:t>The Company granted approximately zero and 345,000 restricted stock units during the three months ended September 30, 2024 and 2023, respectively, and approximately 341,000 and 733,000 restricted stock units during the nine months ended September 30, 2024 and 2023, respectively. In addition, the Company granted approximately 25,000 and zero stock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4" w:name="page15"/>
    <w:bookmarkEnd w:id="14"/>
    <w:p>
      <w:pPr>
        <w:ind w:left="520" w:right="1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and 2023, respectively. No stock options were granted during the three months ended September 30, 2024 and 2023.</w:t>
      </w:r>
    </w:p>
    <w:p>
      <w:pPr>
        <w:spacing w:after="0" w:line="162" w:lineRule="exact"/>
        <w:rPr>
          <w:sz w:val="20"/>
          <w:szCs w:val="20"/>
          <w:color w:val="auto"/>
        </w:rPr>
      </w:pPr>
    </w:p>
    <w:p>
      <w:pPr>
        <w:ind w:left="520" w:right="20"/>
        <w:spacing w:after="0" w:line="256" w:lineRule="auto"/>
        <w:rPr>
          <w:sz w:val="20"/>
          <w:szCs w:val="20"/>
          <w:color w:val="auto"/>
        </w:rPr>
      </w:pPr>
      <w:r>
        <w:rPr>
          <w:rFonts w:ascii="Times New Roman" w:cs="Times New Roman" w:eastAsia="Times New Roman" w:hAnsi="Times New Roman"/>
          <w:sz w:val="18"/>
          <w:szCs w:val="18"/>
          <w:color w:val="auto"/>
        </w:rPr>
        <w:t>There were approximately 8,000 and 25,000 options exercised during the three months ended September 30, 2024 and 2023, respectively, for which the Company received $0.1 million and $0.3 million in cash, respectively, from employees and directors. The intrinsic value of options exercised was $0.1 million for each of the three months ended September 30, 2024 and 2023. There were approximately 28,000 and 101,000 options exercised during the nine months ended September 30, 2024 and 2023, respectively, for which the Company received $0.4 million and $1.2 million in cash, respectively, from employees and directors. The intrinsic value of options exercised was $0.3 million and $0.1 million for the nine months ended September 30,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Pension and Employee Benefit Plans</w:t>
      </w:r>
    </w:p>
    <w:p>
      <w:pPr>
        <w:spacing w:after="0" w:line="229" w:lineRule="exact"/>
        <w:rPr>
          <w:sz w:val="20"/>
          <w:szCs w:val="20"/>
          <w:color w:val="auto"/>
        </w:rPr>
      </w:pPr>
    </w:p>
    <w:p>
      <w:pPr>
        <w:ind w:left="520" w:right="380"/>
        <w:spacing w:after="0" w:line="282" w:lineRule="auto"/>
        <w:rPr>
          <w:sz w:val="20"/>
          <w:szCs w:val="20"/>
          <w:color w:val="auto"/>
        </w:rPr>
      </w:pPr>
      <w:r>
        <w:rPr>
          <w:rFonts w:ascii="Times New Roman" w:cs="Times New Roman" w:eastAsia="Times New Roman" w:hAnsi="Times New Roman"/>
          <w:sz w:val="18"/>
          <w:szCs w:val="18"/>
          <w:color w:val="auto"/>
        </w:rPr>
        <w:t>The Company sponsors a non-contributory defined benefit pension plan for certain union employees. The plan is funded in accordance with the funding requirements of the Employee Retirement Income Security Act of 1974.</w:t>
      </w:r>
    </w:p>
    <w:p>
      <w:pPr>
        <w:spacing w:after="0" w:line="162"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color w:val="auto"/>
        </w:rPr>
        <w:t>The Company presents the components of net periodic benefit cost within “Other expense, net” on the Condensed Consolidated Statements of Income.</w:t>
      </w:r>
    </w:p>
    <w:p>
      <w:pPr>
        <w:spacing w:after="0" w:line="162"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Retirement plan expense is based on valuations performed by plan actuaries as of the beginning of each fiscal year. The components of the pension plan expense consisted of the following: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6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87"/>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FF0FC"/>
          </w:tcPr>
          <w:p>
            <w:pPr>
              <w:spacing w:after="0"/>
              <w:rPr>
                <w:sz w:val="20"/>
                <w:szCs w:val="20"/>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(308 )</w:t>
            </w:r>
          </w:p>
        </w:tc>
        <w:tc>
          <w:tcPr>
            <w:tcW w:w="3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(285 )</w:t>
            </w: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(915 )</w:t>
            </w:r>
          </w:p>
        </w:tc>
        <w:tc>
          <w:tcPr>
            <w:tcW w:w="3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(856 )</w:t>
            </w:r>
          </w:p>
        </w:tc>
      </w:tr>
      <w:tr>
        <w:trPr>
          <w:trHeight w:val="247"/>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100"/>
        <w:spacing w:after="0" w:line="261" w:lineRule="auto"/>
        <w:rPr>
          <w:sz w:val="20"/>
          <w:szCs w:val="20"/>
          <w:color w:val="auto"/>
        </w:rPr>
      </w:pPr>
      <w:r>
        <w:rPr>
          <w:rFonts w:ascii="Times New Roman" w:cs="Times New Roman" w:eastAsia="Times New Roman" w:hAnsi="Times New Roman"/>
          <w:sz w:val="18"/>
          <w:szCs w:val="18"/>
          <w:color w:val="auto"/>
        </w:rPr>
        <w:t>The Company made contributions to its defined benefit plan of $0.9 million and $1.1 during the three and nine months ended September 30, 2024, respectively. No contributions were made to the plan during the three and nine months ended September 30, 2023. No additional contributions are expected for the remainder of 2024. The unfunded liability of the plan of $3.0 million and $4.1 million as of September 30, 2024 and December 31, 2023, respectively, is included in “Other liabilities” on the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various federal, state and local jurisdictions. Tax years from 2018 forward remain open for examination by Federal authorities. Tax years from 2017 forward remain open for all significant state and foreign authorities.</w:t>
      </w:r>
    </w:p>
    <w:p>
      <w:pPr>
        <w:spacing w:after="0" w:line="162"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The Company accounts for uncertain tax positions pursuant to ASC Topic 740, “Income Taxes.” As of September 30, 2024 and December 31, 2023, the liability for uncertain tax positions totaled approximately $0.2 million, which is included in “Other liabilities” on the Condensed Consolidated Balance Sheets. The Company recognizes accrued interest related to uncertain tax positions and penalties, if any, in income tax expense within the Condensed Consolidated Statements of Income.</w:t>
      </w:r>
    </w:p>
    <w:p>
      <w:pPr>
        <w:spacing w:after="0" w:line="180"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September 30, 2024 and December 31, 2023, the Company recorded deferred income taxes of approximately $0.9 million and $0.7 million, respectively, on the undistributed earnings of its foreign subsidiaries.</w:t>
      </w:r>
    </w:p>
    <w:p>
      <w:pPr>
        <w:spacing w:after="0" w:line="183" w:lineRule="exact"/>
        <w:rPr>
          <w:sz w:val="20"/>
          <w:szCs w:val="20"/>
          <w:color w:val="auto"/>
        </w:rPr>
      </w:pPr>
    </w:p>
    <w:p>
      <w:pPr>
        <w:ind w:left="520" w:right="40"/>
        <w:spacing w:after="0" w:line="256" w:lineRule="auto"/>
        <w:rPr>
          <w:sz w:val="20"/>
          <w:szCs w:val="20"/>
          <w:color w:val="auto"/>
        </w:rPr>
      </w:pPr>
      <w:r>
        <w:rPr>
          <w:rFonts w:ascii="Times New Roman" w:cs="Times New Roman" w:eastAsia="Times New Roman" w:hAnsi="Times New Roman"/>
          <w:sz w:val="18"/>
          <w:szCs w:val="18"/>
          <w:color w:val="auto"/>
        </w:rPr>
        <w:t>Income tax expense was $1.6 million and $0.6 million for the three months ended September 30, 2024 and 2023, respectively, and $2.7 million and $1.6 million for the nine months ended September 30, 2024 and 2023, respectively. The effective income tax rate for the three months ended September 30, 2024 was 38.7% compared with 13.6% for the three months ended September 30, 2023, and the effective income tax rate for the nine months ended September 30, 2024 was 21.8% compared with 13.4% for the nine months ended September 30, 2023. The effective income tax rates for the three and nine months ended September 30, 2024 and 2023 differ from the United States federal statutory rate. The Company's effective rate is affected 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ind w:left="520" w:right="140"/>
        <w:spacing w:after="0" w:line="266" w:lineRule="auto"/>
        <w:rPr>
          <w:sz w:val="20"/>
          <w:szCs w:val="20"/>
          <w:color w:val="auto"/>
        </w:rPr>
      </w:pPr>
      <w:r>
        <w:rPr>
          <w:rFonts w:ascii="Times New Roman" w:cs="Times New Roman" w:eastAsia="Times New Roman" w:hAnsi="Times New Roman"/>
          <w:sz w:val="18"/>
          <w:szCs w:val="18"/>
          <w:color w:val="auto"/>
        </w:rPr>
        <w:t>certain other permanent differences, including state income taxes, non-deductible incentive stock-based compensation and differences in tax rates among jurisdictions in which it operates. Additionally, the Company received a tax indemnification payment of $0.5 million, related to a prior year acquisition, in the second quarter of 2024.</w:t>
      </w:r>
    </w:p>
    <w:p>
      <w:pPr>
        <w:spacing w:after="0" w:line="176" w:lineRule="exact"/>
        <w:rPr>
          <w:sz w:val="20"/>
          <w:szCs w:val="20"/>
          <w:color w:val="auto"/>
        </w:rPr>
      </w:pPr>
    </w:p>
    <w:p>
      <w:pPr>
        <w:ind w:left="520" w:right="120"/>
        <w:spacing w:after="0" w:line="254"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 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ind w:left="520" w:right="28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investments in cash and cash equivalents, receivables and certain other assets, notes payable, foreign debt and accounts payable, which approximate fair value at September 30, 2024 and December 31, 2023, due to their short-term nature or variable, market-driven interest rates.</w:t>
      </w:r>
    </w:p>
    <w:p>
      <w:pPr>
        <w:spacing w:after="0" w:line="176"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$134.3 million and $138.6 million at September 30, 2024 and December 31, 2023, respectively. The fair value was determined considering market conditions, the Company's credit worthiness and the current terms of our debt, which is considered Level 2 on the fair value hierarchy.</w:t>
      </w:r>
    </w:p>
    <w:p>
      <w:pPr>
        <w:spacing w:after="0" w:line="176" w:lineRule="exact"/>
        <w:rPr>
          <w:sz w:val="20"/>
          <w:szCs w:val="20"/>
          <w:color w:val="auto"/>
        </w:rPr>
      </w:pPr>
    </w:p>
    <w:p>
      <w:pPr>
        <w:ind w:left="520" w:right="200"/>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the Company had cash and cash equivalents of $38.7 million and $54.8 million, respectively, of which $25.3 million and $38.5 million, respectively, was held outside of the United States, principally in the Netherlands, India, United Kingdom, and China.</w:t>
      </w:r>
    </w:p>
    <w:p>
      <w:pPr>
        <w:spacing w:after="0" w:line="172" w:lineRule="exact"/>
        <w:rPr>
          <w:sz w:val="20"/>
          <w:szCs w:val="20"/>
          <w:color w:val="auto"/>
        </w:rPr>
      </w:pPr>
    </w:p>
    <w:p>
      <w:pPr>
        <w:ind w:left="520" w:right="8320" w:hanging="512"/>
        <w:spacing w:after="0" w:line="503" w:lineRule="auto"/>
        <w:tabs>
          <w:tab w:leader="none" w:pos="371"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Asbestos cases</w:t>
      </w:r>
    </w:p>
    <w:p>
      <w:pPr>
        <w:ind w:left="520" w:right="40"/>
        <w:spacing w:after="0" w:line="253" w:lineRule="auto"/>
        <w:rPr>
          <w:sz w:val="20"/>
          <w:szCs w:val="20"/>
          <w:color w:val="auto"/>
        </w:rPr>
      </w:pPr>
      <w:r>
        <w:rPr>
          <w:rFonts w:ascii="Times New Roman" w:cs="Times New Roman" w:eastAsia="Times New Roman" w:hAnsi="Times New Roman"/>
          <w:sz w:val="18"/>
          <w:szCs w:val="18"/>
          <w:color w:val="auto"/>
        </w:rPr>
        <w:t>The Company's subsidiary, Met-Pro Technologies LLC (“Met-Pro”), beginning in 2002, has been named in asbestos-related lawsuits filed against a large number of industrial companies including, in particular, those in the pump and fluid handling industries. In management’s opinion, the complaints typically have been vague, general and speculative, alleging that Met-Pro, along with the numerous other defendants, sold unidentified asbestos-containing products and engaged in other related actions which caused injuries (including death) and loss to the plaintiffs. Counsel has advised that more recent cases typically allege more serious claims of mesothelioma. The Company’s insurers have hired attorneys who, together with the Company, are vigorously defending these cases. Many cases have been dismissed after the plaintiff fails to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or settled a large number of these cases. Cumulative settlement payments from 2002 through September 30, 2024 for cases involving asbestos-related claims were $7.0 million which together with all legal fees other than corporate counsel expenses have substantially been paid by the Company’s insurers. The average cost per settled claim, excluding legal fees, was approximately $33,000. As of September 30, 2024 and December 31, 2023, the amount recorded within "Accrued expenses" on the Condensed Consolidated Balance Sheets was $0.2 million and zero, respectively, related to asbestos litigation.</w:t>
      </w:r>
    </w:p>
    <w:p>
      <w:pPr>
        <w:spacing w:after="0" w:line="187"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Based upon the most recent information available to the Company regarding such claims, there were a total of 343 cases pending against the Company as of September 30, 2024 with Illinois, New York, Pennsylvania and West Virginia having the largest number of cases, as compared with 313 cases that were pending as of December 31, 2023. During the nine months ended September 30, 2024, 136 new cases were filed against the Company, and the Company was dismissed from 71 cases and settled 35 cases. Most of the pending cases have not advanced beyond the early stages of discovery, although a number of cases are on schedules leading to or scheduled for trial. The Company believes that its insurance coverage is adequate for the cases currently pending against the Company and for the foreseeable future, assuming a continuation of the current volume, nature of cases and settlement amounts. However, the Company has no control over the number and nature of cases that are filed against it, nor as to the financial health of its insurers or their position as to coverage. The Company also presently believes that none of the pending cases will have a material adverse impact upon the Company’s results of operations, liquidity or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162" w:lineRule="exact"/>
        <w:rPr>
          <w:sz w:val="20"/>
          <w:szCs w:val="20"/>
          <w:color w:val="auto"/>
        </w:rPr>
      </w:pPr>
    </w:p>
    <w:p>
      <w:pPr>
        <w:ind w:left="520"/>
        <w:spacing w:after="0" w:line="261"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The Company records accruals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0"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58"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EnviroCare International LLC</w:t>
      </w:r>
    </w:p>
    <w:p>
      <w:pPr>
        <w:spacing w:after="0" w:line="227" w:lineRule="exact"/>
        <w:rPr>
          <w:rFonts w:ascii="Times New Roman" w:cs="Times New Roman" w:eastAsia="Times New Roman" w:hAnsi="Times New Roman"/>
          <w:sz w:val="18"/>
          <w:szCs w:val="18"/>
          <w:b w:val="1"/>
          <w:bCs w:val="1"/>
          <w:color w:val="auto"/>
        </w:rPr>
      </w:pPr>
    </w:p>
    <w:p>
      <w:pPr>
        <w:ind w:left="52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29, 2024, the Company completed its acquisition of EnviroCare International LLC (“EnviroCare"), based in American Canyon, California. EnviroCare is an international designer and provider of industrial exhaust air contamination treatment and control systems, solutions and services across a wide range of industrial and municipal applications. The estimated purchase price was approximately $13.0 million consisting of $15.7 million paid at closing and a seller promissory note of $1.7 million, partially offset by an estimated working capital adjustment of $4.4 million. The acquisition was financed using a combination of cash on the balance sheet and borrowings under the Company’s existing Credit Facility. The following table summarizes the preliminary fair values of the assets acquired and liabilities assumed at the date of closing.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$374 and accounts receivable of $405)</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Pr>
          <w:p>
            <w:pPr>
              <w:spacing w:after="0"/>
              <w:rPr>
                <w:sz w:val="21"/>
                <w:szCs w:val="21"/>
                <w:color w:val="auto"/>
              </w:rPr>
            </w:pPr>
          </w:p>
        </w:tc>
      </w:tr>
      <w:tr>
        <w:trPr>
          <w:trHeight w:val="23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17,957</w:t>
            </w:r>
          </w:p>
        </w:tc>
        <w:tc>
          <w:tcPr>
            <w:tcW w:w="100" w:type="dxa"/>
            <w:vAlign w:val="bottom"/>
            <w:shd w:val="clear" w:color="auto" w:fill="CFF0FC"/>
          </w:tcPr>
          <w:p>
            <w:pPr>
              <w:spacing w:after="0"/>
              <w:rPr>
                <w:sz w:val="20"/>
                <w:szCs w:val="20"/>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(4,949 )</w:t>
            </w:r>
          </w:p>
        </w:tc>
      </w:tr>
      <w:tr>
        <w:trPr>
          <w:trHeight w:val="277"/>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9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$0.8 million, $0.8 million and $5.7 million, respectively. These assets were determined to have useful lives of 7, 10 and 10 years, respectively.</w:t>
      </w:r>
    </w:p>
    <w:p>
      <w:pPr>
        <w:spacing w:after="0" w:line="162" w:lineRule="exact"/>
        <w:rPr>
          <w:sz w:val="20"/>
          <w:szCs w:val="20"/>
          <w:color w:val="auto"/>
        </w:rPr>
      </w:pPr>
    </w:p>
    <w:p>
      <w:pPr>
        <w:ind w:left="520" w:right="420"/>
        <w:spacing w:after="0" w:line="282" w:lineRule="auto"/>
        <w:rPr>
          <w:sz w:val="20"/>
          <w:szCs w:val="20"/>
          <w:color w:val="auto"/>
        </w:rPr>
      </w:pPr>
      <w:r>
        <w:rPr>
          <w:rFonts w:ascii="Times New Roman" w:cs="Times New Roman" w:eastAsia="Times New Roman" w:hAnsi="Times New Roman"/>
          <w:sz w:val="18"/>
          <w:szCs w:val="18"/>
          <w:color w:val="auto"/>
        </w:rPr>
        <w:t>During each of the three and nine months ended September 30, 2024, EnviroCare accounted for $2.4 million in revenue and $0.3 million of net income in the Company's results.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Kemco Systems Co., LLC</w:t>
      </w:r>
    </w:p>
    <w:p>
      <w:pPr>
        <w:spacing w:after="0" w:line="227"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On August 23, 2023, the Company acquired 100% of the equity interests of Kemco for $24.0 million in cash, which was financed with a draw on the Company’s revolving credit facility. During the three months ended March 31, 2024, the Company received $0.4 million from the former owners of Kemco as a working capital adjustment, reducing the purchase price to $23.6 million. As additional consideration, the former owners of Kemco are entitled to earnout payments up to $4.0 million based upon specified financial results through August 31, 2026, of which $1.7 million was paid during the second quarter of 2024. Based on projections at the acquisition date, the Company estimated the fair value of the earnout to be $2.2 million, which was subsequently adjusted to $2.7 million in the first quarter of 2024. This fair value measurement is based on inputs not observable in the market, which is considered Level 3 on the fair value hierarchy. As of September 30, 2024, the earnout liability recorded in “Accrued expenses” on the Condensed Consolidated Balance Sheets is $1.5 million which reflects a fair value adjustment of $0.4 million during the third quarter of 2024. Kemco designs and manufactures energy and water conservation systems and equipment for applications regarding wastewater reuse and recycle, heat recovery, water heating, and vapor energy. This acquisition advances the Company's position within the North American water and wastewater treatment market within the Engineered Systems segment. The following table summarizes the fair values of the assets acquired and liabilities assumed at the date of closing.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$2,328)</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w:t>
            </w:r>
          </w:p>
        </w:tc>
        <w:tc>
          <w:tcPr>
            <w:tcW w:w="100" w:type="dxa"/>
            <w:vAlign w:val="bottom"/>
            <w:shd w:val="clear" w:color="auto" w:fill="CFF0FC"/>
          </w:tcPr>
          <w:p>
            <w:pPr>
              <w:spacing w:after="0"/>
              <w:rPr>
                <w:sz w:val="21"/>
                <w:szCs w:val="21"/>
                <w:color w:val="auto"/>
              </w:rPr>
            </w:pP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r>
      <w:tr>
        <w:trPr>
          <w:trHeight w:val="237"/>
        </w:trPr>
        <w:tc>
          <w:tcPr>
            <w:tcW w:w="9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33,586</w:t>
            </w:r>
          </w:p>
        </w:tc>
        <w:tc>
          <w:tcPr>
            <w:tcW w:w="100" w:type="dxa"/>
            <w:vAlign w:val="bottom"/>
            <w:shd w:val="clear" w:color="auto" w:fill="CFF0FC"/>
          </w:tcPr>
          <w:p>
            <w:pPr>
              <w:spacing w:after="0"/>
              <w:rPr>
                <w:sz w:val="20"/>
                <w:szCs w:val="20"/>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(6,853 )</w:t>
            </w: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r>
      <w:tr>
        <w:trPr>
          <w:trHeight w:val="237"/>
        </w:trPr>
        <w:tc>
          <w:tcPr>
            <w:tcW w:w="92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26,329</w:t>
            </w:r>
          </w:p>
        </w:tc>
        <w:tc>
          <w:tcPr>
            <w:tcW w:w="100" w:type="dxa"/>
            <w:vAlign w:val="bottom"/>
            <w:tcBorders>
              <w:top w:val="single" w:sz="8" w:color="CFF0FC"/>
            </w:tcBorders>
          </w:tcPr>
          <w:p>
            <w:pPr>
              <w:spacing w:after="0"/>
              <w:rPr>
                <w:sz w:val="20"/>
                <w:szCs w:val="20"/>
                <w:color w:val="auto"/>
              </w:rPr>
            </w:pPr>
          </w:p>
        </w:tc>
      </w:tr>
      <w:tr>
        <w:trPr>
          <w:trHeight w:val="20"/>
        </w:trPr>
        <w:tc>
          <w:tcPr>
            <w:tcW w:w="9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9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$1.4 million, $8.7 million and $1.5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Transcend Solutions</w:t>
      </w:r>
    </w:p>
    <w:p>
      <w:pPr>
        <w:spacing w:after="0" w:line="227" w:lineRule="exact"/>
        <w:rPr>
          <w:sz w:val="20"/>
          <w:szCs w:val="20"/>
          <w:color w:val="auto"/>
        </w:rPr>
      </w:pPr>
    </w:p>
    <w:p>
      <w:pPr>
        <w:ind w:left="520" w:right="280"/>
        <w:spacing w:after="0" w:line="273" w:lineRule="auto"/>
        <w:rPr>
          <w:sz w:val="20"/>
          <w:szCs w:val="20"/>
          <w:color w:val="auto"/>
        </w:rPr>
      </w:pPr>
      <w:r>
        <w:rPr>
          <w:rFonts w:ascii="Times New Roman" w:cs="Times New Roman" w:eastAsia="Times New Roman" w:hAnsi="Times New Roman"/>
          <w:sz w:val="17"/>
          <w:szCs w:val="17"/>
          <w:color w:val="auto"/>
        </w:rPr>
        <w:t>On March 31, 2023, the Company acquired 100% of the equity interests of Transcend Solutions, LLC ("Transcend") for $22.4 million, including $20.0 million in cash, which was financed with a draw on the Company’s revolving credit facility, $2.4 million of deferred cash consideration, consisting of $0.4 million of holdback paid within one year and $2.0 million of notes payable due in equal installments over two years, of which $1.0 million was paid during the first quarter of 2024. Transcend is a process filtration solution design and manufacturing company with applications in hydrocarbon and chemical processing. This acquisition improves the Company's short-cycle and long-cycle mix and expands the Company's reach into midstream oil and gas, liquified natural gas, hydrocarbon processing, and chemical processing applications within the Engineered Systems segment. The following table summarizes the fair values of the assets acquired and liabilities assumed at the date of closing.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(including cash of $52 and accounts receivable of $1,493)</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8,930</w:t>
            </w:r>
          </w:p>
        </w:tc>
        <w:tc>
          <w:tcPr>
            <w:tcW w:w="100" w:type="dxa"/>
            <w:vAlign w:val="bottom"/>
            <w:shd w:val="clear" w:color="auto" w:fill="CFF0FC"/>
          </w:tcPr>
          <w:p>
            <w:pPr>
              <w:spacing w:after="0"/>
              <w:rPr>
                <w:sz w:val="21"/>
                <w:szCs w:val="21"/>
                <w:color w:val="auto"/>
              </w:rPr>
            </w:pPr>
          </w:p>
        </w:tc>
      </w:tr>
      <w:tr>
        <w:trPr>
          <w:trHeight w:val="23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spacing w:after="0"/>
              <w:rPr>
                <w:sz w:val="20"/>
                <w:szCs w:val="20"/>
                <w:color w:val="auto"/>
              </w:rPr>
            </w:pPr>
          </w:p>
        </w:tc>
      </w:tr>
      <w:tr>
        <w:trPr>
          <w:trHeight w:val="247"/>
        </w:trPr>
        <w:tc>
          <w:tcPr>
            <w:tcW w:w="9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4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9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23,767</w:t>
            </w:r>
          </w:p>
        </w:tc>
        <w:tc>
          <w:tcPr>
            <w:tcW w:w="100" w:type="dxa"/>
            <w:vAlign w:val="bottom"/>
          </w:tcPr>
          <w:p>
            <w:pPr>
              <w:spacing w:after="0"/>
              <w:rPr>
                <w:sz w:val="20"/>
                <w:szCs w:val="20"/>
                <w:color w:val="auto"/>
              </w:rPr>
            </w:pPr>
          </w:p>
        </w:tc>
      </w:tr>
      <w:tr>
        <w:trPr>
          <w:trHeight w:val="247"/>
        </w:trPr>
        <w:tc>
          <w:tcPr>
            <w:tcW w:w="9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(1,203 )</w:t>
            </w:r>
          </w:p>
        </w:tc>
      </w:tr>
      <w:tr>
        <w:trPr>
          <w:trHeight w:val="243"/>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74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(168 )</w:t>
            </w:r>
          </w:p>
        </w:tc>
      </w:tr>
      <w:tr>
        <w:trPr>
          <w:trHeight w:val="277"/>
        </w:trPr>
        <w:tc>
          <w:tcPr>
            <w:tcW w:w="9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9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$0.6 million, $7.6 million and $0.7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Malvar Engineering Limited</w:t>
      </w:r>
    </w:p>
    <w:p>
      <w:pPr>
        <w:spacing w:after="0" w:line="227" w:lineRule="exact"/>
        <w:rPr>
          <w:sz w:val="20"/>
          <w:szCs w:val="20"/>
          <w:color w:val="auto"/>
        </w:rPr>
      </w:pPr>
    </w:p>
    <w:p>
      <w:pPr>
        <w:ind w:left="520" w:right="20"/>
        <w:spacing w:after="0" w:line="253" w:lineRule="auto"/>
        <w:rPr>
          <w:sz w:val="20"/>
          <w:szCs w:val="20"/>
          <w:color w:val="auto"/>
        </w:rPr>
      </w:pPr>
      <w:r>
        <w:rPr>
          <w:rFonts w:ascii="Times New Roman" w:cs="Times New Roman" w:eastAsia="Times New Roman" w:hAnsi="Times New Roman"/>
          <w:sz w:val="18"/>
          <w:szCs w:val="18"/>
          <w:color w:val="auto"/>
        </w:rPr>
        <w:t>On January 10, 2023, the Company acquired 100% of the equity interests of Malvar Engineering Limited, including its subsidiaries Arkanum Management Limited and Wakefield Acoustics Limited (collectively, "Wakefield"), for $4.1 million in cash, which was financed with a draw on the Company’s revolving credit facility, and $0.4 million of deferred cash consideration. As additional consideration, the former owners are entitled to earn-out payments based upon specified financial results through July 31, 2023. Based on projections at the acquisition date, the Company estimated the fair value of the earn-out to be $0.6 million. A payment of $0.6 million, representing the fully earned amount, was made in the fourth quarter of 2023. Wakefield is a producer of industrial engineered noise control solutions, including custom acoustical gen-set packages, ambient air baffles, acoustical louvres, and skid enclosures, primarily serving server farms for data centers, standby and emergency power generation, oil and gas, petrochemical, commercial construction, infrastructure, and general manufacturing industries. This acquisition advances the Company's position within the industrial silencing and noise attenuation market by adding a range of solutions and access to new geographic markets within the Engineered Systems segment. The following table summarizes the fair values of the assets acquired and liabilities assumed at the date of closing.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54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assets (including accounts receivable of $2,467)</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and equipment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Intangible - finite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Goodwill</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25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income tax liability</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assets acquired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3,240</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635</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1,778</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19126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10,949</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(4,860 )</w:t>
      </w:r>
    </w:p>
    <w:p>
      <w:pPr>
        <w:spacing w:after="0" w:line="3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(961 )</w:t>
      </w:r>
    </w:p>
    <w:p>
      <w:pPr>
        <w:spacing w:after="0" w:line="50"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11912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1912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43180</wp:posOffset>
            </wp:positionV>
            <wp:extent cx="11912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540" w:space="720"/>
            <w:col w:w="1980"/>
          </w:cols>
          <w:pgMar w:left="320" w:top="992" w:right="339" w:bottom="1440" w:gutter="0" w:footer="0" w:header="0"/>
        </w:sectPr>
      </w:pPr>
    </w:p>
    <w:p>
      <w:pPr>
        <w:spacing w:after="0" w:line="39" w:lineRule="exact"/>
        <w:rPr>
          <w:sz w:val="20"/>
          <w:szCs w:val="20"/>
          <w:color w:val="auto"/>
        </w:rPr>
      </w:pPr>
    </w:p>
    <w:p>
      <w:pPr>
        <w:ind w:left="520" w:right="480"/>
        <w:spacing w:after="0" w:line="282" w:lineRule="auto"/>
        <w:rPr>
          <w:sz w:val="20"/>
          <w:szCs w:val="20"/>
          <w:color w:val="auto"/>
        </w:rPr>
      </w:pPr>
      <w:r>
        <w:rPr>
          <w:rFonts w:ascii="Times New Roman" w:cs="Times New Roman" w:eastAsia="Times New Roman" w:hAnsi="Times New Roman"/>
          <w:sz w:val="18"/>
          <w:szCs w:val="18"/>
          <w:color w:val="auto"/>
        </w:rPr>
        <w:t>The Company acquired customer lists and tradename intangible assets valued at $1.5 million and $0.3 million, respectively. These assets were determined to have useful lives of 10 years.</w:t>
      </w:r>
    </w:p>
    <w:p>
      <w:pPr>
        <w:spacing w:after="0" w:line="162" w:lineRule="exact"/>
        <w:rPr>
          <w:sz w:val="20"/>
          <w:szCs w:val="20"/>
          <w:color w:val="auto"/>
        </w:rPr>
      </w:pPr>
    </w:p>
    <w:p>
      <w:pPr>
        <w:ind w:left="520" w:right="140"/>
        <w:spacing w:after="0" w:line="256" w:lineRule="auto"/>
        <w:rPr>
          <w:sz w:val="20"/>
          <w:szCs w:val="20"/>
          <w:color w:val="auto"/>
        </w:rPr>
      </w:pPr>
      <w:r>
        <w:rPr>
          <w:rFonts w:ascii="Times New Roman" w:cs="Times New Roman" w:eastAsia="Times New Roman" w:hAnsi="Times New Roman"/>
          <w:sz w:val="18"/>
          <w:szCs w:val="18"/>
          <w:color w:val="auto"/>
        </w:rPr>
        <w:t>The Company has finalized the valuation of assets acquired and liabilities assumed related to the acquisitions of Kemco, Wakefield and Transcend. The purchase accounting related to the EnviroCare acquisition is subject to final adjustment, primarily for the final determination of post-close adjustment for net working capital. The preliminary estimates and assumptions could change significantly during the purchase price measurement period as the Company finalizes the valuation of assets acquired and liabilities assumed and finalizes the post-close adjustment amount. These changes could result in material variances in the Company's future financial results, including variances in the estimated purchase price, fair values recorded and expenses associated with these items.</w:t>
      </w:r>
    </w:p>
    <w:p>
      <w:pPr>
        <w:spacing w:after="0" w:line="187" w:lineRule="exact"/>
        <w:rPr>
          <w:sz w:val="20"/>
          <w:szCs w:val="20"/>
          <w:color w:val="auto"/>
        </w:rPr>
      </w:pPr>
    </w:p>
    <w:p>
      <w:pPr>
        <w:jc w:val="both"/>
        <w:ind w:left="520" w:right="12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this acquisition is not deductible for tax purposes.</w:t>
      </w:r>
    </w:p>
    <w:p>
      <w:pPr>
        <w:spacing w:after="0" w:line="176"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Income are related to acquisition activities, which include retention, legal, accounting, banking, and other expenses.</w:t>
      </w:r>
    </w:p>
    <w:p>
      <w:pPr>
        <w:spacing w:after="0" w:line="162" w:lineRule="exact"/>
        <w:rPr>
          <w:sz w:val="20"/>
          <w:szCs w:val="20"/>
          <w:color w:val="auto"/>
        </w:rPr>
      </w:pPr>
    </w:p>
    <w:p>
      <w:pPr>
        <w:ind w:left="520" w:right="12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these acquisitions had occurred at the beginning of the fiscal year prior to the acquisition: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gridSpan w:val="4"/>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r>
        <w:trPr>
          <w:trHeight w:val="236"/>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136,533</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156,503</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406,507</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420,078</w:t>
            </w:r>
          </w:p>
        </w:tc>
        <w:tc>
          <w:tcPr>
            <w:tcW w:w="100" w:type="dxa"/>
            <w:vAlign w:val="bottom"/>
            <w:shd w:val="clear" w:color="auto" w:fill="CFF0FC"/>
          </w:tcPr>
          <w:p>
            <w:pPr>
              <w:spacing w:after="0"/>
              <w:rPr>
                <w:sz w:val="20"/>
                <w:szCs w:val="20"/>
                <w:color w:val="auto"/>
              </w:rPr>
            </w:pPr>
          </w:p>
        </w:tc>
      </w:tr>
      <w:tr>
        <w:trPr>
          <w:trHeight w:val="23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11,881</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20"/>
                <w:szCs w:val="20"/>
                <w:color w:val="auto"/>
              </w:rPr>
            </w:pPr>
          </w:p>
        </w:tc>
      </w:tr>
      <w:tr>
        <w:trPr>
          <w:trHeight w:val="247"/>
        </w:trPr>
        <w:tc>
          <w:tcPr>
            <w:tcW w:w="59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520" w:right="20"/>
        <w:spacing w:after="0" w:line="261" w:lineRule="auto"/>
        <w:rPr>
          <w:sz w:val="20"/>
          <w:szCs w:val="20"/>
          <w:color w:val="auto"/>
        </w:rPr>
      </w:pPr>
      <w:r>
        <w:rPr>
          <w:rFonts w:ascii="Times New Roman" w:cs="Times New Roman" w:eastAsia="Times New Roman" w:hAnsi="Times New Roman"/>
          <w:sz w:val="18"/>
          <w:szCs w:val="18"/>
          <w:color w:val="auto"/>
        </w:rPr>
        <w:t>The pro forma results have been prepared for informational purposes only and include adjustments to amortize acquired intangible assets with finite life, reflect additional interest expense on debt used to fund the acquisition, and to record the income tax consequences of the pro forma adjustments. 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Business Segment Information</w:t>
      </w:r>
    </w:p>
    <w:p>
      <w:pPr>
        <w:spacing w:after="0" w:line="229" w:lineRule="exact"/>
        <w:rPr>
          <w:sz w:val="20"/>
          <w:szCs w:val="20"/>
          <w:color w:val="auto"/>
        </w:rPr>
      </w:pPr>
    </w:p>
    <w:p>
      <w:pPr>
        <w:ind w:left="520" w:right="56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with its solutions or end markets that the segment serves and presented in two reportable segments. The results of the segments are reviewed through the “Income from operations” line on the Condensed Consolidated Statements of Income</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organized as groups of similar products and services, as described as follows:</w:t>
      </w:r>
    </w:p>
    <w:p>
      <w:pPr>
        <w:spacing w:after="0" w:line="225"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u w:val="single" w:color="auto"/>
          <w:color w:val="auto"/>
        </w:rPr>
        <w:t>Engineered Systems segment:</w:t>
      </w:r>
      <w:r>
        <w:rPr>
          <w:rFonts w:ascii="Times New Roman" w:cs="Times New Roman" w:eastAsia="Times New Roman" w:hAnsi="Times New Roman"/>
          <w:sz w:val="18"/>
          <w:szCs w:val="18"/>
          <w:color w:val="auto"/>
        </w:rPr>
        <w:t xml:space="preserve"> The Engineered Systems segment serves the power generation, hydrocarbon processing, water/wastewater treatment, oily water separation and treatment, marine and naval vessels, and midstream oil and gas sectors. The Company seeks to address the global demand for environmental and equipment protection solutions with its highly engineered platforms including emissions management, fluid bed cyclones, thermal acoustics, separation and filtration, and dampers and expansion joints.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type w:val="continuous"/>
        </w:sectPr>
      </w:pPr>
    </w:p>
    <w:bookmarkStart w:id="19" w:name="page20"/>
    <w:bookmarkEnd w:id="19"/>
    <w:p>
      <w:pPr>
        <w:ind w:left="520"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Industrial Process Solutions segment:</w:t>
      </w:r>
      <w:r>
        <w:rPr>
          <w:rFonts w:ascii="Times New Roman" w:cs="Times New Roman" w:eastAsia="Times New Roman" w:hAnsi="Times New Roman"/>
          <w:sz w:val="18"/>
          <w:szCs w:val="18"/>
          <w:color w:val="auto"/>
        </w:rPr>
        <w:t xml:space="preserve"> The Industrial Process Solutions segment serves the broad industrial sector with solutions for air pollution and contamination control, fluid handling, and process filtration in applications such as aluminum beverage can production, automobile production, food and beverage processing, semiconductor fabrication, electronics production, steel and aluminum mill processing, wood manufacturing, desalination, and aquaculture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as follows: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inter-segment sales)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91,277</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278,018</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267,516</w:t>
            </w:r>
          </w:p>
        </w:tc>
        <w:tc>
          <w:tcPr>
            <w:tcW w:w="100" w:type="dxa"/>
            <w:vAlign w:val="bottom"/>
          </w:tcPr>
          <w:p>
            <w:pPr>
              <w:spacing w:after="0"/>
              <w:rPr>
                <w:sz w:val="20"/>
                <w:szCs w:val="20"/>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44,236</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149,390</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391,134</w:t>
            </w:r>
          </w:p>
        </w:tc>
        <w:tc>
          <w:tcPr>
            <w:tcW w:w="10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24"/>
                <w:szCs w:val="24"/>
                <w:color w:val="auto"/>
              </w:rPr>
            </w:pPr>
          </w:p>
        </w:tc>
        <w:tc>
          <w:tcPr>
            <w:tcW w:w="26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51,444</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39,601</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(16,715 )</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(13,492 )</w:t>
            </w:r>
          </w:p>
        </w:tc>
        <w:tc>
          <w:tcPr>
            <w:tcW w:w="2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(48,149 )</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(33,453 )</w:t>
            </w:r>
          </w:p>
        </w:tc>
      </w:tr>
      <w:tr>
        <w:trPr>
          <w:trHeight w:val="277"/>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-1508125</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-1508125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-1508125</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ind w:left="760" w:hanging="752"/>
        <w:spacing w:after="0"/>
        <w:tabs>
          <w:tab w:leader="none" w:pos="7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compensation, professional services, information technology, and other general and administrative corporate expenses.</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01" w:right="339" w:bottom="312" w:gutter="0" w:footer="0" w:header="0"/>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additions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Corporate and Other</w:t>
      </w:r>
    </w:p>
    <w:p>
      <w:pPr>
        <w:spacing w:after="0" w:line="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Total property and equipment additions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5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5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43"/>
        </w:trPr>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50"/>
        </w:trPr>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39"/>
        </w:trPr>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4,004</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592"/>
        </w:trPr>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220" w:type="dxa"/>
            <w:vAlign w:val="bottom"/>
          </w:tcPr>
          <w:p>
            <w:pPr>
              <w:spacing w:after="0"/>
              <w:rPr>
                <w:sz w:val="14"/>
                <w:szCs w:val="14"/>
                <w:color w:val="auto"/>
              </w:rPr>
            </w:pPr>
          </w:p>
        </w:tc>
        <w:tc>
          <w:tcPr>
            <w:tcW w:w="106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-1002030</wp:posOffset>
            </wp:positionV>
            <wp:extent cx="7132320" cy="1543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-685165</wp:posOffset>
            </wp:positionV>
            <wp:extent cx="7132320" cy="1797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40" w:space="720"/>
            <w:col w:w="5880"/>
          </w:cols>
          <w:pgMar w:left="320" w:top="1201" w:right="339" w:bottom="312"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3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50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CFF0FC"/>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7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66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70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5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2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2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24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1"/>
                <w:szCs w:val="21"/>
                <w:color w:val="auto"/>
              </w:rPr>
            </w:pPr>
          </w:p>
        </w:tc>
      </w:tr>
      <w:tr>
        <w:trPr>
          <w:trHeight w:val="277"/>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26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24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6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w:t>
            </w:r>
          </w:p>
        </w:tc>
        <w:tc>
          <w:tcPr>
            <w:tcW w:w="18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18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413,069</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432,098</w:t>
            </w:r>
          </w:p>
        </w:tc>
        <w:tc>
          <w:tcPr>
            <w:tcW w:w="100" w:type="dxa"/>
            <w:vAlign w:val="bottom"/>
          </w:tcPr>
          <w:p>
            <w:pPr>
              <w:spacing w:after="0"/>
              <w:rPr>
                <w:sz w:val="20"/>
                <w:szCs w:val="20"/>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18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166,933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147,740</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(2)</w:t>
            </w: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41,509</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20,453</w:t>
            </w:r>
          </w:p>
        </w:tc>
        <w:tc>
          <w:tcPr>
            <w:tcW w:w="100" w:type="dxa"/>
            <w:vAlign w:val="bottom"/>
          </w:tcPr>
          <w:p>
            <w:pPr>
              <w:spacing w:after="0"/>
              <w:rPr>
                <w:sz w:val="21"/>
                <w:szCs w:val="21"/>
                <w:color w:val="auto"/>
              </w:rPr>
            </w:pPr>
          </w:p>
        </w:tc>
      </w:tr>
      <w:tr>
        <w:trPr>
          <w:trHeight w:val="272"/>
        </w:trPr>
        <w:tc>
          <w:tcPr>
            <w:tcW w:w="7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identifiable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621,512</w:t>
            </w:r>
          </w:p>
        </w:tc>
        <w:tc>
          <w:tcPr>
            <w:tcW w:w="2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 w:lineRule="exact"/>
        <w:rPr>
          <w:sz w:val="20"/>
          <w:szCs w:val="20"/>
          <w:color w:val="auto"/>
        </w:rPr>
      </w:pPr>
    </w:p>
    <w:p>
      <w:pPr>
        <w:ind w:left="760" w:hanging="752"/>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and Other assets consist primarily of cash and income tax related assets.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4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3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3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142,616</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3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77,410</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goodwill</w:t>
            </w:r>
          </w:p>
        </w:tc>
        <w:tc>
          <w:tcPr>
            <w:tcW w:w="3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220,026</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22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41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-1096645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312" w:gutter="0" w:footer="0" w:header="0"/>
          <w:type w:val="continuous"/>
        </w:sectPr>
      </w:pPr>
    </w:p>
    <w:bookmarkStart w:id="20" w:name="page21"/>
    <w:bookmarkEnd w:id="20"/>
    <w:p>
      <w:pPr>
        <w:ind w:left="520"/>
        <w:spacing w:after="0"/>
        <w:rPr>
          <w:sz w:val="20"/>
          <w:szCs w:val="20"/>
          <w:color w:val="auto"/>
        </w:rPr>
      </w:pPr>
      <w:r>
        <w:rPr>
          <w:rFonts w:ascii="Times New Roman" w:cs="Times New Roman" w:eastAsia="Times New Roman" w:hAnsi="Times New Roman"/>
          <w:sz w:val="18"/>
          <w:szCs w:val="18"/>
          <w:i w:val="1"/>
          <w:iCs w:val="1"/>
          <w:color w:val="auto"/>
        </w:rPr>
        <w:t>Intra-segment and Inter-segment Revenues</w:t>
      </w:r>
    </w:p>
    <w:p>
      <w:pPr>
        <w:spacing w:after="0" w:line="119" w:lineRule="exact"/>
        <w:rPr>
          <w:sz w:val="20"/>
          <w:szCs w:val="20"/>
          <w:color w:val="auto"/>
        </w:rPr>
      </w:pPr>
    </w:p>
    <w:p>
      <w:pPr>
        <w:ind w:left="520" w:right="280"/>
        <w:spacing w:after="0" w:line="282" w:lineRule="auto"/>
        <w:rPr>
          <w:sz w:val="20"/>
          <w:szCs w:val="20"/>
          <w:color w:val="auto"/>
        </w:rPr>
      </w:pPr>
      <w:r>
        <w:rPr>
          <w:rFonts w:ascii="Times New Roman" w:cs="Times New Roman" w:eastAsia="Times New Roman" w:hAnsi="Times New Roman"/>
          <w:sz w:val="18"/>
          <w:szCs w:val="18"/>
          <w:color w:val="auto"/>
        </w:rPr>
        <w:t>The Company has multiple divisions that sell to each other within segments (intra-segment sales) and between segments (inter-segment sales),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Intra-</w:t>
            </w: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7"/>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24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(6,952 )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51,379</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(6,918 )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(225 )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149,906</w:t>
            </w:r>
          </w:p>
        </w:tc>
        <w:tc>
          <w:tcPr>
            <w:tcW w:w="24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(13,870 )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Intra-</w:t>
            </w: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7"/>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114,605</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(8,639 )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49,264</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(5,231 )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(183 )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CFF0FC"/>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163,869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(13,870 )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Intra-</w:t>
            </w: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6"/>
                <w:szCs w:val="16"/>
                <w:color w:val="auto"/>
              </w:rPr>
            </w:pPr>
          </w:p>
        </w:tc>
        <w:tc>
          <w:tcPr>
            <w:tcW w:w="11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7"/>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293,186</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(14,587 )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(13,893 )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(389 )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428,817</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(28,480 )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8"/>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Less Inter-Segment Sales</w:t>
            </w:r>
          </w:p>
        </w:tc>
        <w:tc>
          <w:tcPr>
            <w:tcW w:w="14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Sales to</w:t>
            </w: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1140" w:type="dxa"/>
            <w:vAlign w:val="bottom"/>
            <w:gridSpan w:val="2"/>
          </w:tcPr>
          <w:p>
            <w:pPr>
              <w:jc w:val="center"/>
              <w:ind w:right="460"/>
              <w:spacing w:after="0" w:line="158" w:lineRule="exact"/>
              <w:rPr>
                <w:sz w:val="20"/>
                <w:szCs w:val="20"/>
                <w:color w:val="auto"/>
              </w:rPr>
            </w:pPr>
            <w:r>
              <w:rPr>
                <w:rFonts w:ascii="Times New Roman" w:cs="Times New Roman" w:eastAsia="Times New Roman" w:hAnsi="Times New Roman"/>
                <w:sz w:val="14"/>
                <w:szCs w:val="14"/>
                <w:b w:val="1"/>
                <w:bCs w:val="1"/>
                <w:color w:val="auto"/>
              </w:rPr>
              <w:t>Intra-</w:t>
            </w:r>
          </w:p>
        </w:tc>
        <w:tc>
          <w:tcPr>
            <w:tcW w:w="140" w:type="dxa"/>
            <w:vAlign w:val="bottom"/>
          </w:tcPr>
          <w:p>
            <w:pPr>
              <w:spacing w:after="0"/>
              <w:rPr>
                <w:sz w:val="13"/>
                <w:szCs w:val="13"/>
                <w:color w:val="auto"/>
              </w:rPr>
            </w:pPr>
          </w:p>
        </w:tc>
        <w:tc>
          <w:tcPr>
            <w:tcW w:w="1120" w:type="dxa"/>
            <w:vAlign w:val="bottom"/>
            <w:gridSpan w:val="2"/>
          </w:tcPr>
          <w:p>
            <w:pPr>
              <w:jc w:val="center"/>
              <w:ind w:right="380"/>
              <w:spacing w:after="0" w:line="158"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4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Engineered</w:t>
            </w:r>
          </w:p>
        </w:tc>
        <w:tc>
          <w:tcPr>
            <w:tcW w:w="1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Process</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Outside</w:t>
            </w:r>
          </w:p>
        </w:tc>
        <w:tc>
          <w:tcPr>
            <w:tcW w:w="0" w:type="dxa"/>
            <w:vAlign w:val="bottom"/>
          </w:tcPr>
          <w:p>
            <w:pPr>
              <w:spacing w:after="0"/>
              <w:rPr>
                <w:sz w:val="1"/>
                <w:szCs w:val="1"/>
                <w:color w:val="auto"/>
              </w:rPr>
            </w:pPr>
          </w:p>
        </w:tc>
      </w:tr>
      <w:tr>
        <w:trPr>
          <w:trHeight w:val="187"/>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80" w:type="dxa"/>
            <w:vAlign w:val="bottom"/>
          </w:tcPr>
          <w:p>
            <w:pPr>
              <w:spacing w:after="0"/>
              <w:rPr>
                <w:sz w:val="16"/>
                <w:szCs w:val="16"/>
                <w:color w:val="auto"/>
              </w:rPr>
            </w:pPr>
          </w:p>
        </w:tc>
        <w:tc>
          <w:tcPr>
            <w:tcW w:w="11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0" w:type="dxa"/>
            <w:vAlign w:val="bottom"/>
          </w:tcPr>
          <w:p>
            <w:pPr>
              <w:spacing w:after="0"/>
              <w:rPr>
                <w:sz w:val="1"/>
                <w:szCs w:val="1"/>
                <w:color w:val="auto"/>
              </w:rPr>
            </w:pPr>
          </w:p>
        </w:tc>
      </w:tr>
      <w:tr>
        <w:trPr>
          <w:trHeight w:val="237"/>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spacing w:after="0"/>
              <w:rPr>
                <w:sz w:val="20"/>
                <w:szCs w:val="20"/>
                <w:color w:val="auto"/>
              </w:rPr>
            </w:pPr>
          </w:p>
        </w:tc>
        <w:tc>
          <w:tcPr>
            <w:tcW w:w="240" w:type="dxa"/>
            <w:vAlign w:val="bottom"/>
            <w:tcBorders>
              <w:right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286,575</w:t>
            </w:r>
          </w:p>
        </w:tc>
        <w:tc>
          <w:tcPr>
            <w:tcW w:w="24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(18,173 )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0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132,946</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(8,871 )</w:t>
            </w:r>
          </w:p>
        </w:tc>
        <w:tc>
          <w:tcPr>
            <w:tcW w:w="1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(457 )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419,521</w:t>
            </w:r>
          </w:p>
        </w:tc>
        <w:tc>
          <w:tcPr>
            <w:tcW w:w="240" w:type="dxa"/>
            <w:vAlign w:val="bottom"/>
          </w:tcPr>
          <w:p>
            <w:pPr>
              <w:spacing w:after="0"/>
              <w:rPr>
                <w:sz w:val="20"/>
                <w:szCs w:val="20"/>
                <w:color w:val="auto"/>
              </w:rPr>
            </w:pP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(27,044 )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(457 )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-4551045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-4551045</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-4551045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-4551045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-4551045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-3060065</wp:posOffset>
            </wp:positionV>
            <wp:extent cx="768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-3060065</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-3060065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-3060065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-3060065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-1567815</wp:posOffset>
            </wp:positionV>
            <wp:extent cx="7683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-1567815</wp:posOffset>
            </wp:positionV>
            <wp:extent cx="7683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-1567815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-1567815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-187960</wp:posOffset>
            </wp:positionV>
            <wp:extent cx="774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-187960</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-187960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-187960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ind w:left="760" w:right="80"/>
        <w:spacing w:after="0" w:line="262" w:lineRule="auto"/>
        <w:rPr>
          <w:sz w:val="20"/>
          <w:szCs w:val="20"/>
          <w:color w:val="auto"/>
        </w:rPr>
      </w:pPr>
      <w:r>
        <w:rPr>
          <w:rFonts w:ascii="Times New Roman" w:cs="Times New Roman" w:eastAsia="Times New Roman" w:hAnsi="Times New Roman"/>
          <w:sz w:val="18"/>
          <w:szCs w:val="18"/>
          <w:color w:val="auto"/>
        </w:rPr>
        <w:t>On October 29, 2024, the Company announced that it has entered into an Agreement and Plan of Merger (the “Merger Agreement”) to acquire for cash all of the shares of Profire Energy, Inc. (Nasdaq: PFIE) ("Profire"), with the transaction expected to be completed in first quarter of 2025. Profire is a leader in burner management technology and combustion control systems that provide mission-critical combustion automation and control solutions and services to improve environmental efficiency, safety and reliability for industrial thermal applications globally. Profire is headquartered in Lindon, Utah and has locations in Texas, Pennsylvania, Colorado, Ohio and Alberta, Canada.</w:t>
      </w:r>
    </w:p>
    <w:p>
      <w:pPr>
        <w:spacing w:after="0" w:line="180" w:lineRule="exact"/>
        <w:rPr>
          <w:sz w:val="20"/>
          <w:szCs w:val="20"/>
          <w:color w:val="auto"/>
        </w:rPr>
      </w:pPr>
    </w:p>
    <w:p>
      <w:pPr>
        <w:ind w:left="760" w:right="30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a subsidiary of the Company will commence a tender offer to acquire all issued and outstanding shares of Profire’s common stock at a price of $2.55 per share, in cash, without interest and subject to applicable withholding tax. The tender offer will initially remain open for 20 business days from the date of commencement of the tender offer, subject to extension under certain circumstances. The transaction implies an equity value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1" w:name="page22"/>
    <w:bookmarkEnd w:id="21"/>
    <w:p>
      <w:pPr>
        <w:ind w:left="3" w:right="120"/>
        <w:spacing w:after="0" w:line="258" w:lineRule="auto"/>
        <w:rPr>
          <w:sz w:val="20"/>
          <w:szCs w:val="20"/>
          <w:color w:val="auto"/>
        </w:rPr>
      </w:pPr>
      <w:r>
        <w:rPr>
          <w:rFonts w:ascii="Times New Roman" w:cs="Times New Roman" w:eastAsia="Times New Roman" w:hAnsi="Times New Roman"/>
          <w:sz w:val="18"/>
          <w:szCs w:val="18"/>
          <w:color w:val="auto"/>
        </w:rPr>
        <w:t>approximately $125 million and a total enterprise value for Profire of approximately $108 million. The tender offer is subject to customary closing conditions, including that at least a majority of the outstanding shares of Profire’s common stock are tendered and not withdrawn in the tender offer and the expiration of the waiting period under the Hart-Scott-Rodino Antitrust Improvements Act of 1976. Upon completion of the transaction, Profire will become a wholly-owned subsidiary of CECO and shares of Profire’s common stock will no longer be listed on any public market.</w:t>
      </w:r>
    </w:p>
    <w:p>
      <w:pPr>
        <w:spacing w:after="0" w:line="183" w:lineRule="exact"/>
        <w:rPr>
          <w:sz w:val="20"/>
          <w:szCs w:val="20"/>
          <w:color w:val="auto"/>
        </w:rPr>
      </w:pPr>
    </w:p>
    <w:p>
      <w:pPr>
        <w:ind w:left="3" w:right="100"/>
        <w:spacing w:after="0" w:line="282" w:lineRule="auto"/>
        <w:rPr>
          <w:sz w:val="20"/>
          <w:szCs w:val="20"/>
          <w:color w:val="auto"/>
        </w:rPr>
      </w:pPr>
      <w:r>
        <w:rPr>
          <w:rFonts w:ascii="Times New Roman" w:cs="Times New Roman" w:eastAsia="Times New Roman" w:hAnsi="Times New Roman"/>
          <w:sz w:val="18"/>
          <w:szCs w:val="18"/>
          <w:color w:val="auto"/>
        </w:rPr>
        <w:t>The impact of this pending transaction is not included in the Company's financial results for the three or nine months ended September 30, 2024 and is not expected to impact financial results for the fourth quarter of 2024.</w:t>
      </w:r>
    </w:p>
    <w:p>
      <w:pPr>
        <w:spacing w:after="0" w:line="162" w:lineRule="exact"/>
        <w:rPr>
          <w:sz w:val="20"/>
          <w:szCs w:val="20"/>
          <w:color w:val="auto"/>
        </w:rPr>
      </w:pPr>
    </w:p>
    <w:p>
      <w:pPr>
        <w:ind w:left="3"/>
        <w:spacing w:after="0" w:line="253" w:lineRule="auto"/>
        <w:rPr>
          <w:sz w:val="20"/>
          <w:szCs w:val="20"/>
          <w:color w:val="auto"/>
        </w:rPr>
      </w:pPr>
      <w:r>
        <w:rPr>
          <w:rFonts w:ascii="Times New Roman" w:cs="Times New Roman" w:eastAsia="Times New Roman" w:hAnsi="Times New Roman"/>
          <w:sz w:val="18"/>
          <w:szCs w:val="18"/>
          <w:color w:val="auto"/>
        </w:rPr>
        <w:t>On October 2, 2024, the Company completed the acquisition of WK Germany KG, GmbH and WK Asia-Pacific Pte. Ltd. (collectively, "WK Group"). WK Group, with locations in Germany, Singapore, China and India, designs and engineers a broad range of cutting-edge technical equipment and systems for process and environmental and surface technology applications, as well as innovative sustainable solutions. This acquisition advances the Company's footprint and capabilities within the industrial processing solutions segment. The purchase price paid at closing was €10.8 million, inclusive of net cash at close, (approximately $11.9 million), financed using borrowings under the Company's existing Credit Facility. There is also an earnout arrangement based on the achievement of specified financial targets through September 30, 2025, as defined in the purchase agreement. The impact of this acquisition is not included in the Company's results for the three or nine months ended September 30, 2024. The initial accounting for the acquisition was not complete at the time the financial statements were issued due to the timing of the acquisition and filing of this Quarterly Report on Form 10-Q. As a result, complete disclosures as required under ASC 805, Business Combinations cannot be made at this time.</w:t>
      </w:r>
    </w:p>
    <w:p>
      <w:pPr>
        <w:spacing w:after="0" w:line="194" w:lineRule="exact"/>
        <w:rPr>
          <w:sz w:val="20"/>
          <w:szCs w:val="20"/>
          <w:color w:val="auto"/>
        </w:rPr>
      </w:pPr>
    </w:p>
    <w:p>
      <w:pPr>
        <w:ind w:left="3" w:right="140"/>
        <w:spacing w:after="0" w:line="253"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(the “Amended Credit Agreement”), among the Company, its subsidiaries from time to time party thereto, the lenders from time to time party thereto (the “Lenders”) and Bank of America, N.A., as administrative agent (the “Agent”), which amended and restated in its entirety the Company’s Second Amended and Restated Credit Agreement, dated as of June 11, 2019, among the Company, its subsidiaries from time to time party thereto, the lenders from time to time party thereto and the Agent. The Amended Credit Agreement provides for a senior secured revolving credit facility in an initial aggregate principal amount of up to $400.0 million (the “Amended Credit Facility”). At the Company’s option, the Company may increase the aggregate principal amount of the Amended Credit Facility from time to time by an additional aggregate principal amount of up to (a) $125.0 million plus (b) such additional amount, if any, as would not cause the Consolidated Secured Net Leverage Ratio (as defined in the Amended Credit Agreement) to exceed 3.00 to 1.00 after giving pro forma effect to such increased amount, in additional revolving credit and/or one or more tranches of term loans, subject to certain conditions, including the consent of the Agent and any increasing or additional lenders.</w:t>
      </w:r>
    </w:p>
    <w:p>
      <w:pPr>
        <w:spacing w:after="0" w:line="194" w:lineRule="exact"/>
        <w:rPr>
          <w:sz w:val="20"/>
          <w:szCs w:val="20"/>
          <w:color w:val="auto"/>
        </w:rPr>
      </w:pPr>
    </w:p>
    <w:p>
      <w:pPr>
        <w:ind w:left="3"/>
        <w:spacing w:after="0" w:line="270" w:lineRule="auto"/>
        <w:rPr>
          <w:sz w:val="20"/>
          <w:szCs w:val="20"/>
          <w:color w:val="auto"/>
        </w:rPr>
      </w:pPr>
      <w:r>
        <w:rPr>
          <w:rFonts w:ascii="Times New Roman" w:cs="Times New Roman" w:eastAsia="Times New Roman" w:hAnsi="Times New Roman"/>
          <w:sz w:val="17"/>
          <w:szCs w:val="17"/>
          <w:color w:val="auto"/>
        </w:rPr>
        <w:t>The Amended Credit Facility will mature on October 7, 2029. The Credit Facility will accrue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Credit Agreement) plus 1.00% and (4) 1.00%, (b) for all other loans, at an annual rate equal to an applicable rate of between 1.75% and</w:t>
      </w:r>
    </w:p>
    <w:p>
      <w:pPr>
        <w:spacing w:after="0" w:line="3" w:lineRule="exact"/>
        <w:rPr>
          <w:sz w:val="20"/>
          <w:szCs w:val="20"/>
          <w:color w:val="auto"/>
        </w:rPr>
      </w:pPr>
    </w:p>
    <w:p>
      <w:pPr>
        <w:ind w:left="3" w:right="20"/>
        <w:spacing w:after="0" w:line="265" w:lineRule="auto"/>
        <w:rPr>
          <w:sz w:val="20"/>
          <w:szCs w:val="20"/>
          <w:color w:val="auto"/>
        </w:rPr>
      </w:pPr>
      <w:r>
        <w:rPr>
          <w:rFonts w:ascii="Times New Roman" w:cs="Times New Roman" w:eastAsia="Times New Roman" w:hAnsi="Times New Roman"/>
          <w:sz w:val="17"/>
          <w:szCs w:val="17"/>
          <w:color w:val="auto"/>
        </w:rPr>
        <w:t>3.25% (fluctuating based on the Company’s Consolidated Net Leverage Ratio), plus a rate determined based on the denominated currency and, as applicable pursuant to the Amended Credit Agreement, whether the Company has elected for interest on such loans to accrue at a daily rate or a term rate: (a) for term rate loans, if denominated (1) in U.S. Dollars, Term SOFR (as defined in the Amended Credit Agreement inclusive of a 0.10% per annum adjustment),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inclusive of a 0.10% per annum adjustment), (2) in pounds sterling, a rate per annum equal to SONIA (as defined in the Credit Agreement) plus 0.0326% per annum or (3) in a currency other than</w:t>
      </w:r>
    </w:p>
    <w:p>
      <w:pPr>
        <w:spacing w:after="0" w:line="1" w:lineRule="exact"/>
        <w:rPr>
          <w:sz w:val="20"/>
          <w:szCs w:val="20"/>
          <w:color w:val="auto"/>
        </w:rPr>
      </w:pPr>
    </w:p>
    <w:p>
      <w:pPr>
        <w:ind w:left="3" w:right="380" w:hanging="3"/>
        <w:spacing w:after="0" w:line="290" w:lineRule="auto"/>
        <w:tabs>
          <w:tab w:leader="none" w:pos="258"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57" w:lineRule="exact"/>
        <w:rPr>
          <w:sz w:val="20"/>
          <w:szCs w:val="20"/>
          <w:color w:val="auto"/>
        </w:rPr>
      </w:pPr>
    </w:p>
    <w:p>
      <w:pPr>
        <w:ind w:left="3" w:right="20"/>
        <w:spacing w:after="0" w:line="256" w:lineRule="auto"/>
        <w:rPr>
          <w:sz w:val="20"/>
          <w:szCs w:val="20"/>
          <w:color w:val="auto"/>
        </w:rPr>
      </w:pPr>
      <w:r>
        <w:rPr>
          <w:rFonts w:ascii="Times New Roman" w:cs="Times New Roman" w:eastAsia="Times New Roman" w:hAnsi="Times New Roman"/>
          <w:sz w:val="18"/>
          <w:szCs w:val="18"/>
          <w:color w:val="auto"/>
        </w:rPr>
        <w:t>The Amended Credit Facility contains covenants and representations and warranties that are usual and customary for similar transactions. With respect to financial covenants, the Company is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Amended Credit Agreement, following the occurrence of a Permitted Acquisition (as defined in the Credit Agreement) involving aggregate consideration of $15.0 million or more, such maximum</w:t>
      </w:r>
    </w:p>
    <w:p>
      <w:pPr>
        <w:spacing w:after="0" w:line="187" w:lineRule="exact"/>
        <w:rPr>
          <w:sz w:val="20"/>
          <w:szCs w:val="20"/>
          <w:color w:val="auto"/>
        </w:rPr>
      </w:pPr>
    </w:p>
    <w:p>
      <w:pPr>
        <w:ind w:left="4783"/>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985" w:right="339" w:bottom="1440" w:gutter="0" w:footer="0" w:header="0"/>
        </w:sectPr>
      </w:pPr>
    </w:p>
    <w:bookmarkStart w:id="22" w:name="page23"/>
    <w:bookmarkEnd w:id="22"/>
    <w:p>
      <w:pPr>
        <w:spacing w:after="0" w:line="261" w:lineRule="auto"/>
        <w:rPr>
          <w:sz w:val="20"/>
          <w:szCs w:val="20"/>
          <w:color w:val="auto"/>
        </w:rPr>
      </w:pPr>
      <w:r>
        <w:rPr>
          <w:rFonts w:ascii="Times New Roman" w:cs="Times New Roman" w:eastAsia="Times New Roman" w:hAnsi="Times New Roman"/>
          <w:sz w:val="18"/>
          <w:szCs w:val="18"/>
          <w:color w:val="auto"/>
        </w:rPr>
        <w:t>Consolidated Net Leverage Ratio and Consolidated Secured Net Leverage Ratio may be increased to 4.50 to 1.00 and 3.50 to 1.00, respectively, for the fiscal quarter in which such Permitted Acquisition is consummated and the subsequent three fiscal quarters of the Company. The Company is also required to maintain a Consolidated Fixed Charge Coverage Ratio (as defined in the Amended Credit Agreement) as of the last day of each fiscal quarter of the Company of not less than 1.25 to 1.00.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0"/>
          </w:cols>
          <w:pgMar w:left="1080" w:top="985" w:right="439" w:bottom="1440" w:gutter="0" w:footer="0" w:header="0"/>
        </w:sectPr>
      </w:pPr>
    </w:p>
    <w:bookmarkStart w:id="23" w:name="page24"/>
    <w:bookmarkEnd w:id="23"/>
    <w:p>
      <w:pPr>
        <w:jc w:val="center"/>
        <w:ind w:left="340" w:right="2480"/>
        <w:spacing w:after="0" w:line="266" w:lineRule="auto"/>
        <w:rPr>
          <w:sz w:val="20"/>
          <w:szCs w:val="20"/>
          <w:color w:val="auto"/>
        </w:rPr>
      </w:pPr>
      <w:r>
        <w:rPr>
          <w:rFonts w:ascii="Times New Roman" w:cs="Times New Roman" w:eastAsia="Times New Roman" w:hAnsi="Times New Roman"/>
          <w:sz w:val="18"/>
          <w:szCs w:val="18"/>
          <w:u w:val="single" w:color="auto"/>
          <w:color w:val="auto"/>
        </w:rPr>
        <w:t>CECO ENVIRONMENTAL CORP. AND SUBSIDIARIES MANAGEMENT’S DISCUSSION AND ANALYSIS OF FINANCIAL CONDITION AND RESULTS OF OPERATIONS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Income for the three and nine months ended September 30, 2024 and 2023 reflect the consolidated operations of the Company and its subsidiaries.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CECO Environmental Corp. (“CECO,” “we,” “us,” or the “Company”) is a leading environmentally focused, diversified industrial company, serving the broad landscape of industrial air, industrial water and energy transition markets globally providing innovative technology and application expertise. CECO helps companies grow their business with safe, clean, and more efficient solutions that help protect people, the environment and industrial equipment. CECO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Pressures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We are monitoring key materials market indexes and trends and adjusting our material procurement strategies accordingly. We have secured raw materials from existing and alternate suppliers and have taken other mitigating actions to mitigate supply disruptions; however, we cannot guarantee that we will be able to continue to do so in the future. If we are unable to mitigate the effects of supply disruptions, our business, results and financial condition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and the items described below in “Consolidated Results.” The Company believes that evaluation of its financial performance compared with prior and future periods can be enhanced by a presentation of results that exclude the impact of these items.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Income for the three and nine months ended September 30, 2024 and 2023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9"/>
                <w:szCs w:val="19"/>
                <w:color w:val="auto"/>
              </w:rPr>
            </w:pPr>
          </w:p>
        </w:tc>
        <w:tc>
          <w:tcPr>
            <w:tcW w:w="2780" w:type="dxa"/>
            <w:vAlign w:val="bottom"/>
            <w:gridSpan w:val="7"/>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6"/>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117.8</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524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33.4 %</w:t>
            </w: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28.8 %</w:t>
            </w:r>
          </w:p>
        </w:tc>
        <w:tc>
          <w:tcPr>
            <w:tcW w:w="16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34.9 %</w:t>
            </w: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30.1 %</w:t>
            </w:r>
          </w:p>
        </w:tc>
      </w:tr>
      <w:tr>
        <w:trPr>
          <w:trHeight w:val="238"/>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1"/>
        </w:trPr>
        <w:tc>
          <w:tcPr>
            <w:tcW w:w="524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25.3 %</w:t>
            </w: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20.3 %</w:t>
            </w:r>
          </w:p>
        </w:tc>
        <w:tc>
          <w:tcPr>
            <w:tcW w:w="16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26.5 %</w:t>
            </w: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22.0 %</w:t>
            </w:r>
          </w:p>
        </w:tc>
      </w:tr>
      <w:tr>
        <w:trPr>
          <w:trHeight w:val="238"/>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Restructuring expenses</w:t>
            </w:r>
          </w:p>
        </w:tc>
        <w:tc>
          <w:tcPr>
            <w:tcW w:w="16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5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16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2"/>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Asbestos litigation expenses</w:t>
            </w:r>
          </w:p>
        </w:tc>
        <w:tc>
          <w:tcPr>
            <w:tcW w:w="16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r>
      <w:tr>
        <w:trPr>
          <w:trHeight w:val="210"/>
        </w:trPr>
        <w:tc>
          <w:tcPr>
            <w:tcW w:w="52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Borders>
              <w:top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524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auto"/>
              </w:rPr>
              <w:t>5.3 %</w:t>
            </w:r>
          </w:p>
        </w:tc>
        <w:tc>
          <w:tcPr>
            <w:tcW w:w="3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5.3 %</w:t>
            </w:r>
          </w:p>
        </w:tc>
        <w:tc>
          <w:tcPr>
            <w:tcW w:w="160" w:type="dxa"/>
            <w:vAlign w:val="bottom"/>
          </w:tcPr>
          <w:p>
            <w:pPr>
              <w:spacing w:after="0"/>
              <w:rPr>
                <w:sz w:val="19"/>
                <w:szCs w:val="19"/>
                <w:color w:val="auto"/>
              </w:rPr>
            </w:pP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6.0 %</w:t>
            </w:r>
          </w:p>
        </w:tc>
        <w:tc>
          <w:tcPr>
            <w:tcW w:w="30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5.6 %</w:t>
            </w:r>
          </w:p>
        </w:tc>
      </w:tr>
      <w:tr>
        <w:trPr>
          <w:trHeight w:val="28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40" w:type="dxa"/>
            <w:vAlign w:val="bottom"/>
          </w:tcPr>
          <w:p>
            <w:pPr>
              <w:spacing w:after="0"/>
              <w:rPr>
                <w:sz w:val="24"/>
                <w:szCs w:val="24"/>
                <w:color w:val="auto"/>
              </w:rPr>
            </w:pPr>
          </w:p>
        </w:tc>
      </w:tr>
      <w:tr>
        <w:trPr>
          <w:trHeight w:val="25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(2.6 )</w:t>
            </w:r>
          </w:p>
        </w:tc>
        <w:tc>
          <w:tcPr>
            <w:tcW w:w="3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c>
          <w:tcPr>
            <w:tcW w:w="40" w:type="dxa"/>
            <w:vAlign w:val="bottom"/>
          </w:tcPr>
          <w:p>
            <w:pPr>
              <w:spacing w:after="0"/>
              <w:rPr>
                <w:sz w:val="22"/>
                <w:szCs w:val="22"/>
                <w:color w:val="auto"/>
              </w:rPr>
            </w:pPr>
          </w:p>
        </w:tc>
      </w:tr>
      <w:tr>
        <w:trPr>
          <w:trHeight w:val="263"/>
        </w:trPr>
        <w:tc>
          <w:tcPr>
            <w:tcW w:w="5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top w:val="single" w:sz="8" w:color="CFF0FC"/>
            </w:tcBorders>
          </w:tcPr>
          <w:p>
            <w:pPr>
              <w:spacing w:after="0"/>
              <w:rPr>
                <w:sz w:val="22"/>
                <w:szCs w:val="22"/>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Borders>
              <w:top w:val="single" w:sz="8" w:color="CFF0FC"/>
            </w:tcBorders>
          </w:tcPr>
          <w:p>
            <w:pPr>
              <w:spacing w:after="0"/>
              <w:rPr>
                <w:sz w:val="22"/>
                <w:szCs w:val="22"/>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top w:val="single" w:sz="8" w:color="CFF0FC"/>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FF0FC"/>
            </w:tcBorders>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r>
      <w:tr>
        <w:trPr>
          <w:trHeight w:val="263"/>
        </w:trPr>
        <w:tc>
          <w:tcPr>
            <w:tcW w:w="5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2"/>
                <w:szCs w:val="22"/>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57"/>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(0.5 )</w:t>
            </w:r>
          </w:p>
        </w:tc>
        <w:tc>
          <w:tcPr>
            <w:tcW w:w="30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(0.4 )</w:t>
            </w: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c>
          <w:tcPr>
            <w:tcW w:w="40" w:type="dxa"/>
            <w:vAlign w:val="bottom"/>
          </w:tcPr>
          <w:p>
            <w:pPr>
              <w:spacing w:after="0"/>
              <w:rPr>
                <w:sz w:val="22"/>
                <w:szCs w:val="22"/>
                <w:color w:val="auto"/>
              </w:rPr>
            </w:pPr>
          </w:p>
        </w:tc>
      </w:tr>
      <w:tr>
        <w:trPr>
          <w:trHeight w:val="239"/>
        </w:trPr>
        <w:tc>
          <w:tcPr>
            <w:tcW w:w="5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FF0FC"/>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FF0FC"/>
            </w:tcBorders>
          </w:tcPr>
          <w:p>
            <w:pPr>
              <w:spacing w:after="0"/>
              <w:rPr>
                <w:sz w:val="20"/>
                <w:szCs w:val="20"/>
                <w:color w:val="auto"/>
              </w:rPr>
            </w:pPr>
          </w:p>
        </w:tc>
        <w:tc>
          <w:tcPr>
            <w:tcW w:w="40" w:type="dxa"/>
            <w:vAlign w:val="bottom"/>
          </w:tcPr>
          <w:p>
            <w:pPr>
              <w:spacing w:after="0"/>
              <w:rPr>
                <w:sz w:val="20"/>
                <w:szCs w:val="20"/>
                <w:color w:val="auto"/>
              </w:rPr>
            </w:pPr>
          </w:p>
        </w:tc>
      </w:tr>
      <w:tr>
        <w:trPr>
          <w:trHeight w:val="20"/>
        </w:trPr>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-1353820</wp:posOffset>
            </wp:positionV>
            <wp:extent cx="7132320" cy="145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-1508125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-1508125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-1508125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-873760</wp:posOffset>
            </wp:positionV>
            <wp:extent cx="768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-873760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-873760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-530860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-530860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-530860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-187960</wp:posOffset>
            </wp:positionV>
            <wp:extent cx="768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-187960</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To compare operating performance between the three and nine months ended September 30, 2024 and 2023, the Company has adjusted GAAP operating income to exclude (1) amortization of intangible assets, and earnout expenses, (2) acquisition and integration expenses, which include legal, accounting, and other expenses, (3) executive transition expenses, including fees and expenses incurred in the search for and hiring of new executives, (4) restructuring expenses primarily relating to severance, facility exits, and associated legal expenses, and (5) asbestos litigation expenses, related to expected future settlement payments.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GAAP operating income and GAAP operating margin to non-GAAP operating income and non-GAAP operating margin: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70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2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5.3 %</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5.3 %</w:t>
            </w:r>
          </w:p>
        </w:tc>
        <w:tc>
          <w:tcPr>
            <w:tcW w:w="2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6.0 %</w:t>
            </w:r>
          </w:p>
        </w:tc>
        <w:tc>
          <w:tcPr>
            <w:tcW w:w="3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5.6 %</w:t>
            </w:r>
          </w:p>
        </w:tc>
      </w:tr>
      <w:tr>
        <w:trPr>
          <w:trHeight w:val="246"/>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22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2"/>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22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8.1 %</w:t>
            </w:r>
          </w:p>
        </w:tc>
        <w:tc>
          <w:tcPr>
            <w:tcW w:w="3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8.6 %</w:t>
            </w:r>
          </w:p>
        </w:tc>
        <w:tc>
          <w:tcPr>
            <w:tcW w:w="20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8.5 %</w:t>
            </w:r>
          </w:p>
        </w:tc>
        <w:tc>
          <w:tcPr>
            <w:tcW w:w="30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-307975</wp:posOffset>
            </wp:positionV>
            <wp:extent cx="768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-307975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-307975</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Orders booked increased $16.8 million, or 11.5%, to $162.3 million during the three months ended September 30, 2024 compared with $145.5 million in the three months ended September 30, 2023. The increase is broad-based with year-over-year growth in both the Engineered Systems and Industrial Process Solutions segments. Notable technologies attributing to the broad-based increase include emissions management and industrial ducting. Of the $162.3 million in orders booked during the three months ended September 30, 2024, $4.6 million is attributable to acquisitions that occurred during the preceding twelve month period.</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Orders booked decreased $6.1 million, or 1%, to $448.3 million during the nine months ended September 30, 2024 compared with $454.4 million in the nine months ended September 30, 2023. The decrease is primarily related to two unique industrial air bookings</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97" w:right="279" w:bottom="1068" w:gutter="0" w:footer="0" w:header="0"/>
        </w:sectPr>
      </w:pPr>
    </w:p>
    <w:bookmarkStart w:id="25" w:name="page26"/>
    <w:bookmarkEnd w:id="25"/>
    <w:p>
      <w:pPr>
        <w:ind w:right="400"/>
        <w:spacing w:after="0" w:line="282" w:lineRule="auto"/>
        <w:rPr>
          <w:sz w:val="20"/>
          <w:szCs w:val="20"/>
          <w:color w:val="auto"/>
        </w:rPr>
      </w:pPr>
      <w:r>
        <w:rPr>
          <w:rFonts w:ascii="Times New Roman" w:cs="Times New Roman" w:eastAsia="Times New Roman" w:hAnsi="Times New Roman"/>
          <w:sz w:val="18"/>
          <w:szCs w:val="18"/>
          <w:color w:val="auto"/>
        </w:rPr>
        <w:t>from the first half of 2023 that were not expected to repeat. Of the $448.3 million in orders booked during the nine months ended September 30, 2024, $25.6 million is attributable to acquisitions that occurred during the preceding twelve month period.</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sales for the three months ended September 30, 2024 decreased $13.9 million, or 9.3%, to $135.5 million compared with $149.4 million for the three months ended September 30, 2023. The decrease is entirely attributable to the Engineered Systems segment, notably driven by variability in timing of large order bookings. On a trailing twelve-month basis, Engineered Systems revenue has increased $49.8 million, or 14.6%. Approximately 94%, or $127.6 million, of net sales for the three months ended September 30, 2024 is attributable to organic revenue, defined as revenue recorded subsequent to the twelve month period post-acquisition date.</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Net sales for the nine months ended September 30, 2024 increased $8.3 million, or 2.1%, to $399.4 million compared with $391.1 million for the nine months ended September 30, 2023. The increase is broad-based, led by an increase of $10.5 million across multiple technologies within the Engineered Systems segment. Approximately 94% or $376.8 million, of net sales for the nine months ended September 30, 2024 is attributable to organic revenue.</w:t>
      </w:r>
    </w:p>
    <w:p>
      <w:pPr>
        <w:spacing w:after="0" w:line="17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Gross profit increased $2.2 million, or 5.1%, to $45.3 million in the three months ended September 30, 2024 compared with $43.1 million in the three months ended September 30, 2023. The increase in gross profit is primarily attributable to sales mix, project execution and flow through from higher booked margins, as well as continued benefits from sourcing and value engineering. Gross profit as a percentage of sales increased to 33.4% in the three months ended September 30, 2024 compared with 28.8% in the three months ended September 30, 2023.</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Gross profit increased $21.7 million, or 18.4%, to $139.5 million in the nine months ended September 30, 2024 compared with $117.8 million in the nine months ended September 30, 2023. The increase in gross profit is primarily attributable to sales mix, project execution and flow through from higher booked margins, as well as continued benefits from sourcing and value engineering. Gross profit as a percentage of sales increased to 34.9% in the nine months ended September 30, 2024 compared with 30.1% in the nine months ended September 30, 2023.</w:t>
      </w:r>
    </w:p>
    <w:p>
      <w:pPr>
        <w:spacing w:after="0" w:line="18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$34.3 million for the three months ended September 30, 2024 compared with $30.3 million for the three months ended September 30, 2023. The increase is primarily attributable to workforce merit and other annual compensation adjustments, and investments in functional support for sourcing and manufacturing benefits.</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were $105.7 million for the nine months ended September 30, 2024 compared with $86.1 million for the nine months ended September 30, 2023. The increase is primarily attributable to workforce merit and other annual compensation adjustments, and investments in functional support for sourcing and manufacturing benefits.</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Amortization and earnout expense was $2.6 million for the three months ended September 30, 2024, compared with $2.0 million for the three months ended September 30, 2023.</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Amortization and earnout expense was $7.1 million for the nine months ended September 30, 2024 compared with $6.0 million for the nine months ended September 30, 2023. The increase in expense is attributable to an increase of $0.4 million in earnout expense and increases in definite lived asset amortization due to increased intangible assets attributable to current and prior year acquisitions.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Operating income decreased $0.7 million to $7.2 million for the three months ended September 30, 2024 compared with operating income of $7.9 million for the three months ended September 30, 2023. The decrease in operating income is primarily attributable to the increase in selling and administrative expenses, partially offset by the increased gross profit.</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income increased $2.2 million to $24.1 million for the nine months ended September 30, 2024 compared with operating income of $21.9 million for the nine months ended September 30, 2023. The increase in operating income is primarily attributable to the increase in net sales.</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Non-GAAP operating income was $11.0 million for the three months ended September 30, 2024 compared with $12.8 million for the three months ended September 30, 2023. Non-GAAP operating income as a percentage of sales decreased to 8.1% for the three months ended September 30, 2024 from 8.6% for the three months ended September 30, 2023.</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Non-GAAP operating income was $33.8 million for the nine months ended September 30, 2024 compared with $31.7 million for the nine months ended September 30, 2023. Non-GAAP operating income as a percentage of sales increased to 8.5% for the three months ended September 30, 2024 from 8.1% for the nine months ended September 30, 2023.</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right="440"/>
        <w:spacing w:after="0" w:line="282" w:lineRule="auto"/>
        <w:rPr>
          <w:sz w:val="20"/>
          <w:szCs w:val="20"/>
          <w:color w:val="auto"/>
        </w:rPr>
      </w:pPr>
      <w:r>
        <w:rPr>
          <w:rFonts w:ascii="Times New Roman" w:cs="Times New Roman" w:eastAsia="Times New Roman" w:hAnsi="Times New Roman"/>
          <w:sz w:val="18"/>
          <w:szCs w:val="18"/>
          <w:color w:val="auto"/>
        </w:rPr>
        <w:t>Interest expense decreased to $2.6 million in the three months ended September 30, 2024 compared with interest expense of $3.3 million for the three months ended September 30, 2023. The decrease in interest expense is primarily due to reduction of the debt balance.</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Interest expense decreased to $9.3 million in the nine months ended September 30, 2024 compared with interest expense of $9.5 million for the nine months ended September 30, 2023. The decrease in interest expense is primarily due to reduction of the debt balance.</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Income tax expense was $1.6 million for the three months ended September 30, 2024 compared with income tax expense of $0.6 million for the three months ended September 30, 2023. Income tax expense was $2.7 million for the nine months ended September 30, 2024 compared with income tax expense of $1.6 million for the nine months ended September 30, 2023. The effective income tax rate for the three months ended September 30, 2024 was 38.7% compared with 13.6% for the three months ended September 30, 2023. The effective income tax rate for the nine months ended September 30, 2024 was 21.8% compared with 13.4% for the nine months ended September 30, 2023. The effective income tax rates for the three and nine months ended September 30, 2024 differ from the United States federal statutory rate. Our effective tax rate is affected by certain other permanent differences, including state income taxes, non-deductible incentive stock-based compensation, and differences in tax rates among the jurisdictions in which we operate. Additionally, we received a tax indemnification payment of $0.5 million, related to a prior year acquisition, in the second quarter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and reviewed by management along its product lines or end market that the segment serves and are presented in two reportable segments. The results of the segments are reviewed through “Income from operations” on the unaudited Condensed Consolidated Statements of Income.</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53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740" w:type="dxa"/>
            <w:vAlign w:val="bottom"/>
            <w:tcBorders>
              <w:bottom w:val="single" w:sz="8" w:color="auto"/>
            </w:tcBorders>
            <w:gridSpan w:val="3"/>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Net Sales (less intra- and inter-segment sales)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91,277</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105,540</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278,018</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267,516</w:t>
            </w:r>
          </w:p>
        </w:tc>
        <w:tc>
          <w:tcPr>
            <w:tcW w:w="100" w:type="dxa"/>
            <w:vAlign w:val="bottom"/>
          </w:tcPr>
          <w:p>
            <w:pPr>
              <w:spacing w:after="0"/>
              <w:rPr>
                <w:sz w:val="20"/>
                <w:szCs w:val="20"/>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44,236</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121,349</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123,618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2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149,390</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24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391,134</w:t>
            </w:r>
          </w:p>
        </w:tc>
        <w:tc>
          <w:tcPr>
            <w:tcW w:w="100" w:type="dxa"/>
            <w:vAlign w:val="bottom"/>
          </w:tcPr>
          <w:p>
            <w:pPr>
              <w:spacing w:after="0"/>
              <w:rPr>
                <w:sz w:val="20"/>
                <w:szCs w:val="20"/>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2"/>
        </w:trPr>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24"/>
                <w:szCs w:val="24"/>
                <w:color w:val="auto"/>
              </w:rPr>
            </w:pPr>
          </w:p>
        </w:tc>
        <w:tc>
          <w:tcPr>
            <w:tcW w:w="264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Engineered Systems segment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6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51,444</w:t>
            </w:r>
          </w:p>
        </w:tc>
        <w:tc>
          <w:tcPr>
            <w:tcW w:w="2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39,601</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Industrial Process Solutions segment</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15,769</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2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(16,715 )</w:t>
            </w:r>
          </w:p>
        </w:tc>
        <w:tc>
          <w:tcPr>
            <w:tcW w:w="3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(13,492 )</w:t>
            </w:r>
          </w:p>
        </w:tc>
        <w:tc>
          <w:tcPr>
            <w:tcW w:w="20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(48,149 )</w:t>
            </w:r>
          </w:p>
        </w:tc>
        <w:tc>
          <w:tcPr>
            <w:tcW w:w="30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(33,453 )</w:t>
            </w:r>
          </w:p>
        </w:tc>
      </w:tr>
      <w:tr>
        <w:trPr>
          <w:trHeight w:val="272"/>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6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2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-1508125</wp:posOffset>
            </wp:positionV>
            <wp:extent cx="768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-1508125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-1508125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360" w:hanging="352"/>
        <w:spacing w:after="0"/>
        <w:tabs>
          <w:tab w:leader="none" w:pos="3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corporate compensation, professional services, information technology and other general and administrative corporate expenses.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Engineered Systems Segment</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Engineered Systems segment orders booked increased $13.2 million, or 12.1%, to $122.1 million during the three months ended September 30, 2024 compared with $108.9 million in the three months ended September 30, 2023. The increase is primarily driven by power end market bookings at emissions management, partially offset by a decrease in bookings at acoustics technologies. Of the $122.1 million in orders booked during the three months ended September 30, 2024, $4.0 million is attributable to an acquisition that occurred during the preceding twelve month period.</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Engineered Systems segment orders booked were $322.8 million during the nine months ended September 30, 2024 compared with $309.4 million in the nine months ended September 30, 2023. The increase is primarily attributable to growth in water and wastewater treatment technologies. Of the $322.8 million in orders booked during the nine months ended September 30, 2024, $22.0 million is attributable to acquisitions that occurred during the preceding twelve month period.</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Engineered Systems segment net sales decreased $14.2 million to $91.3 million for the three months ended September 30, 2024 compared with $105.5 million for the three months ended September 30, 2023. The decrease is entirely attributable to the variability in timing of large order bookings. On a trailing twelve-month basis, Engineered Systems revenue has increased $49.8 million,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14.6%. Approximately 94%, or $85.8 million, of net sales for the three months ended September 30, 2024 is attributable to organic revenue.</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Engineered Systems segment net sales increased $10.5 million to $278.0 million for the nine months ended September 30, 2024 compared with $267.5 million for the nine months ended September 30, 2023. The increase is led by growth in our separation, filtration, and industrial water technologies, partially offset by power end market revenue. Approximately 93%, or $257.9 million, of net sales for the nine months ended September 30, 2024 is attributable to organic revenue.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income for the Engineered Systems segment is flat at $15.8 million for the three months ended September 30, 2024 compared with $15.8 million for the three months ended September 30, 2023. The increase is primarily attributable to increased net sales, partially offset by an increase in direct costs.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$11.8 million to $51.4 million for the nine months ended September 30, 2024 compared with $39.6 million for the nine months ended September 30, 2023. The increase is primarily attributable to increased net sales, partially offset by an increase in direct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Process Solutions Segment</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orders booked increased $3.6 million, or 9.8%, to $40.1 million during the three months ended September 30, 2024 compared with $36.5 million in the three months ended September 30, 2023. The increase is wholly driven by an increase in our industrial ducting business. Of the $40.1 million in orders booked during the three months ended September 30, 2024, $0.6 million is attributable to an acquisition that occurred during the preceding twelve month period.</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orders booked decreased $19.4 million, or 13.4%, to $125.6 million during the nine months ended September 30, 2024 compared with $145.0 million in the nine months ended September 30, 2023. The decrease is primarily related to two unique industrial air bookings from the first half of 2023 that were not expected to repeat. Of the $125.6 million in orders booked during the nine months ended September 30, 2024, $0.6 million is attributable to an acquisition that occurred during the preceding twelve month period.</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net sales were $44.2 million for the three months ended September 30, 2024 compared with $43.9 million for the three months ended September 30, 2023. Approximately 95%, or $41.8 million, of net sales for the three months ended September 30, 2024 is attributable to organic revenue.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net sales were $121.3 million for the nine months ended September 30, 2024 compared with $123.6 million for the nine months ended September 30, 2023. Approximately 98%, or $118.9 million, of net sales for the nine months ended September 30, 2024 is attributable to organic revenue.</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$2.5 million to $8.1 million for the three months ended September 30, 2024 compared with $5.6 million for the three months ended September 30, 2023. The increase is primarily attributable to a decrease in direct costs, partially offset by a decrease in net sales.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$5.0 million to $20.8 million for the nine months ended September 30, 2024 compared with $15.8 million for the nine months ended September 30, 2023. The increase is primarily attributable to increased sales, partially offset by an increase in direct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Corporate and Other Segment</w:t>
      </w:r>
    </w:p>
    <w:p>
      <w:pPr>
        <w:spacing w:after="0" w:line="2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$3.2 million to $16.7 million for the three months ended September 30, 2024 compared with $13.5 million for the three months ended September 30, 2023. The increase is primarily attributable to investments made to support growth inclusive of acquisition and integration expenses, and inflationary increases for wages and services.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expense for the Corporate and Other segment increased $14.6 million to $48.1 million for the nine months ended September 30, 2024 compared with $33.5 million for the nine months ended September 30, 2023. The increase is primarily attributable to investments made to support growth inclusive of acquisition and integration expenses, and inflationary increases for wages and services.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increased to $437.5 million as of September 30, 2024 from $370.9 million as of December 31, 2023. Our customers may have the right to cancel a given order. Historically, cancellations have not been common. Backlog is adjusted on a quarterly basis for adjustments in foreign currency exchange rates. Substantially all backlog is expected to be delivered within 12 to 18 months. Backlog is not defined by GAAP and our methodology for calculating backlog may not be consistent with methodologies used by other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customer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under our Credit Facility (as defined below).</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At September 30, 2024, the Company had working capital of $63.1 million, compared with $78.3 million at December 31, 2023. The ratio of current assets to current liabilities was 1.30 to 1.00 on September 30, 2024, as compared with a ratio of 1.39 to 1.00 on December 31, 2023. The decrease in the ratio was driven by timing of cash receipts and payments to suppliers.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cash and cash equivalents totaled $38.7 million and $54.8 million, respectively. As of September 30, 2024 and December 31, 2023, $25.3 million and $38.5 million, respectively, of our cash and cash equivalents were held by certain non-United States subsidiaries, as well as being denominated in foreign currencies.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5"/>
        </w:trPr>
        <w:tc>
          <w:tcPr>
            <w:tcW w:w="794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0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Term loan payable in quarterly principal installments of $550 through September</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 $2,232 through September 2025 and $2,977 thereafter with balance due upon</w:t>
            </w: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maturity in December 2026</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 loan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105,727</w:t>
            </w: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112,424</w:t>
            </w:r>
          </w:p>
        </w:tc>
        <w:tc>
          <w:tcPr>
            <w:tcW w:w="100" w:type="dxa"/>
            <w:vAlign w:val="bottom"/>
          </w:tcPr>
          <w:p>
            <w:pPr>
              <w:spacing w:after="0"/>
              <w:rPr>
                <w:sz w:val="20"/>
                <w:szCs w:val="20"/>
                <w:color w:val="auto"/>
              </w:rPr>
            </w:pPr>
          </w:p>
        </w:tc>
      </w:tr>
      <w:tr>
        <w:trPr>
          <w:trHeight w:val="247"/>
        </w:trPr>
        <w:tc>
          <w:tcPr>
            <w:tcW w:w="7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20,900</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126,627</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129,724</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0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shd w:val="clear" w:color="auto" w:fill="CFF0FC"/>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(939 )</w:t>
            </w:r>
          </w:p>
        </w:tc>
        <w:tc>
          <w:tcPr>
            <w:tcW w:w="1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(1,296 )</w:t>
            </w:r>
          </w:p>
        </w:tc>
      </w:tr>
      <w:tr>
        <w:trPr>
          <w:trHeight w:val="236"/>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0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133,398</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137,283</w:t>
            </w:r>
          </w:p>
        </w:tc>
        <w:tc>
          <w:tcPr>
            <w:tcW w:w="100" w:type="dxa"/>
            <w:vAlign w:val="bottom"/>
            <w:shd w:val="clear" w:color="auto" w:fill="CFF0FC"/>
          </w:tcPr>
          <w:p>
            <w:pPr>
              <w:spacing w:after="0"/>
              <w:rPr>
                <w:sz w:val="20"/>
                <w:szCs w:val="20"/>
                <w:color w:val="auto"/>
              </w:rPr>
            </w:pPr>
          </w:p>
        </w:tc>
      </w:tr>
      <w:tr>
        <w:trPr>
          <w:trHeight w:val="243"/>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(10,580 )</w:t>
            </w:r>
          </w:p>
        </w:tc>
        <w:tc>
          <w:tcPr>
            <w:tcW w:w="1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(10,488 )</w:t>
            </w:r>
          </w:p>
        </w:tc>
      </w:tr>
      <w:tr>
        <w:trPr>
          <w:trHeight w:val="277"/>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122,818</w:t>
            </w:r>
          </w:p>
        </w:tc>
        <w:tc>
          <w:tcPr>
            <w:tcW w:w="2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-976630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term loan and a senior secured revolver loan with sub-facilities for letters of credit, swing-line loans and multi-currency loans (collectively, the “Credit Facility”). As of September 30, 2024 and December 31, 2023, the Company was in compliance with all related financial and other restrictive covenants under the Credit Facility.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8 to the unaudited condensed consolidated financial statements within Item 1 of this Quarterly Report on Form 10-Q for further information on the Company’s debt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8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Draw down</w:t>
            </w:r>
          </w:p>
        </w:tc>
        <w:tc>
          <w:tcPr>
            <w:tcW w:w="18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r>
      <w:tr>
        <w:trPr>
          <w:trHeight w:val="243"/>
        </w:trPr>
        <w:tc>
          <w:tcPr>
            <w:tcW w:w="7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Letters of credit open</w:t>
            </w:r>
          </w:p>
        </w:tc>
        <w:tc>
          <w:tcPr>
            <w:tcW w:w="1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(13.8 )</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(13.3 )</w:t>
            </w:r>
          </w:p>
        </w:tc>
      </w:tr>
      <w:tr>
        <w:trPr>
          <w:trHeight w:val="237"/>
        </w:trPr>
        <w:tc>
          <w:tcPr>
            <w:tcW w:w="73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8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top w:val="single" w:sz="8" w:color="CFF0FC"/>
            </w:tcBorders>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525"/>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3"/>
        </w:trPr>
        <w:tc>
          <w:tcPr>
            <w:tcW w:w="7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bottom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100" w:type="dxa"/>
            <w:vAlign w:val="bottom"/>
            <w:shd w:val="clear" w:color="auto" w:fill="CFF0FC"/>
          </w:tcPr>
          <w:p>
            <w:pPr>
              <w:spacing w:after="0"/>
              <w:rPr>
                <w:sz w:val="20"/>
                <w:szCs w:val="20"/>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(26,191 )</w:t>
            </w:r>
          </w:p>
        </w:tc>
        <w:tc>
          <w:tcPr>
            <w:tcW w:w="20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(53,613 )</w:t>
            </w: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(14,518 )</w:t>
            </w:r>
          </w:p>
        </w:tc>
        <w:tc>
          <w:tcPr>
            <w:tcW w:w="2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00" w:type="dxa"/>
            <w:vAlign w:val="bottom"/>
            <w:shd w:val="clear" w:color="auto" w:fill="CFF0FC"/>
          </w:tcPr>
          <w:p>
            <w:pPr>
              <w:spacing w:after="0"/>
              <w:rPr>
                <w:sz w:val="21"/>
                <w:szCs w:val="21"/>
                <w:color w:val="auto"/>
              </w:rPr>
            </w:pP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20"/>
                <w:szCs w:val="20"/>
                <w:color w:val="auto"/>
              </w:rPr>
            </w:pPr>
          </w:p>
        </w:tc>
      </w:tr>
      <w:tr>
        <w:trPr>
          <w:trHeight w:val="25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(16,522 )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shd w:val="clear" w:color="auto" w:fill="CFF0FC"/>
          </w:tcPr>
          <w:p>
            <w:pPr>
              <w:spacing w:after="0"/>
              <w:rPr>
                <w:sz w:val="22"/>
                <w:szCs w:val="22"/>
                <w:color w:val="auto"/>
              </w:rPr>
            </w:pP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-1825625</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-1825625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-1482725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-1464945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-1482725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-25400</wp:posOffset>
            </wp:positionV>
            <wp:extent cx="768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-8255</wp:posOffset>
            </wp:positionV>
            <wp:extent cx="768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$23.0 million of cash was provided by operating activities compared with $29.5 million provided by operations in the prior year period, representing $6.5 million decline in cash generated. Cash flow from operating activities in the first nine months of 2024 decreased year-over-year primarily due to timing of costs and billings on uncompleted contracts and payments of prepaid expenses, partially offset by decreases in accounts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was $26.2 million compared with $53.6 million used in investing activities in the prior year period. For the nine months ended September 30, 2024, the $26.2 million cash used in investing activities was primarily the result of $15.0 million used for acquisitions as described in Note 15 and $11.2 million for acquisitions of property and equipment. In the prior year period, the $53.6 million cash used in investing activities was the result of $48.1 million used for acquisitions as described in Note 15 and $5.5 million for the acquisition of property and equipment.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2024, $14.5 million was used in financing activities compared with $25.2 million provided by financing activities in the prior year period, for a decrease of $10.7 million. For the nine months ended September 30, 2024, the primary uses of cash for financing activities were $7.8 million to repay long-term debt, $5.0 million to repurchase common stock, $2.1 million of deferred consideration paid for acquisitions, $1.7 million for earnout payments and $1.7 million on distributions to the noncontrolling interest, partially offset by net borrowings on the Company's revolving credit lines of $3.6 million. In the prior year period, the Company used $31.0 million for net borrowings on the Company’s revolving credit lines, primarily used to finance acquisitions, $2.5 million in repayment on long-term debt, $1.2 million on deferred payments for acquisitions, and $1.4 million on distributions to the noncontrolling interest. The Company also received $1.4 million of proceeds from the exercise of stock options and the employee stock purchase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Management’s discussion and analysis of the Company’s financial condition and results of operations are based upon the Company’s condensed consolidated financial statements. The preparation of these financial statements requires management to make estimates and assumptions about future events. These estimates and the underlying assumptions affect the amounts of assets and liabilities reported, disclosures about contingent assets and liabilities and reported amounts of revenues and expenses. Such estimates include revenue recognition, the valuation of trade receivables, inventories, goodwill, intangible assets, other long-lived assets, legal contingencies, guarantee obligations and assumptions used in the calculation of income taxes, assumptions used in business combination accounting and related balances, and pension and post-retirement benefits, among others. These estimates and assumptions are based on management’s best estimates and judgment. Management evaluates its estimates and assumptions on an ongoing basis using historical experience and other factors. Management monitors economic conditions and other factors and will adjust such estimates and assumptions when facts and circumstances dictate. As future events and their effects cannot be determined with precision, actual results could differ significantly from these estimates.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2" w:right="339" w:bottom="1440" w:gutter="0" w:footer="0" w:header="0"/>
        </w:sectPr>
      </w:pPr>
    </w:p>
    <w:bookmarkStart w:id="30" w:name="page31"/>
    <w:bookmarkEnd w:id="30"/>
    <w:p>
      <w:pPr>
        <w:ind w:right="20"/>
        <w:spacing w:after="0" w:line="266" w:lineRule="auto"/>
        <w:rPr>
          <w:sz w:val="20"/>
          <w:szCs w:val="20"/>
          <w:color w:val="auto"/>
        </w:rPr>
      </w:pPr>
      <w:r>
        <w:rPr>
          <w:rFonts w:ascii="Times New Roman" w:cs="Times New Roman" w:eastAsia="Times New Roman" w:hAnsi="Times New Roman"/>
          <w:sz w:val="18"/>
          <w:szCs w:val="18"/>
          <w:color w:val="auto"/>
        </w:rPr>
        <w:t>Management believes there have been no changes during the nine months ended September 30, 2024 to the items that the Company disclosed as its critical accounting policies and estimates in Management’s Discussion and Analysis of Financial Condition and Results of Operations in the Company’s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this Quarterly Report on Form 10-Q and in the Company’s Annual Report on Form 10-K for the fiscal year ended December 31, 2023, and include, but are not limited to:</w:t>
      </w:r>
    </w:p>
    <w:p>
      <w:pPr>
        <w:spacing w:after="0" w:line="194"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sensitivity of our business to economic and financial market conditions generally and economic conditions in CECO’s service areas;</w:t>
      </w:r>
    </w:p>
    <w:p>
      <w:pPr>
        <w:spacing w:after="0" w:line="117"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CECO’s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business portfolio by identifying acquisition targets, executing upon any strategic acquisitions or divestitures, integrating acquired businesses and realizing the synergies from strategic transactions;</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 and</w:t>
      </w:r>
    </w:p>
    <w:p>
      <w:pPr>
        <w:spacing w:after="0" w:line="53"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regarding the parties’ ability to complete the proposed acquisition of Profire in the anticipated timeframe or at all, the occurrence of any event, change or other circumstance that could give rise to the termination of the Merger Agreement between the parties, the effect of the announcement or pendency of the proposed transaction on business relationships, operating results, and business generally, disruption of current plans and operations and potential difficulties in employee retention as a result of the proposed transaction, diversion of management’s attention from ongoing business operations, the outcome of any legal proceedings that may be instituted related to the proposed transaction, the amount of the costs, fees,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1" w:name="page32"/>
    <w:bookmarkEnd w:id="31"/>
    <w:p>
      <w:pPr>
        <w:ind w:left="760" w:right="480"/>
        <w:spacing w:after="0" w:line="282" w:lineRule="auto"/>
        <w:rPr>
          <w:sz w:val="20"/>
          <w:szCs w:val="20"/>
          <w:color w:val="auto"/>
        </w:rPr>
      </w:pPr>
      <w:r>
        <w:rPr>
          <w:rFonts w:ascii="Times New Roman" w:cs="Times New Roman" w:eastAsia="Times New Roman" w:hAnsi="Times New Roman"/>
          <w:sz w:val="18"/>
          <w:szCs w:val="18"/>
          <w:color w:val="auto"/>
        </w:rPr>
        <w:t>expenses and other charges related to the proposed transaction, the risk that competing offers or acquisition proposals will be made and the achievement of the anticipated benefits of the acquisition.</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Furthermore, the forward-looking statements speak only as of the date they are made. Except as required under the federal securities laws or the rules and regulations of the Securities and Exchange Commission (the “SEC”), we undertake no obligation to update or review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September 30, 2024 was $134.3 million. Market risk was estimated as the potential decrease (increase) in future earnings and cash flows resulting from a hypothetical 10% increase (decrease) in the Company’s estimated weighted average borrowing rate at September 30, 2024. Most of the interest on the Company’s debt is indexed to SOFR market rates. The estimated annual impact of a hypothetical 10% change in the estimated weighted average borrowing rate at September 30, 2024 is $1.0 million.</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India, United Arab Emirates and South Korea.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(losses) included in “Other expense, net” line of the Condensed Consolidated Statements of Income were $0.3 million and $(0.6) million for the three months ended September 30, 2024 and 2023, respectively, and $1.9 million and $0.2 million for the nine months ended September 30, 2024 and 2023, respectively.</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September 30, 2024.</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believes that the condensed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176" w:lineRule="exact"/>
        <w:rPr>
          <w:sz w:val="20"/>
          <w:szCs w:val="20"/>
          <w:color w:val="auto"/>
        </w:rPr>
      </w:pPr>
    </w:p>
    <w:p>
      <w:pPr>
        <w:jc w:val="both"/>
        <w:ind w:right="300"/>
        <w:spacing w:after="0" w:line="312" w:lineRule="auto"/>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(as defined in Rule 13a-15(f) of the Exchange Act) during the quarter ended September 30, 2024 that materially affected, or are reasonably likely to materially affect, the Company’s internal control over financial reporting.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line="261" w:lineRule="auto"/>
        <w:rPr>
          <w:sz w:val="20"/>
          <w:szCs w:val="20"/>
          <w:color w:val="auto"/>
        </w:rPr>
      </w:pPr>
      <w:r>
        <w:rPr>
          <w:rFonts w:ascii="Times New Roman" w:cs="Times New Roman" w:eastAsia="Times New Roman" w:hAnsi="Times New Roman"/>
          <w:sz w:val="18"/>
          <w:szCs w:val="18"/>
          <w:color w:val="auto"/>
        </w:rPr>
        <w:t>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See Note 14 to the unaudited Condensed Consolidated Financial Statements contained in Part I, Item 1 of this Quarterly Report on Form 10-Q for information regarding legal proceedings in which the Company is involved.</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that were disclosed in “Part I – Item 1A. Risk Factors” of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the Company's equity securities for the three months ended September 30, 2024:</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54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380" w:type="dxa"/>
            <w:vAlign w:val="bottom"/>
            <w:tcBorders>
              <w:top w:val="single" w:sz="8" w:color="auto"/>
            </w:tcBorders>
          </w:tcPr>
          <w:p>
            <w:pPr>
              <w:jc w:val="center"/>
              <w:ind w:left="8"/>
              <w:spacing w:after="0" w:line="131"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13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3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15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5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15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3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154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Shares Purchased </w:t>
            </w:r>
            <w:r>
              <w:rPr>
                <w:rFonts w:ascii="Times New Roman" w:cs="Times New Roman" w:eastAsia="Times New Roman" w:hAnsi="Times New Roman"/>
                <w:sz w:val="19"/>
                <w:szCs w:val="19"/>
                <w:b w:val="1"/>
                <w:bCs w:val="1"/>
                <w:color w:val="auto"/>
                <w:vertAlign w:val="superscript"/>
              </w:rPr>
              <w:t>1</w:t>
            </w:r>
          </w:p>
        </w:tc>
        <w:tc>
          <w:tcPr>
            <w:tcW w:w="15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38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4440" w:space="720"/>
            <w:col w:w="608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16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1480" w:type="dxa"/>
            <w:vAlign w:val="bottom"/>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2000" w:type="dxa"/>
            <w:vAlign w:val="bottom"/>
            <w:gridSpan w:val="3"/>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shd w:val="clear" w:color="auto" w:fill="CFF0FC"/>
          </w:tcPr>
          <w:p>
            <w:pPr>
              <w:spacing w:after="0"/>
              <w:rPr>
                <w:sz w:val="18"/>
                <w:szCs w:val="18"/>
                <w:color w:val="auto"/>
              </w:rPr>
            </w:pPr>
          </w:p>
        </w:tc>
      </w:tr>
      <w:tr>
        <w:trPr>
          <w:trHeight w:val="23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2024 - August 31, 2024</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0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Pr>
          <w:p>
            <w:pPr>
              <w:spacing w:after="0"/>
              <w:rPr>
                <w:sz w:val="20"/>
                <w:szCs w:val="20"/>
                <w:color w:val="auto"/>
              </w:rPr>
            </w:pPr>
          </w:p>
        </w:tc>
      </w:tr>
      <w:tr>
        <w:trPr>
          <w:trHeight w:val="247"/>
        </w:trPr>
        <w:tc>
          <w:tcPr>
            <w:tcW w:w="5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2024 - September 30, 2024</w:t>
            </w:r>
          </w:p>
        </w:tc>
        <w:tc>
          <w:tcPr>
            <w:tcW w:w="1480" w:type="dxa"/>
            <w:vAlign w:val="bottom"/>
            <w:tcBorders>
              <w:bottom w:val="single" w:sz="8" w:color="auto"/>
            </w:tcBorders>
            <w:shd w:val="clear" w:color="auto" w:fill="CFF0FC"/>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CFF0FC"/>
            </w:tcBorders>
            <w:gridSpan w:val="2"/>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20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-187960</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140" w:firstLine="8"/>
        <w:spacing w:after="0" w:line="282"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as described within Note 9 to the unaudited Condensed Consolidated Financial Statements. The program expires on April 30, 2025.</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2024,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20" w:type="dxa"/>
            <w:vAlign w:val="bottom"/>
            <w:gridSpan w:val="6"/>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Certificate of Amendment to the Certificate of Incorporation of CECO Environmental Corp. (incorporated by reference to Exhibit 3.1 to</w:t>
              </w:r>
            </w:hyperlink>
          </w:p>
        </w:tc>
      </w:tr>
      <w:tr>
        <w:trPr>
          <w:trHeight w:val="20"/>
        </w:trPr>
        <w:tc>
          <w:tcPr>
            <w:tcW w:w="116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6"/>
          </w:tcPr>
          <w:p>
            <w:pPr>
              <w:spacing w:after="0" w:line="196" w:lineRule="exact"/>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the Company’s Current Report on Form 8-K filed with the SEC on May 22, 2024)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920" w:type="dxa"/>
            <w:vAlign w:val="bottom"/>
            <w:gridSpan w:val="6"/>
          </w:tcPr>
          <w:p>
            <w:pPr>
              <w:spacing w:after="0"/>
              <w:rPr>
                <w:rFonts w:ascii="Times New Roman" w:cs="Times New Roman" w:eastAsia="Times New Roman" w:hAnsi="Times New Roman"/>
                <w:sz w:val="18"/>
                <w:szCs w:val="18"/>
                <w:color w:val="0000FF"/>
                <w:w w:val="99"/>
              </w:rPr>
            </w:pPr>
            <w:hyperlink r:id="rId358">
              <w:r>
                <w:rPr>
                  <w:rFonts w:ascii="Times New Roman" w:cs="Times New Roman" w:eastAsia="Times New Roman" w:hAnsi="Times New Roman"/>
                  <w:sz w:val="18"/>
                  <w:szCs w:val="18"/>
                  <w:color w:val="0000FF"/>
                  <w:w w:val="99"/>
                </w:rPr>
                <w:t>Third Amended and Restated Credit Agreement (incorporated by reference to Exhibit 10.1 to the Company's Current Report on Form 8-K</w:t>
              </w:r>
            </w:hyperlink>
          </w:p>
        </w:tc>
      </w:tr>
      <w:tr>
        <w:trPr>
          <w:trHeight w:val="20"/>
        </w:trPr>
        <w:tc>
          <w:tcPr>
            <w:tcW w:w="1160" w:type="dxa"/>
            <w:vAlign w:val="bottom"/>
          </w:tcPr>
          <w:p>
            <w:pPr>
              <w:spacing w:after="0" w:line="20" w:lineRule="exact"/>
              <w:rPr>
                <w:sz w:val="1"/>
                <w:szCs w:val="1"/>
                <w:color w:val="auto"/>
              </w:rPr>
            </w:pPr>
          </w:p>
        </w:tc>
        <w:tc>
          <w:tcPr>
            <w:tcW w:w="290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420" w:type="dxa"/>
            <w:vAlign w:val="bottom"/>
            <w:tcBorders>
              <w:left w:val="single" w:sz="8" w:color="0000FF"/>
            </w:tcBorders>
            <w:gridSpan w:val="3"/>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9920" w:type="dxa"/>
            <w:vAlign w:val="bottom"/>
            <w:gridSpan w:val="6"/>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filed with the SEC on October 11, 2024)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2900" w:type="dxa"/>
            <w:vAlign w:val="bottom"/>
            <w:tcBorders>
              <w:right w:val="single" w:sz="8" w:color="0000EE"/>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13(a)/15d-14(a) Certification by Chief Executive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Rule 13(a)/15d-14(a) Certification by Chief Financial Officer</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4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(18 U.S. Section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420" w:type="dxa"/>
            <w:vAlign w:val="bottom"/>
            <w:tcBorders>
              <w:left w:val="single" w:sz="8" w:color="0000FF"/>
            </w:tcBorders>
            <w:gridSpan w:val="3"/>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(18 U.S. Section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420" w:type="dxa"/>
            <w:vAlign w:val="bottom"/>
            <w:gridSpan w:val="3"/>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9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 with Embedded Linkbase Documents</w:t>
            </w:r>
          </w:p>
        </w:tc>
      </w:tr>
    </w:tbl>
    <w:p>
      <w:pPr>
        <w:spacing w:after="0" w:line="157" w:lineRule="exact"/>
        <w:rPr>
          <w:sz w:val="20"/>
          <w:szCs w:val="20"/>
          <w:color w:val="auto"/>
        </w:rPr>
      </w:pPr>
    </w:p>
    <w:p>
      <w:pPr>
        <w:ind w:left="5540" w:right="3420" w:hanging="5458"/>
        <w:spacing w:after="0" w:line="798" w:lineRule="auto"/>
        <w:tabs>
          <w:tab w:leader="none" w:pos="122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161925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bookmarkStart w:id="35" w:name="page36"/>
    <w:bookmarkEnd w:id="3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76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26035</wp:posOffset>
            </wp:positionV>
            <wp:extent cx="31972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Kiril Kovachev</w:t>
      </w:r>
    </w:p>
    <w:p>
      <w:pPr>
        <w:spacing w:after="0" w:line="36"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28"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b w:val="1"/>
          <w:bCs w:val="1"/>
          <w:color w:val="auto"/>
        </w:rPr>
        <w:t>(principal accounting officer and duly authorized officer)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20" w:hanging="479"/>
        <w:spacing w:after="0" w:line="266"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300" w:hanging="512"/>
        <w:spacing w:after="0" w:line="282" w:lineRule="auto"/>
        <w:tabs>
          <w:tab w:leader="none" w:pos="3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Johansson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quarter ended September 30, 2024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Todd Gleason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quarter ended September 30, 2024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460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Johansson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1."/>
      <w:numFmt w:val="decimal"/>
      <w:start w:val="4"/>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7"/>
    </w:lvl>
  </w:abstractNum>
  <w:abstractNum w:abstractNumId="8">
    <w:nsid w:val="41A7C4C9"/>
    <w:multiLevelType w:val="hybridMultilevel"/>
    <w:lvl w:ilvl="0">
      <w:lvlJc w:val="left"/>
      <w:lvlText w:val="%1."/>
      <w:numFmt w:val="decimal"/>
      <w:start w:val="9"/>
    </w:lvl>
  </w:abstractNum>
  <w:abstractNum w:abstractNumId="9">
    <w:nsid w:val="6B68079A"/>
    <w:multiLevelType w:val="hybridMultilevel"/>
    <w:lvl w:ilvl="0">
      <w:lvlJc w:val="left"/>
      <w:lvlText w:val="%1."/>
      <w:numFmt w:val="decimal"/>
      <w:start w:val="14"/>
    </w:lvl>
  </w:abstractNum>
  <w:abstractNum w:abstractNumId="10">
    <w:nsid w:val="4E6AFB66"/>
    <w:multiLevelType w:val="hybridMultilevel"/>
    <w:lvl w:ilvl="0">
      <w:lvlJc w:val="left"/>
      <w:lvlText w:val="%1."/>
      <w:numFmt w:val="decimal"/>
      <w:start w:val="15"/>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2"/>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57" Type="http://schemas.openxmlformats.org/officeDocument/2006/relationships/hyperlink" Target="https://www.sec.gov/Archives/edgar/data/3197/000095017024063379/ceco-ex3_1.htm" TargetMode="External"/><Relationship Id="rId358" Type="http://schemas.openxmlformats.org/officeDocument/2006/relationships/hyperlink" Target="https://www.sec.gov/ix?doc=/Archives/edgar/data/3197/000110465924107918/tm2425665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2024-10-29T05:55:27Z</dcterms:created>
  <dcterms:modified xsi:type="dcterms:W3CDTF">2024-10-29T05:55:27Z</dcterms:modified>
</cp:coreProperties>
</file>