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QUARTERLY REPORT UNDER SECTION 13 OR 15(d) OF THE SECURITIES EXCHANGE </w:t>
      </w:r>
    </w:p>
    <w:p>
      <w:pPr>
        <w:pStyle w:val="TextBody"/>
        <w:spacing w:before="0" w:after="0"/>
        <w:jc w:val="center"/>
        <w:rPr>
          <w:rFonts w:ascii="Times New Roman" w:hAnsi="Times New Roman"/>
          <w:b/>
          <w:sz w:val="24"/>
        </w:rPr>
      </w:pPr>
      <w:r>
        <w:rPr>
          <w:rFonts w:ascii="Times New Roman" w:hAnsi="Times New Roman"/>
          <w:b/>
          <w:sz w:val="24"/>
        </w:rPr>
        <w:t xml:space="preserve">ACT OF 1934 FOR THE QUARTERLY PERIOD ENDED SEPTEMBER 30, 2004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the past 90 days.    ☒  Yes    </w:t>
      </w:r>
      <w:r>
        <w:rPr>
          <w:color w:val="000000"/>
        </w:rPr>
        <w:t>☐</w:t>
      </w:r>
      <w:r>
        <w:rPr/>
        <w:t>  </w:t>
      </w:r>
      <w:r>
        <w:rPr>
          <w:rFonts w:ascii="Times New Roman" w:hAnsi="Times New Roman"/>
          <w:sz w:val="20"/>
        </w:rPr>
        <w:t xml:space="preserve">No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is an accelerated filer (as defined in Rule 12b-2 of the Act).    Yes  </w:t>
      </w:r>
      <w:r>
        <w:rPr>
          <w:color w:val="000000"/>
        </w:rPr>
        <w:t>☐</w:t>
      </w:r>
      <w:r>
        <w:rPr/>
        <w:t>    </w:t>
      </w:r>
      <w:r>
        <w:rPr>
          <w:rFonts w:ascii="Times New Roman" w:hAnsi="Times New Roman"/>
          <w:sz w:val="20"/>
        </w:rPr>
        <w:t xml:space="preserve">No  ☒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Class: Common, par value $.01 per share outstanding at November 12, 2004 - 9,991,678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2" w:name="toc"/>
      <w:bookmarkEnd w:id="2"/>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SEPTEMBER 30,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INDEX</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51"/>
        <w:gridCol w:w="159"/>
        <w:gridCol w:w="7903"/>
        <w:gridCol w:w="159"/>
        <w:gridCol w:w="233"/>
      </w:tblGrid>
      <w:tr>
        <w:trPr/>
        <w:tc>
          <w:tcPr>
            <w:tcW w:w="17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790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1.</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1">
              <w:r>
                <w:rPr>
                  <w:rStyle w:val="InternetLink"/>
                  <w:rFonts w:ascii="Times New Roman" w:hAnsi="Times New Roman"/>
                  <w:sz w:val="20"/>
                </w:rPr>
                <w:t>Condensed consolidated balance sheets as of September 30, 2004 and December 31, 2003</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2">
              <w:r>
                <w:rPr>
                  <w:rStyle w:val="InternetLink"/>
                  <w:rFonts w:ascii="Times New Roman" w:hAnsi="Times New Roman"/>
                  <w:sz w:val="20"/>
                </w:rPr>
                <w:t>Condensed consolidated statements of operations for the three-month and nine-month periods ended September 30, 2004 and 2003</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3">
              <w:r>
                <w:rPr>
                  <w:rStyle w:val="InternetLink"/>
                  <w:rFonts w:ascii="Times New Roman" w:hAnsi="Times New Roman"/>
                  <w:sz w:val="20"/>
                </w:rPr>
                <w:t>Condensed consolidated statements of cash flows for the nine-month periods ended September 30, 2004 and 2003</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4">
              <w:r>
                <w:rPr>
                  <w:rStyle w:val="InternetLink"/>
                  <w:rFonts w:ascii="Times New Roman" w:hAnsi="Times New Roman"/>
                  <w:sz w:val="20"/>
                </w:rPr>
                <w:t>Notes to condensed consolidated financial statements</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2.</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5">
              <w:r>
                <w:rPr>
                  <w:rStyle w:val="InternetLink"/>
                  <w:rFonts w:ascii="Times New Roman" w:hAnsi="Times New Roman"/>
                  <w:sz w:val="20"/>
                </w:rPr>
                <w:t>Managements discussion and analysis of financial condition and results of operations</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3.</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6">
              <w:r>
                <w:rPr>
                  <w:rStyle w:val="InternetLink"/>
                  <w:rFonts w:ascii="Times New Roman" w:hAnsi="Times New Roman"/>
                  <w:sz w:val="20"/>
                </w:rPr>
                <w:t>Quantitative and Qualitative Disclosure about Market Risk</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4.</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7">
              <w:r>
                <w:rPr>
                  <w:rStyle w:val="InternetLink"/>
                  <w:rFonts w:ascii="Times New Roman" w:hAnsi="Times New Roman"/>
                  <w:sz w:val="20"/>
                </w:rPr>
                <w:t>Controls and Procedures</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rHeight w:val="120" w:hRule="atLeast"/>
        </w:trPr>
        <w:tc>
          <w:tcPr>
            <w:tcW w:w="9813" w:type="dxa"/>
            <w:gridSpan w:val="3"/>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Pr>
          <w:p>
            <w:pPr>
              <w:pStyle w:val="TableContents"/>
              <w:spacing w:before="0" w:after="283"/>
              <w:rPr/>
            </w:pPr>
            <w:hyperlink w:anchor="tx96513_8">
              <w:r>
                <w:rPr>
                  <w:rStyle w:val="InternetLink"/>
                  <w:rFonts w:ascii="Times New Roman" w:hAnsi="Times New Roman"/>
                  <w:sz w:val="20"/>
                </w:rPr>
                <w:t xml:space="preserve">Part II - Other Information </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4.</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9">
              <w:r>
                <w:rPr>
                  <w:rStyle w:val="InternetLink"/>
                  <w:rFonts w:ascii="Times New Roman" w:hAnsi="Times New Roman"/>
                  <w:sz w:val="20"/>
                </w:rPr>
                <w:t>Submission of Matters to a Vote of Security Holders</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5.</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10">
              <w:r>
                <w:rPr>
                  <w:rStyle w:val="InternetLink"/>
                  <w:rFonts w:ascii="Times New Roman" w:hAnsi="Times New Roman"/>
                  <w:sz w:val="20"/>
                </w:rPr>
                <w:t>Other Information</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rHeight w:val="120" w:hRule="atLeast"/>
        </w:trPr>
        <w:tc>
          <w:tcPr>
            <w:tcW w:w="1751"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1751" w:type="dxa"/>
            <w:tcBorders/>
            <w:shd w:fill="auto" w:val="clear"/>
          </w:tcPr>
          <w:p>
            <w:pPr>
              <w:pStyle w:val="TableContents"/>
              <w:spacing w:before="0" w:after="283"/>
              <w:rPr/>
            </w:pPr>
            <w:r>
              <w:rPr/>
              <w:t>             </w:t>
            </w:r>
            <w:r>
              <w:rPr>
                <w:rFonts w:ascii="Times New Roman" w:hAnsi="Times New Roman"/>
                <w:sz w:val="20"/>
              </w:rPr>
              <w:t>Item 6.</w:t>
            </w:r>
          </w:p>
        </w:tc>
        <w:tc>
          <w:tcPr>
            <w:tcW w:w="159" w:type="dxa"/>
            <w:tcBorders/>
            <w:shd w:fill="auto" w:val="clear"/>
            <w:vAlign w:val="bottom"/>
          </w:tcPr>
          <w:p>
            <w:pPr>
              <w:pStyle w:val="TableContents"/>
              <w:spacing w:before="0" w:after="283"/>
              <w:rPr/>
            </w:pPr>
            <w:r>
              <w:rPr/>
              <w:t>  </w:t>
            </w:r>
          </w:p>
        </w:tc>
        <w:tc>
          <w:tcPr>
            <w:tcW w:w="7903" w:type="dxa"/>
            <w:tcBorders/>
            <w:shd w:fill="auto" w:val="clear"/>
            <w:vAlign w:val="bottom"/>
          </w:tcPr>
          <w:p>
            <w:pPr>
              <w:pStyle w:val="TableContents"/>
              <w:spacing w:before="0" w:after="283"/>
              <w:rPr/>
            </w:pPr>
            <w:hyperlink w:anchor="tx96513_11">
              <w:r>
                <w:rPr>
                  <w:rStyle w:val="InternetLink"/>
                  <w:rFonts w:ascii="Times New Roman" w:hAnsi="Times New Roman"/>
                  <w:sz w:val="20"/>
                </w:rPr>
                <w:t xml:space="preserve">Exhibits and reports on Form 8-K </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rHeight w:val="120" w:hRule="atLeast"/>
        </w:trPr>
        <w:tc>
          <w:tcPr>
            <w:tcW w:w="9813" w:type="dxa"/>
            <w:gridSpan w:val="3"/>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Pr>
          <w:p>
            <w:pPr>
              <w:pStyle w:val="TableContents"/>
              <w:spacing w:before="0" w:after="283"/>
              <w:rPr/>
            </w:pPr>
            <w:hyperlink w:anchor="tx96513_12">
              <w:r>
                <w:rPr>
                  <w:rStyle w:val="InternetLink"/>
                  <w:rFonts w:ascii="Times New Roman" w:hAnsi="Times New Roman"/>
                  <w:sz w:val="20"/>
                </w:rPr>
                <w:t>Signature</w:t>
              </w:r>
            </w:hyperlink>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rHeight w:val="120" w:hRule="atLeast"/>
        </w:trPr>
        <w:tc>
          <w:tcPr>
            <w:tcW w:w="9813" w:type="dxa"/>
            <w:gridSpan w:val="3"/>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Certifications</w:t>
            </w:r>
          </w:p>
        </w:tc>
        <w:tc>
          <w:tcPr>
            <w:tcW w:w="15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3" w:name="tx96513_1"/>
      <w:bookmarkEnd w:id="3"/>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44"/>
        <w:gridCol w:w="604"/>
        <w:gridCol w:w="181"/>
        <w:gridCol w:w="860"/>
        <w:gridCol w:w="80"/>
        <w:gridCol w:w="559"/>
        <w:gridCol w:w="171"/>
        <w:gridCol w:w="823"/>
        <w:gridCol w:w="83"/>
      </w:tblGrid>
      <w:tr>
        <w:trPr/>
        <w:tc>
          <w:tcPr>
            <w:tcW w:w="684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b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2003</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13,027</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11,398</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6,513</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5,309</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2,025</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1,575</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2,676</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1,983</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24,445</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83" w:type="dxa"/>
            <w:tcBorders/>
            <w:shd w:fill="CCEEFF" w:val="clear"/>
            <w:vAlign w:val="bottom"/>
          </w:tcPr>
          <w:p>
            <w:pPr>
              <w:pStyle w:val="TableContents"/>
              <w:spacing w:before="0" w:after="283"/>
              <w:rPr/>
            </w:pPr>
            <w:r>
              <w:rPr/>
              <w:t> </w:t>
            </w:r>
          </w:p>
        </w:tc>
      </w:tr>
      <w:tr>
        <w:trPr>
          <w:trHeight w:val="120" w:hRule="atLeast"/>
        </w:trPr>
        <w:tc>
          <w:tcPr>
            <w:tcW w:w="6844" w:type="dxa"/>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636" w:type="dxa"/>
            <w:gridSpan w:val="4"/>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9,467</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9,987</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 finite life, net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756</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indefinite life</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706</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83" w:type="dxa"/>
            <w:tcBorders/>
            <w:shd w:fill="auto"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pPr>
            <w:r>
              <w:rPr/>
              <w:t> </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46,296</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18" w:space="0" w:color="000000"/>
              </w:pBdr>
              <w:spacing w:before="0" w:after="283"/>
              <w:rPr/>
            </w:pPr>
            <w:r>
              <w:rPr/>
            </w:r>
          </w:p>
        </w:tc>
        <w:tc>
          <w:tcPr>
            <w:tcW w:w="86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82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r>
        <w:trPr/>
        <w:tc>
          <w:tcPr>
            <w:tcW w:w="684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4,712</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13,449</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11,309</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2,554</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20,715</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14,723</w:t>
            </w:r>
          </w:p>
        </w:tc>
        <w:tc>
          <w:tcPr>
            <w:tcW w:w="83" w:type="dxa"/>
            <w:tcBorders/>
            <w:shd w:fill="CCEEFF" w:val="clear"/>
            <w:vAlign w:val="bottom"/>
          </w:tcPr>
          <w:p>
            <w:pPr>
              <w:pStyle w:val="TableContents"/>
              <w:spacing w:before="0" w:after="283"/>
              <w:rPr/>
            </w:pPr>
            <w:r>
              <w:rPr/>
              <w:t> </w:t>
            </w:r>
          </w:p>
        </w:tc>
      </w:tr>
      <w:tr>
        <w:trPr>
          <w:trHeight w:val="120" w:hRule="atLeast"/>
        </w:trPr>
        <w:tc>
          <w:tcPr>
            <w:tcW w:w="6844" w:type="dxa"/>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636" w:type="dxa"/>
            <w:gridSpan w:val="4"/>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2,192</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2,591</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5,696</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(including, related party - $5,287 and $5,093, respectively)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5,741</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5,525</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37,529</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33,887</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w:t>
              <w:br/>
              <w:t>10,792,898 shares issued at September 30, 2004 and</w:t>
              <w:br/>
              <w:t>10,786,194 shares issued at December 31, 2003</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16,343</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16,333</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(4,503</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pPr>
            <w:r>
              <w:rPr/>
              <w:t> </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10,571</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11,040</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801,220 shares in 2004 and 2003</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8,767</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9,236</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pPr>
            <w:r>
              <w:rPr/>
              <w:t> </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46,296</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18" w:space="0" w:color="000000"/>
              </w:pBdr>
              <w:spacing w:before="0" w:after="283"/>
              <w:rPr/>
            </w:pPr>
            <w:r>
              <w:rPr/>
            </w:r>
          </w:p>
        </w:tc>
        <w:tc>
          <w:tcPr>
            <w:tcW w:w="86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82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4" w:name="tx96513_2"/>
      <w:bookmarkEnd w:id="4"/>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79"/>
        <w:gridCol w:w="321"/>
        <w:gridCol w:w="125"/>
        <w:gridCol w:w="985"/>
        <w:gridCol w:w="80"/>
        <w:gridCol w:w="273"/>
        <w:gridCol w:w="125"/>
        <w:gridCol w:w="985"/>
        <w:gridCol w:w="80"/>
        <w:gridCol w:w="273"/>
        <w:gridCol w:w="125"/>
        <w:gridCol w:w="845"/>
        <w:gridCol w:w="79"/>
        <w:gridCol w:w="273"/>
        <w:gridCol w:w="125"/>
        <w:gridCol w:w="845"/>
        <w:gridCol w:w="87"/>
      </w:tblGrid>
      <w:tr>
        <w:trPr/>
        <w:tc>
          <w:tcPr>
            <w:tcW w:w="457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57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292"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11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7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18,378</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17,039</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47,530</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49,994</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79"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15,035</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13,543</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38,248</w:t>
            </w:r>
          </w:p>
        </w:tc>
        <w:tc>
          <w:tcPr>
            <w:tcW w:w="7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40,267</w:t>
            </w:r>
          </w:p>
        </w:tc>
        <w:tc>
          <w:tcPr>
            <w:tcW w:w="87" w:type="dxa"/>
            <w:tcBorders/>
            <w:shd w:fill="auto" w:val="clear"/>
            <w:vAlign w:val="bottom"/>
          </w:tcPr>
          <w:p>
            <w:pPr>
              <w:pStyle w:val="TableContents"/>
              <w:spacing w:before="0" w:after="283"/>
              <w:rPr/>
            </w:pPr>
            <w:r>
              <w:rPr/>
              <w:t> </w:t>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administration</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2,473</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2,443</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7,833</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7,531</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424</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1,256</w:t>
            </w:r>
          </w:p>
        </w:tc>
        <w:tc>
          <w:tcPr>
            <w:tcW w:w="7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87" w:type="dxa"/>
            <w:tcBorders/>
            <w:shd w:fill="auto" w:val="clear"/>
            <w:vAlign w:val="bottom"/>
          </w:tcPr>
          <w:p>
            <w:pPr>
              <w:pStyle w:val="TableContents"/>
              <w:spacing w:before="0" w:after="283"/>
              <w:rPr/>
            </w:pPr>
            <w:r>
              <w:rPr/>
              <w:t> </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79"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4579" w:type="dxa"/>
            <w:tcBorders/>
            <w:shd w:fill="CCEEFF" w:val="clear"/>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17,932</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16,378</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47,337</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48,989</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79"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 before other income and interest expense</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7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87" w:type="dxa"/>
            <w:tcBorders/>
            <w:shd w:fill="auto" w:val="clear"/>
            <w:vAlign w:val="bottom"/>
          </w:tcPr>
          <w:p>
            <w:pPr>
              <w:pStyle w:val="TableContents"/>
              <w:spacing w:before="0" w:after="283"/>
              <w:rPr/>
            </w:pPr>
            <w:r>
              <w:rPr/>
              <w:t> </w:t>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$219 and $199, and $654 and $597, respectively)</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(1,622</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(1,742</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79"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 before income taxes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(1,374</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9"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(895</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8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79" w:type="dxa"/>
            <w:tcBorders/>
            <w:shd w:fill="auto" w:val="clear"/>
            <w:vAlign w:val="bottom"/>
          </w:tcPr>
          <w:p>
            <w:pPr>
              <w:pStyle w:val="HorizontalLine"/>
              <w:pBdr>
                <w:bottom w:val="single" w:sz="6"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(loss)</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(loss)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9,991,678</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9,978,835</w:t>
            </w:r>
          </w:p>
        </w:tc>
        <w:tc>
          <w:tcPr>
            <w:tcW w:w="8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9,988,840</w:t>
            </w:r>
          </w:p>
        </w:tc>
        <w:tc>
          <w:tcPr>
            <w:tcW w:w="7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9,808,574</w:t>
            </w:r>
          </w:p>
        </w:tc>
        <w:tc>
          <w:tcPr>
            <w:tcW w:w="87" w:type="dxa"/>
            <w:tcBorders/>
            <w:shd w:fill="auto" w:val="clear"/>
            <w:vAlign w:val="bottom"/>
          </w:tcPr>
          <w:p>
            <w:pPr>
              <w:pStyle w:val="TableContents"/>
              <w:spacing w:before="0" w:after="283"/>
              <w:rPr/>
            </w:pPr>
            <w:r>
              <w:rPr/>
              <w:t> </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4579"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10,015,537</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10,021,741</w:t>
            </w:r>
          </w:p>
        </w:tc>
        <w:tc>
          <w:tcPr>
            <w:tcW w:w="8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9,988,840</w:t>
            </w:r>
          </w:p>
        </w:tc>
        <w:tc>
          <w:tcPr>
            <w:tcW w:w="7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9,808,574</w:t>
            </w:r>
          </w:p>
        </w:tc>
        <w:tc>
          <w:tcPr>
            <w:tcW w:w="87" w:type="dxa"/>
            <w:tcBorders/>
            <w:shd w:fill="CCEEFF" w:val="clear"/>
            <w:vAlign w:val="bottom"/>
          </w:tcPr>
          <w:p>
            <w:pPr>
              <w:pStyle w:val="TableContents"/>
              <w:spacing w:before="0" w:after="283"/>
              <w:rPr/>
            </w:pPr>
            <w:r>
              <w:rPr/>
              <w:t> </w:t>
            </w:r>
          </w:p>
        </w:tc>
      </w:tr>
      <w:tr>
        <w:trPr/>
        <w:tc>
          <w:tcPr>
            <w:tcW w:w="457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8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5" w:name="tx96513_3"/>
      <w:bookmarkEnd w:id="5"/>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73"/>
        <w:gridCol w:w="327"/>
        <w:gridCol w:w="125"/>
        <w:gridCol w:w="554"/>
        <w:gridCol w:w="80"/>
        <w:gridCol w:w="283"/>
        <w:gridCol w:w="125"/>
        <w:gridCol w:w="554"/>
        <w:gridCol w:w="84"/>
      </w:tblGrid>
      <w:tr>
        <w:trPr/>
        <w:tc>
          <w:tcPr>
            <w:tcW w:w="807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21"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w:t>
              <w:br/>
              <w:t>ENDED</w:t>
              <w:br/>
              <w:t>SEPTEMBER 30,</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67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7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(used in) provided by operating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1,256</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84" w:type="dxa"/>
            <w:tcBorders/>
            <w:shd w:fill="auto" w:val="clear"/>
            <w:vAlign w:val="bottom"/>
          </w:tcPr>
          <w:p>
            <w:pPr>
              <w:pStyle w:val="TableContents"/>
              <w:spacing w:before="0" w:after="283"/>
              <w:rPr/>
            </w:pPr>
            <w:r>
              <w:rPr/>
              <w:t> </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 cash gains included in net loss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(1,606</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84" w:type="dxa"/>
            <w:tcBorders/>
            <w:shd w:fill="auto" w:val="clear"/>
            <w:vAlign w:val="bottom"/>
          </w:tcPr>
          <w:p>
            <w:pPr>
              <w:pStyle w:val="TableContents"/>
              <w:spacing w:before="0" w:after="283"/>
              <w:rPr/>
            </w:pPr>
            <w:r>
              <w:rPr/>
              <w:t> </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2,140</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1,234</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1,613</w:t>
            </w:r>
          </w:p>
        </w:tc>
        <w:tc>
          <w:tcPr>
            <w:tcW w:w="84" w:type="dxa"/>
            <w:tcBorders/>
            <w:shd w:fill="auto" w:val="clear"/>
            <w:vAlign w:val="bottom"/>
          </w:tcPr>
          <w:p>
            <w:pPr>
              <w:pStyle w:val="TableContents"/>
              <w:spacing w:before="0" w:after="283"/>
              <w:rPr/>
            </w:pPr>
            <w:r>
              <w:rPr/>
              <w:t> </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equipment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investing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employee stock purchase plan</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84" w:type="dxa"/>
            <w:tcBorders/>
            <w:shd w:fill="auto" w:val="clear"/>
            <w:vAlign w:val="bottom"/>
          </w:tcPr>
          <w:p>
            <w:pPr>
              <w:pStyle w:val="TableContents"/>
              <w:spacing w:before="0" w:after="283"/>
              <w:rPr/>
            </w:pPr>
            <w:r>
              <w:rPr/>
              <w:t> </w:t>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subordinated debt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Net borrowings (repayments) on revolving credit line and (repayments) of debt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(3,178</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(1,967</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 in cash</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84" w:type="dxa"/>
            <w:tcBorders/>
            <w:shd w:fill="auto"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8073" w:type="dxa"/>
            <w:tcBorders/>
            <w:shd w:fill="auto" w:val="clear"/>
            <w:vAlign w:val="center"/>
          </w:tcPr>
          <w:p>
            <w:pPr>
              <w:pStyle w:val="TableContents"/>
              <w:spacing w:before="0" w:after="283"/>
              <w:rPr>
                <w:sz w:val="4"/>
                <w:szCs w:val="4"/>
              </w:rPr>
            </w:pPr>
            <w:r>
              <w:rPr>
                <w:sz w:val="4"/>
                <w:szCs w:val="4"/>
              </w:rPr>
            </w:r>
          </w:p>
        </w:tc>
        <w:tc>
          <w:tcPr>
            <w:tcW w:w="1086" w:type="dxa"/>
            <w:gridSpan w:val="4"/>
            <w:tcBorders/>
            <w:shd w:fill="auto" w:val="clear"/>
            <w:vAlign w:val="center"/>
          </w:tcPr>
          <w:p>
            <w:pPr>
              <w:pStyle w:val="TableContents"/>
              <w:spacing w:before="0" w:after="283"/>
              <w:rPr>
                <w:sz w:val="4"/>
                <w:szCs w:val="4"/>
              </w:rPr>
            </w:pPr>
            <w:r>
              <w:rPr>
                <w:sz w:val="4"/>
                <w:szCs w:val="4"/>
              </w:rPr>
            </w:r>
          </w:p>
        </w:tc>
        <w:tc>
          <w:tcPr>
            <w:tcW w:w="1046" w:type="dxa"/>
            <w:gridSpan w:val="4"/>
            <w:tcBorders/>
            <w:shd w:fill="auto" w:val="clear"/>
            <w:vAlign w:val="center"/>
          </w:tcPr>
          <w:p>
            <w:pPr>
              <w:pStyle w:val="TableContents"/>
              <w:spacing w:before="0" w:after="283"/>
              <w:rPr>
                <w:sz w:val="4"/>
                <w:szCs w:val="4"/>
              </w:rPr>
            </w:pPr>
            <w:r>
              <w:rPr>
                <w:sz w:val="4"/>
                <w:szCs w:val="4"/>
              </w:rPr>
            </w:r>
          </w:p>
        </w:tc>
      </w:tr>
      <w:tr>
        <w:trPr/>
        <w:tc>
          <w:tcPr>
            <w:tcW w:w="807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rHeight w:val="120" w:hRule="atLeast"/>
        </w:trPr>
        <w:tc>
          <w:tcPr>
            <w:tcW w:w="8073" w:type="dxa"/>
            <w:tcBorders/>
            <w:shd w:fill="auto" w:val="clear"/>
            <w:vAlign w:val="center"/>
          </w:tcPr>
          <w:p>
            <w:pPr>
              <w:pStyle w:val="TableContents"/>
              <w:spacing w:before="0" w:after="283"/>
              <w:rPr>
                <w:sz w:val="4"/>
                <w:szCs w:val="4"/>
              </w:rPr>
            </w:pPr>
            <w:r>
              <w:rPr>
                <w:sz w:val="4"/>
                <w:szCs w:val="4"/>
              </w:rPr>
            </w:r>
          </w:p>
        </w:tc>
        <w:tc>
          <w:tcPr>
            <w:tcW w:w="1086" w:type="dxa"/>
            <w:gridSpan w:val="4"/>
            <w:tcBorders/>
            <w:shd w:fill="auto" w:val="clear"/>
            <w:vAlign w:val="center"/>
          </w:tcPr>
          <w:p>
            <w:pPr>
              <w:pStyle w:val="TableContents"/>
              <w:spacing w:before="0" w:after="283"/>
              <w:rPr>
                <w:sz w:val="4"/>
                <w:szCs w:val="4"/>
              </w:rPr>
            </w:pPr>
            <w:r>
              <w:rPr>
                <w:sz w:val="4"/>
                <w:szCs w:val="4"/>
              </w:rPr>
            </w:r>
          </w:p>
        </w:tc>
        <w:tc>
          <w:tcPr>
            <w:tcW w:w="1046" w:type="dxa"/>
            <w:gridSpan w:val="4"/>
            <w:tcBorders/>
            <w:shd w:fill="auto" w:val="clear"/>
            <w:vAlign w:val="center"/>
          </w:tcPr>
          <w:p>
            <w:pPr>
              <w:pStyle w:val="TableContents"/>
              <w:spacing w:before="0" w:after="283"/>
              <w:rPr>
                <w:sz w:val="4"/>
                <w:szCs w:val="4"/>
              </w:rPr>
            </w:pPr>
            <w:r>
              <w:rPr>
                <w:sz w:val="4"/>
                <w:szCs w:val="4"/>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(refunded) during the period for:</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8073"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906</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1,124</w:t>
            </w:r>
          </w:p>
        </w:tc>
        <w:tc>
          <w:tcPr>
            <w:tcW w:w="84" w:type="dxa"/>
            <w:tcBorders/>
            <w:shd w:fill="auto" w:val="clear"/>
            <w:vAlign w:val="bottom"/>
          </w:tcPr>
          <w:p>
            <w:pPr>
              <w:pStyle w:val="TableContents"/>
              <w:spacing w:before="0" w:after="283"/>
              <w:rPr/>
            </w:pPr>
            <w:r>
              <w:rPr/>
              <w:t> </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r>
        <w:trPr/>
        <w:tc>
          <w:tcPr>
            <w:tcW w:w="807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73"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6" w:name="tx96513_4"/>
      <w:bookmarkEnd w:id="6"/>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center"/>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of reporting for condensed consolidated financial statements.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September 30, 2004 and December 31, 2003 and the results of operations for the three-month and nine-month periods ended September 30, 2004 and 2003 and of cash flows for the nine-month periods ended September 30, 2004 and 2003. The results of operations for the three-month period and nine-month period ended September 30, 2004 are not necessarily indicative of the results to be expected for the full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our 2003 Annual Report on Form 10-K filed with the Securities and Exchange Commission, from which the accompanying December 31, 2003 financial information was derived.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2004 or 2003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2004 and 2003 as reported to the pro forma results, considering both options and warrants discussed in Note 11 in our 2003 Annual Report filed on Form 10-K, had we adopted the expense recognition provision of SFAS No. 123: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451"/>
        <w:gridCol w:w="350"/>
        <w:gridCol w:w="147"/>
        <w:gridCol w:w="398"/>
        <w:gridCol w:w="94"/>
        <w:gridCol w:w="307"/>
        <w:gridCol w:w="147"/>
        <w:gridCol w:w="400"/>
        <w:gridCol w:w="80"/>
        <w:gridCol w:w="299"/>
        <w:gridCol w:w="125"/>
        <w:gridCol w:w="397"/>
        <w:gridCol w:w="80"/>
        <w:gridCol w:w="299"/>
        <w:gridCol w:w="125"/>
        <w:gridCol w:w="398"/>
        <w:gridCol w:w="87"/>
      </w:tblGrid>
      <w:tr>
        <w:trPr/>
        <w:tc>
          <w:tcPr>
            <w:tcW w:w="545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r>
      <w:tr>
        <w:trPr/>
        <w:tc>
          <w:tcPr>
            <w:tcW w:w="545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9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2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r>
          </w:p>
          <w:p>
            <w:pPr>
              <w:pStyle w:val="TableContents"/>
              <w:spacing w:before="0" w:after="0"/>
              <w:jc w:val="center"/>
              <w:rPr>
                <w:rFonts w:ascii="Times New Roman" w:hAnsi="Times New Roman"/>
                <w:b/>
                <w:sz w:val="14"/>
              </w:rPr>
            </w:pPr>
            <w:r>
              <w:rPr>
                <w:rFonts w:ascii="Times New Roman" w:hAnsi="Times New Roman"/>
                <w:b/>
                <w:sz w:val="14"/>
              </w:rPr>
              <w:t>September 30,</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54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9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54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5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52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as reported</w:t>
            </w:r>
          </w:p>
        </w:tc>
        <w:tc>
          <w:tcPr>
            <w:tcW w:w="35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9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80"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1"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35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9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94" w:type="dxa"/>
            <w:tcBorders/>
            <w:shd w:fill="auto" w:val="clear"/>
            <w:vAlign w:val="bottom"/>
          </w:tcPr>
          <w:p>
            <w:pPr>
              <w:pStyle w:val="HorizontalLine"/>
              <w:pBdr>
                <w:bottom w:val="single" w:sz="6" w:space="0" w:color="FFFFFF"/>
              </w:pBdr>
              <w:spacing w:before="0" w:after="283"/>
              <w:rPr/>
            </w:pPr>
            <w:r>
              <w:rPr/>
            </w:r>
          </w:p>
        </w:tc>
        <w:tc>
          <w:tcPr>
            <w:tcW w:w="3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40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5451"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income (loss) under SFAS No. 123</w:t>
            </w:r>
          </w:p>
        </w:tc>
        <w:tc>
          <w:tcPr>
            <w:tcW w:w="35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w:t>
            </w:r>
          </w:p>
        </w:tc>
        <w:tc>
          <w:tcPr>
            <w:tcW w:w="9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80"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94" w:type="dxa"/>
            <w:tcBorders/>
            <w:shd w:fill="auto" w:val="clear"/>
            <w:vAlign w:val="bottom"/>
          </w:tcPr>
          <w:p>
            <w:pPr>
              <w:pStyle w:val="HorizontalLine"/>
              <w:pBdr>
                <w:bottom w:val="single" w:sz="18" w:space="0" w:color="FFFFFF"/>
              </w:pBdr>
              <w:spacing w:before="0" w:after="283"/>
              <w:rPr/>
            </w:pPr>
            <w:r>
              <w:rPr/>
            </w:r>
          </w:p>
        </w:tc>
        <w:tc>
          <w:tcPr>
            <w:tcW w:w="3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40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97"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545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loss per share:</w:t>
            </w:r>
          </w:p>
        </w:tc>
        <w:tc>
          <w:tcPr>
            <w:tcW w:w="35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20"/>
              </w:rPr>
            </w:pPr>
            <w:r>
              <w:rPr>
                <w:rFonts w:ascii="Times New Roman" w:hAnsi="Times New Roman"/>
                <w:sz w:val="20"/>
              </w:rPr>
              <w:t>Basic as reported</w:t>
            </w:r>
          </w:p>
        </w:tc>
        <w:tc>
          <w:tcPr>
            <w:tcW w:w="35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9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1" w:type="dxa"/>
            <w:tcBorders/>
            <w:shd w:fill="CCEEFF" w:val="clear"/>
          </w:tcPr>
          <w:p>
            <w:pPr>
              <w:pStyle w:val="TableContents"/>
              <w:spacing w:before="0" w:after="283"/>
              <w:rPr>
                <w:rFonts w:ascii="Times New Roman" w:hAnsi="Times New Roman"/>
                <w:sz w:val="20"/>
              </w:rPr>
            </w:pPr>
            <w:r>
              <w:rPr>
                <w:rFonts w:ascii="Times New Roman" w:hAnsi="Times New Roman"/>
                <w:sz w:val="20"/>
              </w:rPr>
              <w:t>Basic pro forma under SFAS No. 123</w:t>
            </w:r>
          </w:p>
        </w:tc>
        <w:tc>
          <w:tcPr>
            <w:tcW w:w="35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9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1" w:type="dxa"/>
            <w:tcBorders/>
            <w:shd w:fill="auto" w:val="clear"/>
          </w:tcPr>
          <w:p>
            <w:pPr>
              <w:pStyle w:val="TableContents"/>
              <w:spacing w:before="0" w:after="283"/>
              <w:rPr>
                <w:rFonts w:ascii="Times New Roman" w:hAnsi="Times New Roman"/>
                <w:sz w:val="20"/>
              </w:rPr>
            </w:pPr>
            <w:r>
              <w:rPr>
                <w:rFonts w:ascii="Times New Roman" w:hAnsi="Times New Roman"/>
                <w:sz w:val="20"/>
              </w:rPr>
              <w:t>Diluted as reported</w:t>
            </w:r>
          </w:p>
        </w:tc>
        <w:tc>
          <w:tcPr>
            <w:tcW w:w="35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9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1"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pro forma under SFAS No. 123</w:t>
            </w:r>
          </w:p>
        </w:tc>
        <w:tc>
          <w:tcPr>
            <w:tcW w:w="35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9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New Accounting Standards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the FASB issued Statement No. 148, Accounting for Stock-Based Compensation - Transition and Disclosure which we adopted in 2003. The Statement provides alternative methods of transition for a voluntary change to the fair value method of accounting for stock options. We did not make any voluntary changes to our method of accounting for stock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an enterprise obtains an interest in after that date. The adoption of this interpretation on January 1, 2004 did not affect our financial condition or results of operations, as we do not have any variable interest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FASBs Emerging Issues Task Force (EITF) reached a consensus on EITF Issue No. 00-21, Revenue Arrangements with Multiple Deliverables. EITF No. 00-21 provides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our fiscal 2004). The adoption of this interpretation on January 1, 2004 did not affect our financial condition or results of operations, as we do not have any revenue arrangements with multiple deliverables.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132-R for our December 31, 2003 financial statements, as well as disclosure requirements for various elements of pension and postretirement benefit costs in interim period financial statements beginning with our first quarter ended March 31,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Inventories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6205"/>
        <w:gridCol w:w="650"/>
        <w:gridCol w:w="173"/>
        <w:gridCol w:w="682"/>
        <w:gridCol w:w="650"/>
        <w:gridCol w:w="163"/>
        <w:gridCol w:w="661"/>
      </w:tblGrid>
      <w:tr>
        <w:trPr/>
        <w:tc>
          <w:tcPr>
            <w:tcW w:w="620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r>
      <w:tr>
        <w:trPr/>
        <w:tc>
          <w:tcPr>
            <w:tcW w:w="620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85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br/>
              <w:t>2004</w:t>
            </w:r>
          </w:p>
          <w:p>
            <w:pPr>
              <w:pStyle w:val="HorizontalLine"/>
              <w:pBdr>
                <w:bottom w:val="single" w:sz="6" w:space="0" w:color="000000"/>
              </w:pBdr>
              <w:spacing w:before="0" w:after="283"/>
              <w:rPr/>
            </w:pPr>
            <w:r>
              <w:rPr/>
            </w:r>
          </w:p>
        </w:tc>
        <w:tc>
          <w:tcPr>
            <w:tcW w:w="650"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2003</w:t>
            </w:r>
          </w:p>
          <w:p>
            <w:pPr>
              <w:pStyle w:val="HorizontalLine"/>
              <w:pBdr>
                <w:bottom w:val="single" w:sz="6" w:space="0" w:color="000000"/>
              </w:pBdr>
              <w:spacing w:before="0" w:after="283"/>
              <w:rPr/>
            </w:pPr>
            <w:r>
              <w:rPr/>
            </w:r>
          </w:p>
        </w:tc>
      </w:tr>
      <w:tr>
        <w:trPr/>
        <w:tc>
          <w:tcPr>
            <w:tcW w:w="6205"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1,204</w:t>
            </w:r>
          </w:p>
        </w:tc>
        <w:tc>
          <w:tcPr>
            <w:tcW w:w="65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r>
      <w:tr>
        <w:trPr/>
        <w:tc>
          <w:tcPr>
            <w:tcW w:w="6205"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65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r>
      <w:tr>
        <w:trPr/>
        <w:tc>
          <w:tcPr>
            <w:tcW w:w="6205"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629</w:t>
            </w:r>
          </w:p>
        </w:tc>
        <w:tc>
          <w:tcPr>
            <w:tcW w:w="65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r>
      <w:tr>
        <w:trPr/>
        <w:tc>
          <w:tcPr>
            <w:tcW w:w="620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6" w:space="0" w:color="000000"/>
              </w:pBdr>
              <w:spacing w:before="0" w:after="283"/>
              <w:rPr/>
            </w:pPr>
            <w:r>
              <w:rPr/>
            </w:r>
          </w:p>
        </w:tc>
        <w:tc>
          <w:tcPr>
            <w:tcW w:w="682"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661" w:type="dxa"/>
            <w:tcBorders/>
            <w:shd w:fill="auto" w:val="clear"/>
            <w:vAlign w:val="bottom"/>
          </w:tcPr>
          <w:p>
            <w:pPr>
              <w:pStyle w:val="HorizontalLine"/>
              <w:pBdr>
                <w:bottom w:val="single" w:sz="6" w:space="0" w:color="000000"/>
              </w:pBdr>
              <w:spacing w:before="0" w:after="283"/>
              <w:rPr/>
            </w:pPr>
            <w:r>
              <w:rPr/>
            </w:r>
          </w:p>
        </w:tc>
      </w:tr>
      <w:tr>
        <w:trPr/>
        <w:tc>
          <w:tcPr>
            <w:tcW w:w="6205" w:type="dxa"/>
            <w:tcBorders/>
            <w:shd w:fill="CCEEFF" w:val="clear"/>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2,025</w:t>
            </w:r>
          </w:p>
        </w:tc>
        <w:tc>
          <w:tcPr>
            <w:tcW w:w="65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1,575</w:t>
            </w:r>
          </w:p>
        </w:tc>
      </w:tr>
      <w:tr>
        <w:trPr/>
        <w:tc>
          <w:tcPr>
            <w:tcW w:w="620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18" w:space="0" w:color="000000"/>
              </w:pBdr>
              <w:spacing w:before="0" w:after="283"/>
              <w:rPr/>
            </w:pPr>
            <w:r>
              <w:rPr/>
            </w:r>
          </w:p>
        </w:tc>
        <w:tc>
          <w:tcPr>
            <w:tcW w:w="682" w:type="dxa"/>
            <w:tcBorders/>
            <w:shd w:fill="auto" w:val="clear"/>
            <w:vAlign w:val="bottom"/>
          </w:tcPr>
          <w:p>
            <w:pPr>
              <w:pStyle w:val="HorizontalLine"/>
              <w:pBdr>
                <w:bottom w:val="single" w:sz="18" w:space="0" w:color="000000"/>
              </w:pBdr>
              <w:spacing w:before="0" w:after="283"/>
              <w:rPr/>
            </w:pPr>
            <w:r>
              <w:rPr/>
            </w:r>
          </w:p>
        </w:tc>
        <w:tc>
          <w:tcPr>
            <w:tcW w:w="650"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661"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Goodwill and Intangible Assets </w:t>
            </w:r>
          </w:p>
        </w:tc>
      </w:tr>
    </w:tbl>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6115"/>
        <w:gridCol w:w="650"/>
        <w:gridCol w:w="173"/>
        <w:gridCol w:w="672"/>
        <w:gridCol w:w="80"/>
        <w:gridCol w:w="603"/>
        <w:gridCol w:w="163"/>
        <w:gridCol w:w="644"/>
        <w:gridCol w:w="84"/>
      </w:tblGrid>
      <w:tr>
        <w:trPr/>
        <w:tc>
          <w:tcPr>
            <w:tcW w:w="611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11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84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b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pPr>
            <w:r>
              <w:rPr/>
              <w:t> </w:t>
            </w:r>
          </w:p>
        </w:tc>
        <w:tc>
          <w:tcPr>
            <w:tcW w:w="80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2003</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6115"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4" w:type="dxa"/>
            <w:tcBorders/>
            <w:shd w:fill="CCEEFF" w:val="clear"/>
            <w:vAlign w:val="bottom"/>
          </w:tcPr>
          <w:p>
            <w:pPr>
              <w:pStyle w:val="TableContents"/>
              <w:spacing w:before="0" w:after="283"/>
              <w:rPr/>
            </w:pPr>
            <w:r>
              <w:rPr/>
              <w:t> </w:t>
            </w:r>
          </w:p>
        </w:tc>
      </w:tr>
      <w:tr>
        <w:trPr/>
        <w:tc>
          <w:tcPr>
            <w:tcW w:w="611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18" w:space="0" w:color="000000"/>
              </w:pBdr>
              <w:spacing w:before="0" w:after="283"/>
              <w:rPr/>
            </w:pPr>
            <w:r>
              <w:rPr/>
            </w:r>
          </w:p>
        </w:tc>
        <w:tc>
          <w:tcPr>
            <w:tcW w:w="67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64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r>
        <w:trPr/>
        <w:tc>
          <w:tcPr>
            <w:tcW w:w="6115"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finite life</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80"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84" w:type="dxa"/>
            <w:tcBorders/>
            <w:shd w:fill="CCEEFF" w:val="clear"/>
            <w:vAlign w:val="bottom"/>
          </w:tcPr>
          <w:p>
            <w:pPr>
              <w:pStyle w:val="TableContents"/>
              <w:spacing w:before="0" w:after="283"/>
              <w:rPr/>
            </w:pPr>
            <w:r>
              <w:rPr/>
              <w:t> </w:t>
            </w:r>
          </w:p>
        </w:tc>
      </w:tr>
      <w:tr>
        <w:trPr/>
        <w:tc>
          <w:tcPr>
            <w:tcW w:w="6115"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amortization</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1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6" w:space="0" w:color="000000"/>
              </w:pBdr>
              <w:spacing w:before="0" w:after="283"/>
              <w:rPr/>
            </w:pPr>
            <w:r>
              <w:rPr/>
            </w:r>
          </w:p>
        </w:tc>
        <w:tc>
          <w:tcPr>
            <w:tcW w:w="67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64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6115" w:type="dxa"/>
            <w:tcBorders/>
            <w:shd w:fill="CCEEFF" w:val="clear"/>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w:t>
            </w:r>
          </w:p>
        </w:tc>
        <w:tc>
          <w:tcPr>
            <w:tcW w:w="80"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84" w:type="dxa"/>
            <w:tcBorders/>
            <w:shd w:fill="CCEEFF" w:val="clear"/>
            <w:vAlign w:val="bottom"/>
          </w:tcPr>
          <w:p>
            <w:pPr>
              <w:pStyle w:val="TableContents"/>
              <w:spacing w:before="0" w:after="283"/>
              <w:rPr/>
            </w:pPr>
            <w:r>
              <w:rPr/>
              <w:t> </w:t>
            </w:r>
          </w:p>
        </w:tc>
      </w:tr>
      <w:tr>
        <w:trPr/>
        <w:tc>
          <w:tcPr>
            <w:tcW w:w="611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18" w:space="0" w:color="000000"/>
              </w:pBdr>
              <w:spacing w:before="0" w:after="283"/>
              <w:rPr/>
            </w:pPr>
            <w:r>
              <w:rPr/>
            </w:r>
          </w:p>
        </w:tc>
        <w:tc>
          <w:tcPr>
            <w:tcW w:w="67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64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r>
        <w:trPr/>
        <w:tc>
          <w:tcPr>
            <w:tcW w:w="6115"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indefinite life</w:t>
            </w:r>
          </w:p>
        </w:tc>
        <w:tc>
          <w:tcPr>
            <w:tcW w:w="65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4" w:type="dxa"/>
            <w:tcBorders/>
            <w:shd w:fill="CCEEFF" w:val="clear"/>
            <w:vAlign w:val="bottom"/>
          </w:tcPr>
          <w:p>
            <w:pPr>
              <w:pStyle w:val="TableContents"/>
              <w:spacing w:before="0" w:after="283"/>
              <w:rPr/>
            </w:pPr>
            <w:r>
              <w:rPr/>
              <w:t> </w:t>
            </w:r>
          </w:p>
        </w:tc>
      </w:tr>
      <w:tr>
        <w:trPr/>
        <w:tc>
          <w:tcPr>
            <w:tcW w:w="611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18" w:space="0" w:color="000000"/>
              </w:pBdr>
              <w:spacing w:before="0" w:after="283"/>
              <w:rPr/>
            </w:pPr>
            <w:r>
              <w:rPr/>
            </w:r>
          </w:p>
        </w:tc>
        <w:tc>
          <w:tcPr>
            <w:tcW w:w="67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64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Amortization expense was $20 for the third quarters of 2004 and 2003, and $60 and $59 for the first nine months of 2004 and 2003, respectively. Amortization of finite life intangible assets over the next five years is $79 for 2005, $78 in 2006 and 2007, and $77 in 2008 and 2009.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Business Segment Information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Earnings Per Share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reconciles basic weighted average shares outstanding to diluted weighted average shares outstanding for the three months ended September 30, 2004 and 2003. There were no adjustments to net income for the basic or diluted earnings per share (EPS) computations.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6856"/>
        <w:gridCol w:w="195"/>
        <w:gridCol w:w="967"/>
        <w:gridCol w:w="195"/>
        <w:gridCol w:w="971"/>
      </w:tblGrid>
      <w:tr>
        <w:trPr/>
        <w:tc>
          <w:tcPr>
            <w:tcW w:w="68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68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133"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r>
      <w:tr>
        <w:trPr/>
        <w:tc>
          <w:tcPr>
            <w:tcW w:w="68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95" w:type="dxa"/>
            <w:tcBorders/>
            <w:shd w:fill="auto" w:val="clear"/>
            <w:vAlign w:val="bottom"/>
          </w:tcPr>
          <w:p>
            <w:pPr>
              <w:pStyle w:val="TableContents"/>
              <w:spacing w:before="0" w:after="283"/>
              <w:rPr/>
            </w:pPr>
            <w:r>
              <w:rPr/>
              <w:t>  </w:t>
            </w:r>
          </w:p>
        </w:tc>
        <w:tc>
          <w:tcPr>
            <w:tcW w:w="97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r>
      <w:tr>
        <w:trPr/>
        <w:tc>
          <w:tcPr>
            <w:tcW w:w="6856" w:type="dxa"/>
            <w:tcBorders/>
            <w:shd w:fill="CCEEFF" w:val="clear"/>
          </w:tcPr>
          <w:p>
            <w:pPr>
              <w:pStyle w:val="TableContents"/>
              <w:spacing w:before="0" w:after="283"/>
              <w:rPr>
                <w:rFonts w:ascii="Times New Roman" w:hAnsi="Times New Roman"/>
                <w:sz w:val="20"/>
              </w:rPr>
            </w:pPr>
            <w:r>
              <w:rPr>
                <w:rFonts w:ascii="Times New Roman" w:hAnsi="Times New Roman"/>
                <w:sz w:val="20"/>
              </w:rPr>
              <w:t>Basic weighted average number of common shares outstanding</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9,991,678</w:t>
            </w:r>
          </w:p>
        </w:tc>
        <w:tc>
          <w:tcPr>
            <w:tcW w:w="195" w:type="dxa"/>
            <w:tcBorders/>
            <w:shd w:fill="CCEEFF" w:val="clear"/>
            <w:vAlign w:val="bottom"/>
          </w:tcPr>
          <w:p>
            <w:pPr>
              <w:pStyle w:val="TableContents"/>
              <w:spacing w:before="0" w:after="283"/>
              <w:rPr/>
            </w:pPr>
            <w:r>
              <w:rPr/>
              <w:t>  </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9,978,835</w:t>
            </w:r>
          </w:p>
        </w:tc>
      </w:tr>
      <w:tr>
        <w:trPr/>
        <w:tc>
          <w:tcPr>
            <w:tcW w:w="6856"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dilutive securities</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23,859</w:t>
            </w:r>
          </w:p>
        </w:tc>
        <w:tc>
          <w:tcPr>
            <w:tcW w:w="195" w:type="dxa"/>
            <w:tcBorders/>
            <w:shd w:fill="auto" w:val="clear"/>
            <w:vAlign w:val="bottom"/>
          </w:tcPr>
          <w:p>
            <w:pPr>
              <w:pStyle w:val="TableContents"/>
              <w:spacing w:before="0" w:after="283"/>
              <w:rPr/>
            </w:pPr>
            <w:r>
              <w:rPr/>
              <w:t>  </w:t>
            </w:r>
          </w:p>
        </w:tc>
        <w:tc>
          <w:tcPr>
            <w:tcW w:w="9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42,906</w:t>
            </w:r>
          </w:p>
        </w:tc>
      </w:tr>
      <w:tr>
        <w:trPr/>
        <w:tc>
          <w:tcPr>
            <w:tcW w:w="68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HorizontalLine"/>
              <w:pBdr>
                <w:bottom w:val="single" w:sz="6" w:space="0" w:color="000000"/>
              </w:pBdr>
              <w:spacing w:before="0" w:after="283"/>
              <w:rPr/>
            </w:pPr>
            <w:r>
              <w:rPr/>
            </w:r>
          </w:p>
        </w:tc>
        <w:tc>
          <w:tcPr>
            <w:tcW w:w="195" w:type="dxa"/>
            <w:tcBorders/>
            <w:shd w:fill="auto" w:val="clear"/>
            <w:vAlign w:val="bottom"/>
          </w:tcPr>
          <w:p>
            <w:pPr>
              <w:pStyle w:val="TableContents"/>
              <w:spacing w:before="0" w:after="283"/>
              <w:rPr/>
            </w:pPr>
            <w:r>
              <w:rPr/>
              <w:t>  </w:t>
            </w:r>
          </w:p>
        </w:tc>
        <w:tc>
          <w:tcPr>
            <w:tcW w:w="971" w:type="dxa"/>
            <w:tcBorders/>
            <w:shd w:fill="auto" w:val="clear"/>
            <w:vAlign w:val="bottom"/>
          </w:tcPr>
          <w:p>
            <w:pPr>
              <w:pStyle w:val="HorizontalLine"/>
              <w:pBdr>
                <w:bottom w:val="single" w:sz="6" w:space="0" w:color="000000"/>
              </w:pBdr>
              <w:spacing w:before="0" w:after="283"/>
              <w:rPr/>
            </w:pPr>
            <w:r>
              <w:rPr/>
            </w:r>
          </w:p>
        </w:tc>
      </w:tr>
      <w:tr>
        <w:trPr/>
        <w:tc>
          <w:tcPr>
            <w:tcW w:w="6856"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weighted average number of common shares outstanding</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10,015,537</w:t>
            </w:r>
          </w:p>
        </w:tc>
        <w:tc>
          <w:tcPr>
            <w:tcW w:w="195" w:type="dxa"/>
            <w:tcBorders/>
            <w:shd w:fill="CCEEFF" w:val="clear"/>
            <w:vAlign w:val="bottom"/>
          </w:tcPr>
          <w:p>
            <w:pPr>
              <w:pStyle w:val="TableContents"/>
              <w:spacing w:before="0" w:after="283"/>
              <w:rPr/>
            </w:pPr>
            <w:r>
              <w:rPr/>
              <w:t>  </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10,021,741</w:t>
            </w:r>
          </w:p>
        </w:tc>
      </w:tr>
      <w:tr>
        <w:trPr/>
        <w:tc>
          <w:tcPr>
            <w:tcW w:w="68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HorizontalLine"/>
              <w:pBdr>
                <w:bottom w:val="single" w:sz="18" w:space="0" w:color="000000"/>
              </w:pBdr>
              <w:spacing w:before="0" w:after="283"/>
              <w:rPr/>
            </w:pPr>
            <w:r>
              <w:rPr/>
            </w:r>
          </w:p>
        </w:tc>
        <w:tc>
          <w:tcPr>
            <w:tcW w:w="195" w:type="dxa"/>
            <w:tcBorders/>
            <w:shd w:fill="auto" w:val="clear"/>
            <w:vAlign w:val="bottom"/>
          </w:tcPr>
          <w:p>
            <w:pPr>
              <w:pStyle w:val="TableContents"/>
              <w:spacing w:before="0" w:after="283"/>
              <w:rPr/>
            </w:pPr>
            <w:r>
              <w:rPr/>
              <w:t>  </w:t>
            </w:r>
          </w:p>
        </w:tc>
        <w:tc>
          <w:tcPr>
            <w:tcW w:w="971"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nine months ended September 30, both basic and diluted weighted average common shares outstanding were 9,988,840 in 2004 and 9,808,574 in 2003. We consider outstanding options and warrants in computing diluted net loss per share only when they are dilutive. Options and warrants to purchase 3,503,700 and 3,446,000 shares for the nine-month periods ended September 30, 2004 and 2003, respectively, were not included in the computation of diluted earnings per share due to their having an anti-dilutive effect. Options and warrants to purchase 2,453,700 and 2,446,000 shares for the three-month periods ended September 30, 2004 and 2003, respectively, were not included in the computation of diluted earnings per share because their exercise prices were greater than the average market price of the common shares. There were no adjustments to net loss for the basic or diluted earnings per share computations.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Debt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was $10,408 at September 30, 2004 and $9,957 at December 31, 2003. Unused credit availability under our $8 million revolving line of credit at September 30, 2004 was $2,304.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November 2004, the revolving line of credit portion of the bank credit facility was amended by extending the termination date to January 2006. As a result, the amount outstanding under this line of $5,696 as of September 30, 2004 was reported as long-term debt in the accompanying balance sheet. In addition, the revolving line of credit was amended whereby the maximum amount available that could be borrowed under the line was increased by $2,000 to $10,000 as of November 2004 subject to the borrowing base formula contained in the credit agreement. No extinguishment loss was recognized as a result of this amendment. The amendment also waived minimum coverage requirements under several financial covenants as of September 30, 2004. The bank credit facility was also amended during August 2004 by extending the term loan to July 2005 and by waiving the leverage financial covenant as of June 30,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continuing to evaluate, in light of the current market conditions and company performance, our options and alternative financing. Our refinancing strategy for bank credit facility was to extend the maturities and increase our cash flow by lowering the scheduled principal amortization on term debt for our machinery, equipment and real estate, and reducing interest cost. We have extended the maturity on the term loan through July 2005 and the revolving line of credit to January 2006. While we have not yet lowered the scheduled amortization on term debt, we will continue to evaluate our options in this regard. However, there can be no assurance that we will be able to do so.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pursuing opportunities where we have been historically successful, we are evaluating new markets and exploring opportunities internationally. We have also identified and implemented various cost containment and reduction initiatives through better utilization of our manufacturing capacity, utilizing lower labor costs and making more efficient use of our central services and design/drafting staff. These efforts are expected to provide approximately $1.3 million in annualized savings, which began during the third quarter of 2004. We expect to be able to achieve these initiatives without disrupting services to current customers. We believe that the successful achievement of the refinancing and cost reduction initiatives should provide us with sufficient resources to meet our near term cash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opportunity to the potential purchaser to acquire the property until the end of November 2004 in exchange for which an escrow deposit of $100 was made. The escrow deposit reverted to us without any further obligation as of September 30, 2004 and was recognized in selling and administration expense as an offset to various costs incurred in connection with the proposed transaction.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 Benefit Plans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 Retirement and health care plan expense 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valuations performed by plan actuaries as of the beginning of each fiscal year. The components of the expense consisted of the following: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239"/>
        <w:gridCol w:w="401"/>
        <w:gridCol w:w="161"/>
        <w:gridCol w:w="380"/>
        <w:gridCol w:w="103"/>
        <w:gridCol w:w="364"/>
        <w:gridCol w:w="161"/>
        <w:gridCol w:w="382"/>
        <w:gridCol w:w="80"/>
        <w:gridCol w:w="349"/>
        <w:gridCol w:w="125"/>
        <w:gridCol w:w="399"/>
        <w:gridCol w:w="79"/>
        <w:gridCol w:w="349"/>
        <w:gridCol w:w="125"/>
        <w:gridCol w:w="399"/>
        <w:gridCol w:w="88"/>
      </w:tblGrid>
      <w:tr>
        <w:trPr/>
        <w:tc>
          <w:tcPr>
            <w:tcW w:w="523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5239"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51"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476"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88" w:type="dxa"/>
            <w:tcBorders/>
            <w:shd w:fill="auto" w:val="clear"/>
            <w:vAlign w:val="bottom"/>
          </w:tcPr>
          <w:p>
            <w:pPr>
              <w:pStyle w:val="TableContents"/>
              <w:spacing w:before="0" w:after="283"/>
              <w:rPr/>
            </w:pPr>
            <w:r>
              <w:rPr/>
              <w:t> </w:t>
            </w:r>
          </w:p>
        </w:tc>
      </w:tr>
      <w:tr>
        <w:trPr/>
        <w:tc>
          <w:tcPr>
            <w:tcW w:w="5239"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5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54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52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79"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52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8" w:type="dxa"/>
            <w:tcBorders/>
            <w:shd w:fill="auto" w:val="clear"/>
            <w:vAlign w:val="bottom"/>
          </w:tcPr>
          <w:p>
            <w:pPr>
              <w:pStyle w:val="TableContents"/>
              <w:spacing w:before="0" w:after="283"/>
              <w:rPr/>
            </w:pPr>
            <w:r>
              <w:rPr/>
              <w:t> </w:t>
            </w:r>
          </w:p>
        </w:tc>
      </w:tr>
      <w:tr>
        <w:trPr/>
        <w:tc>
          <w:tcPr>
            <w:tcW w:w="5239"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4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r>
      <w:tr>
        <w:trPr/>
        <w:tc>
          <w:tcPr>
            <w:tcW w:w="5239"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79"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88" w:type="dxa"/>
            <w:tcBorders/>
            <w:shd w:fill="auto" w:val="clear"/>
            <w:vAlign w:val="bottom"/>
          </w:tcPr>
          <w:p>
            <w:pPr>
              <w:pStyle w:val="TableContents"/>
              <w:spacing w:before="0" w:after="283"/>
              <w:rPr/>
            </w:pPr>
            <w:r>
              <w:rPr/>
              <w:t> </w:t>
            </w:r>
          </w:p>
        </w:tc>
      </w:tr>
      <w:tr>
        <w:trPr/>
        <w:tc>
          <w:tcPr>
            <w:tcW w:w="523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4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0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8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7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88" w:type="dxa"/>
            <w:tcBorders/>
            <w:shd w:fill="CCEEFF" w:val="clear"/>
            <w:vAlign w:val="bottom"/>
          </w:tcPr>
          <w:p>
            <w:pPr>
              <w:pStyle w:val="TableContents"/>
              <w:spacing w:before="0" w:after="283"/>
              <w:rPr/>
            </w:pPr>
            <w:r>
              <w:rPr/>
              <w:t> </w:t>
            </w:r>
          </w:p>
        </w:tc>
      </w:tr>
      <w:tr>
        <w:trPr/>
        <w:tc>
          <w:tcPr>
            <w:tcW w:w="5239"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39"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4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7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8" w:type="dxa"/>
            <w:tcBorders/>
            <w:shd w:fill="CCEEFF" w:val="clear"/>
            <w:vAlign w:val="bottom"/>
          </w:tcPr>
          <w:p>
            <w:pPr>
              <w:pStyle w:val="TableContents"/>
              <w:spacing w:before="0" w:after="283"/>
              <w:rPr/>
            </w:pPr>
            <w:r>
              <w:rPr/>
              <w:t> </w:t>
            </w:r>
          </w:p>
        </w:tc>
      </w:tr>
      <w:tr>
        <w:trPr/>
        <w:tc>
          <w:tcPr>
            <w:tcW w:w="5239"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(gain)/loss</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0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8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79"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88" w:type="dxa"/>
            <w:tcBorders/>
            <w:shd w:fill="auto" w:val="clear"/>
            <w:vAlign w:val="bottom"/>
          </w:tcPr>
          <w:p>
            <w:pPr>
              <w:pStyle w:val="TableContents"/>
              <w:spacing w:before="0" w:after="283"/>
              <w:rPr/>
            </w:pPr>
            <w:r>
              <w:rPr/>
              <w:t> </w:t>
            </w:r>
          </w:p>
        </w:tc>
      </w:tr>
      <w:tr>
        <w:trPr/>
        <w:tc>
          <w:tcPr>
            <w:tcW w:w="5239"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HorizontalLine"/>
              <w:pBdr>
                <w:bottom w:val="single" w:sz="6" w:space="0" w:color="FFFFFF"/>
              </w:pBdr>
              <w:spacing w:before="0" w:after="283"/>
              <w:rPr/>
            </w:pPr>
            <w:r>
              <w:rPr/>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38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99" w:type="dxa"/>
            <w:tcBorders/>
            <w:shd w:fill="auto" w:val="clear"/>
            <w:vAlign w:val="bottom"/>
          </w:tcPr>
          <w:p>
            <w:pPr>
              <w:pStyle w:val="HorizontalLine"/>
              <w:pBdr>
                <w:bottom w:val="single" w:sz="6" w:space="0" w:color="000000"/>
              </w:pBdr>
              <w:spacing w:before="0" w:after="283"/>
              <w:rPr/>
            </w:pPr>
            <w:r>
              <w:rPr/>
            </w:r>
          </w:p>
        </w:tc>
        <w:tc>
          <w:tcPr>
            <w:tcW w:w="79" w:type="dxa"/>
            <w:tcBorders/>
            <w:shd w:fill="auto" w:val="clear"/>
            <w:vAlign w:val="bottom"/>
          </w:tcPr>
          <w:p>
            <w:pPr>
              <w:pStyle w:val="HorizontalLine"/>
              <w:pBdr>
                <w:bottom w:val="single" w:sz="6"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99" w:type="dxa"/>
            <w:tcBorders/>
            <w:shd w:fill="auto" w:val="clear"/>
            <w:vAlign w:val="bottom"/>
          </w:tcPr>
          <w:p>
            <w:pPr>
              <w:pStyle w:val="HorizontalLine"/>
              <w:pBdr>
                <w:bottom w:val="single" w:sz="6" w:space="0" w:color="000000"/>
              </w:pBdr>
              <w:spacing w:before="0" w:after="283"/>
              <w:rPr/>
            </w:pPr>
            <w:r>
              <w:rPr/>
            </w:r>
          </w:p>
        </w:tc>
        <w:tc>
          <w:tcPr>
            <w:tcW w:w="88" w:type="dxa"/>
            <w:tcBorders/>
            <w:shd w:fill="auto" w:val="clear"/>
            <w:vAlign w:val="bottom"/>
          </w:tcPr>
          <w:p>
            <w:pPr>
              <w:pStyle w:val="HorizontalLine"/>
              <w:pBdr>
                <w:bottom w:val="single" w:sz="6" w:space="0" w:color="FFFFFF"/>
              </w:pBdr>
              <w:spacing w:before="0" w:after="283"/>
              <w:rPr/>
            </w:pPr>
            <w:r>
              <w:rPr/>
            </w:r>
          </w:p>
        </w:tc>
      </w:tr>
      <w:tr>
        <w:trPr/>
        <w:tc>
          <w:tcPr>
            <w:tcW w:w="5239"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4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0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8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7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88" w:type="dxa"/>
            <w:tcBorders/>
            <w:shd w:fill="CCEEFF" w:val="clear"/>
            <w:vAlign w:val="bottom"/>
          </w:tcPr>
          <w:p>
            <w:pPr>
              <w:pStyle w:val="TableContents"/>
              <w:spacing w:before="0" w:after="283"/>
              <w:rPr/>
            </w:pPr>
            <w:r>
              <w:rPr/>
              <w:t> </w:t>
            </w:r>
          </w:p>
        </w:tc>
      </w:tr>
      <w:tr>
        <w:trPr/>
        <w:tc>
          <w:tcPr>
            <w:tcW w:w="5239"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0"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HorizontalLine"/>
              <w:pBdr>
                <w:bottom w:val="single" w:sz="18" w:space="0" w:color="FFFFFF"/>
              </w:pBdr>
              <w:spacing w:before="0" w:after="283"/>
              <w:rPr/>
            </w:pPr>
            <w:r>
              <w:rPr/>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99"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99"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r>
        <w:trPr/>
        <w:tc>
          <w:tcPr>
            <w:tcW w:w="5239" w:type="dxa"/>
            <w:tcBorders/>
            <w:shd w:fill="CCEEFF"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4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r>
      <w:tr>
        <w:trPr/>
        <w:tc>
          <w:tcPr>
            <w:tcW w:w="5239"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0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8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79"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88" w:type="dxa"/>
            <w:tcBorders/>
            <w:shd w:fill="auto" w:val="clear"/>
            <w:vAlign w:val="bottom"/>
          </w:tcPr>
          <w:p>
            <w:pPr>
              <w:pStyle w:val="TableContents"/>
              <w:spacing w:before="0" w:after="283"/>
              <w:rPr/>
            </w:pPr>
            <w:r>
              <w:rPr/>
              <w:t> </w:t>
            </w:r>
          </w:p>
        </w:tc>
      </w:tr>
      <w:tr>
        <w:trPr/>
        <w:tc>
          <w:tcPr>
            <w:tcW w:w="5239"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0"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HorizontalLine"/>
              <w:pBdr>
                <w:bottom w:val="single" w:sz="18" w:space="0" w:color="FFFFFF"/>
              </w:pBdr>
              <w:spacing w:before="0" w:after="283"/>
              <w:rPr/>
            </w:pPr>
            <w:r>
              <w:rPr/>
            </w:r>
          </w:p>
        </w:tc>
        <w:tc>
          <w:tcPr>
            <w:tcW w:w="364"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99" w:type="dxa"/>
            <w:tcBorders/>
            <w:shd w:fill="auto" w:val="clear"/>
            <w:vAlign w:val="bottom"/>
          </w:tcPr>
          <w:p>
            <w:pPr>
              <w:pStyle w:val="HorizontalLine"/>
              <w:pBdr>
                <w:bottom w:val="single" w:sz="18" w:space="0" w:color="000000"/>
              </w:pBdr>
              <w:spacing w:before="0" w:after="283"/>
              <w:rPr/>
            </w:pPr>
            <w:r>
              <w:rPr/>
            </w:r>
          </w:p>
        </w:tc>
        <w:tc>
          <w:tcPr>
            <w:tcW w:w="79" w:type="dxa"/>
            <w:tcBorders/>
            <w:shd w:fill="auto" w:val="clear"/>
            <w:vAlign w:val="bottom"/>
          </w:tcPr>
          <w:p>
            <w:pPr>
              <w:pStyle w:val="HorizontalLine"/>
              <w:pBdr>
                <w:bottom w:val="single" w:sz="18"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99"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Accumulated other comprehensive loss of $894 at September 30, 2004 and December 31, 2003 results from recording minimum pension liability net of intangible asset and deferred tax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previously disclosed in our financial statements for the year ended December 31, 2003 that we expected to make $854 in contributions to the Pension Plan during the year ending December 31, 2004. As of September 30, 2004, $522 has been contributed to the Pension Plan and we anticipate making an additional $58 during the remainder of Fiscal Year 2004 for a revised total of $580. Legislation enacted in 2004 resulted in our total contribution for the year being less than we previously anticipated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7" w:name="tx96513_5"/>
      <w:bookmarkEnd w:id="7"/>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Critical Accounting Policies are discussed in Item 7. Managements Discussion and Analysis of Financial Condition and Results of Operations to our Annual Report on Form 10-K for the year ended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condensed consolidated statements of operations for the three-month and nine-month periods ended September 30, 2004 and 2003 reflect our operations consolidated with the operations of our subsidiaries.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268"/>
        <w:gridCol w:w="326"/>
        <w:gridCol w:w="125"/>
        <w:gridCol w:w="380"/>
        <w:gridCol w:w="185"/>
        <w:gridCol w:w="275"/>
        <w:gridCol w:w="125"/>
        <w:gridCol w:w="380"/>
        <w:gridCol w:w="185"/>
        <w:gridCol w:w="275"/>
        <w:gridCol w:w="125"/>
        <w:gridCol w:w="380"/>
        <w:gridCol w:w="185"/>
        <w:gridCol w:w="275"/>
        <w:gridCol w:w="125"/>
        <w:gridCol w:w="380"/>
        <w:gridCol w:w="190"/>
      </w:tblGrid>
      <w:tr>
        <w:trPr/>
        <w:tc>
          <w:tcPr>
            <w:tcW w:w="52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70"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70"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190" w:type="dxa"/>
            <w:tcBorders/>
            <w:shd w:fill="auto"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 in millions)</w:t>
            </w:r>
          </w:p>
          <w:p>
            <w:pPr>
              <w:pStyle w:val="TableContents"/>
              <w:spacing w:before="0" w:after="15"/>
              <w:rPr/>
            </w:pPr>
            <w:r>
              <w:rPr/>
              <w:t> </w:t>
            </w:r>
          </w:p>
        </w:tc>
        <w:tc>
          <w:tcPr>
            <w:tcW w:w="326"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90"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90"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w:t>
            </w:r>
          </w:p>
        </w:tc>
        <w:tc>
          <w:tcPr>
            <w:tcW w:w="18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190" w:type="dxa"/>
            <w:tcBorders/>
            <w:shd w:fill="auto"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90"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1016" w:type="dxa"/>
            <w:gridSpan w:val="4"/>
            <w:tcBorders/>
            <w:shd w:fill="auto" w:val="clear"/>
            <w:vAlign w:val="center"/>
          </w:tcPr>
          <w:p>
            <w:pPr>
              <w:pStyle w:val="TableContents"/>
              <w:spacing w:before="0" w:after="283"/>
              <w:rPr>
                <w:sz w:val="4"/>
                <w:szCs w:val="4"/>
              </w:rPr>
            </w:pPr>
            <w:r>
              <w:rPr>
                <w:sz w:val="4"/>
                <w:szCs w:val="4"/>
              </w:rPr>
            </w:r>
          </w:p>
        </w:tc>
        <w:tc>
          <w:tcPr>
            <w:tcW w:w="965" w:type="dxa"/>
            <w:gridSpan w:val="4"/>
            <w:tcBorders/>
            <w:shd w:fill="auto" w:val="clear"/>
            <w:vAlign w:val="center"/>
          </w:tcPr>
          <w:p>
            <w:pPr>
              <w:pStyle w:val="TableContents"/>
              <w:spacing w:before="0" w:after="283"/>
              <w:rPr>
                <w:sz w:val="4"/>
                <w:szCs w:val="4"/>
              </w:rPr>
            </w:pPr>
            <w:r>
              <w:rPr>
                <w:sz w:val="4"/>
                <w:szCs w:val="4"/>
              </w:rPr>
            </w:r>
          </w:p>
        </w:tc>
        <w:tc>
          <w:tcPr>
            <w:tcW w:w="965" w:type="dxa"/>
            <w:gridSpan w:val="4"/>
            <w:tcBorders/>
            <w:shd w:fill="auto" w:val="clear"/>
            <w:vAlign w:val="center"/>
          </w:tcPr>
          <w:p>
            <w:pPr>
              <w:pStyle w:val="TableContents"/>
              <w:spacing w:before="0" w:after="283"/>
              <w:rPr>
                <w:sz w:val="4"/>
                <w:szCs w:val="4"/>
              </w:rPr>
            </w:pPr>
            <w:r>
              <w:rPr>
                <w:sz w:val="4"/>
                <w:szCs w:val="4"/>
              </w:rPr>
            </w:r>
          </w:p>
        </w:tc>
        <w:tc>
          <w:tcPr>
            <w:tcW w:w="970" w:type="dxa"/>
            <w:gridSpan w:val="4"/>
            <w:tcBorders/>
            <w:shd w:fill="auto" w:val="clear"/>
            <w:vAlign w:val="center"/>
          </w:tcPr>
          <w:p>
            <w:pPr>
              <w:pStyle w:val="TableContents"/>
              <w:spacing w:before="0" w:after="283"/>
              <w:rPr>
                <w:sz w:val="4"/>
                <w:szCs w:val="4"/>
              </w:rPr>
            </w:pPr>
            <w:r>
              <w:rPr>
                <w:sz w:val="4"/>
                <w:szCs w:val="4"/>
              </w:rPr>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90"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1016" w:type="dxa"/>
            <w:gridSpan w:val="4"/>
            <w:tcBorders/>
            <w:shd w:fill="auto" w:val="clear"/>
            <w:vAlign w:val="center"/>
          </w:tcPr>
          <w:p>
            <w:pPr>
              <w:pStyle w:val="TableContents"/>
              <w:spacing w:before="0" w:after="283"/>
              <w:rPr>
                <w:sz w:val="4"/>
                <w:szCs w:val="4"/>
              </w:rPr>
            </w:pPr>
            <w:r>
              <w:rPr>
                <w:sz w:val="4"/>
                <w:szCs w:val="4"/>
              </w:rPr>
            </w:r>
          </w:p>
        </w:tc>
        <w:tc>
          <w:tcPr>
            <w:tcW w:w="965" w:type="dxa"/>
            <w:gridSpan w:val="4"/>
            <w:tcBorders/>
            <w:shd w:fill="auto" w:val="clear"/>
            <w:vAlign w:val="center"/>
          </w:tcPr>
          <w:p>
            <w:pPr>
              <w:pStyle w:val="TableContents"/>
              <w:spacing w:before="0" w:after="283"/>
              <w:rPr>
                <w:sz w:val="4"/>
                <w:szCs w:val="4"/>
              </w:rPr>
            </w:pPr>
            <w:r>
              <w:rPr>
                <w:sz w:val="4"/>
                <w:szCs w:val="4"/>
              </w:rPr>
            </w:r>
          </w:p>
        </w:tc>
        <w:tc>
          <w:tcPr>
            <w:tcW w:w="965" w:type="dxa"/>
            <w:gridSpan w:val="4"/>
            <w:tcBorders/>
            <w:shd w:fill="auto" w:val="clear"/>
            <w:vAlign w:val="center"/>
          </w:tcPr>
          <w:p>
            <w:pPr>
              <w:pStyle w:val="TableContents"/>
              <w:spacing w:before="0" w:after="283"/>
              <w:rPr>
                <w:sz w:val="4"/>
                <w:szCs w:val="4"/>
              </w:rPr>
            </w:pPr>
            <w:r>
              <w:rPr>
                <w:sz w:val="4"/>
                <w:szCs w:val="4"/>
              </w:rPr>
            </w:r>
          </w:p>
        </w:tc>
        <w:tc>
          <w:tcPr>
            <w:tcW w:w="970" w:type="dxa"/>
            <w:gridSpan w:val="4"/>
            <w:tcBorders/>
            <w:shd w:fill="auto" w:val="clear"/>
            <w:vAlign w:val="center"/>
          </w:tcPr>
          <w:p>
            <w:pPr>
              <w:pStyle w:val="TableContents"/>
              <w:spacing w:before="0" w:after="283"/>
              <w:rPr>
                <w:sz w:val="4"/>
                <w:szCs w:val="4"/>
              </w:rPr>
            </w:pPr>
            <w:r>
              <w:rPr>
                <w:sz w:val="4"/>
                <w:szCs w:val="4"/>
              </w:rPr>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(loss) income</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90"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for the third quarter were $18,378,000, an increase of $1,339,000 compared to the same quarter in 2003. Consolidated net sales for the first nine months of 2004 were $47,530,000, a decrease of $2,464,000, compared to the same period in 2003. For the quarter, we reported sales increases from our component parts and duct product lines as well as higher construction revenue (principally from automotive and steel related projects which began in 2004) offset by lower Busch revenue. Nine-month revenue declined due to lower construction revenue during the first half and lower Busch revenue offset by increased sales of our component parts and duct product lines. The completion of two steel rolling mill projects in 2003 was the primary reason for lower revenue from Busch.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Bookings during the third quarter of 2004 and for the first nine months of 2004 increased substantially as third quarter orders were $26,884,000, a $10,400,000 or 63% increase over the same period in 2003, while nine month orders totaled $57,785,000, a 21% increase over the comparable period in 2003. Orders booked for large projects during the quarter covered a diverse industry group (including automotive, ethanol, foundry and steel). A significant portion of the project revenue should be recognized in the fourth quarter of 2004. Smaller orders booked during the quarter and nine-months continued to be strong relative to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Third quarter 2004 gross profit was $3,343,000 (18.2%). This compares to gross profit of $3,496,000 (20.5%) during the same period in 2003. Gross margin was lower by 2.3 percentage points principally due to decreased construction margins slightly offset by reduced factory overhead spending. Gross profit was $9,282,000 for the first nine months of 2004, a decrease of $445,000 compared to the same period in 2003. Gross margin held firm for the first nine months of 2004 and 2003 at 19.5% as reduced overhead spending was offset by slightly lower pricing due to competitive market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increased by $30,000 or 1.2% to $2,473,000 during the third quarter of 2004 from $2,443,000 in the same period of 2003. Selling and administrative expenses increased by $302,000 or 4.0% to $7,833,000 during the first nine months of 2004 from $7,531,000 in the same period of 2003. Cost reduction initiatives in 2003 were offset by increased healthcare and compensation costs in the third quarter and first nine months of 2004. In light of the current level of revenue, during 2004, we implemented additional cost reduction initiatives, which are expected to provide annualized savings of $1.3 million, beginning in the third quarter of 2004. As discussed in our Overview of Cash Flows and Liquidity section, a $100,000 escrow deposit reverted to us without any further obligation as of September 30, 2004 and was recognized in selling and administration expense as an offset to various costs incurred in connection with the proposed transaction.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increased by $32,000 to $424,000 during the third quarter of 2004 from $392,000 in the same period of 2003. Depreciation and amortization increased by $65,000 to $1,256,000 in the first nine months of 2004 from $1,191,000 in the same period of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was $19,000 in the third quarter of 2004 compared to $17,000 in the third quarter of 2003. Other income for the first nine months of 2004 was $55,000 compared to $239,000 during the same period in 2003. The other income during 2004 is the amortization of the deferred gain recognized from the sale and leaseback of our Conshohocken, Pennsylvania property. The other income during 2003 is the result of the gain recognized from the sale and leaseback of this property during the second quarter of 2003 of $222,000. A deferred gain of $218,000 is being recognized over the ensuing three-year leaseback period.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income was $446,000 in the third quarter of 2004 compared to operating income of $661,000 during the same quarter of 2003. Operating income for the first nine months of 2004 was $193,000 compared to operating income of $1,005,000 during the same period of 2003.The impact on operating income from lower sales along with increases in selling and administrative expenses and depreciation and amortization, only partially offset by reduced factory overhead spending, were the primary factors for the decrease in operating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increased by $13,000 to $567,000 from $554,000 during the third quarter of 2004. Interest expense decreased by $120,000 to $1,622,000 from $1,742,000 during the first nine months of 2004. The year-to-date decrease was due to lower debt balances during the nine months that was partially offset by higher interest rates during the third quarter.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benefit was $322,000 during the third quarter of 2004 compared to $113,000 during the third quarter of 2003. Federal and state income tax benefit was $895,000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first nine months of 2004, an increase $491,000 from the comparable period in 2003. The federal and state income tax benefit for the first nine months of 2004 was 65%, which reflects the estimated effective tax rate for 2004. Our effective income tax rate was adjusted in the third quarter from 45% to 65% to reflect the reduction in our estimated pretax income for the year. This adjustment had the affect of increasing the effective income tax rate for the 2004 third quarter to 316%. Our effective income tax rate is affected by certain permanent differences including non-deductible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income for the quarter ended September 30, 2004 was $220,000 compared with net income of $237,000 for the same period in 2003. Net loss for the nine months ended September 30, 2004 was ($479,000) compared with a net loss of ($94,000) for the same period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September 30, 2004 was $17.5 million compared to $7.3 million as of December 31, 2003.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our products, decrease in average selling prices over the life of the product as competition increases and our dependence to some degree on efforts of intermediaries to sell a portion of our product.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Condition, 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principal sources of liquidity are cash flow from operations and available borrowings under our revolving credit facility. Our principal uses of cash are operating costs, debt service, payment of interest on our outstanding senior debt, working capital and other general corporate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September 30, 2004 and December 31, 2003, cash and cash equivalents totaled $204,000 and $136,000, respectively. Generally, we do not carry significant cash and cash equivalent balances because excess amounts are used to pay down our revolving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September 30, 2004 was $10,408,000 and $9,957,000 at December 31, 2003. Unused credit availability under our $8.0 million revolving line of credit at September 30, 2004 was $2,304,000.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November 2004, the revolving line of credit portion of the bank credit facility was amended by extending the termination date to January 2006. As a result, the amount outstanding under this line of $5,696,000 as of September 30, 2004 was reported as long-term debt in the accompanying balance sheet. In addition, the revolving line of credit was amended whereby the maximum amount available that could be borrowed under the line was increased by $2,000,000 to $10,000,000 as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November 2004 subject to the borrowing base formula contained in the credit agreement. No extinguishment loss was recognized as a result of this amendment. The amendment also waived minimum coverage requirements under several financial covenants as of September 30, 2004. The bank credit facility was also amended during August 2004 by extending the term loan to July 2005 and by waiving the leverage financial covenant as of June 30,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continuing to evaluate, in light of the current market conditions and company performance, our options and alternative financing. Our refinancing strategy for bank credit facility was to extend the maturities and increase our cash flow by lowering the scheduled principal amortization on term debt for our machinery, equipment and real estate, and reducing interest cost. We have extended the maturity on the term loan through July 2005 and the revolving line of credit to January 2006. While we have not yet lowered the scheduled amortization on term debt, we will continue to evaluate our options in this regard. However, there can be no assurance that we will be able to do so.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pursuing opportunities where we have been historically successful, we are evaluating new markets and exploring opportunities internationally. We have also identified and implemented various cost containment and reduction initiatives through better utilization of our manufacturing capacity, utilizing lower labor costs and making more efficient use of our central services and design/drafting staff. These efforts are expected to provide approximately $1.3 million in annualized savings, which began during the third quarter of 2004. We expect to be able to achieve these initiatives without disrupting services to current customers. We believe that the successful achievement of the refinancing and cost reduction initiatives should provide us with sufficient resources to meet our near term cash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Overview of Cash Flows and Liquidity</w:t>
      </w:r>
      <w:r>
        <w:rPr>
          <w:rFonts w:ascii="Times New Roman" w:hAnsi="Times New Roman"/>
          <w:sz w:val="20"/>
        </w:rPr>
        <w:t xml:space="preserve">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7018"/>
        <w:gridCol w:w="395"/>
        <w:gridCol w:w="125"/>
        <w:gridCol w:w="406"/>
        <w:gridCol w:w="80"/>
        <w:gridCol w:w="345"/>
        <w:gridCol w:w="125"/>
        <w:gridCol w:w="606"/>
        <w:gridCol w:w="84"/>
      </w:tblGrid>
      <w:tr>
        <w:trPr/>
        <w:tc>
          <w:tcPr>
            <w:tcW w:w="701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01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68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nine months</w:t>
              <w:br/>
              <w:t>ended September 30,</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701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 in thousands)</w:t>
            </w:r>
          </w:p>
          <w:p>
            <w:pPr>
              <w:pStyle w:val="TableContents"/>
              <w:spacing w:before="0" w:after="15"/>
              <w:rPr/>
            </w:pPr>
            <w:r>
              <w:rPr/>
              <w:t> </w:t>
            </w:r>
          </w:p>
        </w:tc>
        <w:tc>
          <w:tcPr>
            <w:tcW w:w="395" w:type="dxa"/>
            <w:tcBorders/>
            <w:shd w:fill="auto" w:val="clear"/>
            <w:vAlign w:val="bottom"/>
          </w:tcPr>
          <w:p>
            <w:pPr>
              <w:pStyle w:val="TableContents"/>
              <w:spacing w:before="0" w:after="283"/>
              <w:rPr/>
            </w:pPr>
            <w:r>
              <w:rPr/>
              <w:t>  </w:t>
            </w:r>
          </w:p>
        </w:tc>
        <w:tc>
          <w:tcPr>
            <w:tcW w:w="53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73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7018"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Total operating cash flow (used)/provided </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84" w:type="dxa"/>
            <w:tcBorders/>
            <w:shd w:fill="CCEEFF" w:val="clear"/>
            <w:vAlign w:val="bottom"/>
          </w:tcPr>
          <w:p>
            <w:pPr>
              <w:pStyle w:val="TableContents"/>
              <w:spacing w:before="0" w:after="283"/>
              <w:rPr/>
            </w:pPr>
            <w:r>
              <w:rPr/>
              <w:t> </w:t>
            </w:r>
          </w:p>
        </w:tc>
      </w:tr>
      <w:tr>
        <w:trPr/>
        <w:tc>
          <w:tcPr>
            <w:tcW w:w="701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investing activities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1,480</w:t>
            </w:r>
          </w:p>
        </w:tc>
        <w:tc>
          <w:tcPr>
            <w:tcW w:w="84" w:type="dxa"/>
            <w:tcBorders/>
            <w:shd w:fill="auto" w:val="clear"/>
            <w:vAlign w:val="bottom"/>
          </w:tcPr>
          <w:p>
            <w:pPr>
              <w:pStyle w:val="TableContents"/>
              <w:spacing w:before="0" w:after="283"/>
              <w:rPr/>
            </w:pPr>
            <w:r>
              <w:rPr/>
              <w:t> </w:t>
            </w:r>
          </w:p>
        </w:tc>
      </w:tr>
      <w:tr>
        <w:trPr/>
        <w:tc>
          <w:tcPr>
            <w:tcW w:w="701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80"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(1,967</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1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06"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6"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01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80"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1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0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06"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provided by operating activities decreased in 2004 compared to 2003. Cash used in operating activities for the first nine months of 2004 was the result of an increase in the number of projects in process at quarter end and their relative early stage of completion. As a result, our investment in accounts receivable, costs and estimated earnings in excess of billings on uncompleted contracts and inventories increased $1,629,000, $1,204,000 and $450,000, respectively. We were able to partially offset these uses of cash by increasing our accounts payable and billings in excess of costs and estimated earnings on uncompleted contracts by $2,140,000 and $1,234,000,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net investment in working capital (excluding cash and cash equivalents and current portion of debt) at September 30, 2004 and December 31, 2003 was $8,238,000 and $7,636,000,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property and equipment was $281,000 for the first nine months of 2004 compared with $88,000 for the same period in 2003. We are managing our capital expenditure spending in light of the current level of sales. Should sales increase in 2004, we would anticipate increased capital spending. Additionally, capital expenditures may be incurred depending on the ultimate disposition of our Cincinnati property. Cash provided by investing activities of $1,568,000 for the first nine months of 2003 relates to cash proceeds from the sale and leaseback of our Conshohocken, Pennsylvania property. A $222,000 gain was recognized during the second quarter of 2003 from the sale of the Conshohocken property and a gain of $218,000 was deferred, which will be recognized over the ensuing three-year leaseback period. Approximately, $700,000 of the proceeds were used to reduce the revolving line of credit and the balance was used to reduce term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provided cash of $461,000 during the first nine months of 2004 compared with cash used in financing activities of $1,967,000 during the same period of 2003. Current year financing activities included net borrowings and issuance of common stock under our employee stock purchase plan, and 2003 financing activities included proceeds from issuance of subordinated debt totaling $1,200,000 to our principle shareholder. These proceeds and those from the sale of our Conshohocken property were used to pay down amounts outstanding under our credit agreement. 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opportunity to the potential purchaser to acquire the property until the end of November 2004 in exchange for which an escrow deposit of $100,000 was made. The escrow deposit reverted to us without any further obligation as of September 30, 2004 and was recognized in selling and administration expense as an offset to various costs incurred in connection with the proposed transaction.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8" w:name="tx96513_6"/>
      <w:bookmarkEnd w:id="8"/>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3. QUANTITATIVE AND QUALITATIVE DISCLOSURE ABOUT MARKET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use interest rate swap contracts to adjust the proportion of our total debt that is subject to variable interest rates. Our interest rate swap contract matured in 2002 and was not renewed.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the Companys 2003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9" w:name="tx96513_7"/>
      <w:bookmarkEnd w:id="9"/>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4. CONTROLS AND PROCEDURES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Within ninety days prior to the filing of this Report, the Companys Chief Executive Officer and Chief Financial Officer evaluated the effectiveness of the design and operation of the Companys disclosure controls and procedures, which are designed to ensure that the Company records, processes, summarizes and reports in a timely and effective manner the information required to be disclosed in the reports filed with or submitted to the Securities and Exchange Commission. Based upon this evaluation, they concluded that, as of the date of the evaluation, the Companys disclosure controls are effective. Since the date of this evaluation, there have been no significant changes in the Companys internal controls or in other factors that could significantly affect those controls.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10" w:name="tx96513_8"/>
      <w:bookmarkEnd w:id="10"/>
      <w:r>
        <w:rPr>
          <w:rFonts w:ascii="Times New Roman" w:hAnsi="Times New Roman"/>
          <w:sz w:val="20"/>
        </w:rPr>
        <w:t xml:space="preserve">PART II -OTHER INFORMATION </w:t>
      </w:r>
    </w:p>
    <w:p>
      <w:pPr>
        <w:pStyle w:val="TextBody"/>
        <w:spacing w:before="0" w:after="0"/>
        <w:rPr/>
      </w:pPr>
      <w:r>
        <w:rPr/>
        <w:t> </w:t>
      </w:r>
    </w:p>
    <w:p>
      <w:pPr>
        <w:pStyle w:val="TextBody"/>
        <w:spacing w:before="0" w:after="0"/>
        <w:rPr>
          <w:rFonts w:ascii="Times New Roman" w:hAnsi="Times New Roman"/>
          <w:sz w:val="20"/>
        </w:rPr>
      </w:pPr>
      <w:bookmarkStart w:id="11" w:name="tx96513_9"/>
      <w:bookmarkEnd w:id="11"/>
      <w:r>
        <w:rPr>
          <w:rFonts w:ascii="Times New Roman" w:hAnsi="Times New Roman"/>
          <w:sz w:val="20"/>
        </w:rPr>
        <w:t xml:space="preserve">ITEM 4. SUBMISSION OF MATTERS TO A VOTE OF SECURITY 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its Annual Meeting on October 14, 2004, the shareholders of CECO Environmental Corp. took the following actions: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Elected the following seven directors for terms to expire at the 2005 Annual Meeting of Shareholders, with votes as indicated opposite each directors name: </w:t>
            </w:r>
          </w:p>
        </w:tc>
      </w:tr>
    </w:tbl>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024"/>
        <w:gridCol w:w="262"/>
        <w:gridCol w:w="908"/>
        <w:gridCol w:w="262"/>
        <w:gridCol w:w="708"/>
      </w:tblGrid>
      <w:tr>
        <w:trPr/>
        <w:tc>
          <w:tcPr>
            <w:tcW w:w="602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60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878"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HorizontalLine"/>
              <w:pBdr>
                <w:bottom w:val="single" w:sz="6" w:space="0" w:color="000000"/>
              </w:pBdr>
              <w:spacing w:before="0" w:after="283"/>
              <w:rPr/>
            </w:pPr>
            <w:r>
              <w:rPr/>
            </w:r>
          </w:p>
        </w:tc>
      </w:tr>
      <w:tr>
        <w:trPr/>
        <w:tc>
          <w:tcPr>
            <w:tcW w:w="6024"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Director</w:t>
            </w:r>
          </w:p>
          <w:p>
            <w:pPr>
              <w:pStyle w:val="HorizontalLine"/>
              <w:pBdr>
                <w:bottom w:val="single" w:sz="6" w:space="0" w:color="000000"/>
              </w:pBdr>
              <w:spacing w:before="0" w:after="283"/>
              <w:rPr/>
            </w:pPr>
            <w:r>
              <w:rPr/>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w:t>
            </w:r>
          </w:p>
          <w:p>
            <w:pPr>
              <w:pStyle w:val="HorizontalLine"/>
              <w:pBdr>
                <w:bottom w:val="single" w:sz="6" w:space="0" w:color="000000"/>
              </w:pBdr>
              <w:spacing w:before="0" w:after="283"/>
              <w:rPr/>
            </w:pPr>
            <w:r>
              <w:rPr/>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Against</w:t>
            </w:r>
          </w:p>
          <w:p>
            <w:pPr>
              <w:pStyle w:val="HorizontalLine"/>
              <w:pBdr>
                <w:bottom w:val="single" w:sz="6" w:space="0" w:color="000000"/>
              </w:pBdr>
              <w:spacing w:before="0" w:after="283"/>
              <w:rPr/>
            </w:pPr>
            <w:r>
              <w:rPr/>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6,665,497</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122,617</w:t>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6,665,229</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122,885</w:t>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6,663,697</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124,417</w:t>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6,664,797</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123,317</w:t>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Josephine Grivas</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6,664,897</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123,217</w:t>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Melvin F. Lazar</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6,665,529</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122,585</w:t>
            </w:r>
          </w:p>
        </w:tc>
      </w:tr>
      <w:tr>
        <w:trPr/>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2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6,665,997</w:t>
            </w:r>
          </w:p>
        </w:tc>
        <w:tc>
          <w:tcPr>
            <w:tcW w:w="2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122,117</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3"/>
        <w:gridCol w:w="509"/>
        <w:gridCol w:w="8883"/>
      </w:tblGrid>
      <w:tr>
        <w:trPr/>
        <w:tc>
          <w:tcPr>
            <w:tcW w:w="81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Shareholders ratified the appointment of Deloitte &amp; Touche LLP as the Companys independent auditors for the fiscal year ending December 31, 2004 was follows: </w:t>
            </w:r>
          </w:p>
        </w:tc>
      </w:tr>
    </w:tbl>
    <w:p>
      <w:pPr>
        <w:pStyle w:val="TextBody"/>
        <w:spacing w:before="0" w:after="0"/>
        <w:rPr/>
      </w:pPr>
      <w:r>
        <w:rPr/>
        <w:t> </w:t>
      </w:r>
    </w:p>
    <w:tbl>
      <w:tblPr>
        <w:tblW w:w="2500" w:type="pct"/>
        <w:jc w:val="center"/>
        <w:tblInd w:w="0" w:type="dxa"/>
        <w:tblCellMar>
          <w:top w:w="0" w:type="dxa"/>
          <w:left w:w="0" w:type="dxa"/>
          <w:bottom w:w="0" w:type="dxa"/>
          <w:right w:w="0" w:type="dxa"/>
        </w:tblCellMar>
      </w:tblPr>
      <w:tblGrid>
        <w:gridCol w:w="4059"/>
        <w:gridCol w:w="194"/>
        <w:gridCol w:w="849"/>
      </w:tblGrid>
      <w:tr>
        <w:trPr/>
        <w:tc>
          <w:tcPr>
            <w:tcW w:w="40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4059" w:type="dxa"/>
            <w:tcBorders/>
            <w:shd w:fill="auto" w:val="clear"/>
          </w:tcPr>
          <w:p>
            <w:pPr>
              <w:pStyle w:val="TableContents"/>
              <w:spacing w:before="0" w:after="283"/>
              <w:rPr>
                <w:rFonts w:ascii="Times New Roman" w:hAnsi="Times New Roman"/>
                <w:sz w:val="20"/>
              </w:rPr>
            </w:pPr>
            <w:r>
              <w:rPr>
                <w:rFonts w:ascii="Times New Roman" w:hAnsi="Times New Roman"/>
                <w:sz w:val="20"/>
              </w:rPr>
              <w:t>Votes For:</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6,781,678</w:t>
            </w:r>
          </w:p>
        </w:tc>
      </w:tr>
      <w:tr>
        <w:trPr/>
        <w:tc>
          <w:tcPr>
            <w:tcW w:w="4059" w:type="dxa"/>
            <w:tcBorders/>
            <w:shd w:fill="auto" w:val="clear"/>
          </w:tcPr>
          <w:p>
            <w:pPr>
              <w:pStyle w:val="TableContents"/>
              <w:spacing w:before="0" w:after="283"/>
              <w:rPr>
                <w:rFonts w:ascii="Times New Roman" w:hAnsi="Times New Roman"/>
                <w:sz w:val="20"/>
              </w:rPr>
            </w:pPr>
            <w:r>
              <w:rPr>
                <w:rFonts w:ascii="Times New Roman" w:hAnsi="Times New Roman"/>
                <w:sz w:val="20"/>
              </w:rPr>
              <w:t>Votes Against:</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3,832</w:t>
            </w:r>
          </w:p>
        </w:tc>
      </w:tr>
      <w:tr>
        <w:trPr/>
        <w:tc>
          <w:tcPr>
            <w:tcW w:w="4059" w:type="dxa"/>
            <w:tcBorders/>
            <w:shd w:fill="auto" w:val="clear"/>
          </w:tcPr>
          <w:p>
            <w:pPr>
              <w:pStyle w:val="TableContents"/>
              <w:spacing w:before="0" w:after="283"/>
              <w:rPr>
                <w:rFonts w:ascii="Times New Roman" w:hAnsi="Times New Roman"/>
                <w:sz w:val="20"/>
              </w:rPr>
            </w:pPr>
            <w:r>
              <w:rPr>
                <w:rFonts w:ascii="Times New Roman" w:hAnsi="Times New Roman"/>
                <w:sz w:val="20"/>
              </w:rPr>
              <w:t>Votes Abstained:</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2,601</w:t>
            </w:r>
          </w:p>
        </w:tc>
      </w:tr>
    </w:tbl>
    <w:p>
      <w:pPr>
        <w:pStyle w:val="TextBody"/>
        <w:spacing w:before="0" w:after="0"/>
        <w:rPr/>
      </w:pPr>
      <w:r>
        <w:rPr/>
        <w:t> </w:t>
      </w:r>
    </w:p>
    <w:p>
      <w:pPr>
        <w:pStyle w:val="TextBody"/>
        <w:spacing w:before="0" w:after="0"/>
        <w:rPr>
          <w:rFonts w:ascii="Times New Roman" w:hAnsi="Times New Roman"/>
          <w:sz w:val="20"/>
        </w:rPr>
      </w:pPr>
      <w:bookmarkStart w:id="12" w:name="tx96513_10"/>
      <w:bookmarkEnd w:id="12"/>
      <w:r>
        <w:rPr>
          <w:rFonts w:ascii="Times New Roman" w:hAnsi="Times New Roman"/>
          <w:sz w:val="20"/>
        </w:rPr>
        <w:t xml:space="preserve">ITEM 5. OTHER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of Directors adopted on September 28, 2004 the following procedures by which security holders may recommend nominees to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independent Directors will consider director candidates recommended by stockholders for inclusion on the slate of directors recommended to the Board. Any stockholder may submit one candidate for consideration at each stockholder meeting at which directors are to be elected. Stockholders wishing to recommend a candidate must submit the recommendation no later than one hundred and twenty (120) days before the date of the Companys proxy statement released to stockholders in connection with the previous years annual meeting of stockholders, provided, that if the Company did not hold any annual meeting in the previous year, or if the date of the next annual meeting has been changed by more than thirty (30) days from the date of the previous years meeting, then the deadline will be a date that is a reasonable time before the Company begins to print and mail its proxy materials, but in no event less than ninety (90) days prior to such mailing.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PART II -OTHER INFORMATION (continued)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Recommendations must be sent to the following address: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 45209 </w:t>
      </w:r>
    </w:p>
    <w:p>
      <w:pPr>
        <w:pStyle w:val="TextBody"/>
        <w:spacing w:before="0" w:after="0"/>
        <w:rPr>
          <w:rFonts w:ascii="Times New Roman" w:hAnsi="Times New Roman"/>
          <w:sz w:val="20"/>
        </w:rPr>
      </w:pPr>
      <w:r>
        <w:rPr>
          <w:rFonts w:ascii="Times New Roman" w:hAnsi="Times New Roman"/>
          <w:sz w:val="20"/>
        </w:rPr>
        <w:t xml:space="preserve">Attention: Secretary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the time the stockholder submits the recommendation for a director candidate, the stockholder must provide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information about the candidate that the Company would be required to disclose in a proxy statement in accordance with Exchange Act rules.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Certification from the candidate that he or she meets the requirements to be (a) independent under the Nasdaq standards, and (b) a non-management director under the Exchange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Consent of the candidate to serve on the Board, if nominated and elected.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Agreement of the candidate to complete, upon request, questionnaire(s) customary for directors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independent Directors will first evaluate candidates recommended by stockholders on the same basis as candidates recommended by other sources, including evaluating the candidate against the standards and qualifications set out in the Director Nomination Policy of the Company as well as any other criteria approved by the Board from time to time. The independent Directors will determine whether to interview any candidate. </w:t>
      </w:r>
    </w:p>
    <w:p>
      <w:pPr>
        <w:pStyle w:val="TextBody"/>
        <w:spacing w:before="0" w:after="0"/>
        <w:rPr/>
      </w:pPr>
      <w:r>
        <w:rPr/>
        <w:t> </w:t>
      </w:r>
    </w:p>
    <w:p>
      <w:pPr>
        <w:pStyle w:val="TextBody"/>
        <w:spacing w:before="0" w:after="0"/>
        <w:rPr>
          <w:rFonts w:ascii="Times New Roman" w:hAnsi="Times New Roman"/>
          <w:sz w:val="20"/>
        </w:rPr>
      </w:pPr>
      <w:bookmarkStart w:id="13" w:name="tx96513_11"/>
      <w:bookmarkEnd w:id="13"/>
      <w:r>
        <w:rPr>
          <w:rFonts w:ascii="Times New Roman" w:hAnsi="Times New Roman"/>
          <w:sz w:val="20"/>
        </w:rPr>
        <w:t xml:space="preserve">ITEM 6. EXHIBITS AND REPORTS ON FORM 8-K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178"/>
        <w:gridCol w:w="411"/>
        <w:gridCol w:w="8799"/>
      </w:tblGrid>
      <w:tr>
        <w:trPr/>
        <w:tc>
          <w:tcPr>
            <w:tcW w:w="17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8799"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Exhibits</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10.52 Ninth Amendment to Credit Agreement dated as of June 29, 2004</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10.53 Tenth Amendment to Credit Agreement dated November 10, 2004</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10.54 Amended and Restated Revolving Credit Note dated November 10, 2004</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31.1 Rule 13(a)/15d-14(a) Certification by Chief Executive Officer</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31.2 Rule 13(a)/15d-14(a) Certification by Chief Financial Officer</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32.1 Certification of Chief Executive Officer (18 U.S.C. Section 1350)</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Exhibit 32.2 Certification of Chief Financial Officer (18 U.S.C. Section 1350)</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Reports on Form 8-K</w:t>
            </w:r>
          </w:p>
        </w:tc>
      </w:tr>
      <w:tr>
        <w:trPr>
          <w:trHeight w:val="120" w:hRule="atLeast"/>
        </w:trPr>
        <w:tc>
          <w:tcPr>
            <w:tcW w:w="178" w:type="dxa"/>
            <w:tcBorders/>
            <w:shd w:fill="auto" w:val="clear"/>
            <w:vAlign w:val="center"/>
          </w:tcPr>
          <w:p>
            <w:pPr>
              <w:pStyle w:val="TableContents"/>
              <w:spacing w:before="0" w:after="283"/>
              <w:rPr>
                <w:sz w:val="4"/>
                <w:szCs w:val="4"/>
              </w:rPr>
            </w:pPr>
            <w:r>
              <w:rPr>
                <w:sz w:val="4"/>
                <w:szCs w:val="4"/>
              </w:rPr>
            </w:r>
          </w:p>
        </w:tc>
        <w:tc>
          <w:tcPr>
            <w:tcW w:w="9210" w:type="dxa"/>
            <w:gridSpan w:val="2"/>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Company did not file any Form 8-K during the third quarter of 2004.</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4" w:name="tx96513_12"/>
      <w:bookmarkEnd w:id="14"/>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November 15,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TextBody"/>
        <w:spacing w:before="0" w:after="0"/>
        <w:jc w:val="right"/>
        <w:rPr>
          <w:rFonts w:ascii="Times New Roman" w:hAnsi="Times New Roman"/>
          <w:b/>
          <w:sz w:val="20"/>
        </w:rPr>
      </w:pPr>
      <w:bookmarkStart w:id="15" w:name="dex1052.htm"/>
      <w:bookmarkStart w:id="16" w:name="ksdex1052"/>
      <w:bookmarkEnd w:id="15"/>
      <w:bookmarkEnd w:id="16"/>
      <w:r>
        <w:rPr>
          <w:rFonts w:ascii="Times New Roman" w:hAnsi="Times New Roman"/>
          <w:b/>
          <w:sz w:val="20"/>
        </w:rPr>
        <w:t xml:space="preserve">Exhibit 10.52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NINTH AMENDMENT TO CREDIT AGREEMENT</w:t>
      </w:r>
      <w:r>
        <w:rPr>
          <w:rFonts w:ascii="Times New Roman" w:hAnsi="Times New Roman"/>
          <w:sz w:val="20"/>
        </w:rPr>
        <w:t xml:space="preserve"> </w:t>
      </w:r>
    </w:p>
    <w:p>
      <w:pPr>
        <w:pStyle w:val="TextBody"/>
        <w:spacing w:before="0" w:after="0"/>
        <w:rPr/>
      </w:pPr>
      <w:r>
        <w:rPr/>
        <w:t> </w:t>
      </w:r>
    </w:p>
    <w:p>
      <w:pPr>
        <w:pStyle w:val="TextBody"/>
        <w:spacing w:before="0" w:after="0"/>
        <w:rPr/>
      </w:pPr>
      <w:r>
        <w:rPr>
          <w:rFonts w:ascii="Times New Roman" w:hAnsi="Times New Roman"/>
          <w:sz w:val="20"/>
        </w:rPr>
        <w:t>This NINTH AMENDMENT TO CREDIT AGREEMENT (this Amendment) is made as of the 29</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June, 2004 by and among CECO GROUP, INC., CECO FILTERS, INC., AIR PURATOR CORPORATION, NEW BUSCH CO., INC., THE KIRK &amp; BLUM MANUFACTURING COMPANY, KBD/TECHNIC, INC. and CECO ABATEMENT SYSTEMS, INC. (the Borrowers), and FIFTH THIRD BANK (Fifth Third), individually and as agent (in such capacity, the Agent) and PNC BANK, NATIONAL ASSOCIATION (PNC) individually, and BANK ONE, NA (Bank One), individually (PNC, Fifth Third and Bank One, and their respective successors and assigns, collectively, the Banks).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BACKGROUND</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PNC (then as Agent) the Banks and the Borrowers are parties to a Credit Agreement dated as of December 7, 1999 (Credit Agreement) as amended by 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by Seventh Amendment to Credit Agreement dated as of November 13, 2002 and by Eighth Amendment to Credit Agreement dated as of November 13, 2003 (as amended,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The Banks by separate Intercreditor Agreement, dated as of November 13, 2003, agreed to modify their positions so that from and after that date Fifth Third Bank was solely responsible for the Revolving Credit Commitment and had no interest in the Term Loans (then and now, only Term Loan A) and PNC and Bank One owned, on an equal basis, the Term Loan and Fifth Third Bank became Agent for all purposes under the Credit Agreement, except for being the mortgagee, pledgee or secured party under existing mortgages, pledges or security agreements, given to secure the Loans made pursuant to the Amended Credit Agreement, for which purpose PNC remains agent for the Banks.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Borrowers and Guarantors wish to amend the Amended Credit Agreement on the terms and conditions set forth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foregoing and for good and valuable consideration, the legality and sufficiency of which are hereby acknowledged, the parties hereto, intending to be legally bound, hereby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Capitalized terms used herein and not otherwise defined herein shall have the meanings assigned to them in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Waiver</w:t>
      </w:r>
      <w:r>
        <w:rPr>
          <w:rFonts w:ascii="Times New Roman" w:hAnsi="Times New Roman"/>
          <w:sz w:val="20"/>
        </w:rPr>
        <w:t xml:space="preserve">. The Banks hereby waive the requirement that the Borrowers comply with the Leverage Ratio as provided in Section 6.1(a) of the Credit Agreement, as modified in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paragraph 2(m) of the Third Amendment to Credit Agreement, paragraph 2(h) of the Fourth Amendment to Credit Agreement, paragraph 2(a) of the Fifth Amendment to Credit Agreement, paragraph 2(a) of the Sixth Amendment to Credit Agreement, paragraph 2(b) of the Seventh Amendment to Credit Agreement and paragraph 2(b) of the Eighth Amendment to Credit Agreement, as of the last day of June, 2004. The foregoing waiver shall not waive the Borrowers obligations to comply with such Leverage Ratio on any other date or any other obligation of Borrowers under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Term Loan Extension and Payments.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outstanding principal balance of Term Loan A on the date hereof is $5,235,290. Subject to paragraph 3(b) below, the maturity date of Term Loan A is hereby extended to July 1, 2005. Principal payments on Term Loan A shall continue at $523,530.00 per quarter due on August 31, 2004, November 30, 2004, February 28, 2005 and May 31, 2005. The final principal payment of $3,141,170.00 shall be due on July 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Provided that Borrowers satisfy both of the conditions in (i) and (ii) below before July 1, 2005 and no event of default under the Amended Credit Agreement exists on July 1, 2005, the maturity date of Term Loan A shall be automatically extended to January 1, 2006. If the maturity date is extended as herein provided, principal payments on Term Loan A shall continue at $523,530.00 per quarter due on August 31, 2005 and November 30, 2005 and the final principal payment will be due on January 1, 2006. The two conditions for extension of the maturity date of Term Loan A to January 1, 2006, are: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Extension by Fifth Third of the Termination Date for the Revolving Credit Loans under the Amended Credit Agreement to a date on or after January 1, 2006;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Borrowers pay to Bank One and PNC $2,800,000 as a principal payment on Term Loan A, in addition to the quarterly principal payments otherwise required to be paid by Borrower.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Principal and interest payments with respect to Term Loan A shall continue to be divided equally between PNC and Bank One.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4. </w:t>
      </w:r>
      <w:r>
        <w:rPr>
          <w:rFonts w:ascii="Times New Roman" w:hAnsi="Times New Roman"/>
          <w:sz w:val="20"/>
          <w:u w:val="single"/>
        </w:rPr>
        <w:t>Interest Rates</w:t>
      </w:r>
      <w:r>
        <w:rPr>
          <w:rFonts w:ascii="Times New Roman" w:hAnsi="Times New Roman"/>
          <w:sz w:val="20"/>
        </w:rPr>
        <w:t xml:space="preserve">. Annex I to the Credit Agreement, as modified by paragraph 2(f) of the Third Amendment to Credit Agreement, paragraph 2(c) of the Fourth Amendment to Credit Agreement, paragraph 4 of the Sixth Amendment to Credit Agreement, paragraph 4 of the Seventh Amendment to Credit Agreement and paragraph 4 of the Eight Amendment Credit Agreement, is hereby further modified to provide that from and after January 1, 2005 the interest rate on Term Loan A is Base Rate plus 6% per annum.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sz w:val="20"/>
          <w:u w:val="single"/>
        </w:rPr>
        <w:t>Extension Fee</w:t>
      </w:r>
      <w:r>
        <w:rPr>
          <w:rFonts w:ascii="Times New Roman" w:hAnsi="Times New Roman"/>
          <w:sz w:val="20"/>
        </w:rPr>
        <w:t xml:space="preserve">. Upon execution of this Amendment, Borrowers shall pay to: (i) Fifth Third, an Extension Fee in the amount of $18,000; (ii) PNC, an Extension Fee in the amount of $6,000; and (iii) Bank One, an Extension Fee in the amount of $6,000. Provided that the equipment has not been refinanced and Bank One and PNC have not been paid at least $2,800,000 from such refinancing prior to September 30, 2004, on September 30, 2004, Borrowers shall pay to: (i) Fifth Third, an additional Extension Fee of $9,000; (ii) PNC; an additional Extension Fee in the amount of $6,000; and (iii) Bank One, an additional Extension Fee in the amount of $6,000. If the equipment has been refinanced and Bank One and PNC have been paid a total of at least $2,800,000 from such refinancing prior to September 30, 2004, the additional Extension Fees shall not be payable to any of the Banks. If the equipment has not been refinanced and Bank One and PNC have not been paid at least $2,800,000 from such refinancing prior to September 30, 2004, but, on September 30, 2004, Borrowers have such refinancing scheduled for a date shortly thereafter, Borrowers may request that the Banks extend the date by which such refinancing must be closed and such $2,800,000 must be paid in order to waive the requirement for payment of the additional Extension Fees and the Banks in there sole and absolute discretion, without any obligation to do so, may extend such date, if the Banks agree unanimously to do so.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sz w:val="20"/>
          <w:u w:val="single"/>
        </w:rPr>
        <w:t>Equipment Appraisals</w:t>
      </w:r>
      <w:r>
        <w:rPr>
          <w:rFonts w:ascii="Times New Roman" w:hAnsi="Times New Roman"/>
          <w:sz w:val="20"/>
        </w:rPr>
        <w:t xml:space="preserve">. Banks shall engage appraisals of all equipment of the Borrowers located in Cincinnati, Ohio, by one or more appraisers who are acceptable to the Banks. The Borrowers shall cooperate fully with such appraisers so that such appraisals can be promptly performed. If, in the reasonable judgment of the Banks, Term Loan A will not be paid in full on or before December 31, 2004, the Banks may engage appraisals of the balance of the Borrowers equipment, wherever located, by one or more appraisers who are acceptable to the Banks. The Borrowers shall cooperate fully with such appraisers so that such appraisals can be promptly performed. All of the foregoing appraisals shall be paid for by the Borrowers.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sz w:val="20"/>
          <w:u w:val="single"/>
        </w:rPr>
        <w:t>Amendment to the Loan Documents</w:t>
      </w:r>
      <w:r>
        <w:rPr>
          <w:rFonts w:ascii="Times New Roman" w:hAnsi="Times New Roman"/>
          <w:sz w:val="20"/>
        </w:rPr>
        <w:t xml:space="preserve">. All references to the Credit Agreement in the Loan Documents and in any documents executed in connection therewith shall be deemed to refer to the Credit Agreement as amended by this Amendment and all prior amendments to the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sz w:val="20"/>
          <w:u w:val="single"/>
        </w:rPr>
        <w:t>Ratification of the Loan Documents</w:t>
      </w:r>
      <w:r>
        <w:rPr>
          <w:rFonts w:ascii="Times New Roman" w:hAnsi="Times New Roman"/>
          <w:sz w:val="20"/>
        </w:rPr>
        <w:t xml:space="preserve">.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Each Borrower hereby certifies that (i) the representations and warranties of such Borrower in the Credit Agreement as previously amended and as amended herein, are true and correct in all material respects as of the date hereof, as if made on the date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 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Each Borrower further represents that it has all the requisite power and authority to enter into and to perform its obligations under this 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Each Borrower also further represents that there have been no changes to the Articles of Incorporation, by-laws or other organizational documents of each such Borrower since the most recent date true and correct copies thereof were delivered to the Agent.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sz w:val="20"/>
          <w:u w:val="single"/>
        </w:rPr>
        <w:t>Conditions Precedent</w:t>
      </w:r>
      <w:r>
        <w:rPr>
          <w:rFonts w:ascii="Times New Roman" w:hAnsi="Times New Roman"/>
          <w:sz w:val="20"/>
        </w:rPr>
        <w:t xml:space="preserve">. The effectiveness of the amendments set forth herein are subject to the fulfillment, to the satisfaction of the Banks and their counsel, of the following conditions precedent: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The Borrowers shall have delivered to the Banks the following, all of which shall be in form and substance satisfactory to the Banks and shall be duly completed and executed: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This Amendment and the consents of the Guarantor and the Subordinated Creditors as attached hereto;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(ii) Such additional documents, certificates and information as the Banks may require pursuant to the terms hereof or otherwise reasonably request.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After giving effect to the amendments contained herein, the representations and warranties set forth in the Amended Credit Agreement shall be true and correct on and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After giving effect to the amendments contained herein, no Event of Default hereunder, and no event which, with the passage of time or the giving of notice, or both, would become such an Event of Default shall have occurred and be continuing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The Borrowers shall have paid the portion of the Extension Fee which is due upon execution of this Amendment as provided in paragraph 5 above and the reasonable fees and disbursements of the Banks counsel incurred in connection with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No Waiver</w:t>
      </w:r>
      <w:r>
        <w:rPr>
          <w:rFonts w:ascii="Times New Roman" w:hAnsi="Times New Roman"/>
          <w:sz w:val="20"/>
        </w:rPr>
        <w:t xml:space="preserve">. Except as expressly provided herein, this Amendment does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Amended Credit Agreement or any other Loan Document or constitute a waiver of any of the Agents or the Banks other rights or remedies.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Waiver and Release</w:t>
      </w:r>
      <w:r>
        <w:rPr>
          <w:rFonts w:ascii="Times New Roman" w:hAnsi="Times New Roman"/>
          <w:sz w:val="20"/>
        </w:rPr>
        <w:t xml:space="preserve">.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 and any course of dealing among the parties not in compliance with those agreements from the inception of the Credit Agreement whether known or unknown through the date of execution and delivery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Effective Date</w:t>
      </w:r>
      <w:r>
        <w:rPr>
          <w:rFonts w:ascii="Times New Roman" w:hAnsi="Times New Roman"/>
          <w:sz w:val="20"/>
        </w:rPr>
        <w:t xml:space="preserve">.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executed this Amendment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342"/>
        <w:gridCol w:w="151"/>
        <w:gridCol w:w="2589"/>
      </w:tblGrid>
      <w:tr>
        <w:trPr/>
        <w:tc>
          <w:tcPr>
            <w:tcW w:w="13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258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r>
      <w:tr>
        <w:trPr>
          <w:trHeight w:val="240" w:hRule="atLeast"/>
        </w:trPr>
        <w:tc>
          <w:tcPr>
            <w:tcW w:w="1342" w:type="dxa"/>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r>
      <w:tr>
        <w:trPr>
          <w:trHeight w:val="240" w:hRule="atLeast"/>
        </w:trPr>
        <w:tc>
          <w:tcPr>
            <w:tcW w:w="1342" w:type="dxa"/>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AIR PURATOR CORPORATION</w:t>
            </w:r>
          </w:p>
        </w:tc>
      </w:tr>
      <w:tr>
        <w:trPr>
          <w:trHeight w:val="240" w:hRule="atLeast"/>
        </w:trPr>
        <w:tc>
          <w:tcPr>
            <w:tcW w:w="1342" w:type="dxa"/>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r>
      <w:tr>
        <w:trPr>
          <w:trHeight w:val="240" w:hRule="atLeast"/>
        </w:trPr>
        <w:tc>
          <w:tcPr>
            <w:tcW w:w="1342" w:type="dxa"/>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THE KIRK &amp; BLUM MANUFACTURING</w:t>
            </w:r>
          </w:p>
          <w:p>
            <w:pPr>
              <w:pStyle w:val="TableContents"/>
              <w:spacing w:before="0" w:after="15"/>
              <w:rPr>
                <w:rFonts w:ascii="Times New Roman" w:hAnsi="Times New Roman"/>
                <w:sz w:val="20"/>
              </w:rPr>
            </w:pPr>
            <w:r>
              <w:rPr>
                <w:rFonts w:ascii="Times New Roman" w:hAnsi="Times New Roman"/>
                <w:sz w:val="20"/>
              </w:rPr>
              <w:t>COMPANY</w:t>
            </w:r>
          </w:p>
        </w:tc>
      </w:tr>
      <w:tr>
        <w:trPr>
          <w:trHeight w:val="240" w:hRule="atLeast"/>
        </w:trPr>
        <w:tc>
          <w:tcPr>
            <w:tcW w:w="1342" w:type="dxa"/>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34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51" w:type="dxa"/>
            <w:tcBorders/>
            <w:shd w:fill="auto" w:val="clear"/>
            <w:vAlign w:val="bottom"/>
          </w:tcPr>
          <w:p>
            <w:pPr>
              <w:pStyle w:val="TableContents"/>
              <w:spacing w:before="0" w:after="283"/>
              <w:rPr/>
            </w:pPr>
            <w:r>
              <w:rPr/>
              <w:t> </w:t>
            </w:r>
          </w:p>
        </w:tc>
        <w:tc>
          <w:tcPr>
            <w:tcW w:w="2589"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496"/>
        <w:gridCol w:w="66"/>
        <w:gridCol w:w="3520"/>
      </w:tblGrid>
      <w:tr>
        <w:trPr/>
        <w:tc>
          <w:tcPr>
            <w:tcW w:w="49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352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486"/>
        <w:gridCol w:w="64"/>
        <w:gridCol w:w="3532"/>
      </w:tblGrid>
      <w:tr>
        <w:trPr/>
        <w:tc>
          <w:tcPr>
            <w:tcW w:w="48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353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PNC BANK, NATIONAL ASSOCIATION, as</w:t>
            </w:r>
          </w:p>
          <w:p>
            <w:pPr>
              <w:pStyle w:val="TableContents"/>
              <w:spacing w:before="0" w:after="15"/>
              <w:rPr>
                <w:rFonts w:ascii="Times New Roman" w:hAnsi="Times New Roman"/>
                <w:sz w:val="20"/>
              </w:rPr>
            </w:pPr>
            <w:r>
              <w:rPr>
                <w:rFonts w:ascii="Times New Roman" w:hAnsi="Times New Roman"/>
                <w:sz w:val="20"/>
              </w:rPr>
              <w:t>Agent and as a Bank</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William C. Miles</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William C. Miles</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BANK, as a Bank</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David G. Fuller</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David G. Fuller</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BANK ONE, NA, as a Bank</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Jeffrey C. Nicholson</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Jeffrey C. Nicholson</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First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TextBody"/>
        <w:spacing w:before="0" w:after="0"/>
        <w:jc w:val="right"/>
        <w:rPr>
          <w:rFonts w:ascii="Times New Roman" w:hAnsi="Times New Roman"/>
          <w:b/>
          <w:sz w:val="20"/>
        </w:rPr>
      </w:pPr>
      <w:bookmarkStart w:id="17" w:name="dex1053.htm"/>
      <w:bookmarkStart w:id="18" w:name="ksdex1053"/>
      <w:bookmarkEnd w:id="17"/>
      <w:bookmarkEnd w:id="18"/>
      <w:r>
        <w:rPr>
          <w:rFonts w:ascii="Times New Roman" w:hAnsi="Times New Roman"/>
          <w:b/>
          <w:sz w:val="20"/>
        </w:rPr>
        <w:t xml:space="preserve">Exhibit 10.53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TENTH AMENDMENT TO CREDIT AGREEMENT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TENTH AMENDMENT TO CREDIT AGREEMENT (this Amendment) is made as of the 10th day of November, 2004 by and among CECO GROUP, INC., CECO FILTERS, INC., AIR PURATOR CORPORATION, NEW BUSCH CO., INC., THE KIRK &amp; BLUM MANUFACTURING COMPANY, KBD/TECHNIC, INC. and CECO ABATEMENT SYSTEMS, INC. (the Borrowers), and FIFTH THIRD BANK (Fifth Third), individually and as agent (in such capacity, the Agent) and PNC BANK, NATIONAL ASSOCIATION (PNC) individually, and BANK ONE, NA (Bank One), individually (PNC, Fifth Third and Bank One, and their respective successors and assigns, collectively, the Banks).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BACKGROUND</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PNC (then as Agent) the Banks and the Borrowers are parties to a Credit Agreement dated as of December 7, 1999 (Credit Agreement) as amended by 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by Seventh Amendment to Credit Agreement dated as of November 13, 2002 and by Eighth Amendment to Credit Agreement dated as of November 13,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The Banks by separate Intercreditor Agreement, dated as of November 13, 2003 (Intercreditor Agreement), agreed to modify their positions so that from and after that date Fifth Third was solely responsible for the Revolving Credit Commitment and had no interest in the Term Loans (then and now, only Term Loan A) and PNC and Bank One owned, on an equal basis, the Term Loan and Fifth Third Bank became Agent for all purposes under the Credit Agreement, except for being the mortgagee, pledgee or secured party under existing mortgages, pledges or security agreements, given to secure the Loans made pursuant to the Amended Credit Agreement, for which purpose PNC remains agent for the Banks.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Fifth Third (as Agent), the Banks and Borrowers further amended the Credit Agreement by Ninth Amendment to Credit Agreement dated as of June 29, 2004 (the Credit Agreement as amended as set forth in Recital A and this Recital C,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Borrowers and Guarantors wish to amend the Amended Credit Agreement on the terms and conditions set forth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foregoing and for good and valuable consideration, the legality and sufficiency of which are hereby acknowledged, the parties hereto, intending to be legally bound, hereby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Capitalized terms used herein and not otherwise defined herein shall have the meanings assigned to them in the Amended Credit Agreement.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Waiver</w:t>
      </w:r>
      <w:r>
        <w:rPr>
          <w:rFonts w:ascii="Times New Roman" w:hAnsi="Times New Roman"/>
          <w:sz w:val="20"/>
        </w:rPr>
        <w:t xml:space="preserve">. The Banks hereby waive the requirement that the Borrowers comply with the Leverage Ratio as provided in Section 6.1(a) of the Credit Agreement, as modified in paragraph 2(m) of the Third Amendment to Credit Agreement, paragraph 2(h) of the Fourth Amendment to Credit Agreement, paragraph 2(a) of the Fifth Amendment to Credit Agreement, paragraph 2(a) of the Sixth Amendment to Credit Agreement, paragraph 2(b) of the Seventh Amendment to Credit Agreement and paragraph 2(b) of the Eighth Amendment to Credit Agreement, as of the last day of September, 2004. The Banks hereby waive the requirement that the Borrowers comply with the Interest Coverage Ratio as provided in Section 6.1(c) of the Credit Agreement, as modified in paragraph 2(o) of the Third Amendment to Credit Agreement, paragraph 2(j) of the Fourth Amendment to Credit Agreement, paragraph 2(b) of the Fifth Amendment to Credit Agreement, paragraph 2(c) of the Sixth Amendment to Credit Agreement, paragraph 2(d) of the Seventh Amendment to Credit Agreement and paragraph 2(f) of the Eight Amendment to Credit Agreement, as of the last day of September, 2004. The foregoing waivers shall not waive the Borrowers obligations to comply with such Leverage Ratio and such Interest Coverage Ratio on any other date or any other obligation of Borrowers under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Amendments to Credit Agreement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definition of Revolving Credit Commitment as set forth in Section 1.1 of the Credit Agreement and revised in paragraph 2(c) of the Third Amendment to Credit Agreement and paragraph 2(a) of the Fourth Amendment to Credit Agreement shall be deleted and shall be replaced with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Revolving Credit Commitment</w:t>
      </w:r>
      <w:r>
        <w:rPr>
          <w:rFonts w:ascii="Times New Roman" w:hAnsi="Times New Roman"/>
          <w:sz w:val="20"/>
        </w:rPr>
        <w:t xml:space="preserve">: means $10,000,000, as reduced from time to time pursuant to Section 2.9.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definition of Revolving Credit Note as set forth in Section 1.1 of the Credit Agreement shall be deleted and shall be replaced with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Revolving Credit Note</w:t>
      </w:r>
      <w:r>
        <w:rPr>
          <w:rFonts w:ascii="Times New Roman" w:hAnsi="Times New Roman"/>
          <w:sz w:val="20"/>
        </w:rPr>
        <w:t xml:space="preserve">: means the Amended and Restated Revolving Credit Note in the form attached to the Tenth Amendment to Credit Agreement, as executed by the Borrowers, to replace the prior three Revolving Credit Notes, one each to each of the Banks in the maximum amount of $3,333,333.00 each.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definition of Termination Date as set forth in Section1.1 of the Credit Agreement as revised in paragraph 2(b) of the Fourth Amendment to Credit Agreement, paragraph 2(a) of the Seventh Amendment to Credit Agreement and paragraph 2(b) of the Eight Amendment to Credit Agreement shall be deleted and shall be replaced with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January 1,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sz w:val="20"/>
          <w:u w:val="single"/>
        </w:rPr>
        <w:t>Amended and Restated Revolving Credit Note</w:t>
      </w:r>
      <w:r>
        <w:rPr>
          <w:rFonts w:ascii="Times New Roman" w:hAnsi="Times New Roman"/>
          <w:sz w:val="20"/>
        </w:rPr>
        <w:t xml:space="preserve">. On even date herewith, Borrowers shall execute and deliver to Fifth Third, the Amended and Restated Revolving Credit Note in the form attached hereto (the Replacement Note). The parties hereto agree that the Replacement Note replaces and restates the original three Revolving Credit Notes, dated on or about December 7, 1999, each in the maximum amount of $3,333,333.00, given by Borrowers (except CECO Abatement Systems, Inc. who became a Borrower under such Notes pursuant to the terms of the Fourth Amendment to Credit Agreement, dated as of August 20, 2001) to each of the Banks to evidence the Revolving Credit Loan pursuant to the Amended Credit Agreement and that the prior Revolving Credit Notes from Borrowers to PNC and Bank One were assigned by PNC and Bank One to Fifth Third pursuant to the Intercreditor Agreement, dated as of November 13, 2003. The parties hereto further agree that the Replacement Note shall be treated as the Revolving Credit Note(s) and shall evidence the Revolving Credit Loan(s) for all purposes of the Amended Credit Agreement and shall be entitled to all collateral and security afforded the prior Revolving Credit Notes for all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5. </w:t>
      </w:r>
      <w:r>
        <w:rPr>
          <w:rFonts w:ascii="Times New Roman" w:hAnsi="Times New Roman"/>
          <w:sz w:val="20"/>
          <w:u w:val="single"/>
        </w:rPr>
        <w:t>Consent of Banks</w:t>
      </w:r>
      <w:r>
        <w:rPr>
          <w:rFonts w:ascii="Times New Roman" w:hAnsi="Times New Roman"/>
          <w:sz w:val="20"/>
        </w:rPr>
        <w:t xml:space="preserve">. Bank One and PNC consent to the modifications in the Amended Credit Agreement set forth in paragraph 3 above. Fifth Third continues to be solely responsible for the Revolving Credit Commitment as provided in the Intercreditor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sz w:val="20"/>
          <w:u w:val="single"/>
        </w:rPr>
        <w:t>Extension Fees</w:t>
      </w:r>
      <w:r>
        <w:rPr>
          <w:rFonts w:ascii="Times New Roman" w:hAnsi="Times New Roman"/>
          <w:sz w:val="20"/>
        </w:rPr>
        <w:t xml:space="preserve">. Upon execution of this Amendment, Borrowers shall pay to: (i) Fifth Third, a Waiver and Extension Fee in the amount of $10,000; (ii) PNC, a Waiver Fee in the amount of $2,500; and (iii) Bank One, a Wavier Fee in the amount of $2,500.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sz w:val="20"/>
          <w:u w:val="single"/>
        </w:rPr>
        <w:t>Amendment to the Loan Documents</w:t>
      </w:r>
      <w:r>
        <w:rPr>
          <w:rFonts w:ascii="Times New Roman" w:hAnsi="Times New Roman"/>
          <w:sz w:val="20"/>
        </w:rPr>
        <w:t xml:space="preserve">. All references to the Credit Agreement in the Loan Documents and in any documents executed in connection therewith shall be deemed to refer to the Credit Agreement as amended by this Amendment and all prior amendments to the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sz w:val="20"/>
          <w:u w:val="single"/>
        </w:rPr>
        <w:t>Ratification of the Loan Documents</w:t>
      </w:r>
      <w:r>
        <w:rPr>
          <w:rFonts w:ascii="Times New Roman" w:hAnsi="Times New Roman"/>
          <w:sz w:val="20"/>
        </w:rPr>
        <w:t xml:space="preserve">.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Each Borrower hereby certifies that (i) the representations and warranties of such Borrower in the Credit Agreement as previously amended and as amended herein, are true and correct in all material respects as of the date hereof, as if made on the date hereof, 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 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Each Borrower further represents that it has all the requisite power and authority to enter into and to perform its obligations under this 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Each Borrower also further represents that there have been no changes to the Articles of Incorporation, by-laws or other organizational documents of each such Borrower since the most recent date true and correct copies thereof were delivered to the Agent.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sz w:val="20"/>
          <w:u w:val="single"/>
        </w:rPr>
        <w:t>Conditions Precedent</w:t>
      </w:r>
      <w:r>
        <w:rPr>
          <w:rFonts w:ascii="Times New Roman" w:hAnsi="Times New Roman"/>
          <w:sz w:val="20"/>
        </w:rPr>
        <w:t xml:space="preserve">. The effectiveness of the amendments and waivers set forth herein are subject to the fulfillment, to the satisfaction of the Banks and their counsel, of the following conditions precedent: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The Borrowers shall have delivered to the Banks the following, all of which shall be in form and substance satisfactory to the Banks and shall be duly completed and executed: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This Amendment and the consents of the Guarantor and the Subordinated Creditors as attached 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(ii) The Amended and Restated Revolving Credit Note in the form attached hereto;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(iii) Such additional documents, certificates and information as the Banks may require pursuant to the terms hereof or otherwise reasonably request.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After giving effect to the amendments and waivers contained herein, the representations and warranties set forth in the Amended Credit Agreement shall be true and correct on and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After giving effect to the amendments and waivers contained herein, no Event of Default hereunder, and no event which, with the passage of time or the giving of notice, or both, would become such an Event of Default shall have occurred and be continuing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The Borrowers shall have paid the Waiver and Extension Fees which are due upon execution of this Amendment as provided in paragraph 5 above and the reasonable fees and disbursements of the Banks counsel incurred in connection with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No Waiver</w:t>
      </w:r>
      <w:r>
        <w:rPr>
          <w:rFonts w:ascii="Times New Roman" w:hAnsi="Times New Roman"/>
          <w:sz w:val="20"/>
        </w:rPr>
        <w:t xml:space="preserve">. Except as expressly provided herein, this Amendment and anything contained herein or provided for herein does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Amended Credit Agreement or any other Loan Document or constitute a waiver of any of the Agents or the Banks other rights or remedies.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Waiver and Release</w:t>
      </w:r>
      <w:r>
        <w:rPr>
          <w:rFonts w:ascii="Times New Roman" w:hAnsi="Times New Roman"/>
          <w:sz w:val="20"/>
        </w:rPr>
        <w:t xml:space="preserve">.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Documents and any course of dealing among the parties not in compliance with those agreements from the inception of the Credit Agreement whether known or unknown through the date of execution and delivery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Effective Date</w:t>
      </w:r>
      <w:r>
        <w:rPr>
          <w:rFonts w:ascii="Times New Roman" w:hAnsi="Times New Roman"/>
          <w:sz w:val="20"/>
        </w:rPr>
        <w:t xml:space="preserve">.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executed this Amendment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92"/>
        <w:gridCol w:w="72"/>
        <w:gridCol w:w="3418"/>
      </w:tblGrid>
      <w:tr>
        <w:trPr/>
        <w:tc>
          <w:tcPr>
            <w:tcW w:w="59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341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AIR PURATOR CORPORATION</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THE KIRK &amp; BLUM MANUFACTURING</w:t>
            </w:r>
          </w:p>
          <w:p>
            <w:pPr>
              <w:pStyle w:val="TableContents"/>
              <w:spacing w:before="0" w:after="15"/>
              <w:rPr>
                <w:rFonts w:ascii="Times New Roman" w:hAnsi="Times New Roman"/>
                <w:sz w:val="20"/>
              </w:rPr>
            </w:pPr>
            <w:r>
              <w:rPr>
                <w:rFonts w:ascii="Times New Roman" w:hAnsi="Times New Roman"/>
                <w:sz w:val="20"/>
              </w:rPr>
              <w:t>COMPANY</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486"/>
        <w:gridCol w:w="64"/>
        <w:gridCol w:w="3532"/>
      </w:tblGrid>
      <w:tr>
        <w:trPr/>
        <w:tc>
          <w:tcPr>
            <w:tcW w:w="48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353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Treasurer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PNC BANK, NATIONAL ASSOCIATION, as</w:t>
            </w:r>
          </w:p>
          <w:p>
            <w:pPr>
              <w:pStyle w:val="TableContents"/>
              <w:spacing w:before="0" w:after="15"/>
              <w:rPr>
                <w:rFonts w:ascii="Times New Roman" w:hAnsi="Times New Roman"/>
                <w:sz w:val="20"/>
              </w:rPr>
            </w:pPr>
            <w:r>
              <w:rPr>
                <w:rFonts w:ascii="Times New Roman" w:hAnsi="Times New Roman"/>
                <w:sz w:val="20"/>
              </w:rPr>
              <w:t>Agent and as a Bank</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William C. Miles</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William C. Miles</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BANK, as a Bank</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David G. Fuller</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David G. Fuller</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BANK ONE, NA, as a Bank</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0"/>
              <w:rPr>
                <w:rFonts w:ascii="Times New Roman" w:hAnsi="Times New Roman"/>
                <w:sz w:val="20"/>
              </w:rPr>
            </w:pPr>
            <w:r>
              <w:rPr>
                <w:rFonts w:ascii="Times New Roman" w:hAnsi="Times New Roman"/>
                <w:sz w:val="20"/>
              </w:rPr>
              <w:t>/s/ Jeffrey C. Nicholson</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Jeffrey C. Nicholson</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2" w:type="dxa"/>
            <w:tcBorders/>
            <w:shd w:fill="auto" w:val="clear"/>
          </w:tcPr>
          <w:p>
            <w:pPr>
              <w:pStyle w:val="TableContents"/>
              <w:spacing w:before="0" w:after="283"/>
              <w:rPr>
                <w:rFonts w:ascii="Times New Roman" w:hAnsi="Times New Roman"/>
                <w:sz w:val="20"/>
              </w:rPr>
            </w:pPr>
            <w:r>
              <w:rPr>
                <w:rFonts w:ascii="Times New Roman" w:hAnsi="Times New Roman"/>
                <w:sz w:val="20"/>
              </w:rPr>
              <w:t>First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TextBody"/>
        <w:spacing w:before="0" w:after="0"/>
        <w:jc w:val="right"/>
        <w:rPr>
          <w:rFonts w:ascii="Times New Roman" w:hAnsi="Times New Roman"/>
          <w:b/>
          <w:sz w:val="20"/>
        </w:rPr>
      </w:pPr>
      <w:bookmarkStart w:id="19" w:name="dex1054.htm"/>
      <w:bookmarkStart w:id="20" w:name="ksdex1054"/>
      <w:bookmarkEnd w:id="19"/>
      <w:bookmarkEnd w:id="20"/>
      <w:r>
        <w:rPr>
          <w:rFonts w:ascii="Times New Roman" w:hAnsi="Times New Roman"/>
          <w:b/>
          <w:sz w:val="20"/>
        </w:rPr>
        <w:t xml:space="preserve">Exhibit 10.54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REVOLVING CREDIT NOTE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6"/>
        <w:gridCol w:w="714"/>
        <w:gridCol w:w="4695"/>
      </w:tblGrid>
      <w:tr>
        <w:trPr/>
        <w:tc>
          <w:tcPr>
            <w:tcW w:w="479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4695"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$10,000,000.00</w:t>
            </w:r>
          </w:p>
        </w:tc>
        <w:tc>
          <w:tcPr>
            <w:tcW w:w="714" w:type="dxa"/>
            <w:tcBorders/>
            <w:shd w:fill="auto" w:val="clear"/>
            <w:vAlign w:val="bottom"/>
          </w:tcPr>
          <w:p>
            <w:pPr>
              <w:pStyle w:val="TableContents"/>
              <w:spacing w:before="0" w:after="283"/>
              <w:rPr/>
            </w:pPr>
            <w:r>
              <w:rPr/>
              <w:t>  </w:t>
            </w:r>
          </w:p>
        </w:tc>
        <w:tc>
          <w:tcPr>
            <w:tcW w:w="46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w:t>
            </w:r>
          </w:p>
        </w:tc>
      </w:tr>
      <w:tr>
        <w:trPr/>
        <w:tc>
          <w:tcPr>
            <w:tcW w:w="479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46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November 10, 2004</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VALUE RECEIVED, the undersigned (collectively, the Borrowers), hereby promise, jointly and severally, to pay to the order of Fifth Third Bank (the Bank), at its office at Fifth Third Center, MD 109052, Cincinnati, Ohio 45263, on the Termination Date (as defined in the Agreement referred to below), the lesser of the principal sum of Ten Million Dollars ($10,000,000.00) and the aggregate unpaid principal amount of the Revolving Credit Loan made by the Bank to the Borrowers pursuant to Section 2.1 of the Credit Agreement dated as of December 7, 1999, as subsequently amended, among the Borrowers and the banks party thereto (as amended, supplemented or otherwise modified form time to time (including hereafter modified), the Agreement), in lawful money of the United States of America in immediately available funds, and to pay interest from the date of disbursement thereof on such principal amount from time to time outstanding, in like funds, at said office, at a rate or rates per annum and payable ion the dates determined pursuant to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holder of this Note is authorized to endorse on a schedule attached hereto and made a part hereof or on a continuation thereof which shall be attached hereto and made a part hereof all borrowings evidenced by this Note, the length of each interest period with respect thereto and all payments and repayments of the principal hereof and interest hereon and the respective dates thereof, or to otherwise record such information in its internal records, and any such endorsement or recordation shall constitute </w:t>
      </w:r>
      <w:r>
        <w:rPr>
          <w:rFonts w:ascii="Times New Roman" w:hAnsi="Times New Roman"/>
          <w:i/>
          <w:sz w:val="20"/>
        </w:rPr>
        <w:t>prima</w:t>
      </w:r>
      <w:r>
        <w:rPr>
          <w:rFonts w:ascii="Times New Roman" w:hAnsi="Times New Roman"/>
          <w:sz w:val="20"/>
        </w:rPr>
        <w:t xml:space="preserve"> </w:t>
      </w:r>
      <w:r>
        <w:rPr>
          <w:rFonts w:ascii="Times New Roman" w:hAnsi="Times New Roman"/>
          <w:i/>
          <w:sz w:val="20"/>
        </w:rPr>
        <w:t>facie</w:t>
      </w:r>
      <w:r>
        <w:rPr>
          <w:rFonts w:ascii="Times New Roman" w:hAnsi="Times New Roman"/>
          <w:sz w:val="20"/>
        </w:rPr>
        <w:t xml:space="preserve"> evidence of the accuracy of the information so recorded;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the holder hereof to make any such endorsement or recordation or any error in such endorsement or recordation shall not in any manner affect the obligations of the Borrowers to make payment of principal and interest in accordance with the terms of this Note and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Amended and Restated Revolving Credit Note amends, consolidates, replaces and restates the three Revolving Credit Notes, each dated on or about December 7, 1999, and each in the original maximum amount of $3,333,333.00 from Borrowers (except CECO Abatement Systems, Inc., who became one of Borrowers pursuant to the Fourth Amendment to Credit Agreement, dated as of August 20, 2001) to Bank, PNC Bank, National Association (PNC) and Bank One, N.A. (Bank One). The Revolving Credit Notes from Borrowers to PNC and Bank One were previously assigned by PNC and Bank One to Bank pursuant to that certain Intercreditor Agreement dated as of November 13, 2003. For all purposes of the Agreement, this Note is the Revolving Credit Note(s) and the loan evidence by this Note is the Revolving Credit Loan(s). This Note replaces the prior three Revolving Credit Notes and is entitled to all of the benefits of the prior three Revolving Credit Notes, all of the collateral therefore and all rights and benefits of the prior three Revolving Credit Notes under the Agreement (as previously amended and as hereinafter amended).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This Note is the Revovling Credit Note referred to in, evidences indebtedness incurred under, and is entitled to the benefits of the Agreement. The Agreement, among other things, contains provisions for the acceleration of the maturity hereof upon the happening of certain events, for a higher rate of interest on past due amounts and for the amendment or waiver of certain provisions of the Agreement, all upon the terms and conditions therein specified.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Borrowers hereby waive diligence, presentment, demand, protest, and notice of any kind whatsoever. The nonexercise by the holder of any of its rights hereunder in any particular instance shall not constitute a wavier thereof in that or any subsequent instance.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Note shall be construed and interpretated in accordance with and governed by the laws of the State of Ohio. Capitalized terms not otherwise defined herein shall have the meanings set forth in the Agreement.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92"/>
        <w:gridCol w:w="72"/>
        <w:gridCol w:w="3418"/>
      </w:tblGrid>
      <w:tr>
        <w:trPr/>
        <w:tc>
          <w:tcPr>
            <w:tcW w:w="59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341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AIR PURATOR CORPORATION</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THE KIRK &amp; BLUM MANUFACTURING</w:t>
            </w:r>
          </w:p>
          <w:p>
            <w:pPr>
              <w:pStyle w:val="TableContents"/>
              <w:spacing w:before="0" w:after="15"/>
              <w:rPr>
                <w:rFonts w:ascii="Times New Roman" w:hAnsi="Times New Roman"/>
                <w:sz w:val="20"/>
              </w:rPr>
            </w:pPr>
            <w:r>
              <w:rPr>
                <w:rFonts w:ascii="Times New Roman" w:hAnsi="Times New Roman"/>
                <w:sz w:val="20"/>
              </w:rPr>
              <w:t>COMPANY</w:t>
            </w:r>
          </w:p>
        </w:tc>
      </w:tr>
      <w:tr>
        <w:trPr>
          <w:trHeight w:val="240" w:hRule="atLeast"/>
        </w:trPr>
        <w:tc>
          <w:tcPr>
            <w:tcW w:w="592" w:type="dxa"/>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72"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bl>
    <w:p>
      <w:pPr>
        <w:pStyle w:val="HorizontalLine"/>
        <w:pBdr>
          <w:bottom w:val="double" w:sz="6" w:space="0" w:color="999999"/>
        </w:pBdr>
        <w:rPr/>
      </w:pPr>
      <w:r>
        <w:br w:type="page"/>
      </w:r>
      <w:r>
        <w:rPr/>
      </w:r>
    </w:p>
    <w:tbl>
      <w:tblPr>
        <w:tblW w:w="2000" w:type="pct"/>
        <w:jc w:val="right"/>
        <w:tblInd w:w="0" w:type="dxa"/>
        <w:tblCellMar>
          <w:top w:w="0" w:type="dxa"/>
          <w:left w:w="0" w:type="dxa"/>
          <w:bottom w:w="0" w:type="dxa"/>
          <w:right w:w="0" w:type="dxa"/>
        </w:tblCellMar>
      </w:tblPr>
      <w:tblGrid>
        <w:gridCol w:w="496"/>
        <w:gridCol w:w="66"/>
        <w:gridCol w:w="3520"/>
      </w:tblGrid>
      <w:tr>
        <w:trPr/>
        <w:tc>
          <w:tcPr>
            <w:tcW w:w="49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352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Treasurer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6" w:type="dxa"/>
            <w:tcBorders/>
            <w:shd w:fill="auto" w:val="clear"/>
            <w:vAlign w:val="bottom"/>
          </w:tcPr>
          <w:p>
            <w:pPr>
              <w:pStyle w:val="TableContents"/>
              <w:spacing w:before="0" w:after="283"/>
              <w:rPr/>
            </w:pPr>
            <w:r>
              <w:rPr/>
              <w:t> </w:t>
            </w:r>
          </w:p>
        </w:tc>
        <w:tc>
          <w:tcPr>
            <w:tcW w:w="3520" w:type="dxa"/>
            <w:tcBorders/>
            <w:shd w:fill="auto" w:val="clear"/>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r>
        <w:br w:type="page"/>
      </w:r>
    </w:p>
    <w:p>
      <w:pPr>
        <w:pStyle w:val="TextBody"/>
        <w:spacing w:before="0" w:after="0"/>
        <w:jc w:val="right"/>
        <w:rPr>
          <w:rFonts w:ascii="Times New Roman" w:hAnsi="Times New Roman"/>
          <w:b/>
          <w:sz w:val="20"/>
        </w:rPr>
      </w:pPr>
      <w:bookmarkStart w:id="21" w:name="dex311.htm"/>
      <w:bookmarkStart w:id="22" w:name="ksdex311"/>
      <w:bookmarkEnd w:id="21"/>
      <w:bookmarkEnd w:id="22"/>
      <w:r>
        <w:rPr>
          <w:rFonts w:ascii="Times New Roman" w:hAnsi="Times New Roman"/>
          <w:b/>
          <w:sz w:val="20"/>
        </w:rPr>
        <w:t xml:space="preserve">Exhibit 31.1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15, 2004</w:t>
            </w:r>
          </w:p>
        </w:tc>
      </w:tr>
    </w:tbl>
    <w:p>
      <w:pPr>
        <w:pStyle w:val="TextBody"/>
        <w:spacing w:before="0" w:after="0"/>
        <w:jc w:val="right"/>
        <w:rPr>
          <w:rFonts w:ascii="Times New Roman" w:hAnsi="Times New Roman"/>
          <w:b/>
          <w:sz w:val="20"/>
        </w:rPr>
      </w:pPr>
      <w:r>
        <w:br w:type="page"/>
      </w:r>
      <w:bookmarkStart w:id="23" w:name="dex312.htm"/>
      <w:bookmarkStart w:id="24" w:name="ksdex312"/>
      <w:bookmarkEnd w:id="23"/>
      <w:bookmarkEnd w:id="24"/>
      <w:r>
        <w:rPr>
          <w:rFonts w:ascii="Times New Roman" w:hAnsi="Times New Roman"/>
          <w:b/>
          <w:sz w:val="20"/>
        </w:rPr>
        <w:t xml:space="preserve">Exhibit 31.2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Marshall J. Morris,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15, 2004</w:t>
            </w:r>
          </w:p>
        </w:tc>
      </w:tr>
    </w:tbl>
    <w:p>
      <w:pPr>
        <w:pStyle w:val="TextBody"/>
        <w:spacing w:before="0" w:after="0"/>
        <w:jc w:val="right"/>
        <w:rPr>
          <w:rFonts w:ascii="Times New Roman" w:hAnsi="Times New Roman"/>
          <w:b/>
          <w:sz w:val="20"/>
        </w:rPr>
      </w:pPr>
      <w:r>
        <w:br w:type="page"/>
      </w:r>
      <w:bookmarkStart w:id="25" w:name="dex321.htm"/>
      <w:bookmarkStart w:id="26" w:name="ksdex321"/>
      <w:bookmarkEnd w:id="25"/>
      <w:bookmarkEnd w:id="26"/>
      <w:r>
        <w:rPr>
          <w:rFonts w:ascii="Times New Roman" w:hAnsi="Times New Roman"/>
          <w:b/>
          <w:sz w:val="20"/>
        </w:rPr>
        <w:t xml:space="preserve">Exhibit 32.1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September 30, 2004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15, 2004</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r>
        <w:br w:type="page"/>
      </w:r>
    </w:p>
    <w:p>
      <w:pPr>
        <w:pStyle w:val="TextBody"/>
        <w:spacing w:before="0" w:after="0"/>
        <w:jc w:val="right"/>
        <w:rPr>
          <w:rFonts w:ascii="Times New Roman" w:hAnsi="Times New Roman"/>
          <w:b/>
          <w:sz w:val="20"/>
        </w:rPr>
      </w:pPr>
      <w:bookmarkStart w:id="27" w:name="dex322.htm"/>
      <w:bookmarkStart w:id="28" w:name="ksdex322"/>
      <w:bookmarkEnd w:id="27"/>
      <w:bookmarkEnd w:id="28"/>
      <w:r>
        <w:rPr>
          <w:rFonts w:ascii="Times New Roman" w:hAnsi="Times New Roman"/>
          <w:b/>
          <w:sz w:val="20"/>
        </w:rPr>
        <w:t xml:space="preserve">Exhibit 32.2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September 30, 2004 as filed with the Securities and Exchange Commission on the date hereof (the Report), I, Marshall J. Morris,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15, 2004</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14877</Words>
  <CharactersWithSpaces>92261</CharactersWithSpaces>
  <Paragraphs>2922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