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61358.htm"/>
      <w:bookmarkStart w:id="1" w:name="ksrrd61358"/>
      <w:bookmarkStart w:id="2" w:name="rrd61358.htm"/>
      <w:bookmarkStart w:id="3" w:name="ksrrd61358"/>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12/13/2004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2"/>
        <w:gridCol w:w="304"/>
        <w:gridCol w:w="3879"/>
      </w:tblGrid>
      <w:tr>
        <w:trPr/>
        <w:tc>
          <w:tcPr>
            <w:tcW w:w="6022"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4"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2"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4"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2" w:type="dxa"/>
            <w:tcBorders/>
            <w:shd w:fill="auto" w:val="clear"/>
          </w:tcPr>
          <w:p>
            <w:pPr>
              <w:pStyle w:val="TableContents"/>
              <w:spacing w:before="0" w:after="0"/>
              <w:jc w:val="center"/>
              <w:rPr/>
            </w:pPr>
            <w:r>
              <w:rPr>
                <w:rFonts w:ascii="times New Roman" w:hAnsi="times New Roman"/>
                <w:b/>
                <w:color w:val="000000"/>
                <w:sz w:val="20"/>
              </w:rPr>
              <w:t>Incorporation or Organization)</w:t>
            </w:r>
            <w:r>
              <w:rPr/>
              <w:t xml:space="preserve"> </w:t>
            </w:r>
          </w:p>
        </w:tc>
        <w:tc>
          <w:tcPr>
            <w:tcW w:w="304"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(Registrants Telephone Number, Including Area Code)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Act(17CFR240.14a-12)</w:t>
        <w:br/>
        <w:br/>
        <w:t>[  ]   Pre-commencement communications pursuant to Rule 14d-2(b) under the Exchange Act(17CFR240.14d-2(b))</w:t>
        <w:br/>
        <w:br/>
        <w:t xml:space="preserve">[  ]   Pre-commencement communications pursuant to Rule 13e-4(c) under the Exchange Act(17CFR240.13e-4(c))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Items to be Included in this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5.02.    Departure of Directors or Principal Officers; Election of Directors; Appointment of Principal Officers</w:t>
      </w:r>
      <w:r>
        <w:rPr/>
        <w:t xml:space="preserve"> </w:t>
      </w:r>
    </w:p>
    <w:p>
      <w:pPr>
        <w:pStyle w:val="TextBody"/>
        <w:spacing w:before="0" w:after="0"/>
        <w:rPr/>
      </w:pPr>
      <w:r>
        <w:rPr/>
        <w:t xml:space="preserve">  </w:t>
      </w:r>
    </w:p>
    <w:p>
      <w:pPr>
        <w:pStyle w:val="TextBody"/>
        <w:jc w:val="left"/>
        <w:rPr>
          <w:color w:val="000000"/>
        </w:rPr>
      </w:pPr>
      <w:r>
        <w:rPr>
          <w:color w:val="000000"/>
        </w:rPr>
        <w:t>CECO Environmental Corp. (the "Company") has hired Dennis W. Blazer as its new Chief Financial Officer, effective December 13, 2004. Mr. Blazer, age 57, served as Chief Financial Officer of Interlott Technologies, Inc. ("Interlott"), from 1998 until its merger with GTECH Corporation ("GTECH")in September 2003. Interlott was a company engaged primarily in the design, manufacture, sale, lease and service of instant-winner lottery ticket vending machines. Interlott's stock traded on the American Stock Exchange. Following the merger, Mr. Blazer served as temporary CFO of the Interlott division and as a consultant to GTECH, until his resignation as such CFO in November of 2003. He continued to provide consulting services to GTECH through April 2004. Mr. Blazer is a certified public accountant.</w:t>
      </w:r>
    </w:p>
    <w:p>
      <w:pPr>
        <w:pStyle w:val="TextBody"/>
        <w:jc w:val="left"/>
        <w:rPr>
          <w:color w:val="000000"/>
        </w:rPr>
      </w:pPr>
      <w:r>
        <w:rPr>
          <w:color w:val="000000"/>
        </w:rPr>
        <w:t xml:space="preserve">The Company has not entered into a written employment agreement with Mr. Blazer. The company has agreed to pay Mr. Blazer $130,000 salary on an annual basis for his first six months, which will increase to $150,000 o n an annual basis for the following six months. One year from the date of his hire his annual salary will be increased to $160,000. </w:t>
      </w:r>
    </w:p>
    <w:p>
      <w:pPr>
        <w:pStyle w:val="TextBody"/>
        <w:spacing w:before="0" w:after="0"/>
        <w:jc w:val="left"/>
        <w:rPr/>
      </w:pPr>
      <w:r>
        <w:rPr>
          <w:rFonts w:ascii="times New Roman" w:hAnsi="times New Roman"/>
          <w:color w:val="000000"/>
          <w:sz w:val="20"/>
        </w:rPr>
        <w:t>The Company has also agreed, subject to the approval of the stock option plan committee, to issue Mr. Blazer options to purchase 50,000 shares of stock with an exercise price of $3.35 per share. This option is exercisable in four equal annual installments of 12,500 shares commencing December 13, 2005.</w:t>
      </w:r>
      <w:r>
        <w:rPr/>
        <w:t xml:space="preserve"> </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57"/>
        <w:gridCol w:w="313"/>
        <w:gridCol w:w="1458"/>
        <w:gridCol w:w="312"/>
        <w:gridCol w:w="208"/>
        <w:gridCol w:w="313"/>
        <w:gridCol w:w="312"/>
        <w:gridCol w:w="312"/>
        <w:gridCol w:w="5520"/>
      </w:tblGrid>
      <w:tr>
        <w:trPr/>
        <w:tc>
          <w:tcPr>
            <w:tcW w:w="3228" w:type="dxa"/>
            <w:gridSpan w:val="3"/>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3228" w:type="dxa"/>
            <w:gridSpan w:val="3"/>
            <w:tcBorders/>
            <w:shd w:fill="auto" w:val="clear"/>
          </w:tcPr>
          <w:p>
            <w:pPr>
              <w:pStyle w:val="TableContents"/>
              <w:spacing w:before="0" w:after="0"/>
              <w:rPr/>
            </w:pPr>
            <w:r>
              <w:rPr>
                <w:rFonts w:ascii="times New Roman" w:hAnsi="times New Roman"/>
                <w:color w:val="000000"/>
                <w:sz w:val="20"/>
              </w:rPr>
              <w:t>Date: December 14, 2004.</w:t>
            </w:r>
            <w:r>
              <w:rPr/>
              <w:t xml:space="preserve"> </w:t>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/s/    Phillip DeZwirek</w:t>
            </w:r>
            <w:r>
              <w:rPr/>
              <w:t xml:space="preserve"> </w:t>
            </w:r>
          </w:p>
          <w:p>
            <w:pPr>
              <w:pStyle w:val="HorizontalLine"/>
              <w:pBdr>
                <w:bottom w:val="single" w:sz="20" w:space="0" w:color="000000"/>
              </w:pBdr>
              <w:spacing w:before="0" w:after="283"/>
              <w:rPr/>
            </w:pPr>
            <w:r>
              <w:rPr/>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Phillip DeZwirek</w:t>
            </w:r>
            <w:r>
              <w:rPr/>
              <w:t xml:space="preserve"> </w:t>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Chief Executive Officer</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479</Words>
  <CharactersWithSpaces>3241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