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Jason DeZwirek</w:t>
      </w:r>
    </w:p>
    <w:p>
      <w:pPr>
        <w:spacing w:after="0" w:line="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0000FF"/>
        </w:rPr>
        <w:t>127 Davenport Road,</w:t>
      </w:r>
    </w:p>
    <w:p>
      <w:pPr>
        <w:ind w:left="3760"/>
        <w:spacing w:after="0" w:line="230" w:lineRule="auto"/>
        <w:rPr>
          <w:sz w:val="20"/>
          <w:szCs w:val="20"/>
          <w:color w:val="auto"/>
        </w:rPr>
      </w:pPr>
      <w:r>
        <w:rPr>
          <w:rFonts w:ascii="Times New Roman" w:cs="Times New Roman" w:eastAsia="Times New Roman" w:hAnsi="Times New Roman"/>
          <w:sz w:val="22"/>
          <w:szCs w:val="22"/>
          <w:b w:val="1"/>
          <w:bCs w:val="1"/>
          <w:color w:val="0000FF"/>
        </w:rPr>
        <w:t>Toronto, A6, M5R 1H8</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(214) 357-6181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125141101</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Jason DeZwirek</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4,198,111.00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4,198,111.00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4,198,111.00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125141101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Icarus Investment Corp.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ONTARIO, CANADA</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2,770,546.00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2,770,546.00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2,770,546.00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125141101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0to100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6979"/>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spacing w:after="0" w:line="7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200,000.00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CECO ENVIRONMENTAL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5080 Spectrum Drive, Suite 800E, Addison, TEXAS , 75001.</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18 to Schedule 13D amends and supplements (where indicated) the Schedule 13D originally</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filed by the Reporting Persons (as defined herein), as amended from time to time (the "Statement"), with respect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shares of Common Stock. Unless otherwise indicated, capitalized terms used herein shall have the meanings set forth in the Statement. Except as specifically amended and supplemented by this Amendment No. 18, the Schedule</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13D remains in full force and effect.</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This Statement is being filed by Jason DeZwirek ("Mr. DeZwirek"), Icarus Investment Corp. ("Icarus") and 0to100</w:t>
      </w:r>
    </w:p>
    <w:p>
      <w:pPr>
        <w:spacing w:after="0" w:line="14" w:lineRule="exact"/>
        <w:rPr>
          <w:sz w:val="20"/>
          <w:szCs w:val="20"/>
          <w:color w:val="auto"/>
        </w:rPr>
      </w:pPr>
    </w:p>
    <w:p>
      <w:pPr>
        <w:ind w:left="920" w:right="16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Inc. ("0to100" and each, a "Reporting Person" and collectively, the "Reporting Persons"). The Reporting Persons are making this single, joint filing and the agreement among the Reporting Persons to file jointly is attached hereto Exhibit 99.1.</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business address of the Reporting Persons is 127 Davenport Road, Toronto, Ontario, Canada M5R 1H8.</w:t>
      </w:r>
    </w:p>
    <w:p>
      <w:pPr>
        <w:spacing w:after="0" w:line="55" w:lineRule="exact"/>
        <w:rPr>
          <w:rFonts w:ascii="Times New Roman" w:cs="Times New Roman" w:eastAsia="Times New Roman" w:hAnsi="Times New Roman"/>
          <w:sz w:val="21"/>
          <w:szCs w:val="21"/>
          <w:color w:val="auto"/>
        </w:rPr>
      </w:pPr>
    </w:p>
    <w:p>
      <w:pPr>
        <w:ind w:left="920" w:right="92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Each of Icarus and 0to100 is principally engaged in the business of being a holding company and managing investments. The present principal occupation of Mr. DeZwirek is being an officer of Icarus and 0to100.</w:t>
      </w:r>
    </w:p>
    <w:p>
      <w:pPr>
        <w:spacing w:after="0" w:line="17" w:lineRule="exact"/>
        <w:rPr>
          <w:rFonts w:ascii="Times New Roman" w:cs="Times New Roman" w:eastAsia="Times New Roman" w:hAnsi="Times New Roman"/>
          <w:sz w:val="39"/>
          <w:szCs w:val="39"/>
          <w:color w:val="auto"/>
          <w:vertAlign w:val="subscript"/>
        </w:rPr>
      </w:pPr>
    </w:p>
    <w:p>
      <w:pPr>
        <w:ind w:left="920" w:right="1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the Reporting Persons have not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the Reporting Persons have not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6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are not subject to a judgment, decree or final order enjoining future violations of, or prohibiting or mandating activities subject to, federal or state securities laws, and there has been no such finding of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right="7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Each of Icarus and 0to100 are corporations incorporated and existing in Ontario. Mr. DeZwirek is a citizen of Canada.</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60"/>
        <w:spacing w:after="0" w:line="244" w:lineRule="auto"/>
        <w:rPr>
          <w:sz w:val="20"/>
          <w:szCs w:val="20"/>
          <w:color w:val="auto"/>
        </w:rPr>
      </w:pPr>
      <w:r>
        <w:rPr>
          <w:rFonts w:ascii="Times New Roman" w:cs="Times New Roman" w:eastAsia="Times New Roman" w:hAnsi="Times New Roman"/>
          <w:sz w:val="21"/>
          <w:szCs w:val="21"/>
          <w:color w:val="auto"/>
        </w:rPr>
        <w:t>Item 4 of the Schedule 13D is hereby amended and supplemented by adding the following at the end thereof: On February 23, 2026, the Issuer, Longhorn Merger Sub Inc., a Delaware corporation and wholly owned subsidiary of the Issuer ("Merger Sub Inc."), and Longhorn Merger Sub LLC, a Delaware limited liability company and wholly owned subsidiary of the Issuer ("Merger Sub LLC"), and Thermon Group Holdings, Inc., a Delaware corporation ("Thermon") entered into an Agreement and Plan of Merger, dated as of February 23, 2026 (the "Merger Agreement"), which provided for, among other things, (i) the merger of Merger Sub Inc. with and into Thermon, with Thermon continuing as the surviving entity (the "Surviving Corporation") (the "First Merger") and (ii) immediately following the First Merger, the merger of the Surviving Corporation with and into Merger Sub LLC, with Merger Sub LLC continuing as the surviving entity (the "Surviving Company") (together with the First Merger, the "Mergers"). Concurrently with the execution of the Merger Agreement, on February 23, 2026, the Reporting Persons entered into a Voting Agreement with the Issuer and Thermon (the "Voting Agreement"), pursuant to which the Reporting Persons have agreed, among other things and subject to certain restrictions, (i) not to transfer any of the (A) 2,770,546 shares of Common Stock of which Icarus is a record owner, (B) 200,000 shares of Common Stock of which 0to100 is a record owner or (C) 4,198,111 of the shares of Common Stock of which Mr. DeZwirek may be deemed to be the beneficial owner within the meaning of Rule 13d-3 under the Act (the "Securities"); (ii) not to deposit any such Securities into a voting trust or enter into a voting agreement or arrangement with respect to such Securities or grant</w:t>
      </w:r>
    </w:p>
    <w:p>
      <w:pPr>
        <w:sectPr>
          <w:pgSz w:w="11900" w:h="16917" w:orient="portrait"/>
          <w:cols w:equalWidth="0" w:num="1">
            <w:col w:w="11160"/>
          </w:cols>
          <w:pgMar w:left="360" w:top="112" w:right="379" w:bottom="0" w:gutter="0" w:footer="0" w:header="0"/>
        </w:sectPr>
      </w:pPr>
    </w:p>
    <w:bookmarkStart w:id="4" w:name="page5"/>
    <w:bookmarkEnd w:id="4"/>
    <w:p>
      <w:pPr>
        <w:ind w:left="920"/>
        <w:spacing w:after="0" w:line="231" w:lineRule="auto"/>
        <w:rPr>
          <w:sz w:val="20"/>
          <w:szCs w:val="20"/>
          <w:color w:val="auto"/>
        </w:rPr>
      </w:pPr>
      <w:r>
        <w:rPr>
          <w:rFonts w:ascii="Times New Roman" w:cs="Times New Roman" w:eastAsia="Times New Roman" w:hAnsi="Times New Roman"/>
          <w:sz w:val="22"/>
          <w:szCs w:val="22"/>
          <w:color w:val="auto"/>
        </w:rPr>
        <w:t>any proxy or power of attorney with respect thereto (except as otherwise provided in the Voting Agreement); (iii) that any additional equity securities (or any right or interest therein) of Issuer that the Reporting Persons purchase or otherwise acquire or with respect to which the Reporting Persons otherwise acquire voting power after the execution of the Voting Agreement and prior to the earlier of (A) the termination of the Merger Agreement, (B) the effective time of the Mergers, (C) the date the approval of the Issuer's stockholders (the "Company Stockholders") is obtained with respect to the issuance of Common Stock in connection with the Mergers (the "Stock Issuance"), (D) the occurrence of Parent Adverse Recommendation Change (as defined in the Merger Agreement), or (E) the date on which the Merger Agreement is amended in a manner that increases the amount or changes the form of the Merger Consideration payable, extends the Outside Date or otherwise adversely affects the Reporting Persons (solely in their capacity as holders of Securities) in any material respect, in each case, without the written consent of the Reporting Persons (clauses (A)-(E), the "Termination Date") shall be subject to the terms and conditions of the Voting Agreement to the same extent as if they constituted the Securities; (iv) prior to the Termination Date, the Reporting Persons irrevocably and unconditionally agreed to cause all Securities to be voted (A) in favor of the Stock Issuance and any other proposal considered and voted upon by the Company Stockholders of the Issuer at any meeting of Company Stockholders necessary for consummation of the transactions contemplated by the Merger Agreement, including the Mergers, (B) against any (1) Parent Acquisition Proposal (as defined in the Merger Agreement), (2) reorganization, recapitalization, dissolution, liquidation or winding up of the Issuer or any of its subsidiaries; and (3) action, proposal or agreement that would reasonably be expected to (x) result in a breach, in any material respect, of any covenant, representation or warranty of the Issuer, Merger Sub Inc. or Merger Sub LLC under the Merger Agreement or (y) prevent or materially delay or adversely affect the consummation of the Mergers. Under the terms of the Voting Agreement, solely in the event of a failure by the Reporting Persons to act in accordance with their voting obligations under the Voting Agreement no later than the third Business Day prior to any meeting at which the stockholders of the Issuer will consider and vote on the matters described therein, the Reporting Persons irrevocably granted to, and appointed, Thermon, and any individual designated in writing by Thermon, as the Reporting Persons' proxy and attorney-in-fact, to or vote the Securities as set forth in the Voting Agreement. The forgoing description of the Voting Agreement does not purport to be complete and is qualified in its entirety by reference to the Voting Agreement, a copy of which is filed as Exhibit 99.2 to this Schedule 13D and is incorporated by reference herein. The Mergers contemplated by the Merger Agreement, if consummated, will result in certain or all of the matters referred to in paragraphs (a) through (j), inclusive of the instruction to Item 4 of Schedule 13D. The Reporting Persons expect to review from time to time their investment in the Issuer and may, depending on the market and other conditions and subject to the terms of the Voting Agreement: (i) purchase additional shares of Common Stock, options or related derivatives in the open market, in privately negotiated transactions or otherwise; (ii) sell all or a portion of the shares of Common Stock, options or related derivatives now beneficially owned or hereafter acquired by them; and (iii) engage in other proposals as the Reporting Persons may deem appropriate under the circumstances, including plans or proposals which may relate to, or could result in, any of the matters referred to in paragraphs (a) through (j), inclusive, of the instructions to Item 4 of Schedule 13D. The Reporting Persons may also engage in communications with, among others, other members of the board of directors of the Issuer, the Issuer's management, other shareholders and other potential investors, potential strategic partners, financial advisors and other industry participants, regarding such matters. Except as set forth above, none of the Reporting Persons has any plans or proposals which relate to, or could result in, any of the matters referred to in paragraphs (a) through (j), inclusive, of the instructions to Item 4 of Schedule 13D. The Reporting Persons may, at any time and from time to time and subject to the terms of the Voting Agreement, review or reconsider their position and/or change their purpose and/or formulate plans or proposals with respect thereto.</w:t>
      </w:r>
    </w:p>
    <w:p>
      <w:pPr>
        <w:spacing w:after="0" w:line="3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response of each Reporting Person to rows 7 through 13 of each of pages 2 through 4 of this Amendment No. 18</w:t>
      </w:r>
    </w:p>
    <w:p>
      <w:pPr>
        <w:spacing w:after="0" w:line="26" w:lineRule="exact"/>
        <w:rPr>
          <w:sz w:val="20"/>
          <w:szCs w:val="20"/>
          <w:color w:val="auto"/>
        </w:rPr>
      </w:pPr>
    </w:p>
    <w:p>
      <w:pPr>
        <w:ind w:left="920" w:right="240" w:hanging="912"/>
        <w:spacing w:after="0" w:line="237"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incorporated by reference herein. The calculations of the percentage ownership of the Common Stock are based on 35,665,813 shares of Common Stock outstanding on February 19, 2026.</w:t>
      </w:r>
    </w:p>
    <w:p>
      <w:pPr>
        <w:spacing w:after="0" w:line="16" w:lineRule="exact"/>
        <w:rPr>
          <w:rFonts w:ascii="Times New Roman" w:cs="Times New Roman" w:eastAsia="Times New Roman" w:hAnsi="Times New Roman"/>
          <w:sz w:val="22"/>
          <w:szCs w:val="22"/>
          <w:color w:val="auto"/>
        </w:rPr>
      </w:pPr>
    </w:p>
    <w:p>
      <w:pPr>
        <w:ind w:left="920" w:right="12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Mr. DeZwirek has sole voting power and sole dispositive power with respect to shares of Common Stock, comprised of (i) 1,227,565 shares of Common Stock held directly by Mr. DeZwirek; (ii) 2,770,546 shares of Common Stock</w:t>
      </w:r>
    </w:p>
    <w:p>
      <w:pPr>
        <w:ind w:left="920" w:right="440" w:hanging="912"/>
        <w:spacing w:after="0" w:line="189"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held of record by Icarus; and (iii) 200,000 shares of Common Stock held of record by 0to100. Icarus has shared voting and shared dispositive power with respect to 2,770,546 shares of Common Stock held of record by Icarus. 0to100 has shared voting and shared dispositive power with respect to 200,000 shares of Common Stock held of record by 0to100.</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Item 5(c) is 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Item 5(d) is 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Item 5(e) is 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60"/>
        <w:spacing w:after="0" w:line="256" w:lineRule="auto"/>
        <w:rPr>
          <w:sz w:val="20"/>
          <w:szCs w:val="20"/>
          <w:color w:val="auto"/>
        </w:rPr>
      </w:pPr>
      <w:r>
        <w:rPr>
          <w:rFonts w:ascii="Times New Roman" w:cs="Times New Roman" w:eastAsia="Times New Roman" w:hAnsi="Times New Roman"/>
          <w:sz w:val="22"/>
          <w:szCs w:val="22"/>
          <w:color w:val="auto"/>
        </w:rPr>
        <w:t>Item 6 is hereby amended and supplemented by adding the following to the end thereof: The information set forth in Item 4 of this Amendment No. 18 is incorporated by reference herein.</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320"/>
        <w:spacing w:after="0" w:line="238" w:lineRule="auto"/>
        <w:rPr>
          <w:sz w:val="20"/>
          <w:szCs w:val="20"/>
          <w:color w:val="auto"/>
        </w:rPr>
      </w:pPr>
      <w:r>
        <w:rPr>
          <w:rFonts w:ascii="Times New Roman" w:cs="Times New Roman" w:eastAsia="Times New Roman" w:hAnsi="Times New Roman"/>
          <w:sz w:val="22"/>
          <w:szCs w:val="22"/>
          <w:color w:val="auto"/>
        </w:rPr>
        <w:t>Item 7 is hereby amended and supplemented by adding the following to the end thereof: Exhibit 99.1 Joint Filing Agreement (filed herewith). Exhibit 99.2: Voting Agreement, dated as of February 23, 2026, by and among CECO Environmental Corp., Thermon Group Holdings, Inc., Jason DeZwirek, Icarus Investment Corp. and 0to100 Inc. (incorporated by reference to Exhibit 10.1 to the Form 8-K filed by CECO Environmental Corp. with the SEC on February 23, 2026)</w:t>
      </w:r>
    </w:p>
    <w:p>
      <w:pPr>
        <w:sectPr>
          <w:pgSz w:w="11900" w:h="16838" w:orient="portrait"/>
          <w:cols w:equalWidth="0" w:num="1">
            <w:col w:w="11140"/>
          </w:cols>
          <w:pgMar w:left="360" w:top="112" w:right="39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Jason DeZwirek</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DeZwirek</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Jason DeZwirek</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02/26/2026</w:t>
      </w:r>
    </w:p>
    <w:p>
      <w:pPr>
        <w:spacing w:after="0" w:line="15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Icarus Investment Corp.</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DeZwirek</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Jason DeZwirek</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02/26/2026</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0to100 Inc.</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DeZwirek</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Jason DeZwirek</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02/26/2026</w:t>
      </w:r>
    </w:p>
    <w:p>
      <w:pPr>
        <w:sectPr>
          <w:pgSz w:w="11900" w:h="16838" w:orient="portrait"/>
          <w:cols w:equalWidth="0" w:num="1">
            <w:col w:w="10920"/>
          </w:cols>
          <w:pgMar w:left="580" w:top="396" w:right="399" w:bottom="1440" w:gutter="0" w:footer="0" w:header="0"/>
        </w:sectPr>
      </w:pPr>
    </w:p>
    <w:bookmarkStart w:id="6" w:name="page7"/>
    <w:bookmarkEnd w:id="6"/>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 PURSUANT TO RULE 13d-1(k)</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13D is filed on behalf of each of the undersigned in the capacities set forth below. The undersigned each acknowledge that they shall be responsible for the timely filing of such amendments to the Schedule 13D as shall be required, and for the completeness and accuracy of the information concerning it contained therein, but shall not be responsible for the completeness and accuracy of the information concerning the others, except to the extent it knows or has reason to believe that such information is inaccurate. Each party to this Joint Filing Agreement expressly authorizes each other party to file on its behalf any and all amendments to such statement on Schedule 13D including an amendment to add additional parties as necessary. This Joint Filing Agreement may be executed in any number of counterparts and all of such counterparts taken together shall constitute one and the same instrument. Any party may withdraw from this Joint Filing Agreement by providing written notice to that effect to the other parties.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Jason DeZwirek</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ICARUS INVESTMENT CORP.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Jason DeZwirek</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0TO100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2026-02-26T17:47:10Z</dcterms:created>
  <dcterms:modified xsi:type="dcterms:W3CDTF">2026-02-26T17:47:10Z</dcterms:modified>
</cp:coreProperties>
</file>