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q.htm"/>
        <w:bookmarkStart w:id="1" w:name="ksd10q"/>
        <w:bookmarkEnd w:id="0"/>
        <w:bookmarkEnd w:id="1"/>
        <w:r>
          <w:rPr>
            <w:rStyle w:val="InternetLink"/>
          </w:rPr>
          <w:t>Table of Contents</w:t>
        </w:r>
      </w:hyperlink>
    </w:p>
    <w:p>
      <w:pPr>
        <w:pStyle w:val="HorizontalLine"/>
        <w:pBdr>
          <w:bottom w:val="single" w:sz="18" w:space="0" w:color="000000"/>
        </w:pBdr>
        <w:rPr/>
      </w:pPr>
      <w:r>
        <w:rPr/>
      </w:r>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jc w:val="center"/>
        <w:rPr>
          <w:rFonts w:ascii="Times New Roman" w:hAnsi="Times New Roman"/>
          <w:b/>
          <w:sz w:val="24"/>
        </w:rPr>
      </w:pPr>
      <w:r>
        <w:rPr>
          <w:rFonts w:ascii="Times New Roman" w:hAnsi="Times New Roman"/>
          <w:b/>
          <w:sz w:val="24"/>
        </w:rPr>
        <w:t xml:space="preserve">QUARTERLY REPORT UNDER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0"/>
        </w:rPr>
      </w:pPr>
      <w:r>
        <w:rPr>
          <w:rFonts w:ascii="Times New Roman" w:hAnsi="Times New Roman"/>
          <w:b/>
          <w:sz w:val="20"/>
        </w:rPr>
        <w:t xml:space="preserve">FOR THE QUARTERLY PERIOD ENDED MARCH 31, 2006 </w:t>
      </w:r>
    </w:p>
    <w:p>
      <w:pPr>
        <w:pStyle w:val="TextBody"/>
        <w:spacing w:before="180" w:after="0"/>
        <w:jc w:val="center"/>
        <w:rPr>
          <w:rFonts w:ascii="Times New Roman" w:hAnsi="Times New Roman"/>
          <w:b/>
          <w:sz w:val="20"/>
        </w:rPr>
      </w:pPr>
      <w:r>
        <w:rPr>
          <w:rFonts w:ascii="Times New Roman" w:hAnsi="Times New Roman"/>
          <w:b/>
          <w:sz w:val="20"/>
        </w:rPr>
        <w:t xml:space="preserve">Commission File No. 0-7099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Cincinnati, Ohio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513-458-2600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180" w:after="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the past 90 days.    ☒  Yes    </w:t>
      </w:r>
      <w:r>
        <w:rPr>
          <w:color w:val="000000"/>
        </w:rPr>
        <w:t>☐</w:t>
      </w:r>
      <w:r>
        <w:rPr/>
        <w:t>  </w:t>
      </w:r>
      <w:r>
        <w:rPr>
          <w:rFonts w:ascii="Times New Roman" w:hAnsi="Times New Roman"/>
          <w:sz w:val="20"/>
        </w:rPr>
        <w:t xml:space="preserve">No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large accelerated filer, an accelerated filer, or a non-accelerated filer (as defined in Rule 12b-2 of the Act). </w:t>
      </w:r>
    </w:p>
    <w:p>
      <w:pPr>
        <w:pStyle w:val="TextBody"/>
        <w:spacing w:before="180" w:after="0"/>
        <w:rPr/>
      </w:pPr>
      <w:r>
        <w:rPr>
          <w:rFonts w:ascii="Times New Roman" w:hAnsi="Times New Roman"/>
          <w:sz w:val="20"/>
        </w:rPr>
        <w:t>Large Accelerated Filer  </w:t>
      </w:r>
      <w:r>
        <w:rPr>
          <w:color w:val="000000"/>
        </w:rPr>
        <w:t>☐</w:t>
      </w:r>
      <w:r>
        <w:rPr/>
        <w:t>    </w:t>
      </w:r>
      <w:r>
        <w:rPr>
          <w:rFonts w:ascii="Times New Roman" w:hAnsi="Times New Roman"/>
          <w:sz w:val="20"/>
        </w:rPr>
        <w:t>Accelerated Filer  </w:t>
      </w:r>
      <w:r>
        <w:rPr>
          <w:color w:val="000000"/>
        </w:rPr>
        <w:t>☐</w:t>
      </w:r>
      <w:r>
        <w:rPr/>
        <w:t>    </w:t>
      </w:r>
      <w:r>
        <w:rPr>
          <w:rFonts w:ascii="Times New Roman" w:hAnsi="Times New Roman"/>
          <w:sz w:val="20"/>
        </w:rPr>
        <w:t xml:space="preserve">Non-Accelerated Filer  ☒ </w:t>
      </w:r>
    </w:p>
    <w:p>
      <w:pPr>
        <w:pStyle w:val="TextBody"/>
        <w:spacing w:before="180" w:after="0"/>
        <w:rPr/>
      </w:pPr>
      <w:r>
        <w:rPr>
          <w:rFonts w:ascii="Times New Roman" w:hAnsi="Times New Roman"/>
          <w:sz w:val="20"/>
        </w:rPr>
        <w:t>Indicate by check mark whether the registrant is a shell company (as defined in Rule 12b-2 of the Exchange Act.):    </w:t>
      </w:r>
      <w:r>
        <w:rPr>
          <w:color w:val="000000"/>
        </w:rPr>
        <w:t>☐</w:t>
      </w:r>
      <w:r>
        <w:rPr/>
        <w:t>  </w:t>
      </w:r>
      <w:r>
        <w:rPr>
          <w:rFonts w:ascii="Times New Roman" w:hAnsi="Times New Roman"/>
          <w:sz w:val="20"/>
        </w:rPr>
        <w:t xml:space="preserve">Yes    ☒  No </w:t>
      </w:r>
    </w:p>
    <w:p>
      <w:pPr>
        <w:pStyle w:val="TextBody"/>
        <w:spacing w:before="180" w:after="0"/>
        <w:rPr>
          <w:rFonts w:ascii="Times New Roman" w:hAnsi="Times New Roman"/>
          <w:sz w:val="20"/>
        </w:rPr>
      </w:pPr>
      <w:r>
        <w:rPr>
          <w:rFonts w:ascii="Times New Roman" w:hAnsi="Times New Roman"/>
          <w:sz w:val="20"/>
        </w:rPr>
        <w:t xml:space="preserve">Indicate the number of shares outstanding of each of the issuers classes of common stock as of latest practical date. </w:t>
      </w:r>
    </w:p>
    <w:p>
      <w:pPr>
        <w:pStyle w:val="TextBody"/>
        <w:spacing w:before="180" w:after="0"/>
        <w:rPr>
          <w:rFonts w:ascii="Times New Roman" w:hAnsi="Times New Roman"/>
          <w:sz w:val="20"/>
        </w:rPr>
      </w:pPr>
      <w:r>
        <w:rPr>
          <w:rFonts w:ascii="Times New Roman" w:hAnsi="Times New Roman"/>
          <w:sz w:val="20"/>
        </w:rPr>
        <w:t xml:space="preserve">Class: Common, par value $.01 per share outstanding at May 4, 2006 - 11,217,780 </w:t>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2" w:name="toc"/>
      <w:bookmarkEnd w:id="2"/>
      <w:r>
        <w:rPr>
          <w:rFonts w:ascii="Times New Roman" w:hAnsi="Times New Roman"/>
          <w:sz w:val="20"/>
          <w:u w:val="single"/>
        </w:rPr>
        <w:t xml:space="preserve">CECO ENVIRONMENTAL CORP. </w:t>
      </w:r>
    </w:p>
    <w:p>
      <w:pPr>
        <w:pStyle w:val="TextBody"/>
        <w:spacing w:before="90" w:after="0"/>
        <w:jc w:val="center"/>
        <w:rPr>
          <w:rFonts w:ascii="Times New Roman" w:hAnsi="Times New Roman"/>
          <w:sz w:val="20"/>
        </w:rPr>
      </w:pPr>
      <w:r>
        <w:rPr>
          <w:rFonts w:ascii="Times New Roman" w:hAnsi="Times New Roman"/>
          <w:sz w:val="20"/>
        </w:rPr>
        <w:t xml:space="preserve">QUARTERLY REPORT UNDER SECTION 13 OR 15(d) </w:t>
      </w:r>
    </w:p>
    <w:p>
      <w:pPr>
        <w:pStyle w:val="TextBody"/>
        <w:spacing w:before="0" w:after="0"/>
        <w:jc w:val="center"/>
        <w:rPr>
          <w:rFonts w:ascii="Times New Roman" w:hAnsi="Times New Roman"/>
          <w:sz w:val="20"/>
        </w:rPr>
      </w:pPr>
      <w:r>
        <w:rPr>
          <w:rFonts w:ascii="Times New Roman" w:hAnsi="Times New Roman"/>
          <w:sz w:val="20"/>
        </w:rPr>
        <w:t xml:space="preserve">OF THE SECURITIES EXCHANGE ACT OF 1934 </w:t>
      </w:r>
    </w:p>
    <w:p>
      <w:pPr>
        <w:pStyle w:val="TextBody"/>
        <w:spacing w:before="0" w:after="0"/>
        <w:jc w:val="center"/>
        <w:rPr>
          <w:rFonts w:ascii="Times New Roman" w:hAnsi="Times New Roman"/>
          <w:sz w:val="20"/>
        </w:rPr>
      </w:pPr>
      <w:r>
        <w:rPr>
          <w:rFonts w:ascii="Times New Roman" w:hAnsi="Times New Roman"/>
          <w:sz w:val="20"/>
        </w:rPr>
        <w:t xml:space="preserve">MARCH 31, 2006 </w:t>
      </w:r>
    </w:p>
    <w:p>
      <w:pPr>
        <w:pStyle w:val="TextBody"/>
        <w:spacing w:before="18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3"/>
        <w:gridCol w:w="122"/>
        <w:gridCol w:w="681"/>
        <w:gridCol w:w="162"/>
        <w:gridCol w:w="8028"/>
        <w:gridCol w:w="162"/>
        <w:gridCol w:w="237"/>
      </w:tblGrid>
      <w:tr>
        <w:trPr/>
        <w:tc>
          <w:tcPr>
            <w:tcW w:w="81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802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tcPr>
          <w:p>
            <w:pPr>
              <w:pStyle w:val="TableContents"/>
              <w:spacing w:before="0" w:after="283"/>
              <w:rPr>
                <w:rFonts w:ascii="Times New Roman" w:hAnsi="Times New Roman"/>
                <w:sz w:val="20"/>
              </w:rPr>
            </w:pPr>
            <w:r>
              <w:rPr>
                <w:rFonts w:ascii="Times New Roman" w:hAnsi="Times New Roman"/>
                <w:sz w:val="20"/>
              </w:rPr>
              <w:t>Part I -</w:t>
            </w:r>
          </w:p>
        </w:tc>
        <w:tc>
          <w:tcPr>
            <w:tcW w:w="122" w:type="dxa"/>
            <w:tcBorders/>
            <w:shd w:fill="auto" w:val="clear"/>
            <w:vAlign w:val="bottom"/>
          </w:tcPr>
          <w:p>
            <w:pPr>
              <w:pStyle w:val="TableContents"/>
              <w:spacing w:before="0" w:after="283"/>
              <w:rPr/>
            </w:pPr>
            <w:r>
              <w:rPr/>
              <w:t> </w:t>
            </w:r>
          </w:p>
        </w:tc>
        <w:tc>
          <w:tcPr>
            <w:tcW w:w="887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Financial Information:</w:t>
            </w:r>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13" w:type="dxa"/>
            <w:tcBorders/>
            <w:shd w:fill="auto" w:val="clear"/>
            <w:vAlign w:val="center"/>
          </w:tcPr>
          <w:p>
            <w:pPr>
              <w:pStyle w:val="TableContents"/>
              <w:spacing w:before="0" w:after="283"/>
              <w:rPr>
                <w:sz w:val="4"/>
                <w:szCs w:val="4"/>
              </w:rPr>
            </w:pPr>
            <w:r>
              <w:rPr>
                <w:sz w:val="4"/>
                <w:szCs w:val="4"/>
              </w:rPr>
            </w:r>
          </w:p>
        </w:tc>
        <w:tc>
          <w:tcPr>
            <w:tcW w:w="803" w:type="dxa"/>
            <w:gridSpan w:val="2"/>
            <w:tcBorders/>
            <w:shd w:fill="auto" w:val="clear"/>
            <w:vAlign w:val="center"/>
          </w:tcPr>
          <w:p>
            <w:pPr>
              <w:pStyle w:val="TableContents"/>
              <w:spacing w:before="0" w:after="283"/>
              <w:rPr>
                <w:sz w:val="4"/>
                <w:szCs w:val="4"/>
              </w:rPr>
            </w:pPr>
            <w:r>
              <w:rPr>
                <w:sz w:val="4"/>
                <w:szCs w:val="4"/>
              </w:rPr>
            </w:r>
          </w:p>
        </w:tc>
        <w:tc>
          <w:tcPr>
            <w:tcW w:w="8190" w:type="dxa"/>
            <w:gridSpan w:val="2"/>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Item 1.</w:t>
            </w:r>
          </w:p>
        </w:tc>
        <w:tc>
          <w:tcPr>
            <w:tcW w:w="162" w:type="dxa"/>
            <w:tcBorders/>
            <w:shd w:fill="auto" w:val="clear"/>
            <w:vAlign w:val="bottom"/>
          </w:tcPr>
          <w:p>
            <w:pPr>
              <w:pStyle w:val="TableContents"/>
              <w:spacing w:before="0" w:after="283"/>
              <w:rPr/>
            </w:pPr>
            <w:r>
              <w:rPr/>
              <w:t>  </w:t>
            </w:r>
          </w:p>
        </w:tc>
        <w:tc>
          <w:tcPr>
            <w:tcW w:w="8028" w:type="dxa"/>
            <w:tcBorders/>
            <w:shd w:fill="auto" w:val="clear"/>
            <w:vAlign w:val="bottom"/>
          </w:tcPr>
          <w:p>
            <w:pPr>
              <w:pStyle w:val="TableContents"/>
              <w:spacing w:before="0" w:after="283"/>
              <w:rPr/>
            </w:pPr>
            <w:hyperlink w:anchor="tx30007_1">
              <w:r>
                <w:rPr>
                  <w:rStyle w:val="InternetLink"/>
                  <w:rFonts w:ascii="Times New Roman" w:hAnsi="Times New Roman"/>
                  <w:sz w:val="20"/>
                </w:rPr>
                <w:t xml:space="preserve">Consolidated balance sheets as of March 31, 2006 and December 31, 2005 </w:t>
              </w:r>
            </w:hyperlink>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rHeight w:val="120" w:hRule="atLeast"/>
        </w:trPr>
        <w:tc>
          <w:tcPr>
            <w:tcW w:w="813" w:type="dxa"/>
            <w:tcBorders/>
            <w:shd w:fill="auto" w:val="clear"/>
            <w:vAlign w:val="center"/>
          </w:tcPr>
          <w:p>
            <w:pPr>
              <w:pStyle w:val="TableContents"/>
              <w:spacing w:before="0" w:after="283"/>
              <w:rPr>
                <w:sz w:val="4"/>
                <w:szCs w:val="4"/>
              </w:rPr>
            </w:pPr>
            <w:r>
              <w:rPr>
                <w:sz w:val="4"/>
                <w:szCs w:val="4"/>
              </w:rPr>
            </w:r>
          </w:p>
        </w:tc>
        <w:tc>
          <w:tcPr>
            <w:tcW w:w="803" w:type="dxa"/>
            <w:gridSpan w:val="2"/>
            <w:tcBorders/>
            <w:shd w:fill="auto" w:val="clear"/>
            <w:vAlign w:val="center"/>
          </w:tcPr>
          <w:p>
            <w:pPr>
              <w:pStyle w:val="TableContents"/>
              <w:spacing w:before="0" w:after="283"/>
              <w:rPr>
                <w:sz w:val="4"/>
                <w:szCs w:val="4"/>
              </w:rPr>
            </w:pPr>
            <w:r>
              <w:rPr>
                <w:sz w:val="4"/>
                <w:szCs w:val="4"/>
              </w:rPr>
            </w:r>
          </w:p>
        </w:tc>
        <w:tc>
          <w:tcPr>
            <w:tcW w:w="8190" w:type="dxa"/>
            <w:gridSpan w:val="2"/>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8028" w:type="dxa"/>
            <w:tcBorders/>
            <w:shd w:fill="auto" w:val="clear"/>
            <w:vAlign w:val="bottom"/>
          </w:tcPr>
          <w:p>
            <w:pPr>
              <w:pStyle w:val="TableContents"/>
              <w:spacing w:before="0" w:after="283"/>
              <w:rPr/>
            </w:pPr>
            <w:hyperlink w:anchor="tx30007_2">
              <w:r>
                <w:rPr>
                  <w:rStyle w:val="InternetLink"/>
                  <w:rFonts w:ascii="Times New Roman" w:hAnsi="Times New Roman"/>
                  <w:sz w:val="20"/>
                </w:rPr>
                <w:t>Consolidated statements of operations for the three-month periods ended March 31, 2006 and 2005</w:t>
              </w:r>
            </w:hyperlink>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rHeight w:val="120" w:hRule="atLeast"/>
        </w:trPr>
        <w:tc>
          <w:tcPr>
            <w:tcW w:w="813" w:type="dxa"/>
            <w:tcBorders/>
            <w:shd w:fill="auto" w:val="clear"/>
            <w:vAlign w:val="center"/>
          </w:tcPr>
          <w:p>
            <w:pPr>
              <w:pStyle w:val="TableContents"/>
              <w:spacing w:before="0" w:after="283"/>
              <w:rPr>
                <w:sz w:val="4"/>
                <w:szCs w:val="4"/>
              </w:rPr>
            </w:pPr>
            <w:r>
              <w:rPr>
                <w:sz w:val="4"/>
                <w:szCs w:val="4"/>
              </w:rPr>
            </w:r>
          </w:p>
        </w:tc>
        <w:tc>
          <w:tcPr>
            <w:tcW w:w="803" w:type="dxa"/>
            <w:gridSpan w:val="2"/>
            <w:tcBorders/>
            <w:shd w:fill="auto" w:val="clear"/>
            <w:vAlign w:val="center"/>
          </w:tcPr>
          <w:p>
            <w:pPr>
              <w:pStyle w:val="TableContents"/>
              <w:spacing w:before="0" w:after="283"/>
              <w:rPr>
                <w:sz w:val="4"/>
                <w:szCs w:val="4"/>
              </w:rPr>
            </w:pPr>
            <w:r>
              <w:rPr>
                <w:sz w:val="4"/>
                <w:szCs w:val="4"/>
              </w:rPr>
            </w:r>
          </w:p>
        </w:tc>
        <w:tc>
          <w:tcPr>
            <w:tcW w:w="8190" w:type="dxa"/>
            <w:gridSpan w:val="2"/>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8028" w:type="dxa"/>
            <w:tcBorders/>
            <w:shd w:fill="auto" w:val="clear"/>
            <w:vAlign w:val="bottom"/>
          </w:tcPr>
          <w:p>
            <w:pPr>
              <w:pStyle w:val="TableContents"/>
              <w:spacing w:before="0" w:after="283"/>
              <w:rPr/>
            </w:pPr>
            <w:hyperlink w:anchor="tx30007_3">
              <w:r>
                <w:rPr>
                  <w:rStyle w:val="InternetLink"/>
                  <w:rFonts w:ascii="Times New Roman" w:hAnsi="Times New Roman"/>
                  <w:sz w:val="20"/>
                </w:rPr>
                <w:t>Consolidated statements of cash flows for the three-month periods ended March 31, 2006 and 2005</w:t>
              </w:r>
            </w:hyperlink>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rHeight w:val="120" w:hRule="atLeast"/>
        </w:trPr>
        <w:tc>
          <w:tcPr>
            <w:tcW w:w="813" w:type="dxa"/>
            <w:tcBorders/>
            <w:shd w:fill="auto" w:val="clear"/>
            <w:vAlign w:val="center"/>
          </w:tcPr>
          <w:p>
            <w:pPr>
              <w:pStyle w:val="TableContents"/>
              <w:spacing w:before="0" w:after="283"/>
              <w:rPr>
                <w:sz w:val="4"/>
                <w:szCs w:val="4"/>
              </w:rPr>
            </w:pPr>
            <w:r>
              <w:rPr>
                <w:sz w:val="4"/>
                <w:szCs w:val="4"/>
              </w:rPr>
            </w:r>
          </w:p>
        </w:tc>
        <w:tc>
          <w:tcPr>
            <w:tcW w:w="803" w:type="dxa"/>
            <w:gridSpan w:val="2"/>
            <w:tcBorders/>
            <w:shd w:fill="auto" w:val="clear"/>
            <w:vAlign w:val="center"/>
          </w:tcPr>
          <w:p>
            <w:pPr>
              <w:pStyle w:val="TableContents"/>
              <w:spacing w:before="0" w:after="283"/>
              <w:rPr>
                <w:sz w:val="4"/>
                <w:szCs w:val="4"/>
              </w:rPr>
            </w:pPr>
            <w:r>
              <w:rPr>
                <w:sz w:val="4"/>
                <w:szCs w:val="4"/>
              </w:rPr>
            </w:r>
          </w:p>
        </w:tc>
        <w:tc>
          <w:tcPr>
            <w:tcW w:w="8190" w:type="dxa"/>
            <w:gridSpan w:val="2"/>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8028" w:type="dxa"/>
            <w:tcBorders/>
            <w:shd w:fill="auto" w:val="clear"/>
            <w:vAlign w:val="bottom"/>
          </w:tcPr>
          <w:p>
            <w:pPr>
              <w:pStyle w:val="TableContents"/>
              <w:spacing w:before="0" w:after="283"/>
              <w:rPr/>
            </w:pPr>
            <w:hyperlink w:anchor="tx30007_4">
              <w:r>
                <w:rPr>
                  <w:rStyle w:val="InternetLink"/>
                  <w:rFonts w:ascii="Times New Roman" w:hAnsi="Times New Roman"/>
                  <w:sz w:val="20"/>
                </w:rPr>
                <w:t>Notes to consolidated financial statements</w:t>
              </w:r>
            </w:hyperlink>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rHeight w:val="120" w:hRule="atLeast"/>
        </w:trPr>
        <w:tc>
          <w:tcPr>
            <w:tcW w:w="813" w:type="dxa"/>
            <w:tcBorders/>
            <w:shd w:fill="auto" w:val="clear"/>
            <w:vAlign w:val="center"/>
          </w:tcPr>
          <w:p>
            <w:pPr>
              <w:pStyle w:val="TableContents"/>
              <w:spacing w:before="0" w:after="283"/>
              <w:rPr>
                <w:sz w:val="4"/>
                <w:szCs w:val="4"/>
              </w:rPr>
            </w:pPr>
            <w:r>
              <w:rPr>
                <w:sz w:val="4"/>
                <w:szCs w:val="4"/>
              </w:rPr>
            </w:r>
          </w:p>
        </w:tc>
        <w:tc>
          <w:tcPr>
            <w:tcW w:w="803" w:type="dxa"/>
            <w:gridSpan w:val="2"/>
            <w:tcBorders/>
            <w:shd w:fill="auto" w:val="clear"/>
            <w:vAlign w:val="center"/>
          </w:tcPr>
          <w:p>
            <w:pPr>
              <w:pStyle w:val="TableContents"/>
              <w:spacing w:before="0" w:after="283"/>
              <w:rPr>
                <w:sz w:val="4"/>
                <w:szCs w:val="4"/>
              </w:rPr>
            </w:pPr>
            <w:r>
              <w:rPr>
                <w:sz w:val="4"/>
                <w:szCs w:val="4"/>
              </w:rPr>
            </w:r>
          </w:p>
        </w:tc>
        <w:tc>
          <w:tcPr>
            <w:tcW w:w="8190" w:type="dxa"/>
            <w:gridSpan w:val="2"/>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Item 2.</w:t>
            </w:r>
          </w:p>
        </w:tc>
        <w:tc>
          <w:tcPr>
            <w:tcW w:w="162" w:type="dxa"/>
            <w:tcBorders/>
            <w:shd w:fill="auto" w:val="clear"/>
            <w:vAlign w:val="bottom"/>
          </w:tcPr>
          <w:p>
            <w:pPr>
              <w:pStyle w:val="TableContents"/>
              <w:spacing w:before="0" w:after="283"/>
              <w:rPr/>
            </w:pPr>
            <w:r>
              <w:rPr/>
              <w:t>  </w:t>
            </w:r>
          </w:p>
        </w:tc>
        <w:tc>
          <w:tcPr>
            <w:tcW w:w="8028" w:type="dxa"/>
            <w:tcBorders/>
            <w:shd w:fill="auto" w:val="clear"/>
            <w:vAlign w:val="bottom"/>
          </w:tcPr>
          <w:p>
            <w:pPr>
              <w:pStyle w:val="TableContents"/>
              <w:spacing w:before="0" w:after="283"/>
              <w:rPr/>
            </w:pPr>
            <w:hyperlink w:anchor="tx30007_5">
              <w:r>
                <w:rPr>
                  <w:rStyle w:val="InternetLink"/>
                  <w:rFonts w:ascii="Times New Roman" w:hAnsi="Times New Roman"/>
                  <w:sz w:val="20"/>
                </w:rPr>
                <w:t>Managements discussion and analysis of financial condition and results of operations</w:t>
              </w:r>
            </w:hyperlink>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rHeight w:val="120" w:hRule="atLeast"/>
        </w:trPr>
        <w:tc>
          <w:tcPr>
            <w:tcW w:w="813" w:type="dxa"/>
            <w:tcBorders/>
            <w:shd w:fill="auto" w:val="clear"/>
            <w:vAlign w:val="center"/>
          </w:tcPr>
          <w:p>
            <w:pPr>
              <w:pStyle w:val="TableContents"/>
              <w:spacing w:before="0" w:after="283"/>
              <w:rPr>
                <w:sz w:val="4"/>
                <w:szCs w:val="4"/>
              </w:rPr>
            </w:pPr>
            <w:r>
              <w:rPr>
                <w:sz w:val="4"/>
                <w:szCs w:val="4"/>
              </w:rPr>
            </w:r>
          </w:p>
        </w:tc>
        <w:tc>
          <w:tcPr>
            <w:tcW w:w="803" w:type="dxa"/>
            <w:gridSpan w:val="2"/>
            <w:tcBorders/>
            <w:shd w:fill="auto" w:val="clear"/>
            <w:vAlign w:val="center"/>
          </w:tcPr>
          <w:p>
            <w:pPr>
              <w:pStyle w:val="TableContents"/>
              <w:spacing w:before="0" w:after="283"/>
              <w:rPr>
                <w:sz w:val="4"/>
                <w:szCs w:val="4"/>
              </w:rPr>
            </w:pPr>
            <w:r>
              <w:rPr>
                <w:sz w:val="4"/>
                <w:szCs w:val="4"/>
              </w:rPr>
            </w:r>
          </w:p>
        </w:tc>
        <w:tc>
          <w:tcPr>
            <w:tcW w:w="8190" w:type="dxa"/>
            <w:gridSpan w:val="2"/>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Item 3.</w:t>
            </w:r>
          </w:p>
        </w:tc>
        <w:tc>
          <w:tcPr>
            <w:tcW w:w="162" w:type="dxa"/>
            <w:tcBorders/>
            <w:shd w:fill="auto" w:val="clear"/>
            <w:vAlign w:val="bottom"/>
          </w:tcPr>
          <w:p>
            <w:pPr>
              <w:pStyle w:val="TableContents"/>
              <w:spacing w:before="0" w:after="283"/>
              <w:rPr/>
            </w:pPr>
            <w:r>
              <w:rPr/>
              <w:t>  </w:t>
            </w:r>
          </w:p>
        </w:tc>
        <w:tc>
          <w:tcPr>
            <w:tcW w:w="8028" w:type="dxa"/>
            <w:tcBorders/>
            <w:shd w:fill="auto" w:val="clear"/>
            <w:vAlign w:val="bottom"/>
          </w:tcPr>
          <w:p>
            <w:pPr>
              <w:pStyle w:val="TableContents"/>
              <w:spacing w:before="0" w:after="283"/>
              <w:rPr/>
            </w:pPr>
            <w:hyperlink w:anchor="tx30007_6">
              <w:r>
                <w:rPr>
                  <w:rStyle w:val="InternetLink"/>
                  <w:rFonts w:ascii="Times New Roman" w:hAnsi="Times New Roman"/>
                  <w:sz w:val="20"/>
                </w:rPr>
                <w:t>Quantitative and Qualitative Disclosure about Market Risk</w:t>
              </w:r>
            </w:hyperlink>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rHeight w:val="120" w:hRule="atLeast"/>
        </w:trPr>
        <w:tc>
          <w:tcPr>
            <w:tcW w:w="813" w:type="dxa"/>
            <w:tcBorders/>
            <w:shd w:fill="auto" w:val="clear"/>
            <w:vAlign w:val="center"/>
          </w:tcPr>
          <w:p>
            <w:pPr>
              <w:pStyle w:val="TableContents"/>
              <w:spacing w:before="0" w:after="283"/>
              <w:rPr>
                <w:sz w:val="4"/>
                <w:szCs w:val="4"/>
              </w:rPr>
            </w:pPr>
            <w:r>
              <w:rPr>
                <w:sz w:val="4"/>
                <w:szCs w:val="4"/>
              </w:rPr>
            </w:r>
          </w:p>
        </w:tc>
        <w:tc>
          <w:tcPr>
            <w:tcW w:w="803" w:type="dxa"/>
            <w:gridSpan w:val="2"/>
            <w:tcBorders/>
            <w:shd w:fill="auto" w:val="clear"/>
            <w:vAlign w:val="center"/>
          </w:tcPr>
          <w:p>
            <w:pPr>
              <w:pStyle w:val="TableContents"/>
              <w:spacing w:before="0" w:after="283"/>
              <w:rPr>
                <w:sz w:val="4"/>
                <w:szCs w:val="4"/>
              </w:rPr>
            </w:pPr>
            <w:r>
              <w:rPr>
                <w:sz w:val="4"/>
                <w:szCs w:val="4"/>
              </w:rPr>
            </w:r>
          </w:p>
        </w:tc>
        <w:tc>
          <w:tcPr>
            <w:tcW w:w="8190" w:type="dxa"/>
            <w:gridSpan w:val="2"/>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Item 4.</w:t>
            </w:r>
          </w:p>
        </w:tc>
        <w:tc>
          <w:tcPr>
            <w:tcW w:w="162" w:type="dxa"/>
            <w:tcBorders/>
            <w:shd w:fill="auto" w:val="clear"/>
            <w:vAlign w:val="bottom"/>
          </w:tcPr>
          <w:p>
            <w:pPr>
              <w:pStyle w:val="TableContents"/>
              <w:spacing w:before="0" w:after="283"/>
              <w:rPr/>
            </w:pPr>
            <w:r>
              <w:rPr/>
              <w:t>  </w:t>
            </w:r>
          </w:p>
        </w:tc>
        <w:tc>
          <w:tcPr>
            <w:tcW w:w="8028" w:type="dxa"/>
            <w:tcBorders/>
            <w:shd w:fill="auto" w:val="clear"/>
            <w:vAlign w:val="bottom"/>
          </w:tcPr>
          <w:p>
            <w:pPr>
              <w:pStyle w:val="TableContents"/>
              <w:spacing w:before="0" w:after="283"/>
              <w:rPr/>
            </w:pPr>
            <w:hyperlink w:anchor="tx30007_7">
              <w:r>
                <w:rPr>
                  <w:rStyle w:val="InternetLink"/>
                  <w:rFonts w:ascii="Times New Roman" w:hAnsi="Times New Roman"/>
                  <w:sz w:val="20"/>
                </w:rPr>
                <w:t>Controls and Procedures</w:t>
              </w:r>
            </w:hyperlink>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r>
        <w:trPr>
          <w:trHeight w:val="120" w:hRule="atLeast"/>
        </w:trPr>
        <w:tc>
          <w:tcPr>
            <w:tcW w:w="813" w:type="dxa"/>
            <w:tcBorders/>
            <w:shd w:fill="auto" w:val="clear"/>
            <w:vAlign w:val="center"/>
          </w:tcPr>
          <w:p>
            <w:pPr>
              <w:pStyle w:val="TableContents"/>
              <w:spacing w:before="0" w:after="283"/>
              <w:rPr>
                <w:sz w:val="4"/>
                <w:szCs w:val="4"/>
              </w:rPr>
            </w:pPr>
            <w:r>
              <w:rPr>
                <w:sz w:val="4"/>
                <w:szCs w:val="4"/>
              </w:rPr>
            </w:r>
          </w:p>
        </w:tc>
        <w:tc>
          <w:tcPr>
            <w:tcW w:w="8993" w:type="dxa"/>
            <w:gridSpan w:val="4"/>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tcPr>
          <w:p>
            <w:pPr>
              <w:pStyle w:val="TableContents"/>
              <w:spacing w:before="0" w:after="283"/>
              <w:rPr>
                <w:rFonts w:ascii="Times New Roman" w:hAnsi="Times New Roman"/>
                <w:sz w:val="20"/>
              </w:rPr>
            </w:pPr>
            <w:r>
              <w:rPr>
                <w:rFonts w:ascii="Times New Roman" w:hAnsi="Times New Roman"/>
                <w:sz w:val="20"/>
              </w:rPr>
              <w:t>Part II -</w:t>
            </w:r>
          </w:p>
        </w:tc>
        <w:tc>
          <w:tcPr>
            <w:tcW w:w="122" w:type="dxa"/>
            <w:tcBorders/>
            <w:shd w:fill="auto" w:val="clear"/>
            <w:vAlign w:val="bottom"/>
          </w:tcPr>
          <w:p>
            <w:pPr>
              <w:pStyle w:val="TableContents"/>
              <w:spacing w:before="0" w:after="283"/>
              <w:rPr/>
            </w:pPr>
            <w:r>
              <w:rPr/>
              <w:t> </w:t>
            </w:r>
          </w:p>
        </w:tc>
        <w:tc>
          <w:tcPr>
            <w:tcW w:w="8871" w:type="dxa"/>
            <w:gridSpan w:val="3"/>
            <w:tcBorders/>
            <w:shd w:fill="auto" w:val="clear"/>
            <w:vAlign w:val="bottom"/>
          </w:tcPr>
          <w:p>
            <w:pPr>
              <w:pStyle w:val="TableContents"/>
              <w:spacing w:before="0" w:after="283"/>
              <w:rPr/>
            </w:pPr>
            <w:hyperlink w:anchor="tx30007_8">
              <w:r>
                <w:rPr>
                  <w:rStyle w:val="InternetLink"/>
                  <w:rFonts w:ascii="Times New Roman" w:hAnsi="Times New Roman"/>
                  <w:sz w:val="20"/>
                </w:rPr>
                <w:t xml:space="preserve">Other Information </w:t>
              </w:r>
            </w:hyperlink>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13" w:type="dxa"/>
            <w:tcBorders/>
            <w:shd w:fill="auto" w:val="clear"/>
            <w:vAlign w:val="center"/>
          </w:tcPr>
          <w:p>
            <w:pPr>
              <w:pStyle w:val="TableContents"/>
              <w:spacing w:before="0" w:after="283"/>
              <w:rPr>
                <w:sz w:val="4"/>
                <w:szCs w:val="4"/>
              </w:rPr>
            </w:pPr>
            <w:r>
              <w:rPr>
                <w:sz w:val="4"/>
                <w:szCs w:val="4"/>
              </w:rPr>
            </w:r>
          </w:p>
        </w:tc>
        <w:tc>
          <w:tcPr>
            <w:tcW w:w="803" w:type="dxa"/>
            <w:gridSpan w:val="2"/>
            <w:tcBorders/>
            <w:shd w:fill="auto" w:val="clear"/>
            <w:vAlign w:val="center"/>
          </w:tcPr>
          <w:p>
            <w:pPr>
              <w:pStyle w:val="TableContents"/>
              <w:spacing w:before="0" w:after="283"/>
              <w:rPr>
                <w:sz w:val="4"/>
                <w:szCs w:val="4"/>
              </w:rPr>
            </w:pPr>
            <w:r>
              <w:rPr>
                <w:sz w:val="4"/>
                <w:szCs w:val="4"/>
              </w:rPr>
            </w:r>
          </w:p>
        </w:tc>
        <w:tc>
          <w:tcPr>
            <w:tcW w:w="8190" w:type="dxa"/>
            <w:gridSpan w:val="2"/>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81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Item 6.</w:t>
            </w:r>
          </w:p>
        </w:tc>
        <w:tc>
          <w:tcPr>
            <w:tcW w:w="162" w:type="dxa"/>
            <w:tcBorders/>
            <w:shd w:fill="auto" w:val="clear"/>
            <w:vAlign w:val="bottom"/>
          </w:tcPr>
          <w:p>
            <w:pPr>
              <w:pStyle w:val="TableContents"/>
              <w:spacing w:before="0" w:after="283"/>
              <w:rPr/>
            </w:pPr>
            <w:r>
              <w:rPr/>
              <w:t>  </w:t>
            </w:r>
          </w:p>
        </w:tc>
        <w:tc>
          <w:tcPr>
            <w:tcW w:w="8028" w:type="dxa"/>
            <w:tcBorders/>
            <w:shd w:fill="auto" w:val="clear"/>
            <w:vAlign w:val="bottom"/>
          </w:tcPr>
          <w:p>
            <w:pPr>
              <w:pStyle w:val="TableContents"/>
              <w:spacing w:before="0" w:after="283"/>
              <w:rPr/>
            </w:pPr>
            <w:hyperlink w:anchor="tx30007_9">
              <w:r>
                <w:rPr>
                  <w:rStyle w:val="InternetLink"/>
                  <w:rFonts w:ascii="Times New Roman" w:hAnsi="Times New Roman"/>
                  <w:sz w:val="20"/>
                </w:rPr>
                <w:t xml:space="preserve">Exhibits </w:t>
              </w:r>
            </w:hyperlink>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rHeight w:val="120" w:hRule="atLeast"/>
        </w:trPr>
        <w:tc>
          <w:tcPr>
            <w:tcW w:w="9806" w:type="dxa"/>
            <w:gridSpan w:val="5"/>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9806" w:type="dxa"/>
            <w:gridSpan w:val="5"/>
            <w:tcBorders/>
            <w:shd w:fill="auto" w:val="clear"/>
          </w:tcPr>
          <w:p>
            <w:pPr>
              <w:pStyle w:val="TableContents"/>
              <w:spacing w:before="0" w:after="283"/>
              <w:rPr/>
            </w:pPr>
            <w:hyperlink w:anchor="tx30007_10">
              <w:r>
                <w:rPr>
                  <w:rStyle w:val="InternetLink"/>
                  <w:rFonts w:ascii="Times New Roman" w:hAnsi="Times New Roman"/>
                  <w:sz w:val="20"/>
                </w:rPr>
                <w:t xml:space="preserve">Signature </w:t>
              </w:r>
            </w:hyperlink>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rHeight w:val="120" w:hRule="atLeast"/>
        </w:trPr>
        <w:tc>
          <w:tcPr>
            <w:tcW w:w="9806" w:type="dxa"/>
            <w:gridSpan w:val="5"/>
            <w:tcBorders/>
            <w:shd w:fill="auto" w:val="clear"/>
            <w:vAlign w:val="center"/>
          </w:tcPr>
          <w:p>
            <w:pPr>
              <w:pStyle w:val="TableContents"/>
              <w:spacing w:before="0" w:after="283"/>
              <w:rPr>
                <w:sz w:val="4"/>
                <w:szCs w:val="4"/>
              </w:rPr>
            </w:pPr>
            <w:r>
              <w:rPr>
                <w:sz w:val="4"/>
                <w:szCs w:val="4"/>
              </w:rPr>
            </w:r>
          </w:p>
        </w:tc>
        <w:tc>
          <w:tcPr>
            <w:tcW w:w="399" w:type="dxa"/>
            <w:gridSpan w:val="2"/>
            <w:tcBorders/>
            <w:shd w:fill="auto" w:val="clear"/>
            <w:vAlign w:val="center"/>
          </w:tcPr>
          <w:p>
            <w:pPr>
              <w:pStyle w:val="TableContents"/>
              <w:spacing w:before="0" w:after="283"/>
              <w:rPr>
                <w:sz w:val="4"/>
                <w:szCs w:val="4"/>
              </w:rPr>
            </w:pPr>
            <w:r>
              <w:rPr>
                <w:sz w:val="4"/>
                <w:szCs w:val="4"/>
              </w:rPr>
            </w:r>
          </w:p>
        </w:tc>
      </w:tr>
      <w:tr>
        <w:trPr/>
        <w:tc>
          <w:tcPr>
            <w:tcW w:w="9806"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Certifications</w:t>
            </w:r>
          </w:p>
        </w:tc>
        <w:tc>
          <w:tcPr>
            <w:tcW w:w="1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3" w:name="tx30007_1"/>
      <w:bookmarkEnd w:id="3"/>
      <w:r>
        <w:rPr>
          <w:rFonts w:ascii="Times New Roman" w:hAnsi="Times New Roman"/>
          <w:sz w:val="20"/>
          <w:u w:val="single"/>
        </w:rPr>
        <w:t xml:space="preserve">CECO ENVIRONMENTAL CORP. </w:t>
      </w:r>
    </w:p>
    <w:p>
      <w:pPr>
        <w:pStyle w:val="TextBody"/>
        <w:spacing w:before="90" w:after="0"/>
        <w:jc w:val="center"/>
        <w:rPr>
          <w:rFonts w:ascii="Times New Roman" w:hAnsi="Times New Roman"/>
          <w:sz w:val="20"/>
        </w:rPr>
      </w:pPr>
      <w:r>
        <w:rPr>
          <w:rFonts w:ascii="Times New Roman" w:hAnsi="Times New Roman"/>
          <w:sz w:val="20"/>
        </w:rPr>
        <w:t xml:space="preserve">CONSOLIDATED BALANCE SHEETS </w:t>
      </w:r>
    </w:p>
    <w:p>
      <w:pPr>
        <w:pStyle w:val="TextBody"/>
        <w:spacing w:before="18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172"/>
        <w:gridCol w:w="538"/>
        <w:gridCol w:w="125"/>
        <w:gridCol w:w="729"/>
        <w:gridCol w:w="80"/>
        <w:gridCol w:w="495"/>
        <w:gridCol w:w="171"/>
        <w:gridCol w:w="811"/>
        <w:gridCol w:w="84"/>
      </w:tblGrid>
      <w:tr>
        <w:trPr/>
        <w:tc>
          <w:tcPr>
            <w:tcW w:w="7172"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7172"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rPr/>
            </w:pPr>
            <w:r>
              <w:rPr/>
              <w:t>  </w:t>
            </w:r>
          </w:p>
        </w:tc>
        <w:tc>
          <w:tcPr>
            <w:tcW w:w="854"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MARCH 31,</w:t>
            </w:r>
          </w:p>
          <w:p>
            <w:pPr>
              <w:pStyle w:val="TableContents"/>
              <w:spacing w:before="0" w:after="15"/>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15"/>
              <w:jc w:val="center"/>
              <w:rPr>
                <w:rFonts w:ascii="Times New Roman" w:hAnsi="Times New Roman"/>
                <w:b/>
                <w:sz w:val="14"/>
              </w:rPr>
            </w:pPr>
            <w:r>
              <w:rPr>
                <w:rFonts w:ascii="Times New Roman" w:hAnsi="Times New Roman"/>
                <w:b/>
                <w:sz w:val="14"/>
              </w:rPr>
              <w:t>2005</w:t>
            </w:r>
          </w:p>
        </w:tc>
        <w:tc>
          <w:tcPr>
            <w:tcW w:w="84" w:type="dxa"/>
            <w:tcBorders/>
            <w:shd w:fill="auto" w:val="clear"/>
            <w:vAlign w:val="bottom"/>
          </w:tcPr>
          <w:p>
            <w:pPr>
              <w:pStyle w:val="TableContents"/>
              <w:spacing w:before="0" w:after="283"/>
              <w:rPr/>
            </w:pPr>
            <w:r>
              <w:rPr/>
              <w:t> </w:t>
            </w:r>
          </w:p>
        </w:tc>
      </w:tr>
      <w:tr>
        <w:trPr/>
        <w:tc>
          <w:tcPr>
            <w:tcW w:w="7172"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rPr/>
            </w:pPr>
            <w:r>
              <w:rPr/>
              <w:t>  </w:t>
            </w:r>
          </w:p>
        </w:tc>
        <w:tc>
          <w:tcPr>
            <w:tcW w:w="85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7172"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ASSETS</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sz w:val="4"/>
                <w:szCs w:val="4"/>
              </w:rPr>
            </w:pPr>
            <w:r>
              <w:rPr>
                <w:sz w:val="4"/>
                <w:szCs w:val="4"/>
              </w:rPr>
            </w:r>
          </w:p>
        </w:tc>
        <w:tc>
          <w:tcPr>
            <w:tcW w:w="811"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18,742</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13,151</w:t>
            </w:r>
          </w:p>
        </w:tc>
        <w:tc>
          <w:tcPr>
            <w:tcW w:w="84" w:type="dxa"/>
            <w:tcBorders/>
            <w:shd w:fill="auto" w:val="clear"/>
            <w:vAlign w:val="bottom"/>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4,887</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4,681</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2,294</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1,981</w:t>
            </w:r>
          </w:p>
        </w:tc>
        <w:tc>
          <w:tcPr>
            <w:tcW w:w="84" w:type="dxa"/>
            <w:tcBorders/>
            <w:shd w:fill="auto" w:val="clear"/>
            <w:vAlign w:val="bottom"/>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2,129</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1,672</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28,374</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21,795</w:t>
            </w:r>
          </w:p>
        </w:tc>
        <w:tc>
          <w:tcPr>
            <w:tcW w:w="84" w:type="dxa"/>
            <w:tcBorders/>
            <w:shd w:fill="auto" w:val="clear"/>
            <w:vAlign w:val="bottom"/>
          </w:tcPr>
          <w:p>
            <w:pPr>
              <w:pStyle w:val="TableContents"/>
              <w:spacing w:before="0" w:after="283"/>
              <w:rPr/>
            </w:pPr>
            <w:r>
              <w:rPr/>
              <w:t> </w:t>
            </w:r>
          </w:p>
        </w:tc>
      </w:tr>
      <w:tr>
        <w:trPr>
          <w:trHeight w:val="120" w:hRule="atLeast"/>
        </w:trPr>
        <w:tc>
          <w:tcPr>
            <w:tcW w:w="7172" w:type="dxa"/>
            <w:tcBorders/>
            <w:shd w:fill="auto" w:val="clear"/>
            <w:vAlign w:val="center"/>
          </w:tcPr>
          <w:p>
            <w:pPr>
              <w:pStyle w:val="TableContents"/>
              <w:spacing w:before="0" w:after="283"/>
              <w:rPr>
                <w:sz w:val="4"/>
                <w:szCs w:val="4"/>
              </w:rPr>
            </w:pPr>
            <w:r>
              <w:rPr>
                <w:sz w:val="4"/>
                <w:szCs w:val="4"/>
              </w:rPr>
            </w:r>
          </w:p>
        </w:tc>
        <w:tc>
          <w:tcPr>
            <w:tcW w:w="1472" w:type="dxa"/>
            <w:gridSpan w:val="4"/>
            <w:tcBorders/>
            <w:shd w:fill="auto" w:val="clear"/>
            <w:vAlign w:val="center"/>
          </w:tcPr>
          <w:p>
            <w:pPr>
              <w:pStyle w:val="TableContents"/>
              <w:spacing w:before="0" w:after="283"/>
              <w:rPr>
                <w:sz w:val="4"/>
                <w:szCs w:val="4"/>
              </w:rPr>
            </w:pPr>
            <w:r>
              <w:rPr>
                <w:sz w:val="4"/>
                <w:szCs w:val="4"/>
              </w:rPr>
            </w:r>
          </w:p>
        </w:tc>
        <w:tc>
          <w:tcPr>
            <w:tcW w:w="1561" w:type="dxa"/>
            <w:gridSpan w:val="4"/>
            <w:tcBorders/>
            <w:shd w:fill="auto" w:val="clear"/>
            <w:vAlign w:val="center"/>
          </w:tcPr>
          <w:p>
            <w:pPr>
              <w:pStyle w:val="TableContents"/>
              <w:spacing w:before="0" w:after="283"/>
              <w:rPr>
                <w:sz w:val="4"/>
                <w:szCs w:val="4"/>
              </w:rPr>
            </w:pPr>
            <w:r>
              <w:rPr>
                <w:sz w:val="4"/>
                <w:szCs w:val="4"/>
              </w:rPr>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8,861</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8,796</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Goodwill, net</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4" w:type="dxa"/>
            <w:tcBorders/>
            <w:shd w:fill="auto" w:val="clear"/>
            <w:vAlign w:val="bottom"/>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Intangibles  finite life, net</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658</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Intangibles  indefinite life</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4" w:type="dxa"/>
            <w:tcBorders/>
            <w:shd w:fill="auto" w:val="clear"/>
            <w:vAlign w:val="bottom"/>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729</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172" w:type="dxa"/>
            <w:tcBorders/>
            <w:shd w:fill="auto" w:val="clear"/>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72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$49,310</w:t>
            </w:r>
          </w:p>
        </w:tc>
        <w:tc>
          <w:tcPr>
            <w:tcW w:w="80" w:type="dxa"/>
            <w:tcBorders/>
            <w:shd w:fill="auto" w:val="clea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42,900</w:t>
            </w:r>
          </w:p>
        </w:tc>
        <w:tc>
          <w:tcPr>
            <w:tcW w:w="84" w:type="dxa"/>
            <w:tcBorders/>
            <w:shd w:fill="auto" w:val="clear"/>
            <w:vAlign w:val="bottom"/>
          </w:tcPr>
          <w:p>
            <w:pPr>
              <w:pStyle w:val="TableContents"/>
              <w:spacing w:before="0" w:after="283"/>
              <w:rPr/>
            </w:pPr>
            <w:r>
              <w:rPr/>
              <w:t> </w:t>
            </w:r>
          </w:p>
        </w:tc>
      </w:tr>
      <w:tr>
        <w:trPr/>
        <w:tc>
          <w:tcPr>
            <w:tcW w:w="7172"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9"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top w:val="double" w:sz="6" w:space="0" w:color="000000"/>
            </w:tcBorders>
            <w:shd w:fill="auto" w:val="clear"/>
            <w:tcMar>
              <w:top w:w="28" w:type="dxa"/>
            </w:tcMar>
            <w:vAlign w:val="bottom"/>
          </w:tcPr>
          <w:p>
            <w:pPr>
              <w:pStyle w:val="TableContents"/>
              <w:spacing w:before="0" w:after="283"/>
              <w:rPr/>
            </w:pPr>
            <w:r>
              <w:rPr/>
              <w:t> </w:t>
            </w:r>
          </w:p>
        </w:tc>
        <w:tc>
          <w:tcPr>
            <w:tcW w:w="811"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172"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LIABILITIES AND SHAREHOLDERS EQUITY</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sz w:val="4"/>
                <w:szCs w:val="4"/>
              </w:rPr>
            </w:pPr>
            <w:r>
              <w:rPr>
                <w:sz w:val="4"/>
                <w:szCs w:val="4"/>
              </w:rPr>
            </w:r>
          </w:p>
        </w:tc>
        <w:tc>
          <w:tcPr>
            <w:tcW w:w="811"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7172" w:type="dxa"/>
            <w:tcBorders/>
            <w:shd w:fill="auto" w:val="clear"/>
            <w:vAlign w:val="center"/>
          </w:tcPr>
          <w:p>
            <w:pPr>
              <w:pStyle w:val="TableContents"/>
              <w:spacing w:before="0" w:after="283"/>
              <w:rPr>
                <w:sz w:val="4"/>
                <w:szCs w:val="4"/>
              </w:rPr>
            </w:pPr>
            <w:r>
              <w:rPr>
                <w:sz w:val="4"/>
                <w:szCs w:val="4"/>
              </w:rPr>
            </w:r>
          </w:p>
        </w:tc>
        <w:tc>
          <w:tcPr>
            <w:tcW w:w="1472" w:type="dxa"/>
            <w:gridSpan w:val="4"/>
            <w:tcBorders/>
            <w:shd w:fill="auto" w:val="clear"/>
            <w:vAlign w:val="center"/>
          </w:tcPr>
          <w:p>
            <w:pPr>
              <w:pStyle w:val="TableContents"/>
              <w:spacing w:before="0" w:after="283"/>
              <w:rPr>
                <w:sz w:val="4"/>
                <w:szCs w:val="4"/>
              </w:rPr>
            </w:pPr>
            <w:r>
              <w:rPr>
                <w:sz w:val="4"/>
                <w:szCs w:val="4"/>
              </w:rPr>
            </w:r>
          </w:p>
        </w:tc>
        <w:tc>
          <w:tcPr>
            <w:tcW w:w="1561" w:type="dxa"/>
            <w:gridSpan w:val="4"/>
            <w:tcBorders/>
            <w:shd w:fill="auto" w:val="clear"/>
            <w:vAlign w:val="center"/>
          </w:tcPr>
          <w:p>
            <w:pPr>
              <w:pStyle w:val="TableContents"/>
              <w:spacing w:before="0" w:after="283"/>
              <w:rPr>
                <w:sz w:val="4"/>
                <w:szCs w:val="4"/>
              </w:rPr>
            </w:pPr>
            <w:r>
              <w:rPr>
                <w:sz w:val="4"/>
                <w:szCs w:val="4"/>
              </w:rPr>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8,174</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Current portion of subordinated notes</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4" w:type="dxa"/>
            <w:tcBorders/>
            <w:shd w:fill="auto" w:val="clear"/>
            <w:vAlign w:val="bottom"/>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12,194</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12,017</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7,307</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3,766</w:t>
            </w:r>
          </w:p>
        </w:tc>
        <w:tc>
          <w:tcPr>
            <w:tcW w:w="84" w:type="dxa"/>
            <w:tcBorders/>
            <w:shd w:fill="auto" w:val="clear"/>
            <w:vAlign w:val="bottom"/>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Detachable stock warrants</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1,946</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29,621</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18,193</w:t>
            </w:r>
          </w:p>
        </w:tc>
        <w:tc>
          <w:tcPr>
            <w:tcW w:w="84" w:type="dxa"/>
            <w:tcBorders/>
            <w:shd w:fill="auto" w:val="clear"/>
            <w:vAlign w:val="bottom"/>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1,861</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1,934</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6,214</w:t>
            </w:r>
          </w:p>
        </w:tc>
        <w:tc>
          <w:tcPr>
            <w:tcW w:w="84" w:type="dxa"/>
            <w:tcBorders/>
            <w:shd w:fill="auto" w:val="clear"/>
            <w:vAlign w:val="bottom"/>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3,143</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3,143</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notes (related party - $5,715 and $6,633, respectively)</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6,715</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6,633</w:t>
            </w:r>
          </w:p>
        </w:tc>
        <w:tc>
          <w:tcPr>
            <w:tcW w:w="84" w:type="dxa"/>
            <w:tcBorders/>
            <w:shd w:fill="auto" w:val="clear"/>
            <w:vAlign w:val="bottom"/>
          </w:tcPr>
          <w:p>
            <w:pPr>
              <w:pStyle w:val="TableContents"/>
              <w:spacing w:before="0" w:after="283"/>
              <w:rPr/>
            </w:pPr>
            <w:r>
              <w:rPr/>
              <w:t> </w:t>
            </w:r>
          </w:p>
        </w:tc>
      </w:tr>
      <w:tr>
        <w:trPr/>
        <w:tc>
          <w:tcPr>
            <w:tcW w:w="7172"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41,340</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36,117</w:t>
            </w:r>
          </w:p>
        </w:tc>
        <w:tc>
          <w:tcPr>
            <w:tcW w:w="84" w:type="dxa"/>
            <w:tcBorders/>
            <w:shd w:fill="CCEEFF" w:val="clear"/>
            <w:vAlign w:val="bottom"/>
          </w:tcPr>
          <w:p>
            <w:pPr>
              <w:pStyle w:val="TableContents"/>
              <w:spacing w:before="0" w:after="283"/>
              <w:rPr/>
            </w:pPr>
            <w:r>
              <w:rPr/>
              <w:t> </w:t>
            </w:r>
          </w:p>
        </w:tc>
      </w:tr>
      <w:tr>
        <w:trPr>
          <w:trHeight w:val="120" w:hRule="atLeast"/>
        </w:trPr>
        <w:tc>
          <w:tcPr>
            <w:tcW w:w="7172" w:type="dxa"/>
            <w:tcBorders/>
            <w:shd w:fill="auto" w:val="clear"/>
            <w:vAlign w:val="center"/>
          </w:tcPr>
          <w:p>
            <w:pPr>
              <w:pStyle w:val="TableContents"/>
              <w:spacing w:before="0" w:after="283"/>
              <w:rPr>
                <w:sz w:val="4"/>
                <w:szCs w:val="4"/>
              </w:rPr>
            </w:pPr>
            <w:r>
              <w:rPr>
                <w:sz w:val="4"/>
                <w:szCs w:val="4"/>
              </w:rPr>
            </w:r>
          </w:p>
        </w:tc>
        <w:tc>
          <w:tcPr>
            <w:tcW w:w="1472" w:type="dxa"/>
            <w:gridSpan w:val="4"/>
            <w:tcBorders/>
            <w:shd w:fill="auto" w:val="clear"/>
            <w:vAlign w:val="center"/>
          </w:tcPr>
          <w:p>
            <w:pPr>
              <w:pStyle w:val="TableContents"/>
              <w:spacing w:before="0" w:after="283"/>
              <w:rPr>
                <w:sz w:val="4"/>
                <w:szCs w:val="4"/>
              </w:rPr>
            </w:pPr>
            <w:r>
              <w:rPr>
                <w:sz w:val="4"/>
                <w:szCs w:val="4"/>
              </w:rPr>
            </w:r>
          </w:p>
        </w:tc>
        <w:tc>
          <w:tcPr>
            <w:tcW w:w="1561" w:type="dxa"/>
            <w:gridSpan w:val="4"/>
            <w:tcBorders/>
            <w:shd w:fill="auto" w:val="clear"/>
            <w:vAlign w:val="center"/>
          </w:tcPr>
          <w:p>
            <w:pPr>
              <w:pStyle w:val="TableContents"/>
              <w:spacing w:before="0" w:after="283"/>
              <w:rPr>
                <w:sz w:val="4"/>
                <w:szCs w:val="4"/>
              </w:rPr>
            </w:pPr>
            <w:r>
              <w:rPr>
                <w:sz w:val="4"/>
                <w:szCs w:val="4"/>
              </w:rPr>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$0.01 par value; 100,000,000 shares authorized, 11,202,780 and 10,168,479 shares issued in 2006 and 2005</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16,810</w:t>
            </w:r>
          </w:p>
        </w:tc>
        <w:tc>
          <w:tcPr>
            <w:tcW w:w="8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15,017</w:t>
            </w:r>
          </w:p>
        </w:tc>
        <w:tc>
          <w:tcPr>
            <w:tcW w:w="84" w:type="dxa"/>
            <w:tcBorders/>
            <w:shd w:fill="auto" w:val="clear"/>
            <w:vAlign w:val="bottom"/>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(7,072</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(791</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172"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172" w:type="dxa"/>
            <w:tcBorders/>
            <w:shd w:fill="CCEEFF" w:val="clear"/>
          </w:tcPr>
          <w:p>
            <w:pPr>
              <w:pStyle w:val="TableContents"/>
              <w:spacing w:before="0" w:after="283"/>
              <w:rPr>
                <w:sz w:val="4"/>
                <w:szCs w:val="4"/>
              </w:rPr>
            </w:pPr>
            <w:r>
              <w:rPr>
                <w:sz w:val="4"/>
                <w:szCs w:val="4"/>
              </w:rPr>
            </w:r>
          </w:p>
        </w:tc>
        <w:tc>
          <w:tcPr>
            <w:tcW w:w="538"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8,325</w:t>
            </w:r>
          </w:p>
        </w:tc>
        <w:tc>
          <w:tcPr>
            <w:tcW w:w="80" w:type="dxa"/>
            <w:tcBorders/>
            <w:shd w:fill="CCEEFF" w:val="clear"/>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7,256</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 137,920 shares in 2006 and 175,220 in 2005</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172"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172"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7,970</w:t>
            </w:r>
          </w:p>
        </w:tc>
        <w:tc>
          <w:tcPr>
            <w:tcW w:w="8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6,783</w:t>
            </w:r>
          </w:p>
        </w:tc>
        <w:tc>
          <w:tcPr>
            <w:tcW w:w="84" w:type="dxa"/>
            <w:tcBorders/>
            <w:shd w:fill="CCEEFF" w:val="clear"/>
            <w:vAlign w:val="bottom"/>
          </w:tcPr>
          <w:p>
            <w:pPr>
              <w:pStyle w:val="TableContents"/>
              <w:spacing w:before="0" w:after="283"/>
              <w:rPr/>
            </w:pPr>
            <w:r>
              <w:rPr/>
              <w:t> </w:t>
            </w:r>
          </w:p>
        </w:tc>
      </w:tr>
      <w:tr>
        <w:trPr/>
        <w:tc>
          <w:tcPr>
            <w:tcW w:w="7172"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1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172" w:type="dxa"/>
            <w:tcBorders/>
            <w:shd w:fill="auto" w:val="clear"/>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72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$49,310</w:t>
            </w:r>
          </w:p>
        </w:tc>
        <w:tc>
          <w:tcPr>
            <w:tcW w:w="80" w:type="dxa"/>
            <w:tcBorders/>
            <w:shd w:fill="auto" w:val="clea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42,900</w:t>
            </w:r>
          </w:p>
        </w:tc>
        <w:tc>
          <w:tcPr>
            <w:tcW w:w="84" w:type="dxa"/>
            <w:tcBorders/>
            <w:shd w:fill="auto" w:val="clear"/>
            <w:vAlign w:val="bottom"/>
          </w:tcPr>
          <w:p>
            <w:pPr>
              <w:pStyle w:val="TableContents"/>
              <w:spacing w:before="0" w:after="283"/>
              <w:rPr/>
            </w:pPr>
            <w:r>
              <w:rPr/>
              <w:t> </w:t>
            </w:r>
          </w:p>
        </w:tc>
      </w:tr>
      <w:tr>
        <w:trPr/>
        <w:tc>
          <w:tcPr>
            <w:tcW w:w="7172"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9"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71" w:type="dxa"/>
            <w:tcBorders>
              <w:top w:val="double" w:sz="6" w:space="0" w:color="000000"/>
            </w:tcBorders>
            <w:shd w:fill="auto" w:val="clear"/>
            <w:tcMar>
              <w:top w:w="28" w:type="dxa"/>
            </w:tcMar>
            <w:vAlign w:val="bottom"/>
          </w:tcPr>
          <w:p>
            <w:pPr>
              <w:pStyle w:val="TableContents"/>
              <w:spacing w:before="0" w:after="283"/>
              <w:rPr/>
            </w:pPr>
            <w:r>
              <w:rPr/>
              <w:t> </w:t>
            </w:r>
          </w:p>
        </w:tc>
        <w:tc>
          <w:tcPr>
            <w:tcW w:w="811"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4" w:name="tx30007_2"/>
      <w:bookmarkEnd w:id="4"/>
      <w:r>
        <w:rPr>
          <w:rFonts w:ascii="Times New Roman" w:hAnsi="Times New Roman"/>
          <w:sz w:val="20"/>
          <w:u w:val="single"/>
        </w:rPr>
        <w:t xml:space="preserve">CECO ENVIRONMENTAL CORP. </w:t>
      </w:r>
    </w:p>
    <w:p>
      <w:pPr>
        <w:pStyle w:val="TextBody"/>
        <w:spacing w:before="90" w:after="0"/>
        <w:jc w:val="center"/>
        <w:rPr>
          <w:rFonts w:ascii="Times New Roman" w:hAnsi="Times New Roman"/>
          <w:sz w:val="20"/>
        </w:rPr>
      </w:pPr>
      <w:r>
        <w:rPr>
          <w:rFonts w:ascii="Times New Roman" w:hAnsi="Times New Roman"/>
          <w:sz w:val="20"/>
        </w:rPr>
        <w:t xml:space="preserve">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023"/>
        <w:gridCol w:w="472"/>
        <w:gridCol w:w="125"/>
        <w:gridCol w:w="1012"/>
        <w:gridCol w:w="80"/>
        <w:gridCol w:w="428"/>
        <w:gridCol w:w="125"/>
        <w:gridCol w:w="857"/>
        <w:gridCol w:w="83"/>
      </w:tblGrid>
      <w:tr>
        <w:trPr/>
        <w:tc>
          <w:tcPr>
            <w:tcW w:w="702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023"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627" w:type="dxa"/>
            <w:gridSpan w:val="6"/>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r>
          </w:p>
          <w:p>
            <w:pPr>
              <w:pStyle w:val="TableContents"/>
              <w:spacing w:before="0" w:after="15"/>
              <w:jc w:val="center"/>
              <w:rPr>
                <w:rFonts w:ascii="Times New Roman" w:hAnsi="Times New Roman"/>
                <w:b/>
                <w:sz w:val="14"/>
              </w:rPr>
            </w:pPr>
            <w:r>
              <w:rPr>
                <w:rFonts w:ascii="Times New Roman" w:hAnsi="Times New Roman"/>
                <w:b/>
                <w:sz w:val="14"/>
              </w:rPr>
              <w:t>MARCH 31,</w:t>
            </w:r>
          </w:p>
        </w:tc>
        <w:tc>
          <w:tcPr>
            <w:tcW w:w="83" w:type="dxa"/>
            <w:tcBorders/>
            <w:shd w:fill="auto" w:val="clear"/>
            <w:vAlign w:val="bottom"/>
          </w:tcPr>
          <w:p>
            <w:pPr>
              <w:pStyle w:val="TableContents"/>
              <w:spacing w:before="0" w:after="283"/>
              <w:rPr/>
            </w:pPr>
            <w:r>
              <w:rPr/>
              <w:t> </w:t>
            </w:r>
          </w:p>
        </w:tc>
      </w:tr>
      <w:tr>
        <w:trPr/>
        <w:tc>
          <w:tcPr>
            <w:tcW w:w="7023"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13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3" w:type="dxa"/>
            <w:tcBorders/>
            <w:shd w:fill="auto" w:val="clear"/>
            <w:vAlign w:val="bottom"/>
          </w:tcPr>
          <w:p>
            <w:pPr>
              <w:pStyle w:val="TableContents"/>
              <w:spacing w:before="0" w:after="283"/>
              <w:rPr/>
            </w:pPr>
            <w:r>
              <w:rPr/>
              <w:t> </w:t>
            </w:r>
          </w:p>
        </w:tc>
      </w:tr>
      <w:tr>
        <w:trPr/>
        <w:tc>
          <w:tcPr>
            <w:tcW w:w="7023"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24,382</w:t>
            </w:r>
          </w:p>
        </w:tc>
        <w:tc>
          <w:tcPr>
            <w:tcW w:w="80"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15,055</w:t>
            </w:r>
          </w:p>
        </w:tc>
        <w:tc>
          <w:tcPr>
            <w:tcW w:w="83" w:type="dxa"/>
            <w:tcBorders/>
            <w:shd w:fill="CCEEFF" w:val="clear"/>
            <w:vAlign w:val="bottom"/>
          </w:tcPr>
          <w:p>
            <w:pPr>
              <w:pStyle w:val="TableContents"/>
              <w:spacing w:before="0" w:after="283"/>
              <w:rPr/>
            </w:pPr>
            <w:r>
              <w:rPr/>
              <w:t> </w:t>
            </w:r>
          </w:p>
        </w:tc>
      </w:tr>
      <w:tr>
        <w:trPr/>
        <w:tc>
          <w:tcPr>
            <w:tcW w:w="7023"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1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57"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023"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12"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57"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c>
          <w:tcPr>
            <w:tcW w:w="7023"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20,249</w:t>
            </w:r>
          </w:p>
        </w:tc>
        <w:tc>
          <w:tcPr>
            <w:tcW w:w="80"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12,882</w:t>
            </w:r>
          </w:p>
        </w:tc>
        <w:tc>
          <w:tcPr>
            <w:tcW w:w="83" w:type="dxa"/>
            <w:tcBorders/>
            <w:shd w:fill="CCEEFF" w:val="clear"/>
            <w:vAlign w:val="bottom"/>
          </w:tcPr>
          <w:p>
            <w:pPr>
              <w:pStyle w:val="TableContents"/>
              <w:spacing w:before="0" w:after="283"/>
              <w:rPr/>
            </w:pPr>
            <w:r>
              <w:rPr/>
              <w:t> </w:t>
            </w:r>
          </w:p>
        </w:tc>
      </w:tr>
      <w:tr>
        <w:trPr/>
        <w:tc>
          <w:tcPr>
            <w:tcW w:w="7023" w:type="dxa"/>
            <w:tcBorders/>
            <w:shd w:fill="auto"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3,145</w:t>
            </w:r>
          </w:p>
        </w:tc>
        <w:tc>
          <w:tcPr>
            <w:tcW w:w="80"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2,841</w:t>
            </w:r>
          </w:p>
        </w:tc>
        <w:tc>
          <w:tcPr>
            <w:tcW w:w="83" w:type="dxa"/>
            <w:tcBorders/>
            <w:shd w:fill="auto" w:val="clear"/>
            <w:vAlign w:val="bottom"/>
          </w:tcPr>
          <w:p>
            <w:pPr>
              <w:pStyle w:val="TableContents"/>
              <w:spacing w:before="0" w:after="283"/>
              <w:rPr/>
            </w:pPr>
            <w:r>
              <w:rPr/>
              <w:t> </w:t>
            </w:r>
          </w:p>
        </w:tc>
      </w:tr>
      <w:tr>
        <w:trPr/>
        <w:tc>
          <w:tcPr>
            <w:tcW w:w="7023"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c>
          <w:tcPr>
            <w:tcW w:w="80"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c>
          <w:tcPr>
            <w:tcW w:w="83" w:type="dxa"/>
            <w:tcBorders/>
            <w:shd w:fill="CCEEFF" w:val="clear"/>
            <w:vAlign w:val="bottom"/>
          </w:tcPr>
          <w:p>
            <w:pPr>
              <w:pStyle w:val="TableContents"/>
              <w:spacing w:before="0" w:after="283"/>
              <w:rPr/>
            </w:pPr>
            <w:r>
              <w:rPr/>
              <w:t> </w:t>
            </w:r>
          </w:p>
        </w:tc>
      </w:tr>
      <w:tr>
        <w:trPr/>
        <w:tc>
          <w:tcPr>
            <w:tcW w:w="7023"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1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57"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023" w:type="dxa"/>
            <w:tcBorders/>
            <w:shd w:fill="auto" w:val="clear"/>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10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23,686</w:t>
            </w:r>
          </w:p>
        </w:tc>
        <w:tc>
          <w:tcPr>
            <w:tcW w:w="80" w:type="dxa"/>
            <w:tcBorders/>
            <w:shd w:fill="auto" w:val="clea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16,015</w:t>
            </w:r>
          </w:p>
        </w:tc>
        <w:tc>
          <w:tcPr>
            <w:tcW w:w="83" w:type="dxa"/>
            <w:tcBorders/>
            <w:shd w:fill="auto" w:val="clear"/>
            <w:vAlign w:val="bottom"/>
          </w:tcPr>
          <w:p>
            <w:pPr>
              <w:pStyle w:val="TableContents"/>
              <w:spacing w:before="0" w:after="283"/>
              <w:rPr/>
            </w:pPr>
            <w:r>
              <w:rPr/>
              <w:t> </w:t>
            </w:r>
          </w:p>
        </w:tc>
      </w:tr>
      <w:tr>
        <w:trPr/>
        <w:tc>
          <w:tcPr>
            <w:tcW w:w="7023"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1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57"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02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696</w:t>
            </w:r>
          </w:p>
        </w:tc>
        <w:tc>
          <w:tcPr>
            <w:tcW w:w="80"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7023" w:type="dxa"/>
            <w:tcBorders/>
            <w:shd w:fill="auto" w:val="clear"/>
            <w:vAlign w:val="center"/>
          </w:tcPr>
          <w:p>
            <w:pPr>
              <w:pStyle w:val="TableContents"/>
              <w:spacing w:before="0" w:after="283"/>
              <w:rPr>
                <w:sz w:val="4"/>
                <w:szCs w:val="4"/>
              </w:rPr>
            </w:pPr>
            <w:r>
              <w:rPr>
                <w:sz w:val="4"/>
                <w:szCs w:val="4"/>
              </w:rPr>
            </w:r>
          </w:p>
        </w:tc>
        <w:tc>
          <w:tcPr>
            <w:tcW w:w="1689" w:type="dxa"/>
            <w:gridSpan w:val="4"/>
            <w:tcBorders/>
            <w:shd w:fill="auto" w:val="clear"/>
            <w:vAlign w:val="center"/>
          </w:tcPr>
          <w:p>
            <w:pPr>
              <w:pStyle w:val="TableContents"/>
              <w:spacing w:before="0" w:after="283"/>
              <w:rPr>
                <w:sz w:val="4"/>
                <w:szCs w:val="4"/>
              </w:rPr>
            </w:pPr>
            <w:r>
              <w:rPr>
                <w:sz w:val="4"/>
                <w:szCs w:val="4"/>
              </w:rPr>
            </w:r>
          </w:p>
        </w:tc>
        <w:tc>
          <w:tcPr>
            <w:tcW w:w="1493" w:type="dxa"/>
            <w:gridSpan w:val="4"/>
            <w:tcBorders/>
            <w:shd w:fill="auto" w:val="clear"/>
            <w:vAlign w:val="center"/>
          </w:tcPr>
          <w:p>
            <w:pPr>
              <w:pStyle w:val="TableContents"/>
              <w:spacing w:before="0" w:after="283"/>
              <w:rPr>
                <w:sz w:val="4"/>
                <w:szCs w:val="4"/>
              </w:rPr>
            </w:pPr>
            <w:r>
              <w:rPr>
                <w:sz w:val="4"/>
                <w:szCs w:val="4"/>
              </w:rPr>
            </w:r>
          </w:p>
        </w:tc>
      </w:tr>
      <w:tr>
        <w:trPr/>
        <w:tc>
          <w:tcPr>
            <w:tcW w:w="7023" w:type="dxa"/>
            <w:tcBorders/>
            <w:shd w:fill="auto" w:val="clear"/>
          </w:tcPr>
          <w:p>
            <w:pPr>
              <w:pStyle w:val="TableContents"/>
              <w:spacing w:before="0" w:after="283"/>
              <w:rPr>
                <w:rFonts w:ascii="Times New Roman" w:hAnsi="Times New Roman"/>
                <w:sz w:val="20"/>
              </w:rPr>
            </w:pPr>
            <w:r>
              <w:rPr>
                <w:rFonts w:ascii="Times New Roman" w:hAnsi="Times New Roman"/>
                <w:sz w:val="20"/>
              </w:rPr>
              <w:t>Other (expense) income</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83" w:type="dxa"/>
            <w:tcBorders/>
            <w:shd w:fill="auto" w:val="clear"/>
            <w:vAlign w:val="bottom"/>
          </w:tcPr>
          <w:p>
            <w:pPr>
              <w:pStyle w:val="TableContents"/>
              <w:spacing w:before="0" w:after="283"/>
              <w:rPr/>
            </w:pPr>
            <w:r>
              <w:rPr/>
              <w:t> </w:t>
            </w:r>
          </w:p>
        </w:tc>
      </w:tr>
      <w:tr>
        <w:trPr>
          <w:trHeight w:val="120" w:hRule="atLeast"/>
        </w:trPr>
        <w:tc>
          <w:tcPr>
            <w:tcW w:w="7023" w:type="dxa"/>
            <w:tcBorders/>
            <w:shd w:fill="auto" w:val="clear"/>
            <w:vAlign w:val="center"/>
          </w:tcPr>
          <w:p>
            <w:pPr>
              <w:pStyle w:val="TableContents"/>
              <w:spacing w:before="0" w:after="283"/>
              <w:rPr>
                <w:sz w:val="4"/>
                <w:szCs w:val="4"/>
              </w:rPr>
            </w:pPr>
            <w:r>
              <w:rPr>
                <w:sz w:val="4"/>
                <w:szCs w:val="4"/>
              </w:rPr>
            </w:r>
          </w:p>
        </w:tc>
        <w:tc>
          <w:tcPr>
            <w:tcW w:w="1689" w:type="dxa"/>
            <w:gridSpan w:val="4"/>
            <w:tcBorders/>
            <w:shd w:fill="auto" w:val="clear"/>
            <w:vAlign w:val="center"/>
          </w:tcPr>
          <w:p>
            <w:pPr>
              <w:pStyle w:val="TableContents"/>
              <w:spacing w:before="0" w:after="283"/>
              <w:rPr>
                <w:sz w:val="4"/>
                <w:szCs w:val="4"/>
              </w:rPr>
            </w:pPr>
            <w:r>
              <w:rPr>
                <w:sz w:val="4"/>
                <w:szCs w:val="4"/>
              </w:rPr>
            </w:r>
          </w:p>
        </w:tc>
        <w:tc>
          <w:tcPr>
            <w:tcW w:w="1493" w:type="dxa"/>
            <w:gridSpan w:val="4"/>
            <w:tcBorders/>
            <w:shd w:fill="auto" w:val="clear"/>
            <w:vAlign w:val="center"/>
          </w:tcPr>
          <w:p>
            <w:pPr>
              <w:pStyle w:val="TableContents"/>
              <w:spacing w:before="0" w:after="283"/>
              <w:rPr>
                <w:sz w:val="4"/>
                <w:szCs w:val="4"/>
              </w:rPr>
            </w:pPr>
            <w:r>
              <w:rPr>
                <w:sz w:val="4"/>
                <w:szCs w:val="4"/>
              </w:rPr>
            </w:r>
          </w:p>
        </w:tc>
      </w:tr>
      <w:tr>
        <w:trPr/>
        <w:tc>
          <w:tcPr>
            <w:tcW w:w="7023"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$232 and $259, respectively)</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(597</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23"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1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57"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023" w:type="dxa"/>
            <w:tcBorders/>
            <w:shd w:fill="auto" w:val="clear"/>
          </w:tcPr>
          <w:p>
            <w:pPr>
              <w:pStyle w:val="TableContents"/>
              <w:spacing w:before="0" w:after="283"/>
              <w:rPr>
                <w:rFonts w:ascii="Times New Roman" w:hAnsi="Times New Roman"/>
                <w:sz w:val="20"/>
              </w:rPr>
            </w:pPr>
            <w:r>
              <w:rPr>
                <w:rFonts w:ascii="Times New Roman" w:hAnsi="Times New Roman"/>
                <w:sz w:val="20"/>
              </w:rPr>
              <w:t>Loss before income taxes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(1,507</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7023" w:type="dxa"/>
            <w:tcBorders/>
            <w:shd w:fill="auto" w:val="clear"/>
            <w:vAlign w:val="center"/>
          </w:tcPr>
          <w:p>
            <w:pPr>
              <w:pStyle w:val="TableContents"/>
              <w:spacing w:before="0" w:after="283"/>
              <w:rPr>
                <w:sz w:val="4"/>
                <w:szCs w:val="4"/>
              </w:rPr>
            </w:pPr>
            <w:r>
              <w:rPr>
                <w:sz w:val="4"/>
                <w:szCs w:val="4"/>
              </w:rPr>
            </w:r>
          </w:p>
        </w:tc>
        <w:tc>
          <w:tcPr>
            <w:tcW w:w="1689" w:type="dxa"/>
            <w:gridSpan w:val="4"/>
            <w:tcBorders/>
            <w:shd w:fill="auto" w:val="clear"/>
            <w:vAlign w:val="center"/>
          </w:tcPr>
          <w:p>
            <w:pPr>
              <w:pStyle w:val="TableContents"/>
              <w:spacing w:before="0" w:after="283"/>
              <w:rPr>
                <w:sz w:val="4"/>
                <w:szCs w:val="4"/>
              </w:rPr>
            </w:pPr>
            <w:r>
              <w:rPr>
                <w:sz w:val="4"/>
                <w:szCs w:val="4"/>
              </w:rPr>
            </w:r>
          </w:p>
        </w:tc>
        <w:tc>
          <w:tcPr>
            <w:tcW w:w="1493" w:type="dxa"/>
            <w:gridSpan w:val="4"/>
            <w:tcBorders/>
            <w:shd w:fill="auto" w:val="clear"/>
            <w:vAlign w:val="center"/>
          </w:tcPr>
          <w:p>
            <w:pPr>
              <w:pStyle w:val="TableContents"/>
              <w:spacing w:before="0" w:after="283"/>
              <w:rPr>
                <w:sz w:val="4"/>
                <w:szCs w:val="4"/>
              </w:rPr>
            </w:pPr>
            <w:r>
              <w:rPr>
                <w:sz w:val="4"/>
                <w:szCs w:val="4"/>
              </w:rPr>
            </w:r>
          </w:p>
        </w:tc>
      </w:tr>
      <w:tr>
        <w:trPr/>
        <w:tc>
          <w:tcPr>
            <w:tcW w:w="702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23"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1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57"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023"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(632</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23"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12"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57"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023"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12"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7"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023"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 net loss</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(.06</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23"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12"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57"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023"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4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12"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7"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023"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w:t>
            </w:r>
          </w:p>
        </w:tc>
        <w:tc>
          <w:tcPr>
            <w:tcW w:w="4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10,913,503</w:t>
            </w:r>
          </w:p>
        </w:tc>
        <w:tc>
          <w:tcPr>
            <w:tcW w:w="80"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9,993,260</w:t>
            </w:r>
          </w:p>
        </w:tc>
        <w:tc>
          <w:tcPr>
            <w:tcW w:w="83" w:type="dxa"/>
            <w:tcBorders/>
            <w:shd w:fill="auto" w:val="clear"/>
            <w:vAlign w:val="bottom"/>
          </w:tcPr>
          <w:p>
            <w:pPr>
              <w:pStyle w:val="TableContents"/>
              <w:spacing w:before="0" w:after="283"/>
              <w:rPr/>
            </w:pPr>
            <w:r>
              <w:rPr/>
              <w:t> </w:t>
            </w:r>
          </w:p>
        </w:tc>
      </w:tr>
      <w:tr>
        <w:trPr/>
        <w:tc>
          <w:tcPr>
            <w:tcW w:w="7023"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12"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57"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consolidated financial statements are </w:t>
      </w:r>
    </w:p>
    <w:p>
      <w:pPr>
        <w:pStyle w:val="TextBody"/>
        <w:spacing w:before="0" w:after="0"/>
        <w:jc w:val="center"/>
        <w:rPr>
          <w:rFonts w:ascii="Times New Roman" w:hAnsi="Times New Roman"/>
          <w:sz w:val="20"/>
        </w:rPr>
      </w:pPr>
      <w:r>
        <w:rPr>
          <w:rFonts w:ascii="Times New Roman" w:hAnsi="Times New Roman"/>
          <w:sz w:val="20"/>
        </w:rPr>
        <w:t xml:space="preserve">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5" w:name="tx30007_3"/>
      <w:bookmarkEnd w:id="5"/>
      <w:r>
        <w:rPr>
          <w:rFonts w:ascii="Times New Roman" w:hAnsi="Times New Roman"/>
          <w:sz w:val="20"/>
          <w:u w:val="single"/>
        </w:rPr>
        <w:t xml:space="preserve">CECO ENVIRONMENTAL CORP. </w:t>
      </w:r>
    </w:p>
    <w:p>
      <w:pPr>
        <w:pStyle w:val="TextBody"/>
        <w:spacing w:before="90" w:after="0"/>
        <w:jc w:val="center"/>
        <w:rPr>
          <w:rFonts w:ascii="Times New Roman" w:hAnsi="Times New Roman"/>
          <w:sz w:val="20"/>
        </w:rPr>
      </w:pPr>
      <w:r>
        <w:rPr>
          <w:rFonts w:ascii="Times New Roman" w:hAnsi="Times New Roman"/>
          <w:sz w:val="20"/>
        </w:rPr>
        <w:t xml:space="preserve">CONSOLIDATED STATEMENTS OF CASH FLOWS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988"/>
        <w:gridCol w:w="324"/>
        <w:gridCol w:w="133"/>
        <w:gridCol w:w="587"/>
        <w:gridCol w:w="85"/>
        <w:gridCol w:w="283"/>
        <w:gridCol w:w="133"/>
        <w:gridCol w:w="589"/>
        <w:gridCol w:w="83"/>
      </w:tblGrid>
      <w:tr>
        <w:trPr/>
        <w:tc>
          <w:tcPr>
            <w:tcW w:w="798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98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810" w:type="dxa"/>
            <w:gridSpan w:val="6"/>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r>
          </w:p>
          <w:p>
            <w:pPr>
              <w:pStyle w:val="TableContents"/>
              <w:spacing w:before="0" w:after="15"/>
              <w:jc w:val="center"/>
              <w:rPr>
                <w:rFonts w:ascii="Times New Roman" w:hAnsi="Times New Roman"/>
                <w:b/>
                <w:sz w:val="14"/>
              </w:rPr>
            </w:pPr>
            <w:r>
              <w:rPr>
                <w:rFonts w:ascii="Times New Roman" w:hAnsi="Times New Roman"/>
                <w:b/>
                <w:sz w:val="14"/>
              </w:rPr>
              <w:t>MARCH 31,</w:t>
            </w:r>
          </w:p>
        </w:tc>
        <w:tc>
          <w:tcPr>
            <w:tcW w:w="83" w:type="dxa"/>
            <w:tcBorders/>
            <w:shd w:fill="auto" w:val="clear"/>
            <w:vAlign w:val="bottom"/>
          </w:tcPr>
          <w:p>
            <w:pPr>
              <w:pStyle w:val="TableContents"/>
              <w:spacing w:before="0" w:after="283"/>
              <w:rPr/>
            </w:pPr>
            <w:r>
              <w:rPr/>
              <w:t> </w:t>
            </w:r>
          </w:p>
        </w:tc>
      </w:tr>
      <w:tr>
        <w:trPr/>
        <w:tc>
          <w:tcPr>
            <w:tcW w:w="798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7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3" w:type="dxa"/>
            <w:tcBorders/>
            <w:shd w:fill="auto" w:val="clear"/>
            <w:vAlign w:val="bottom"/>
          </w:tcPr>
          <w:p>
            <w:pPr>
              <w:pStyle w:val="TableContents"/>
              <w:spacing w:before="0" w:after="283"/>
              <w:rPr/>
            </w:pPr>
            <w:r>
              <w:rPr/>
              <w:t> </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89"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(736</w:t>
            </w:r>
          </w:p>
        </w:tc>
        <w:tc>
          <w:tcPr>
            <w:tcW w:w="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(632</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loss to net cash provided by (used in) operating activities: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89"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c>
          <w:tcPr>
            <w:tcW w:w="8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c>
          <w:tcPr>
            <w:tcW w:w="83" w:type="dxa"/>
            <w:tcBorders/>
            <w:shd w:fill="auto" w:val="clear"/>
            <w:vAlign w:val="bottom"/>
          </w:tcPr>
          <w:p>
            <w:pPr>
              <w:pStyle w:val="TableContents"/>
              <w:spacing w:before="0" w:after="283"/>
              <w:rPr/>
            </w:pPr>
            <w:r>
              <w:rPr/>
              <w:t> </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interest expense included in net loss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8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83" w:type="dxa"/>
            <w:tcBorders/>
            <w:shd w:fill="CCEEFF" w:val="clear"/>
            <w:vAlign w:val="bottom"/>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Non cash warrant valuation expense (gains) included in net loss</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1,104</w:t>
            </w:r>
          </w:p>
        </w:tc>
        <w:tc>
          <w:tcPr>
            <w:tcW w:w="8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gains included in net loss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587"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589"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(5,591</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3,631</w:t>
            </w:r>
          </w:p>
        </w:tc>
        <w:tc>
          <w:tcPr>
            <w:tcW w:w="83" w:type="dxa"/>
            <w:tcBorders/>
            <w:shd w:fill="CCEEFF" w:val="clear"/>
            <w:vAlign w:val="bottom"/>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(313</w:t>
            </w:r>
          </w:p>
        </w:tc>
        <w:tc>
          <w:tcPr>
            <w:tcW w:w="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83" w:type="dxa"/>
            <w:tcBorders/>
            <w:shd w:fill="CCEEFF" w:val="clear"/>
            <w:vAlign w:val="bottom"/>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w:t>
            </w:r>
          </w:p>
        </w:tc>
        <w:tc>
          <w:tcPr>
            <w:tcW w:w="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w:t>
            </w:r>
          </w:p>
        </w:tc>
        <w:tc>
          <w:tcPr>
            <w:tcW w:w="8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83" w:type="dxa"/>
            <w:tcBorders/>
            <w:shd w:fill="CCEEFF" w:val="clear"/>
            <w:vAlign w:val="bottom"/>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w:t>
            </w:r>
          </w:p>
        </w:tc>
        <w:tc>
          <w:tcPr>
            <w:tcW w:w="8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(3,182</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3,541</w:t>
            </w:r>
          </w:p>
        </w:tc>
        <w:tc>
          <w:tcPr>
            <w:tcW w:w="8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1,167</w:t>
            </w:r>
          </w:p>
        </w:tc>
        <w:tc>
          <w:tcPr>
            <w:tcW w:w="83" w:type="dxa"/>
            <w:tcBorders/>
            <w:shd w:fill="CCEEFF" w:val="clear"/>
            <w:vAlign w:val="bottom"/>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83" w:type="dxa"/>
            <w:tcBorders/>
            <w:shd w:fill="auto" w:val="clear"/>
            <w:vAlign w:val="bottom"/>
          </w:tcPr>
          <w:p>
            <w:pPr>
              <w:pStyle w:val="TableContents"/>
              <w:spacing w:before="0" w:after="283"/>
              <w:rPr/>
            </w:pPr>
            <w:r>
              <w:rPr/>
              <w:t> </w:t>
            </w:r>
          </w:p>
        </w:tc>
      </w:tr>
      <w:tr>
        <w:trPr/>
        <w:tc>
          <w:tcPr>
            <w:tcW w:w="7988"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7"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9"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operating activities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(1,978</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w:t>
            </w:r>
          </w:p>
        </w:tc>
        <w:tc>
          <w:tcPr>
            <w:tcW w:w="83" w:type="dxa"/>
            <w:tcBorders/>
            <w:shd w:fill="CCEEFF" w:val="clear"/>
            <w:vAlign w:val="bottom"/>
          </w:tcPr>
          <w:p>
            <w:pPr>
              <w:pStyle w:val="TableContents"/>
              <w:spacing w:before="0" w:after="283"/>
              <w:rPr/>
            </w:pPr>
            <w:r>
              <w:rPr/>
              <w:t> </w:t>
            </w:r>
          </w:p>
        </w:tc>
      </w:tr>
      <w:tr>
        <w:trPr/>
        <w:tc>
          <w:tcPr>
            <w:tcW w:w="7988"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7"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9"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investing activities - acquisition of property and equipment</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88"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7"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9"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87"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89"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exercise of warrants &amp; options not under plan</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1,769</w:t>
            </w:r>
          </w:p>
        </w:tc>
        <w:tc>
          <w:tcPr>
            <w:tcW w:w="8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exercise of stock options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8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CCEEFF" w:val="clear"/>
            <w:vAlign w:val="bottom"/>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Compensation expense  stock options</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8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debt repayments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CCEEFF" w:val="clear"/>
            <w:vAlign w:val="bottom"/>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Short-term debt borrowings (repayments)</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1,392</w:t>
            </w:r>
          </w:p>
        </w:tc>
        <w:tc>
          <w:tcPr>
            <w:tcW w:w="8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88"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7"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9"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2,325</w:t>
            </w:r>
          </w:p>
        </w:tc>
        <w:tc>
          <w:tcPr>
            <w:tcW w:w="8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88"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7"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9"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Net increase in cash</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8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83" w:type="dxa"/>
            <w:tcBorders/>
            <w:shd w:fill="auto" w:val="clear"/>
            <w:vAlign w:val="bottom"/>
          </w:tcPr>
          <w:p>
            <w:pPr>
              <w:pStyle w:val="TableContents"/>
              <w:spacing w:before="0" w:after="283"/>
              <w:rPr/>
            </w:pPr>
            <w:r>
              <w:rPr/>
              <w:t> </w:t>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beginning of the period</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8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83" w:type="dxa"/>
            <w:tcBorders/>
            <w:shd w:fill="CCEEFF" w:val="clear"/>
            <w:vAlign w:val="bottom"/>
          </w:tcPr>
          <w:p>
            <w:pPr>
              <w:pStyle w:val="TableContents"/>
              <w:spacing w:before="0" w:after="283"/>
              <w:rPr/>
            </w:pPr>
            <w:r>
              <w:rPr/>
              <w:t> </w:t>
            </w:r>
          </w:p>
        </w:tc>
      </w:tr>
      <w:tr>
        <w:trPr/>
        <w:tc>
          <w:tcPr>
            <w:tcW w:w="7988"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7"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top w:val="single" w:sz="2" w:space="0" w:color="000000"/>
            </w:tcBorders>
            <w:shd w:fill="auto" w:val="clear"/>
            <w:tcMar>
              <w:top w:w="28" w:type="dxa"/>
            </w:tcMar>
            <w:vAlign w:val="bottom"/>
          </w:tcPr>
          <w:p>
            <w:pPr>
              <w:pStyle w:val="TableContents"/>
              <w:spacing w:before="0" w:after="283"/>
              <w:rPr/>
            </w:pPr>
            <w:r>
              <w:rPr/>
              <w:t> </w:t>
            </w:r>
          </w:p>
        </w:tc>
        <w:tc>
          <w:tcPr>
            <w:tcW w:w="589"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end of the period</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8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83" w:type="dxa"/>
            <w:tcBorders/>
            <w:shd w:fill="auto" w:val="clear"/>
            <w:vAlign w:val="bottom"/>
          </w:tcPr>
          <w:p>
            <w:pPr>
              <w:pStyle w:val="TableContents"/>
              <w:spacing w:before="0" w:after="283"/>
              <w:rPr/>
            </w:pPr>
            <w:r>
              <w:rPr/>
              <w:t> </w:t>
            </w:r>
          </w:p>
        </w:tc>
      </w:tr>
      <w:tr>
        <w:trPr/>
        <w:tc>
          <w:tcPr>
            <w:tcW w:w="7988"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pPr>
            <w:r>
              <w:rPr/>
              <w:t>  </w:t>
            </w:r>
          </w:p>
        </w:tc>
        <w:tc>
          <w:tcPr>
            <w:tcW w:w="133" w:type="dxa"/>
            <w:tcBorders>
              <w:top w:val="double" w:sz="6" w:space="0" w:color="000000"/>
            </w:tcBorders>
            <w:shd w:fill="auto" w:val="clear"/>
            <w:tcMar>
              <w:top w:w="28" w:type="dxa"/>
            </w:tcMar>
            <w:vAlign w:val="bottom"/>
          </w:tcPr>
          <w:p>
            <w:pPr>
              <w:pStyle w:val="TableContents"/>
              <w:spacing w:before="0" w:after="283"/>
              <w:rPr/>
            </w:pPr>
            <w:r>
              <w:rPr/>
              <w:t> </w:t>
            </w:r>
          </w:p>
        </w:tc>
        <w:tc>
          <w:tcPr>
            <w:tcW w:w="587"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top w:val="double" w:sz="6" w:space="0" w:color="000000"/>
            </w:tcBorders>
            <w:shd w:fill="auto" w:val="clear"/>
            <w:tcMar>
              <w:top w:w="28" w:type="dxa"/>
            </w:tcMar>
            <w:vAlign w:val="bottom"/>
          </w:tcPr>
          <w:p>
            <w:pPr>
              <w:pStyle w:val="TableContents"/>
              <w:spacing w:before="0" w:after="283"/>
              <w:rPr/>
            </w:pPr>
            <w:r>
              <w:rPr/>
              <w:t> </w:t>
            </w:r>
          </w:p>
        </w:tc>
        <w:tc>
          <w:tcPr>
            <w:tcW w:w="589"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10122" w:type="dxa"/>
            <w:gridSpan w:val="8"/>
            <w:tcBorders/>
            <w:shd w:fill="CCEEFF" w:val="clear"/>
          </w:tcPr>
          <w:p>
            <w:pPr>
              <w:pStyle w:val="TableContents"/>
              <w:spacing w:before="0" w:after="283"/>
              <w:jc w:val="center"/>
              <w:rPr>
                <w:rFonts w:ascii="Times New Roman" w:hAnsi="Times New Roman"/>
                <w:sz w:val="20"/>
              </w:rPr>
            </w:pPr>
            <w:r>
              <w:rPr>
                <w:rFonts w:ascii="Times New Roman" w:hAnsi="Times New Roman"/>
                <w:sz w:val="20"/>
              </w:rPr>
              <w:t>SUPPLEMENTAL DISCLOSURES OF CASH FLOW INFORMATION</w:t>
            </w:r>
          </w:p>
        </w:tc>
        <w:tc>
          <w:tcPr>
            <w:tcW w:w="83" w:type="dxa"/>
            <w:tcBorders/>
            <w:shd w:fill="CCEEFF" w:val="clear"/>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Cash paid during the period for:</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587"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589"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7988" w:type="dxa"/>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c>
          <w:tcPr>
            <w:tcW w:w="1088" w:type="dxa"/>
            <w:gridSpan w:val="4"/>
            <w:tcBorders/>
            <w:shd w:fill="auto" w:val="clear"/>
            <w:vAlign w:val="center"/>
          </w:tcPr>
          <w:p>
            <w:pPr>
              <w:pStyle w:val="TableContents"/>
              <w:spacing w:before="0" w:after="283"/>
              <w:rPr>
                <w:sz w:val="4"/>
                <w:szCs w:val="4"/>
              </w:rPr>
            </w:pPr>
            <w:r>
              <w:rPr>
                <w:sz w:val="4"/>
                <w:szCs w:val="4"/>
              </w:rPr>
            </w:r>
          </w:p>
        </w:tc>
      </w:tr>
      <w:tr>
        <w:trPr/>
        <w:tc>
          <w:tcPr>
            <w:tcW w:w="798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w:t>
            </w:r>
          </w:p>
        </w:tc>
        <w:tc>
          <w:tcPr>
            <w:tcW w:w="3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1,136</w:t>
            </w:r>
          </w:p>
        </w:tc>
        <w:tc>
          <w:tcPr>
            <w:tcW w:w="8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w:t>
            </w:r>
          </w:p>
        </w:tc>
        <w:tc>
          <w:tcPr>
            <w:tcW w:w="83" w:type="dxa"/>
            <w:tcBorders/>
            <w:shd w:fill="CCEEFF" w:val="clear"/>
            <w:vAlign w:val="bottom"/>
          </w:tcPr>
          <w:p>
            <w:pPr>
              <w:pStyle w:val="TableContents"/>
              <w:spacing w:before="0" w:after="283"/>
              <w:rPr/>
            </w:pPr>
            <w:r>
              <w:rPr/>
              <w:t> </w:t>
            </w:r>
          </w:p>
        </w:tc>
      </w:tr>
      <w:tr>
        <w:trPr/>
        <w:tc>
          <w:tcPr>
            <w:tcW w:w="7988"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pPr>
            <w:r>
              <w:rPr/>
              <w:t>  </w:t>
            </w:r>
          </w:p>
        </w:tc>
        <w:tc>
          <w:tcPr>
            <w:tcW w:w="133" w:type="dxa"/>
            <w:tcBorders>
              <w:top w:val="double" w:sz="6" w:space="0" w:color="000000"/>
            </w:tcBorders>
            <w:shd w:fill="auto" w:val="clear"/>
            <w:tcMar>
              <w:top w:w="28" w:type="dxa"/>
            </w:tcMar>
            <w:vAlign w:val="bottom"/>
          </w:tcPr>
          <w:p>
            <w:pPr>
              <w:pStyle w:val="TableContents"/>
              <w:spacing w:before="0" w:after="283"/>
              <w:rPr/>
            </w:pPr>
            <w:r>
              <w:rPr/>
              <w:t> </w:t>
            </w:r>
          </w:p>
        </w:tc>
        <w:tc>
          <w:tcPr>
            <w:tcW w:w="587"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top w:val="double" w:sz="6" w:space="0" w:color="000000"/>
            </w:tcBorders>
            <w:shd w:fill="auto" w:val="clear"/>
            <w:tcMar>
              <w:top w:w="28" w:type="dxa"/>
            </w:tcMar>
            <w:vAlign w:val="bottom"/>
          </w:tcPr>
          <w:p>
            <w:pPr>
              <w:pStyle w:val="TableContents"/>
              <w:spacing w:before="0" w:after="283"/>
              <w:rPr/>
            </w:pPr>
            <w:r>
              <w:rPr/>
              <w:t> </w:t>
            </w:r>
          </w:p>
        </w:tc>
        <w:tc>
          <w:tcPr>
            <w:tcW w:w="589"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988"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taxes</w:t>
            </w:r>
          </w:p>
        </w:tc>
        <w:tc>
          <w:tcPr>
            <w:tcW w:w="3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8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83" w:type="dxa"/>
            <w:tcBorders/>
            <w:shd w:fill="auto" w:val="clear"/>
            <w:vAlign w:val="bottom"/>
          </w:tcPr>
          <w:p>
            <w:pPr>
              <w:pStyle w:val="TableContents"/>
              <w:spacing w:before="0" w:after="283"/>
              <w:rPr/>
            </w:pPr>
            <w:r>
              <w:rPr/>
              <w:t> </w:t>
            </w:r>
          </w:p>
        </w:tc>
      </w:tr>
      <w:tr>
        <w:trPr/>
        <w:tc>
          <w:tcPr>
            <w:tcW w:w="7988"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pPr>
            <w:r>
              <w:rPr/>
              <w:t>  </w:t>
            </w:r>
          </w:p>
        </w:tc>
        <w:tc>
          <w:tcPr>
            <w:tcW w:w="133" w:type="dxa"/>
            <w:tcBorders>
              <w:top w:val="double" w:sz="6" w:space="0" w:color="000000"/>
            </w:tcBorders>
            <w:shd w:fill="auto" w:val="clear"/>
            <w:tcMar>
              <w:top w:w="28" w:type="dxa"/>
            </w:tcMar>
            <w:vAlign w:val="bottom"/>
          </w:tcPr>
          <w:p>
            <w:pPr>
              <w:pStyle w:val="TableContents"/>
              <w:spacing w:before="0" w:after="283"/>
              <w:rPr/>
            </w:pPr>
            <w:r>
              <w:rPr/>
              <w:t> </w:t>
            </w:r>
          </w:p>
        </w:tc>
        <w:tc>
          <w:tcPr>
            <w:tcW w:w="587"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3" w:type="dxa"/>
            <w:tcBorders>
              <w:top w:val="double" w:sz="6" w:space="0" w:color="000000"/>
            </w:tcBorders>
            <w:shd w:fill="auto" w:val="clear"/>
            <w:tcMar>
              <w:top w:w="28" w:type="dxa"/>
            </w:tcMar>
            <w:vAlign w:val="bottom"/>
          </w:tcPr>
          <w:p>
            <w:pPr>
              <w:pStyle w:val="TableContents"/>
              <w:spacing w:before="0" w:after="283"/>
              <w:rPr/>
            </w:pPr>
            <w:r>
              <w:rPr/>
              <w:t> </w:t>
            </w:r>
          </w:p>
        </w:tc>
        <w:tc>
          <w:tcPr>
            <w:tcW w:w="589"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consolidated financial statements are </w:t>
      </w:r>
    </w:p>
    <w:p>
      <w:pPr>
        <w:pStyle w:val="TextBody"/>
        <w:spacing w:before="0" w:after="0"/>
        <w:jc w:val="center"/>
        <w:rPr>
          <w:rFonts w:ascii="Times New Roman" w:hAnsi="Times New Roman"/>
          <w:sz w:val="20"/>
        </w:rPr>
      </w:pPr>
      <w:r>
        <w:rPr>
          <w:rFonts w:ascii="Times New Roman" w:hAnsi="Times New Roman"/>
          <w:sz w:val="20"/>
        </w:rPr>
        <w:t xml:space="preserve">an integral part of the above statement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6" w:name="tx30007_4"/>
      <w:bookmarkEnd w:id="6"/>
      <w:r>
        <w:rPr>
          <w:rFonts w:ascii="Times New Roman" w:hAnsi="Times New Roman"/>
          <w:sz w:val="20"/>
          <w:u w:val="single"/>
        </w:rPr>
        <w:t xml:space="preserve">CECO ENVIRONMENTAL CORP. </w:t>
      </w:r>
    </w:p>
    <w:p>
      <w:pPr>
        <w:pStyle w:val="TextBody"/>
        <w:spacing w:before="9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Basis of reporting for consolidated financial statements and significant accounting policies.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accompanying unaudited consolidated financial statements of CECO Environmental Corp. and subsidiaries (the Company, we, us, or our) have been prepared in accordance with accounting principles generally accepted in the United States of America. In the opinion of management, the accompanying unaudited consolidated financial statements of the Company contain all adjustments (consisting only of normal recurring accruals) necessary to present fairly the financial position as of March 31, 2006 and the results of operations and of cash flows for the three-month periods ended March 31, 2006 and 2005. The results of operations for the three-month period ended March 31, 2006 are not necessarily indicative of the results to be expected for the full year. The balance sheet as of December 31, 2005 has been derived from the audited consolidated financial statements included in the Companys annual report on Form 10-K for the year ended December 31, 2005. </w:t>
      </w:r>
    </w:p>
    <w:p>
      <w:pPr>
        <w:pStyle w:val="TextBody"/>
        <w:spacing w:before="90" w:after="0"/>
        <w:rPr>
          <w:rFonts w:ascii="Times New Roman" w:hAnsi="Times New Roman"/>
          <w:sz w:val="20"/>
        </w:rPr>
      </w:pPr>
      <w:r>
        <w:rPr>
          <w:rFonts w:ascii="Times New Roman" w:hAnsi="Times New Roman"/>
          <w:sz w:val="20"/>
        </w:rPr>
        <w:t xml:space="preserve">These financial statements should be read in conjunction with the audited financial statements and notes thereto in the Companys Annual Report on Form 10-K filed with the Securities and Exchange Commission. </w:t>
      </w:r>
    </w:p>
    <w:p>
      <w:pPr>
        <w:pStyle w:val="TextBody"/>
        <w:spacing w:before="270" w:after="0"/>
        <w:rPr>
          <w:rFonts w:ascii="Times New Roman" w:hAnsi="Times New Roman"/>
          <w:sz w:val="20"/>
        </w:rPr>
      </w:pPr>
      <w:r>
        <w:rPr>
          <w:rFonts w:ascii="Times New Roman" w:hAnsi="Times New Roman"/>
          <w:sz w:val="20"/>
        </w:rPr>
        <w:t xml:space="preserve">Stock Based Compensation  </w:t>
      </w:r>
    </w:p>
    <w:p>
      <w:pPr>
        <w:pStyle w:val="TextBody"/>
        <w:spacing w:before="90" w:after="0"/>
        <w:rPr>
          <w:rFonts w:ascii="Times New Roman" w:hAnsi="Times New Roman"/>
          <w:sz w:val="20"/>
        </w:rPr>
      </w:pPr>
      <w:r>
        <w:rPr>
          <w:rFonts w:ascii="Times New Roman" w:hAnsi="Times New Roman"/>
          <w:sz w:val="20"/>
        </w:rPr>
        <w:t xml:space="preserve">The Company adopted Statement of Financial Accounting Standards (SFAS) No. 123(R), Share-Based Payment, effective January 1, 2006. SFAS No. 123(R) requires public entities to measure the cost of employee services received in exchange for an award of equity instruments and recognize this cost over the period during which an employee is required to provide the services. The Company has adopted SFAS No. 123(R) using the modified prospective application as defined in the Statement, and therefore financial statements from periods ending prior to January 1, 2006 have not been restated. As a result of adopting SFAS No. 123(R) on January 1, 2006, the Companys income before income taxes and net income for the quarter ended March 31, 2006 are $14,600 and $9,600 lower, respectively, than if it had continued to account for share-based compensation under APB No. 25. Basic and diluted earnings per share for the quarter ended March 31, 2006 would have been unchanged if the Company had not adopted SFAS No. 123(R). See further discussion in Note 8. </w:t>
      </w:r>
    </w:p>
    <w:p>
      <w:pPr>
        <w:pStyle w:val="TextBody"/>
        <w:spacing w:before="90" w:after="0"/>
        <w:rPr>
          <w:rFonts w:ascii="Times New Roman" w:hAnsi="Times New Roman"/>
          <w:sz w:val="20"/>
        </w:rPr>
      </w:pPr>
      <w:r>
        <w:rPr>
          <w:rFonts w:ascii="Times New Roman" w:hAnsi="Times New Roman"/>
          <w:sz w:val="20"/>
        </w:rPr>
        <w:t xml:space="preserve">Prior to January 1, 2006, the company applied the provisions of Accounting Principles Board Opinion No. 25 (APB No. 25), Accounting for Stock Issued to Employees. Accordingly, no compensation expense was reflected in the financial statements as the exercise price of options granted to employees and non-employee directors equaled the fair market value of the Companys common shares on the date of grant. The Company had adopted the disclosure-only provisions of SFAS No. 123, Accounting for Stock Based Compensation.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9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If the Company had adopted the expense recognition provisions of SFAS No. 123 prior to January 1, 2006, net income and earnings per share for the three month period ended March 31, 2005 would have been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6272"/>
        <w:gridCol w:w="1002"/>
        <w:gridCol w:w="266"/>
        <w:gridCol w:w="949"/>
        <w:gridCol w:w="83"/>
      </w:tblGrid>
      <w:tr>
        <w:trPr/>
        <w:tc>
          <w:tcPr>
            <w:tcW w:w="6272"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272" w:type="dxa"/>
            <w:tcBorders/>
            <w:shd w:fill="auto" w:val="clear"/>
            <w:vAlign w:val="bottom"/>
          </w:tcPr>
          <w:p>
            <w:pPr>
              <w:pStyle w:val="TableContents"/>
              <w:spacing w:before="0" w:after="283"/>
              <w:rPr>
                <w:rFonts w:ascii="Times New Roman" w:hAnsi="Times New Roman"/>
                <w:b/>
                <w:i/>
                <w:sz w:val="14"/>
              </w:rPr>
            </w:pPr>
            <w:r>
              <w:rPr>
                <w:rFonts w:ascii="Times New Roman" w:hAnsi="Times New Roman"/>
                <w:b/>
                <w:i/>
                <w:sz w:val="14"/>
              </w:rPr>
              <w:t>(In thousands except earnings per share)</w:t>
            </w:r>
          </w:p>
        </w:tc>
        <w:tc>
          <w:tcPr>
            <w:tcW w:w="1002" w:type="dxa"/>
            <w:tcBorders/>
            <w:shd w:fill="auto" w:val="clear"/>
            <w:vAlign w:val="bottom"/>
          </w:tcPr>
          <w:p>
            <w:pPr>
              <w:pStyle w:val="TableContents"/>
              <w:spacing w:before="0" w:after="283"/>
              <w:rPr/>
            </w:pPr>
            <w:r>
              <w:rPr/>
              <w:t>  </w:t>
            </w:r>
          </w:p>
        </w:tc>
        <w:tc>
          <w:tcPr>
            <w:tcW w:w="1215"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r>
          </w:p>
          <w:p>
            <w:pPr>
              <w:pStyle w:val="TableContents"/>
              <w:spacing w:before="0" w:after="15"/>
              <w:jc w:val="center"/>
              <w:rPr>
                <w:rFonts w:ascii="Times New Roman" w:hAnsi="Times New Roman"/>
                <w:b/>
                <w:sz w:val="14"/>
              </w:rPr>
            </w:pPr>
            <w:r>
              <w:rPr>
                <w:rFonts w:ascii="Times New Roman" w:hAnsi="Times New Roman"/>
                <w:b/>
                <w:sz w:val="14"/>
              </w:rPr>
              <w:t>March 31, 2005</w:t>
            </w:r>
          </w:p>
        </w:tc>
        <w:tc>
          <w:tcPr>
            <w:tcW w:w="83" w:type="dxa"/>
            <w:tcBorders/>
            <w:shd w:fill="auto" w:val="clear"/>
            <w:vAlign w:val="bottom"/>
          </w:tcPr>
          <w:p>
            <w:pPr>
              <w:pStyle w:val="TableContents"/>
              <w:spacing w:before="0" w:after="283"/>
              <w:rPr/>
            </w:pPr>
            <w:r>
              <w:rPr/>
              <w:t> </w:t>
            </w:r>
          </w:p>
        </w:tc>
      </w:tr>
      <w:tr>
        <w:trPr/>
        <w:tc>
          <w:tcPr>
            <w:tcW w:w="6272"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as reported</w:t>
            </w:r>
          </w:p>
        </w:tc>
        <w:tc>
          <w:tcPr>
            <w:tcW w:w="1002"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(632</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72" w:type="dxa"/>
            <w:tcBorders/>
            <w:shd w:fill="auto" w:val="clear"/>
          </w:tcPr>
          <w:p>
            <w:pPr>
              <w:pStyle w:val="TableContents"/>
              <w:spacing w:before="0" w:after="283"/>
              <w:rPr>
                <w:rFonts w:ascii="Times New Roman" w:hAnsi="Times New Roman"/>
                <w:sz w:val="20"/>
              </w:rPr>
            </w:pPr>
            <w:r>
              <w:rPr>
                <w:rFonts w:ascii="Times New Roman" w:hAnsi="Times New Roman"/>
                <w:sz w:val="20"/>
              </w:rPr>
              <w:t>Add: Stock-based compensation expense included in reported net income, net of related tax effects</w:t>
            </w:r>
          </w:p>
        </w:tc>
        <w:tc>
          <w:tcPr>
            <w:tcW w:w="1002"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6272" w:type="dxa"/>
            <w:tcBorders/>
            <w:shd w:fill="CCEEFF" w:val="clear"/>
          </w:tcPr>
          <w:p>
            <w:pPr>
              <w:pStyle w:val="TableContents"/>
              <w:spacing w:before="0" w:after="283"/>
              <w:rPr>
                <w:rFonts w:ascii="Times New Roman" w:hAnsi="Times New Roman"/>
                <w:sz w:val="20"/>
              </w:rPr>
            </w:pPr>
            <w:r>
              <w:rPr>
                <w:rFonts w:ascii="Times New Roman" w:hAnsi="Times New Roman"/>
                <w:sz w:val="20"/>
              </w:rPr>
              <w:t>Deduct: Total stock-based compensation determined under the fair value based method for all awards, net of tax effects</w:t>
            </w:r>
          </w:p>
        </w:tc>
        <w:tc>
          <w:tcPr>
            <w:tcW w:w="1002"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72"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pPr>
            <w:r>
              <w:rPr/>
              <w:t>  </w:t>
            </w:r>
          </w:p>
        </w:tc>
        <w:tc>
          <w:tcPr>
            <w:tcW w:w="266" w:type="dxa"/>
            <w:tcBorders>
              <w:top w:val="single" w:sz="2" w:space="0" w:color="000000"/>
            </w:tcBorders>
            <w:shd w:fill="auto" w:val="clear"/>
            <w:tcMar>
              <w:top w:w="28" w:type="dxa"/>
            </w:tcMar>
            <w:vAlign w:val="bottom"/>
          </w:tcPr>
          <w:p>
            <w:pPr>
              <w:pStyle w:val="TableContents"/>
              <w:spacing w:before="0" w:after="283"/>
              <w:rPr/>
            </w:pPr>
            <w:r>
              <w:rPr/>
              <w:t> </w:t>
            </w:r>
          </w:p>
        </w:tc>
        <w:tc>
          <w:tcPr>
            <w:tcW w:w="949"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6272" w:type="dxa"/>
            <w:tcBorders/>
            <w:shd w:fill="auto" w:val="clear"/>
          </w:tcPr>
          <w:p>
            <w:pPr>
              <w:pStyle w:val="TableContents"/>
              <w:spacing w:before="0" w:after="283"/>
              <w:rPr>
                <w:rFonts w:ascii="Times New Roman" w:hAnsi="Times New Roman"/>
                <w:sz w:val="20"/>
              </w:rPr>
            </w:pPr>
            <w:r>
              <w:rPr>
                <w:rFonts w:ascii="Times New Roman" w:hAnsi="Times New Roman"/>
                <w:sz w:val="20"/>
              </w:rPr>
              <w:t>Pro forma net loss</w:t>
            </w:r>
          </w:p>
        </w:tc>
        <w:tc>
          <w:tcPr>
            <w:tcW w:w="1002"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(640</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272" w:type="dxa"/>
            <w:tcBorders/>
            <w:shd w:fill="auto" w:val="clear"/>
            <w:vAlign w:val="center"/>
          </w:tcPr>
          <w:p>
            <w:pPr>
              <w:pStyle w:val="TableContents"/>
              <w:spacing w:before="0" w:after="283"/>
              <w:rPr>
                <w:sz w:val="4"/>
                <w:szCs w:val="4"/>
              </w:rPr>
            </w:pPr>
            <w:r>
              <w:rPr>
                <w:sz w:val="4"/>
                <w:szCs w:val="4"/>
              </w:rPr>
            </w:r>
          </w:p>
        </w:tc>
        <w:tc>
          <w:tcPr>
            <w:tcW w:w="2300" w:type="dxa"/>
            <w:gridSpan w:val="4"/>
            <w:tcBorders/>
            <w:shd w:fill="auto" w:val="clear"/>
            <w:vAlign w:val="center"/>
          </w:tcPr>
          <w:p>
            <w:pPr>
              <w:pStyle w:val="TableContents"/>
              <w:spacing w:before="0" w:after="283"/>
              <w:rPr>
                <w:sz w:val="4"/>
                <w:szCs w:val="4"/>
              </w:rPr>
            </w:pPr>
            <w:r>
              <w:rPr>
                <w:sz w:val="4"/>
                <w:szCs w:val="4"/>
              </w:rPr>
            </w:r>
          </w:p>
        </w:tc>
      </w:tr>
      <w:tr>
        <w:trPr/>
        <w:tc>
          <w:tcPr>
            <w:tcW w:w="6272" w:type="dxa"/>
            <w:tcBorders/>
            <w:shd w:fill="CCEEFF" w:val="clear"/>
          </w:tcPr>
          <w:p>
            <w:pPr>
              <w:pStyle w:val="TableContents"/>
              <w:spacing w:before="0" w:after="283"/>
              <w:rPr>
                <w:rFonts w:ascii="Times New Roman" w:hAnsi="Times New Roman"/>
                <w:sz w:val="20"/>
              </w:rPr>
            </w:pPr>
            <w:r>
              <w:rPr>
                <w:rFonts w:ascii="Times New Roman" w:hAnsi="Times New Roman"/>
                <w:sz w:val="20"/>
              </w:rPr>
              <w:t>Earnings per common share</w:t>
            </w:r>
          </w:p>
        </w:tc>
        <w:tc>
          <w:tcPr>
            <w:tcW w:w="1002"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sz w:val="4"/>
                <w:szCs w:val="4"/>
              </w:rPr>
            </w:pPr>
            <w:r>
              <w:rPr>
                <w:sz w:val="4"/>
                <w:szCs w:val="4"/>
              </w:rPr>
            </w:r>
          </w:p>
        </w:tc>
        <w:tc>
          <w:tcPr>
            <w:tcW w:w="949"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6272"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w:t>
            </w:r>
          </w:p>
        </w:tc>
        <w:tc>
          <w:tcPr>
            <w:tcW w:w="1002"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sz w:val="4"/>
                <w:szCs w:val="4"/>
              </w:rPr>
            </w:pPr>
            <w:r>
              <w:rPr>
                <w:sz w:val="4"/>
                <w:szCs w:val="4"/>
              </w:rPr>
            </w:r>
          </w:p>
        </w:tc>
        <w:tc>
          <w:tcPr>
            <w:tcW w:w="949"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c>
          <w:tcPr>
            <w:tcW w:w="6272" w:type="dxa"/>
            <w:tcBorders/>
            <w:shd w:fill="CCEEFF" w:val="clear"/>
          </w:tcPr>
          <w:p>
            <w:pPr>
              <w:pStyle w:val="TableContents"/>
              <w:spacing w:before="0" w:after="283"/>
              <w:rPr>
                <w:rFonts w:ascii="Times New Roman" w:hAnsi="Times New Roman"/>
                <w:sz w:val="20"/>
              </w:rPr>
            </w:pPr>
            <w:r>
              <w:rPr>
                <w:rFonts w:ascii="Times New Roman" w:hAnsi="Times New Roman"/>
                <w:sz w:val="20"/>
              </w:rPr>
              <w:t>As reported</w:t>
            </w:r>
          </w:p>
        </w:tc>
        <w:tc>
          <w:tcPr>
            <w:tcW w:w="1002"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72" w:type="dxa"/>
            <w:tcBorders/>
            <w:shd w:fill="auto" w:val="clear"/>
          </w:tcPr>
          <w:p>
            <w:pPr>
              <w:pStyle w:val="TableContents"/>
              <w:spacing w:before="0" w:after="283"/>
              <w:rPr>
                <w:rFonts w:ascii="Times New Roman" w:hAnsi="Times New Roman"/>
                <w:sz w:val="20"/>
              </w:rPr>
            </w:pPr>
            <w:r>
              <w:rPr>
                <w:rFonts w:ascii="Times New Roman" w:hAnsi="Times New Roman"/>
                <w:sz w:val="20"/>
              </w:rPr>
              <w:t>Pro forma</w:t>
            </w:r>
          </w:p>
        </w:tc>
        <w:tc>
          <w:tcPr>
            <w:tcW w:w="1002"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New Accounting Standards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Inventories</w:t>
            </w:r>
            <w:r>
              <w:rPr>
                <w:rFonts w:ascii="Times New Roman" w:hAnsi="Times New Roman"/>
                <w:sz w:val="20"/>
              </w:rPr>
              <w:t xml:space="preserve">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868"/>
        <w:gridCol w:w="538"/>
        <w:gridCol w:w="125"/>
        <w:gridCol w:w="591"/>
        <w:gridCol w:w="538"/>
        <w:gridCol w:w="157"/>
        <w:gridCol w:w="672"/>
        <w:gridCol w:w="83"/>
      </w:tblGrid>
      <w:tr>
        <w:trPr/>
        <w:tc>
          <w:tcPr>
            <w:tcW w:w="586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5868" w:type="dxa"/>
            <w:tcBorders/>
            <w:shd w:fill="auto" w:val="clear"/>
            <w:vAlign w:val="bottom"/>
          </w:tcPr>
          <w:p>
            <w:pPr>
              <w:pStyle w:val="TableContents"/>
              <w:spacing w:before="0" w:after="283"/>
              <w:rPr>
                <w:rFonts w:ascii="Times New Roman" w:hAnsi="Times New Roman"/>
                <w:sz w:val="14"/>
              </w:rPr>
            </w:pPr>
            <w:r>
              <w:rPr>
                <w:rFonts w:ascii="Times New Roman" w:hAnsi="Times New Roman"/>
                <w:b/>
                <w:sz w:val="14"/>
              </w:rPr>
              <w:t>$</w:t>
            </w:r>
            <w:r>
              <w:rPr>
                <w:rFonts w:ascii="Times New Roman" w:hAnsi="Times New Roman"/>
                <w:sz w:val="14"/>
              </w:rPr>
              <w:t xml:space="preserve"> </w:t>
            </w:r>
            <w:r>
              <w:rPr>
                <w:rFonts w:ascii="Times New Roman" w:hAnsi="Times New Roman"/>
                <w:b/>
                <w:i/>
                <w:sz w:val="14"/>
              </w:rPr>
              <w:t>in thousands</w:t>
            </w:r>
          </w:p>
        </w:tc>
        <w:tc>
          <w:tcPr>
            <w:tcW w:w="538"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March 31,</w:t>
            </w:r>
          </w:p>
          <w:p>
            <w:pPr>
              <w:pStyle w:val="TableContents"/>
              <w:spacing w:before="0" w:after="15"/>
              <w:jc w:val="center"/>
              <w:rPr>
                <w:rFonts w:ascii="Times New Roman" w:hAnsi="Times New Roman"/>
                <w:b/>
                <w:sz w:val="14"/>
              </w:rPr>
            </w:pPr>
            <w:r>
              <w:rPr>
                <w:rFonts w:ascii="Times New Roman" w:hAnsi="Times New Roman"/>
                <w:b/>
                <w:sz w:val="14"/>
              </w:rPr>
              <w:t>2006</w:t>
            </w:r>
          </w:p>
        </w:tc>
        <w:tc>
          <w:tcPr>
            <w:tcW w:w="538"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15"/>
              <w:jc w:val="center"/>
              <w:rPr>
                <w:rFonts w:ascii="Times New Roman" w:hAnsi="Times New Roman"/>
                <w:b/>
                <w:sz w:val="14"/>
              </w:rPr>
            </w:pPr>
            <w:r>
              <w:rPr>
                <w:rFonts w:ascii="Times New Roman" w:hAnsi="Times New Roman"/>
                <w:b/>
                <w:sz w:val="14"/>
              </w:rPr>
              <w:t>2005</w:t>
            </w:r>
          </w:p>
        </w:tc>
        <w:tc>
          <w:tcPr>
            <w:tcW w:w="83" w:type="dxa"/>
            <w:tcBorders/>
            <w:shd w:fill="auto" w:val="clear"/>
            <w:vAlign w:val="bottom"/>
          </w:tcPr>
          <w:p>
            <w:pPr>
              <w:pStyle w:val="TableContents"/>
              <w:spacing w:before="0" w:after="283"/>
              <w:rPr/>
            </w:pPr>
            <w:r>
              <w:rPr/>
              <w:t> </w:t>
            </w:r>
          </w:p>
        </w:tc>
      </w:tr>
      <w:tr>
        <w:trPr/>
        <w:tc>
          <w:tcPr>
            <w:tcW w:w="5868"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 and subassemblies</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1,196</w:t>
            </w:r>
          </w:p>
        </w:tc>
        <w:tc>
          <w:tcPr>
            <w:tcW w:w="53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1,107</w:t>
            </w:r>
          </w:p>
        </w:tc>
        <w:tc>
          <w:tcPr>
            <w:tcW w:w="83" w:type="dxa"/>
            <w:tcBorders/>
            <w:shd w:fill="CCEEFF" w:val="clear"/>
            <w:vAlign w:val="bottom"/>
          </w:tcPr>
          <w:p>
            <w:pPr>
              <w:pStyle w:val="TableContents"/>
              <w:spacing w:before="0" w:after="283"/>
              <w:rPr/>
            </w:pPr>
            <w:r>
              <w:rPr/>
              <w:t> </w:t>
            </w:r>
          </w:p>
        </w:tc>
      </w:tr>
      <w:tr>
        <w:trPr/>
        <w:tc>
          <w:tcPr>
            <w:tcW w:w="5868"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298</w:t>
            </w:r>
          </w:p>
        </w:tc>
        <w:tc>
          <w:tcPr>
            <w:tcW w:w="53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83" w:type="dxa"/>
            <w:tcBorders/>
            <w:shd w:fill="auto" w:val="clear"/>
            <w:vAlign w:val="bottom"/>
          </w:tcPr>
          <w:p>
            <w:pPr>
              <w:pStyle w:val="TableContents"/>
              <w:spacing w:before="0" w:after="283"/>
              <w:rPr/>
            </w:pPr>
            <w:r>
              <w:rPr/>
              <w:t> </w:t>
            </w:r>
          </w:p>
        </w:tc>
      </w:tr>
      <w:tr>
        <w:trPr/>
        <w:tc>
          <w:tcPr>
            <w:tcW w:w="5868"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5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53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814</w:t>
            </w:r>
          </w:p>
        </w:tc>
        <w:tc>
          <w:tcPr>
            <w:tcW w:w="83" w:type="dxa"/>
            <w:tcBorders/>
            <w:shd w:fill="CCEEFF" w:val="clear"/>
            <w:vAlign w:val="bottom"/>
          </w:tcPr>
          <w:p>
            <w:pPr>
              <w:pStyle w:val="TableContents"/>
              <w:spacing w:before="0" w:after="283"/>
              <w:rPr/>
            </w:pPr>
            <w:r>
              <w:rPr/>
              <w:t> </w:t>
            </w:r>
          </w:p>
        </w:tc>
      </w:tr>
      <w:tr>
        <w:trPr/>
        <w:tc>
          <w:tcPr>
            <w:tcW w:w="5868" w:type="dxa"/>
            <w:tcBorders/>
            <w:shd w:fill="auto" w:val="clear"/>
          </w:tcPr>
          <w:p>
            <w:pPr>
              <w:pStyle w:val="TableContents"/>
              <w:spacing w:before="0" w:after="283"/>
              <w:rPr>
                <w:rFonts w:ascii="Times New Roman" w:hAnsi="Times New Roman"/>
                <w:sz w:val="20"/>
              </w:rPr>
            </w:pPr>
            <w:r>
              <w:rPr>
                <w:rFonts w:ascii="Times New Roman" w:hAnsi="Times New Roman"/>
                <w:sz w:val="20"/>
              </w:rPr>
              <w:t>Reserve for obsolescence</w:t>
            </w:r>
          </w:p>
        </w:tc>
        <w:tc>
          <w:tcPr>
            <w:tcW w:w="5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3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68"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1" w:type="dxa"/>
            <w:tcBorders>
              <w:top w:val="single" w:sz="2" w:space="0" w:color="000000"/>
            </w:tcBorders>
            <w:shd w:fill="auto" w:val="clear"/>
            <w:tcMar>
              <w:top w:w="28" w:type="dxa"/>
            </w:tcMar>
            <w:vAlign w:val="bottom"/>
          </w:tcPr>
          <w:p>
            <w:pPr>
              <w:pStyle w:val="TableContents"/>
              <w:spacing w:before="0" w:after="283"/>
              <w:rPr/>
            </w:pPr>
            <w:r>
              <w:rPr/>
              <w:t> </w:t>
            </w:r>
          </w:p>
        </w:tc>
        <w:tc>
          <w:tcPr>
            <w:tcW w:w="538" w:type="dxa"/>
            <w:tcBorders/>
            <w:shd w:fill="auto" w:val="clear"/>
            <w:vAlign w:val="bottom"/>
          </w:tcPr>
          <w:p>
            <w:pPr>
              <w:pStyle w:val="TableContents"/>
              <w:spacing w:before="0" w:after="283"/>
              <w:rPr/>
            </w:pPr>
            <w:r>
              <w:rPr/>
              <w:t>  </w:t>
            </w:r>
          </w:p>
        </w:tc>
        <w:tc>
          <w:tcPr>
            <w:tcW w:w="157" w:type="dxa"/>
            <w:tcBorders>
              <w:top w:val="single" w:sz="2" w:space="0" w:color="000000"/>
            </w:tcBorders>
            <w:shd w:fill="auto" w:val="clear"/>
            <w:tcMar>
              <w:top w:w="28" w:type="dxa"/>
            </w:tcMar>
            <w:vAlign w:val="bottom"/>
          </w:tcPr>
          <w:p>
            <w:pPr>
              <w:pStyle w:val="TableContents"/>
              <w:spacing w:before="0" w:after="283"/>
              <w:rPr/>
            </w:pPr>
            <w:r>
              <w:rPr/>
              <w:t> </w:t>
            </w:r>
          </w:p>
        </w:tc>
        <w:tc>
          <w:tcPr>
            <w:tcW w:w="672"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5868" w:type="dxa"/>
            <w:tcBorders/>
            <w:shd w:fill="CCEEFF" w:val="clear"/>
          </w:tcPr>
          <w:p>
            <w:pPr>
              <w:pStyle w:val="TableContents"/>
              <w:spacing w:before="0" w:after="283"/>
              <w:rPr>
                <w:sz w:val="4"/>
                <w:szCs w:val="4"/>
              </w:rPr>
            </w:pPr>
            <w:r>
              <w:rPr>
                <w:sz w:val="4"/>
                <w:szCs w:val="4"/>
              </w:rPr>
            </w:r>
          </w:p>
        </w:tc>
        <w:tc>
          <w:tcPr>
            <w:tcW w:w="538"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59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$2,294</w:t>
            </w:r>
          </w:p>
        </w:tc>
        <w:tc>
          <w:tcPr>
            <w:tcW w:w="53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1,981</w:t>
            </w:r>
          </w:p>
        </w:tc>
        <w:tc>
          <w:tcPr>
            <w:tcW w:w="83" w:type="dxa"/>
            <w:tcBorders/>
            <w:shd w:fill="CCEEFF"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1" w:type="dxa"/>
            <w:tcBorders>
              <w:top w:val="double" w:sz="6" w:space="0" w:color="000000"/>
            </w:tcBorders>
            <w:shd w:fill="auto" w:val="clear"/>
            <w:tcMar>
              <w:top w:w="28" w:type="dxa"/>
            </w:tcMar>
            <w:vAlign w:val="bottom"/>
          </w:tcPr>
          <w:p>
            <w:pPr>
              <w:pStyle w:val="TableContents"/>
              <w:spacing w:before="0" w:after="283"/>
              <w:rPr/>
            </w:pPr>
            <w:r>
              <w:rPr/>
              <w:t> </w:t>
            </w:r>
          </w:p>
        </w:tc>
        <w:tc>
          <w:tcPr>
            <w:tcW w:w="538" w:type="dxa"/>
            <w:tcBorders/>
            <w:shd w:fill="auto" w:val="clear"/>
            <w:vAlign w:val="bottom"/>
          </w:tcPr>
          <w:p>
            <w:pPr>
              <w:pStyle w:val="TableContents"/>
              <w:spacing w:before="0" w:after="283"/>
              <w:rPr/>
            </w:pPr>
            <w:r>
              <w:rPr/>
              <w:t>  </w:t>
            </w:r>
          </w:p>
        </w:tc>
        <w:tc>
          <w:tcPr>
            <w:tcW w:w="157" w:type="dxa"/>
            <w:tcBorders>
              <w:top w:val="double" w:sz="6" w:space="0" w:color="000000"/>
            </w:tcBorders>
            <w:shd w:fill="auto" w:val="clear"/>
            <w:tcMar>
              <w:top w:w="28" w:type="dxa"/>
            </w:tcMar>
            <w:vAlign w:val="bottom"/>
          </w:tcPr>
          <w:p>
            <w:pPr>
              <w:pStyle w:val="TableContents"/>
              <w:spacing w:before="0" w:after="283"/>
              <w:rPr/>
            </w:pPr>
            <w:r>
              <w:rPr/>
              <w:t> </w:t>
            </w:r>
          </w:p>
        </w:tc>
        <w:tc>
          <w:tcPr>
            <w:tcW w:w="672"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Business Segment Information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consolidated financial statements herein reflect the operating results of the segment.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Earnings Per Share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For the three months ended March 31, 2006 and 2005, both basic weighted average common shares outstanding and diluted average common shares outstanding were 10,913,503 and 9,993,260, respectively. We consider outstanding options and warrants in computing diluted net loss per share only when they are dilutive. Options and warrants to purchase 2,482,100 and 3,553,700 shares for the three months ended March 31, 2006 and 2005, respectively, were not included in the computation of diluted earnings per share due to their having an anti-dilutive effect. There were no adjustments to net loss for the basic or diluted earnings per share computations.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9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Debt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Total bank debt at March 31, 2006 was $8.2 million and $6.8 million at December 31, 2005. Unused credit availability under our $13.0 million revolving line of credit at March 31, 2006 was $7.0 million. Availability is limited as determined by a borrowing base formula contained in the credit agreement. </w:t>
      </w:r>
    </w:p>
    <w:p>
      <w:pPr>
        <w:pStyle w:val="TextBody"/>
        <w:spacing w:before="90" w:after="0"/>
        <w:rPr>
          <w:rFonts w:ascii="Times New Roman" w:hAnsi="Times New Roman"/>
          <w:sz w:val="20"/>
        </w:rPr>
      </w:pPr>
      <w:r>
        <w:rPr>
          <w:rFonts w:ascii="Times New Roman" w:hAnsi="Times New Roman"/>
          <w:sz w:val="20"/>
        </w:rPr>
        <w:t xml:space="preserve">In December 2005, we refinanced our bank credit facility aggregating $16.1 million consisting of $3.1 million in term loans and a $13.0 million revolving credit line. Interest is charged based on the banks prime rate plus 2.0 percentage points on the credit facility and plus 2.25 points on the term loan (9.75% and 10.0% at March 31, 2006).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Employee Benefit Plans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We sponsor a non-contributory defined benefit pension plan for certain union employees. The plan is funded in accordance with the funding requirements of the Employee Retirement Income Security Act of 1974. </w:t>
      </w:r>
    </w:p>
    <w:p>
      <w:pPr>
        <w:pStyle w:val="TextBody"/>
        <w:spacing w:before="90" w:after="0"/>
        <w:rPr>
          <w:rFonts w:ascii="Times New Roman" w:hAnsi="Times New Roman"/>
          <w:sz w:val="20"/>
        </w:rPr>
      </w:pPr>
      <w:r>
        <w:rPr>
          <w:rFonts w:ascii="Times New Roman" w:hAnsi="Times New Roman"/>
          <w:sz w:val="20"/>
        </w:rPr>
        <w:t xml:space="preserve">We also sponsor a post-retirement health care plan for office employees retiring before January 1, 1990. The plan allows retirees who have attained the age of 65 to elect the type of coverage desired. </w:t>
      </w:r>
    </w:p>
    <w:p>
      <w:pPr>
        <w:pStyle w:val="TextBody"/>
        <w:spacing w:before="90" w:after="0"/>
        <w:rPr>
          <w:rFonts w:ascii="Times New Roman" w:hAnsi="Times New Roman"/>
          <w:sz w:val="20"/>
        </w:rPr>
      </w:pPr>
      <w:r>
        <w:rPr>
          <w:rFonts w:ascii="Times New Roman" w:hAnsi="Times New Roman"/>
          <w:sz w:val="20"/>
        </w:rPr>
        <w:t xml:space="preserve">Retirement and health care plan expense is based on valuations performed by plan actuaries as of the beginning of each fiscal year. The components of the expense consisted of the following: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219"/>
        <w:gridCol w:w="466"/>
        <w:gridCol w:w="161"/>
        <w:gridCol w:w="381"/>
        <w:gridCol w:w="103"/>
        <w:gridCol w:w="430"/>
        <w:gridCol w:w="161"/>
        <w:gridCol w:w="383"/>
        <w:gridCol w:w="84"/>
      </w:tblGrid>
      <w:tr>
        <w:trPr/>
        <w:tc>
          <w:tcPr>
            <w:tcW w:w="721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7219" w:type="dxa"/>
            <w:vMerge w:val="restart"/>
            <w:tcBorders/>
            <w:shd w:fill="auto" w:val="clear"/>
            <w:vAlign w:val="bottom"/>
          </w:tcPr>
          <w:p>
            <w:pPr>
              <w:pStyle w:val="TableContents"/>
              <w:spacing w:before="0" w:after="283"/>
              <w:rPr>
                <w:rFonts w:ascii="Times New Roman" w:hAnsi="Times New Roman"/>
                <w:sz w:val="14"/>
              </w:rPr>
            </w:pPr>
            <w:r>
              <w:rPr>
                <w:rFonts w:ascii="Times New Roman" w:hAnsi="Times New Roman"/>
                <w:b/>
                <w:sz w:val="14"/>
              </w:rPr>
              <w:t xml:space="preserve">$ </w:t>
            </w:r>
            <w:r>
              <w:rPr>
                <w:rFonts w:ascii="Times New Roman" w:hAnsi="Times New Roman"/>
                <w:b/>
                <w:i/>
                <w:sz w:val="14"/>
              </w:rPr>
              <w:t>in thousands</w:t>
            </w:r>
          </w:p>
        </w:tc>
        <w:tc>
          <w:tcPr>
            <w:tcW w:w="466" w:type="dxa"/>
            <w:tcBorders/>
            <w:shd w:fill="auto" w:val="clear"/>
            <w:vAlign w:val="bottom"/>
          </w:tcPr>
          <w:p>
            <w:pPr>
              <w:pStyle w:val="TableContents"/>
              <w:spacing w:before="0" w:after="283"/>
              <w:rPr/>
            </w:pPr>
            <w:r>
              <w:rPr/>
              <w:t>  </w:t>
            </w:r>
          </w:p>
        </w:tc>
        <w:tc>
          <w:tcPr>
            <w:tcW w:w="1619" w:type="dxa"/>
            <w:gridSpan w:val="6"/>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r>
          </w:p>
          <w:p>
            <w:pPr>
              <w:pStyle w:val="TableContents"/>
              <w:spacing w:before="0" w:after="15"/>
              <w:jc w:val="center"/>
              <w:rPr>
                <w:rFonts w:ascii="Times New Roman" w:hAnsi="Times New Roman"/>
                <w:b/>
                <w:sz w:val="14"/>
              </w:rPr>
            </w:pPr>
            <w:r>
              <w:rPr>
                <w:rFonts w:ascii="Times New Roman" w:hAnsi="Times New Roman"/>
                <w:b/>
                <w:sz w:val="14"/>
              </w:rPr>
              <w:t>March 31,</w:t>
            </w:r>
          </w:p>
        </w:tc>
        <w:tc>
          <w:tcPr>
            <w:tcW w:w="84" w:type="dxa"/>
            <w:tcBorders/>
            <w:shd w:fill="auto" w:val="clear"/>
            <w:vAlign w:val="bottom"/>
          </w:tcPr>
          <w:p>
            <w:pPr>
              <w:pStyle w:val="TableContents"/>
              <w:spacing w:before="0" w:after="283"/>
              <w:rPr/>
            </w:pPr>
            <w:r>
              <w:rPr/>
              <w:t> </w:t>
            </w:r>
          </w:p>
        </w:tc>
      </w:tr>
      <w:tr>
        <w:trPr/>
        <w:tc>
          <w:tcPr>
            <w:tcW w:w="7219" w:type="dxa"/>
            <w:vMerge w:val="continue"/>
            <w:tcBorders/>
            <w:shd w:fill="auto" w:val="clear"/>
            <w:vAlign w:val="bottom"/>
          </w:tcPr>
          <w:p>
            <w:pPr>
              <w:pStyle w:val="Normal"/>
              <w:rPr/>
            </w:pPr>
            <w:r>
              <w:rPr/>
            </w:r>
          </w:p>
        </w:tc>
        <w:tc>
          <w:tcPr>
            <w:tcW w:w="466" w:type="dxa"/>
            <w:tcBorders/>
            <w:shd w:fill="auto" w:val="clear"/>
            <w:vAlign w:val="bottom"/>
          </w:tcPr>
          <w:p>
            <w:pPr>
              <w:pStyle w:val="TableContents"/>
              <w:spacing w:before="0" w:after="283"/>
              <w:rPr/>
            </w:pPr>
            <w:r>
              <w:rPr/>
              <w:t>  </w:t>
            </w:r>
          </w:p>
        </w:tc>
        <w:tc>
          <w:tcPr>
            <w:tcW w:w="5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03"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5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4" w:type="dxa"/>
            <w:tcBorders/>
            <w:shd w:fill="auto" w:val="clear"/>
            <w:vAlign w:val="bottom"/>
          </w:tcPr>
          <w:p>
            <w:pPr>
              <w:pStyle w:val="TableContents"/>
              <w:spacing w:before="0" w:after="283"/>
              <w:rPr/>
            </w:pPr>
            <w:r>
              <w:rPr/>
              <w:t> </w:t>
            </w:r>
          </w:p>
        </w:tc>
      </w:tr>
      <w:tr>
        <w:trPr/>
        <w:tc>
          <w:tcPr>
            <w:tcW w:w="7219" w:type="dxa"/>
            <w:tcBorders/>
            <w:shd w:fill="CCEEFF" w:val="clear"/>
          </w:tcPr>
          <w:p>
            <w:pPr>
              <w:pStyle w:val="TableContents"/>
              <w:spacing w:before="0" w:after="283"/>
              <w:rPr>
                <w:rFonts w:ascii="Times New Roman" w:hAnsi="Times New Roman"/>
                <w:sz w:val="20"/>
              </w:rPr>
            </w:pPr>
            <w:r>
              <w:rPr>
                <w:rFonts w:ascii="Times New Roman" w:hAnsi="Times New Roman"/>
                <w:sz w:val="20"/>
              </w:rPr>
              <w:t>Retirement plan:</w:t>
            </w:r>
          </w:p>
        </w:tc>
        <w:tc>
          <w:tcPr>
            <w:tcW w:w="46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sz w:val="4"/>
                <w:szCs w:val="4"/>
              </w:rPr>
            </w:pPr>
            <w:r>
              <w:rPr>
                <w:sz w:val="4"/>
                <w:szCs w:val="4"/>
              </w:rPr>
            </w:r>
          </w:p>
        </w:tc>
        <w:tc>
          <w:tcPr>
            <w:tcW w:w="381" w:type="dxa"/>
            <w:tcBorders/>
            <w:shd w:fill="CCEEFF" w:val="clear"/>
            <w:vAlign w:val="bottom"/>
          </w:tcPr>
          <w:p>
            <w:pPr>
              <w:pStyle w:val="TableContents"/>
              <w:spacing w:before="0" w:after="283"/>
              <w:rPr>
                <w:sz w:val="4"/>
                <w:szCs w:val="4"/>
              </w:rPr>
            </w:pPr>
            <w:r>
              <w:rPr>
                <w:sz w:val="4"/>
                <w:szCs w:val="4"/>
              </w:rPr>
            </w:r>
          </w:p>
        </w:tc>
        <w:tc>
          <w:tcPr>
            <w:tcW w:w="103" w:type="dxa"/>
            <w:tcBorders/>
            <w:shd w:fill="CCEEFF" w:val="clear"/>
            <w:vAlign w:val="bottom"/>
          </w:tcPr>
          <w:p>
            <w:pPr>
              <w:pStyle w:val="TableContents"/>
              <w:spacing w:before="0" w:after="283"/>
              <w:rPr>
                <w:sz w:val="4"/>
                <w:szCs w:val="4"/>
              </w:rPr>
            </w:pPr>
            <w:r>
              <w:rPr>
                <w:sz w:val="4"/>
                <w:szCs w:val="4"/>
              </w:rPr>
            </w:r>
          </w:p>
        </w:tc>
        <w:tc>
          <w:tcPr>
            <w:tcW w:w="4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7219" w:type="dxa"/>
            <w:tcBorders/>
            <w:shd w:fill="auto" w:val="clear"/>
          </w:tcPr>
          <w:p>
            <w:pPr>
              <w:pStyle w:val="TableContents"/>
              <w:spacing w:before="0" w:after="283"/>
              <w:rPr>
                <w:rFonts w:ascii="Times New Roman" w:hAnsi="Times New Roman"/>
                <w:sz w:val="20"/>
              </w:rPr>
            </w:pPr>
            <w:r>
              <w:rPr>
                <w:rFonts w:ascii="Times New Roman" w:hAnsi="Times New Roman"/>
                <w:sz w:val="20"/>
              </w:rPr>
              <w:t>Service cost</w:t>
            </w:r>
          </w:p>
        </w:tc>
        <w:tc>
          <w:tcPr>
            <w:tcW w:w="46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03"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84" w:type="dxa"/>
            <w:tcBorders/>
            <w:shd w:fill="auto" w:val="clear"/>
            <w:vAlign w:val="bottom"/>
          </w:tcPr>
          <w:p>
            <w:pPr>
              <w:pStyle w:val="TableContents"/>
              <w:spacing w:before="0" w:after="283"/>
              <w:rPr/>
            </w:pPr>
            <w:r>
              <w:rPr/>
              <w:t> </w:t>
            </w:r>
          </w:p>
        </w:tc>
      </w:tr>
      <w:tr>
        <w:trPr/>
        <w:tc>
          <w:tcPr>
            <w:tcW w:w="7219"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46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03"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84" w:type="dxa"/>
            <w:tcBorders/>
            <w:shd w:fill="CCEEFF" w:val="clear"/>
            <w:vAlign w:val="bottom"/>
          </w:tcPr>
          <w:p>
            <w:pPr>
              <w:pStyle w:val="TableContents"/>
              <w:spacing w:before="0" w:after="283"/>
              <w:rPr/>
            </w:pPr>
            <w:r>
              <w:rPr/>
              <w:t> </w:t>
            </w:r>
          </w:p>
        </w:tc>
      </w:tr>
      <w:tr>
        <w:trPr/>
        <w:tc>
          <w:tcPr>
            <w:tcW w:w="7219" w:type="dxa"/>
            <w:tcBorders/>
            <w:shd w:fill="auto"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46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19"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prior service cost</w:t>
            </w:r>
          </w:p>
        </w:tc>
        <w:tc>
          <w:tcPr>
            <w:tcW w:w="46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3"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84" w:type="dxa"/>
            <w:tcBorders/>
            <w:shd w:fill="CCEEFF" w:val="clear"/>
            <w:vAlign w:val="bottom"/>
          </w:tcPr>
          <w:p>
            <w:pPr>
              <w:pStyle w:val="TableContents"/>
              <w:spacing w:before="0" w:after="283"/>
              <w:rPr/>
            </w:pPr>
            <w:r>
              <w:rPr/>
              <w:t> </w:t>
            </w:r>
          </w:p>
        </w:tc>
      </w:tr>
      <w:tr>
        <w:trPr/>
        <w:tc>
          <w:tcPr>
            <w:tcW w:w="7219"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net actuarial (gain)/loss</w:t>
            </w:r>
          </w:p>
        </w:tc>
        <w:tc>
          <w:tcPr>
            <w:tcW w:w="46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03"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84" w:type="dxa"/>
            <w:tcBorders/>
            <w:shd w:fill="auto" w:val="clear"/>
            <w:vAlign w:val="bottom"/>
          </w:tcPr>
          <w:p>
            <w:pPr>
              <w:pStyle w:val="TableContents"/>
              <w:spacing w:before="0" w:after="283"/>
              <w:rPr/>
            </w:pPr>
            <w:r>
              <w:rPr/>
              <w:t> </w:t>
            </w:r>
          </w:p>
        </w:tc>
      </w:tr>
      <w:tr>
        <w:trPr/>
        <w:tc>
          <w:tcPr>
            <w:tcW w:w="7219" w:type="dxa"/>
            <w:tcBorders/>
            <w:shd w:fill="auto" w:val="clear"/>
            <w:vAlign w:val="bottom"/>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pPr>
            <w:r>
              <w:rPr/>
              <w:t>  </w:t>
            </w:r>
          </w:p>
        </w:tc>
        <w:tc>
          <w:tcPr>
            <w:tcW w:w="161" w:type="dxa"/>
            <w:tcBorders>
              <w:top w:val="single" w:sz="2" w:space="0" w:color="000000"/>
            </w:tcBorders>
            <w:shd w:fill="auto" w:val="clear"/>
            <w:tcMar>
              <w:top w:w="28" w:type="dxa"/>
            </w:tcMar>
            <w:vAlign w:val="bottom"/>
          </w:tcPr>
          <w:p>
            <w:pPr>
              <w:pStyle w:val="TableContents"/>
              <w:spacing w:before="0" w:after="283"/>
              <w:rPr/>
            </w:pPr>
            <w:r>
              <w:rPr/>
              <w:t> </w:t>
            </w:r>
          </w:p>
        </w:tc>
        <w:tc>
          <w:tcPr>
            <w:tcW w:w="381" w:type="dxa"/>
            <w:tcBorders>
              <w:top w:val="single" w:sz="2" w:space="0" w:color="000000"/>
            </w:tcBorders>
            <w:shd w:fill="auto" w:val="clear"/>
            <w:tcMar>
              <w:top w:w="28" w:type="dxa"/>
            </w:tcMar>
            <w:vAlign w:val="bottom"/>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61" w:type="dxa"/>
            <w:tcBorders>
              <w:top w:val="single" w:sz="2" w:space="0" w:color="000000"/>
            </w:tcBorders>
            <w:shd w:fill="auto" w:val="clear"/>
            <w:tcMar>
              <w:top w:w="28" w:type="dxa"/>
            </w:tcMar>
            <w:vAlign w:val="bottom"/>
          </w:tcPr>
          <w:p>
            <w:pPr>
              <w:pStyle w:val="TableContents"/>
              <w:spacing w:before="0" w:after="283"/>
              <w:rPr/>
            </w:pPr>
            <w:r>
              <w:rPr/>
              <w:t> </w:t>
            </w:r>
          </w:p>
        </w:tc>
        <w:tc>
          <w:tcPr>
            <w:tcW w:w="383"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19"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46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03"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84" w:type="dxa"/>
            <w:tcBorders/>
            <w:shd w:fill="CCEEFF" w:val="clear"/>
            <w:vAlign w:val="bottom"/>
          </w:tcPr>
          <w:p>
            <w:pPr>
              <w:pStyle w:val="TableContents"/>
              <w:spacing w:before="0" w:after="283"/>
              <w:rPr/>
            </w:pPr>
            <w:r>
              <w:rPr/>
              <w:t> </w:t>
            </w:r>
          </w:p>
        </w:tc>
      </w:tr>
      <w:tr>
        <w:trPr/>
        <w:tc>
          <w:tcPr>
            <w:tcW w:w="7219" w:type="dxa"/>
            <w:tcBorders/>
            <w:shd w:fill="auto" w:val="clear"/>
            <w:vAlign w:val="bottom"/>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pPr>
            <w:r>
              <w:rPr/>
              <w:t>  </w:t>
            </w:r>
          </w:p>
        </w:tc>
        <w:tc>
          <w:tcPr>
            <w:tcW w:w="161" w:type="dxa"/>
            <w:tcBorders>
              <w:top w:val="double" w:sz="6" w:space="0" w:color="000000"/>
            </w:tcBorders>
            <w:shd w:fill="auto" w:val="clear"/>
            <w:tcMar>
              <w:top w:w="28" w:type="dxa"/>
            </w:tcMar>
            <w:vAlign w:val="bottom"/>
          </w:tcPr>
          <w:p>
            <w:pPr>
              <w:pStyle w:val="TableContents"/>
              <w:spacing w:before="0" w:after="283"/>
              <w:rPr/>
            </w:pPr>
            <w:r>
              <w:rPr/>
              <w:t> </w:t>
            </w:r>
          </w:p>
        </w:tc>
        <w:tc>
          <w:tcPr>
            <w:tcW w:w="381" w:type="dxa"/>
            <w:tcBorders>
              <w:top w:val="double" w:sz="6" w:space="0" w:color="000000"/>
            </w:tcBorders>
            <w:shd w:fill="auto" w:val="clear"/>
            <w:tcMar>
              <w:top w:w="28" w:type="dxa"/>
            </w:tcMar>
            <w:vAlign w:val="bottom"/>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61" w:type="dxa"/>
            <w:tcBorders>
              <w:top w:val="double" w:sz="6" w:space="0" w:color="000000"/>
            </w:tcBorders>
            <w:shd w:fill="auto" w:val="clear"/>
            <w:tcMar>
              <w:top w:w="28" w:type="dxa"/>
            </w:tcMar>
            <w:vAlign w:val="bottom"/>
          </w:tcPr>
          <w:p>
            <w:pPr>
              <w:pStyle w:val="TableContents"/>
              <w:spacing w:before="0" w:after="283"/>
              <w:rPr/>
            </w:pPr>
            <w:r>
              <w:rPr/>
              <w:t> </w:t>
            </w:r>
          </w:p>
        </w:tc>
        <w:tc>
          <w:tcPr>
            <w:tcW w:w="383"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19" w:type="dxa"/>
            <w:tcBorders/>
            <w:shd w:fill="auto" w:val="clear"/>
          </w:tcPr>
          <w:p>
            <w:pPr>
              <w:pStyle w:val="TableContents"/>
              <w:spacing w:before="0" w:after="283"/>
              <w:rPr>
                <w:rFonts w:ascii="Times New Roman" w:hAnsi="Times New Roman"/>
                <w:sz w:val="20"/>
              </w:rPr>
            </w:pPr>
            <w:r>
              <w:rPr>
                <w:rFonts w:ascii="Times New Roman" w:hAnsi="Times New Roman"/>
                <w:sz w:val="20"/>
              </w:rPr>
              <w:t>Health care plan:</w:t>
            </w:r>
          </w:p>
        </w:tc>
        <w:tc>
          <w:tcPr>
            <w:tcW w:w="46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219"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46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03"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84" w:type="dxa"/>
            <w:tcBorders/>
            <w:shd w:fill="CCEEFF" w:val="clear"/>
            <w:vAlign w:val="bottom"/>
          </w:tcPr>
          <w:p>
            <w:pPr>
              <w:pStyle w:val="TableContents"/>
              <w:spacing w:before="0" w:after="283"/>
              <w:rPr/>
            </w:pPr>
            <w:r>
              <w:rPr/>
              <w:t> </w:t>
            </w:r>
          </w:p>
        </w:tc>
      </w:tr>
      <w:tr>
        <w:trPr/>
        <w:tc>
          <w:tcPr>
            <w:tcW w:w="7219" w:type="dxa"/>
            <w:tcBorders/>
            <w:shd w:fill="auto" w:val="clear"/>
            <w:vAlign w:val="bottom"/>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pPr>
            <w:r>
              <w:rPr/>
              <w:t>  </w:t>
            </w:r>
          </w:p>
        </w:tc>
        <w:tc>
          <w:tcPr>
            <w:tcW w:w="161" w:type="dxa"/>
            <w:tcBorders>
              <w:top w:val="double" w:sz="6" w:space="0" w:color="000000"/>
            </w:tcBorders>
            <w:shd w:fill="auto" w:val="clear"/>
            <w:tcMar>
              <w:top w:w="28" w:type="dxa"/>
            </w:tcMar>
            <w:vAlign w:val="bottom"/>
          </w:tcPr>
          <w:p>
            <w:pPr>
              <w:pStyle w:val="TableContents"/>
              <w:spacing w:before="0" w:after="283"/>
              <w:rPr/>
            </w:pPr>
            <w:r>
              <w:rPr/>
              <w:t> </w:t>
            </w:r>
          </w:p>
        </w:tc>
        <w:tc>
          <w:tcPr>
            <w:tcW w:w="381" w:type="dxa"/>
            <w:tcBorders>
              <w:top w:val="double" w:sz="6" w:space="0" w:color="000000"/>
            </w:tcBorders>
            <w:shd w:fill="auto" w:val="clear"/>
            <w:tcMar>
              <w:top w:w="28" w:type="dxa"/>
            </w:tcMar>
            <w:vAlign w:val="bottom"/>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61" w:type="dxa"/>
            <w:tcBorders>
              <w:top w:val="double" w:sz="6" w:space="0" w:color="000000"/>
            </w:tcBorders>
            <w:shd w:fill="auto" w:val="clear"/>
            <w:tcMar>
              <w:top w:w="28" w:type="dxa"/>
            </w:tcMar>
            <w:vAlign w:val="bottom"/>
          </w:tcPr>
          <w:p>
            <w:pPr>
              <w:pStyle w:val="TableContents"/>
              <w:spacing w:before="0" w:after="283"/>
              <w:rPr/>
            </w:pPr>
            <w:r>
              <w:rPr/>
              <w:t> </w:t>
            </w:r>
          </w:p>
        </w:tc>
        <w:tc>
          <w:tcPr>
            <w:tcW w:w="383"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We made contributions to our defined benefit plans in the first quarter of 2006 totalling $90,000. We anticipate contributing $393,000 to fund the pension plan and $69,000 for the retiree health care plan during the remainder of fiscal of 2006.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Equity Compensation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On January 1, 2006, the Company adopted SFAS No. 123(R), Share-Based Payment, which requires the Company to measure the cost of employee services received in exchange for an award of equity instruments and to recognize this cost in the financial statements over the period during which an employee is required to provide services. The Company has adopted SFAS No. 123(R) using the modified prospective application as defined in the Statement, and therefore financial statements for periods ending prior to January 1, 2006 have not been restated. Prior to January 1, 2006, the Company had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9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applied provisions of Accounting Principles Board Opinion No. 25, (Accounting for Stock Issued to Employees) and booked no compensation expense in the financial statements. The Company adopted the disclosure-only provisions of Statement of Financial Accounting Standards No. 123 (SFAS No. 123), Accounting for Stock Based Compensation. </w:t>
      </w:r>
    </w:p>
    <w:p>
      <w:pPr>
        <w:pStyle w:val="TextBody"/>
        <w:spacing w:before="270" w:after="0"/>
        <w:rPr>
          <w:rFonts w:ascii="Times New Roman" w:hAnsi="Times New Roman"/>
          <w:sz w:val="20"/>
        </w:rPr>
      </w:pPr>
      <w:r>
        <w:rPr>
          <w:rFonts w:ascii="Times New Roman" w:hAnsi="Times New Roman"/>
          <w:sz w:val="20"/>
        </w:rPr>
        <w:t xml:space="preserve">Stock Options </w:t>
      </w:r>
    </w:p>
    <w:p>
      <w:pPr>
        <w:pStyle w:val="TextBody"/>
        <w:spacing w:before="90" w:after="0"/>
        <w:rPr>
          <w:rFonts w:ascii="Times New Roman" w:hAnsi="Times New Roman"/>
          <w:sz w:val="20"/>
        </w:rPr>
      </w:pPr>
      <w:r>
        <w:rPr>
          <w:rFonts w:ascii="Times New Roman" w:hAnsi="Times New Roman"/>
          <w:sz w:val="20"/>
        </w:rPr>
        <w:t xml:space="preserve">The Company has an equity compensation plan that was approved by shareholders which covers all of its full-time employees, outside directors and advisors. The options granted or stock awards made pursuant to this plan are granted at fair market value at date of grant or award and are issued as new shares by the companys transfer agent. Options granted to non-employee directors typically vest at 5,000 shares per year and options granted to employees typically become exercisable at 20% or 25% per year beginning one year after the date of grant. The Compensation Committee may, at its discretion, establish other vesting periods when appropriate. The number of shares reserved for issuance is 1.5 million, of which 1.2 million shares were available for future grant or award as of March 31, 2006. This plan allows for the grant of incentive stock options and non-qualified stock options. As of March 31, 2006, a total of 217,100 options for common shares were outstanding and of these, a total of 134,600 options for common shares were vested and exercisable. The approximate unvested stock option expense as of March 31, 2006 that will be recorded as expense in future periods is $157,000. The weighted average time over which this expense will be recorded is approximately 23 months. </w:t>
      </w:r>
    </w:p>
    <w:p>
      <w:pPr>
        <w:pStyle w:val="TextBody"/>
        <w:spacing w:before="90" w:after="0"/>
        <w:rPr>
          <w:rFonts w:ascii="Times New Roman" w:hAnsi="Times New Roman"/>
          <w:sz w:val="20"/>
        </w:rPr>
      </w:pPr>
      <w:r>
        <w:rPr>
          <w:rFonts w:ascii="Times New Roman" w:hAnsi="Times New Roman"/>
          <w:sz w:val="20"/>
        </w:rPr>
        <w:t xml:space="preserve">SFAS No. 123 was effective for the Company through December 31, 2005 and required, at a minimum, pro forma disclosures of expense for stock-based awards based on their fair values. See Note 1 for this information. The fair value of each option on the date of grant was estimated using the Black-Scholes option pricing model. There have been no stock option grants during the quarter ended March 31, 2006. </w:t>
      </w:r>
    </w:p>
    <w:p>
      <w:pPr>
        <w:pStyle w:val="TextBody"/>
        <w:spacing w:before="90" w:after="0"/>
        <w:rPr>
          <w:rFonts w:ascii="Times New Roman" w:hAnsi="Times New Roman"/>
          <w:sz w:val="20"/>
        </w:rPr>
      </w:pPr>
      <w:r>
        <w:rPr>
          <w:rFonts w:ascii="Times New Roman" w:hAnsi="Times New Roman"/>
          <w:sz w:val="20"/>
        </w:rPr>
        <w:t xml:space="preserve">SFAS No. 123(R) requires stock option expense to be recorded on the financial statements for all reporting periods beginning after January 1, 2006. Accordingly, an expense of $14,600 was recorded in the first quarter of fiscal 2006. No similar expense was recorded in fiscal 2005. No equity compensation expense has been capitalized in inventory or fixed assets. </w:t>
      </w:r>
    </w:p>
    <w:p>
      <w:pPr>
        <w:pStyle w:val="TextBody"/>
        <w:spacing w:before="270" w:after="0"/>
        <w:rPr>
          <w:rFonts w:ascii="Times New Roman" w:hAnsi="Times New Roman"/>
          <w:sz w:val="20"/>
        </w:rPr>
      </w:pPr>
      <w:r>
        <w:rPr>
          <w:rFonts w:ascii="Times New Roman" w:hAnsi="Times New Roman"/>
          <w:sz w:val="20"/>
        </w:rPr>
        <w:t xml:space="preserve">Awards granted prior to January 1, 2006: </w:t>
      </w:r>
    </w:p>
    <w:p>
      <w:pPr>
        <w:pStyle w:val="TextBody"/>
        <w:spacing w:before="90" w:after="0"/>
        <w:rPr>
          <w:rFonts w:ascii="Times New Roman" w:hAnsi="Times New Roman"/>
          <w:sz w:val="20"/>
        </w:rPr>
      </w:pPr>
      <w:r>
        <w:rPr>
          <w:rFonts w:ascii="Times New Roman" w:hAnsi="Times New Roman"/>
          <w:sz w:val="20"/>
        </w:rPr>
        <w:t xml:space="preserve">Prior to January 1, 2006, the Company applied the provisions of APB No. 25 and no compensation expense was recorded in the financial statements. The Company had adopted the disclosure-only provisions of SFAS 123, Accounting for Stock-Based Compensation. </w:t>
      </w:r>
    </w:p>
    <w:p>
      <w:pPr>
        <w:pStyle w:val="TextBody"/>
        <w:spacing w:before="90" w:after="0"/>
        <w:rPr>
          <w:rFonts w:ascii="Times New Roman" w:hAnsi="Times New Roman"/>
          <w:sz w:val="20"/>
        </w:rPr>
      </w:pPr>
      <w:r>
        <w:rPr>
          <w:rFonts w:ascii="Times New Roman" w:hAnsi="Times New Roman"/>
          <w:sz w:val="20"/>
        </w:rPr>
        <w:t xml:space="preserve">Compensation cost for the outstanding stock options as of January 1, 2006, for which the requisite service has not been rendered, will be recognized over their remaining vesting periods. The compensation cost for these outstanding options will be based upon their originally calculated fair values as used in pro forma disclosures under SFAS 123, except that the Company will discontinue its previous method of recognizing forfeitures only as they occur. As of January 1, 2006, the Company has estimated the number of these outstanding options which will be forfeited prior to vesting and has accordingly adjusted compensation expense for these options going forward. </w:t>
      </w:r>
    </w:p>
    <w:p>
      <w:pPr>
        <w:pStyle w:val="TextBody"/>
        <w:spacing w:before="90" w:after="0"/>
        <w:rPr>
          <w:rFonts w:ascii="Times New Roman" w:hAnsi="Times New Roman"/>
          <w:sz w:val="20"/>
        </w:rPr>
      </w:pPr>
      <w:r>
        <w:rPr>
          <w:rFonts w:ascii="Times New Roman" w:hAnsi="Times New Roman"/>
          <w:sz w:val="20"/>
        </w:rPr>
        <w:t xml:space="preserve">As no compensation expense has previously been recorded in the Companys financial statements for these outstanding options, no cumulative effect of a change in accounting principle is required as of January 1,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9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270" w:after="0"/>
        <w:rPr>
          <w:rFonts w:ascii="Times New Roman" w:hAnsi="Times New Roman"/>
          <w:sz w:val="20"/>
        </w:rPr>
      </w:pPr>
      <w:r>
        <w:rPr>
          <w:rFonts w:ascii="Times New Roman" w:hAnsi="Times New Roman"/>
          <w:sz w:val="20"/>
        </w:rPr>
        <w:t xml:space="preserve">Awards granted after adoption of SFAS 123(R): </w:t>
      </w:r>
    </w:p>
    <w:p>
      <w:pPr>
        <w:pStyle w:val="TextBody"/>
        <w:spacing w:before="90" w:after="0"/>
        <w:rPr>
          <w:rFonts w:ascii="Times New Roman" w:hAnsi="Times New Roman"/>
          <w:sz w:val="20"/>
        </w:rPr>
      </w:pPr>
      <w:r>
        <w:rPr>
          <w:rFonts w:ascii="Times New Roman" w:hAnsi="Times New Roman"/>
          <w:sz w:val="20"/>
        </w:rPr>
        <w:t xml:space="preserve">For new awards granted after adoption of SFAS 123(R), the Company will utilize the Black-Scholes option pricing model to determine grant-date fair value, using the following 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101"/>
        <w:gridCol w:w="9085"/>
      </w:tblGrid>
      <w:tr>
        <w:trPr/>
        <w:tc>
          <w:tcPr>
            <w:tcW w:w="71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Expected Volatility will be based upon the historical volatility of the Companys stock price for a period of time commensurate with the expected term of the option. The frequency of price observations is expected to be based on weekly values.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4"/>
        <w:gridCol w:w="306"/>
        <w:gridCol w:w="100"/>
        <w:gridCol w:w="9085"/>
      </w:tblGrid>
      <w:tr>
        <w:trPr/>
        <w:tc>
          <w:tcPr>
            <w:tcW w:w="714"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Expected Term for plain vanilla options granted through December 31, 2007 will be calculated using the simplified method as permitted under the guidelines of SAB 107.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100"/>
        <w:gridCol w:w="9086"/>
      </w:tblGrid>
      <w:tr>
        <w:trPr/>
        <w:tc>
          <w:tcPr>
            <w:tcW w:w="71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Expected Term for all other options will be determined using the Companys best estimate of the expected terms of such options. The Company will consider historical exercise behavior and other supportable information when determining such expected terms.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4"/>
        <w:gridCol w:w="305"/>
        <w:gridCol w:w="101"/>
        <w:gridCol w:w="9085"/>
      </w:tblGrid>
      <w:tr>
        <w:trPr/>
        <w:tc>
          <w:tcPr>
            <w:tcW w:w="71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Risk-Free Interest Rate will be determined based upon the implied yield currently available on U.S. Treasury zero-coupon issues with a remaining term equal to the Expected Term.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5"/>
        <w:gridCol w:w="101"/>
        <w:gridCol w:w="9086"/>
      </w:tblGrid>
      <w:tr>
        <w:trPr/>
        <w:tc>
          <w:tcPr>
            <w:tcW w:w="713"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assumptions are currently being made for Expected Dividends as the Company has not historically paid dividends. This will be re-evaluated if and when dividends are expected to be paid. </w:t>
            </w:r>
          </w:p>
        </w:tc>
      </w:tr>
    </w:tbl>
    <w:p>
      <w:pPr>
        <w:pStyle w:val="TextBody"/>
        <w:spacing w:before="90" w:after="0"/>
        <w:rPr>
          <w:rFonts w:ascii="Times New Roman" w:hAnsi="Times New Roman"/>
          <w:sz w:val="20"/>
        </w:rPr>
      </w:pPr>
      <w:r>
        <w:rPr>
          <w:rFonts w:ascii="Times New Roman" w:hAnsi="Times New Roman"/>
          <w:sz w:val="20"/>
        </w:rPr>
        <w:t xml:space="preserve">The fair value of the granted options will be recorded as compensation expense on a straight-line basis over the vesting period of the option. The amount of compensation cost recognized at any date (for graded-vesting options) will be at least equal to the portion of the grant-date value of the award that is vested at that date. As required under SFAS 123(R), the Company will estimate, upon issuance of grants, the number of shares to be forfeited prior to vesting and will adjust compensation expense accordingly. This estimate will be reviewed periodically and updated as necessary. </w:t>
      </w:r>
    </w:p>
    <w:p>
      <w:pPr>
        <w:pStyle w:val="TextBody"/>
        <w:spacing w:before="90" w:after="0"/>
        <w:rPr>
          <w:rFonts w:ascii="Times New Roman" w:hAnsi="Times New Roman"/>
          <w:sz w:val="20"/>
        </w:rPr>
      </w:pPr>
      <w:r>
        <w:rPr>
          <w:rFonts w:ascii="Times New Roman" w:hAnsi="Times New Roman"/>
          <w:sz w:val="20"/>
        </w:rPr>
        <w:t xml:space="preserve">Information related to all stock options for the quarter ended March 31, 2006 is shown in the table below: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3996"/>
        <w:gridCol w:w="413"/>
        <w:gridCol w:w="499"/>
        <w:gridCol w:w="93"/>
        <w:gridCol w:w="374"/>
        <w:gridCol w:w="146"/>
        <w:gridCol w:w="458"/>
        <w:gridCol w:w="413"/>
        <w:gridCol w:w="1125"/>
        <w:gridCol w:w="413"/>
        <w:gridCol w:w="130"/>
        <w:gridCol w:w="512"/>
      </w:tblGrid>
      <w:tr>
        <w:trPr/>
        <w:tc>
          <w:tcPr>
            <w:tcW w:w="399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3996"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570" w:type="dxa"/>
            <w:gridSpan w:val="5"/>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r>
          </w:p>
          <w:p>
            <w:pPr>
              <w:pStyle w:val="TableContents"/>
              <w:spacing w:before="0" w:after="15"/>
              <w:jc w:val="center"/>
              <w:rPr>
                <w:rFonts w:ascii="Times New Roman" w:hAnsi="Times New Roman"/>
                <w:b/>
                <w:sz w:val="14"/>
              </w:rPr>
            </w:pPr>
            <w:r>
              <w:rPr>
                <w:rFonts w:ascii="Times New Roman" w:hAnsi="Times New Roman"/>
                <w:b/>
                <w:sz w:val="14"/>
              </w:rPr>
              <w:t>March 31, 2006</w:t>
            </w:r>
          </w:p>
        </w:tc>
        <w:tc>
          <w:tcPr>
            <w:tcW w:w="41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642" w:type="dxa"/>
            <w:gridSpan w:val="2"/>
            <w:tcBorders/>
            <w:shd w:fill="auto" w:val="clear"/>
            <w:vAlign w:val="bottom"/>
          </w:tcPr>
          <w:p>
            <w:pPr>
              <w:pStyle w:val="TableContents"/>
              <w:spacing w:before="0" w:after="283"/>
              <w:rPr/>
            </w:pPr>
            <w:r>
              <w:rPr/>
              <w:t> </w:t>
            </w:r>
          </w:p>
        </w:tc>
      </w:tr>
      <w:tr>
        <w:trPr/>
        <w:tc>
          <w:tcPr>
            <w:tcW w:w="3996" w:type="dxa"/>
            <w:tcBorders/>
            <w:shd w:fill="auto" w:val="clear"/>
            <w:vAlign w:val="bottom"/>
          </w:tcPr>
          <w:p>
            <w:pPr>
              <w:pStyle w:val="TableContents"/>
              <w:spacing w:before="0" w:after="283"/>
              <w:rPr>
                <w:rFonts w:ascii="Times New Roman" w:hAnsi="Times New Roman"/>
                <w:b/>
                <w:i/>
                <w:sz w:val="14"/>
              </w:rPr>
            </w:pPr>
            <w:r>
              <w:rPr>
                <w:rFonts w:ascii="Times New Roman" w:hAnsi="Times New Roman"/>
                <w:b/>
                <w:i/>
                <w:sz w:val="14"/>
              </w:rPr>
              <w:t>(Shares in thousands)</w:t>
            </w:r>
          </w:p>
        </w:tc>
        <w:tc>
          <w:tcPr>
            <w:tcW w:w="413" w:type="dxa"/>
            <w:tcBorders/>
            <w:shd w:fill="auto" w:val="clear"/>
            <w:vAlign w:val="bottom"/>
          </w:tcPr>
          <w:p>
            <w:pPr>
              <w:pStyle w:val="TableContents"/>
              <w:spacing w:before="0" w:after="283"/>
              <w:rPr/>
            </w:pPr>
            <w:r>
              <w:rPr/>
              <w:t>  </w:t>
            </w:r>
          </w:p>
        </w:tc>
        <w:tc>
          <w:tcPr>
            <w:tcW w:w="49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04"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15"/>
              <w:jc w:val="center"/>
              <w:rPr>
                <w:rFonts w:ascii="Times New Roman" w:hAnsi="Times New Roman"/>
                <w:b/>
                <w:sz w:val="14"/>
              </w:rPr>
            </w:pPr>
            <w:r>
              <w:rPr>
                <w:rFonts w:ascii="Times New Roman" w:hAnsi="Times New Roman"/>
                <w:b/>
                <w:sz w:val="14"/>
              </w:rPr>
              <w:t>Price</w:t>
            </w:r>
          </w:p>
        </w:tc>
        <w:tc>
          <w:tcPr>
            <w:tcW w:w="413" w:type="dxa"/>
            <w:tcBorders/>
            <w:shd w:fill="auto" w:val="clear"/>
            <w:vAlign w:val="bottom"/>
          </w:tcPr>
          <w:p>
            <w:pPr>
              <w:pStyle w:val="TableContents"/>
              <w:spacing w:before="0" w:after="283"/>
              <w:rPr/>
            </w:pPr>
            <w:r>
              <w:rPr/>
              <w:t>  </w:t>
            </w:r>
          </w:p>
        </w:tc>
        <w:tc>
          <w:tcPr>
            <w:tcW w:w="1125"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Remaining</w:t>
            </w:r>
          </w:p>
          <w:p>
            <w:pPr>
              <w:pStyle w:val="TableContents"/>
              <w:spacing w:before="0" w:after="15"/>
              <w:jc w:val="center"/>
              <w:rPr>
                <w:rFonts w:ascii="Times New Roman" w:hAnsi="Times New Roman"/>
                <w:b/>
                <w:sz w:val="14"/>
              </w:rPr>
            </w:pPr>
            <w:r>
              <w:rPr>
                <w:rFonts w:ascii="Times New Roman" w:hAnsi="Times New Roman"/>
                <w:b/>
                <w:sz w:val="14"/>
              </w:rPr>
              <w:t>Contractual Term</w:t>
            </w:r>
          </w:p>
        </w:tc>
        <w:tc>
          <w:tcPr>
            <w:tcW w:w="413" w:type="dxa"/>
            <w:tcBorders/>
            <w:shd w:fill="auto" w:val="clear"/>
            <w:vAlign w:val="bottom"/>
          </w:tcPr>
          <w:p>
            <w:pPr>
              <w:pStyle w:val="TableContents"/>
              <w:spacing w:before="0" w:after="283"/>
              <w:rPr/>
            </w:pPr>
            <w:r>
              <w:rPr/>
              <w:t>  </w:t>
            </w:r>
          </w:p>
        </w:tc>
        <w:tc>
          <w:tcPr>
            <w:tcW w:w="642"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Aggregate</w:t>
              <w:br/>
              <w:t>Intrinsic</w:t>
              <w:br/>
              <w:t>Value</w:t>
            </w:r>
          </w:p>
          <w:p>
            <w:pPr>
              <w:pStyle w:val="TableContents"/>
              <w:spacing w:before="0" w:after="15"/>
              <w:jc w:val="center"/>
              <w:rPr>
                <w:rFonts w:ascii="Times New Roman" w:hAnsi="Times New Roman"/>
                <w:b/>
                <w:sz w:val="14"/>
              </w:rPr>
            </w:pPr>
            <w:r>
              <w:rPr>
                <w:rFonts w:ascii="Times New Roman" w:hAnsi="Times New Roman"/>
                <w:b/>
                <w:sz w:val="14"/>
              </w:rPr>
              <w:t>($000)</w:t>
            </w:r>
          </w:p>
        </w:tc>
      </w:tr>
      <w:tr>
        <w:trPr/>
        <w:tc>
          <w:tcPr>
            <w:tcW w:w="3996"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at 12/31/05</w:t>
            </w:r>
          </w:p>
        </w:tc>
        <w:tc>
          <w:tcPr>
            <w:tcW w:w="413" w:type="dxa"/>
            <w:tcBorders/>
            <w:shd w:fill="CCEEFF" w:val="clear"/>
            <w:vAlign w:val="bottom"/>
          </w:tcPr>
          <w:p>
            <w:pPr>
              <w:pStyle w:val="TableContents"/>
              <w:spacing w:before="0" w:after="283"/>
              <w:rPr/>
            </w:pPr>
            <w:r>
              <w:rPr/>
              <w:t>  </w:t>
            </w:r>
          </w:p>
        </w:tc>
        <w:tc>
          <w:tcPr>
            <w:tcW w:w="4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41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12" w:type="dxa"/>
            <w:tcBorders/>
            <w:shd w:fill="CCEEFF" w:val="clear"/>
            <w:vAlign w:val="bottom"/>
          </w:tcPr>
          <w:p>
            <w:pPr>
              <w:pStyle w:val="TableContents"/>
              <w:spacing w:before="0" w:after="283"/>
              <w:rPr>
                <w:sz w:val="4"/>
                <w:szCs w:val="4"/>
              </w:rPr>
            </w:pPr>
            <w:r>
              <w:rPr>
                <w:sz w:val="4"/>
                <w:szCs w:val="4"/>
              </w:rPr>
            </w:r>
          </w:p>
        </w:tc>
      </w:tr>
      <w:tr>
        <w:trPr/>
        <w:tc>
          <w:tcPr>
            <w:tcW w:w="3996"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413"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1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r>
      <w:tr>
        <w:trPr/>
        <w:tc>
          <w:tcPr>
            <w:tcW w:w="3996" w:type="dxa"/>
            <w:tcBorders/>
            <w:shd w:fill="CCEEFF" w:val="clear"/>
          </w:tcPr>
          <w:p>
            <w:pPr>
              <w:pStyle w:val="TableContents"/>
              <w:spacing w:before="0" w:after="283"/>
              <w:rPr>
                <w:rFonts w:ascii="Times New Roman" w:hAnsi="Times New Roman"/>
                <w:sz w:val="20"/>
              </w:rPr>
            </w:pPr>
            <w:r>
              <w:rPr>
                <w:rFonts w:ascii="Times New Roman" w:hAnsi="Times New Roman"/>
                <w:sz w:val="20"/>
              </w:rPr>
              <w:t>Forfeitures</w:t>
            </w:r>
          </w:p>
        </w:tc>
        <w:tc>
          <w:tcPr>
            <w:tcW w:w="413" w:type="dxa"/>
            <w:tcBorders/>
            <w:shd w:fill="CCEEFF" w:val="clear"/>
            <w:vAlign w:val="bottom"/>
          </w:tcPr>
          <w:p>
            <w:pPr>
              <w:pStyle w:val="TableContents"/>
              <w:spacing w:before="0" w:after="283"/>
              <w:rPr/>
            </w:pPr>
            <w:r>
              <w:rPr/>
              <w:t>  </w:t>
            </w:r>
          </w:p>
        </w:tc>
        <w:tc>
          <w:tcPr>
            <w:tcW w:w="4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1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12" w:type="dxa"/>
            <w:tcBorders/>
            <w:shd w:fill="CCEEFF" w:val="clear"/>
            <w:vAlign w:val="bottom"/>
          </w:tcPr>
          <w:p>
            <w:pPr>
              <w:pStyle w:val="TableContents"/>
              <w:spacing w:before="0" w:after="283"/>
              <w:rPr>
                <w:sz w:val="4"/>
                <w:szCs w:val="4"/>
              </w:rPr>
            </w:pPr>
            <w:r>
              <w:rPr>
                <w:sz w:val="4"/>
                <w:szCs w:val="4"/>
              </w:rPr>
            </w:r>
          </w:p>
        </w:tc>
      </w:tr>
      <w:tr>
        <w:trPr/>
        <w:tc>
          <w:tcPr>
            <w:tcW w:w="3996" w:type="dxa"/>
            <w:tcBorders/>
            <w:shd w:fill="auto" w:val="clear"/>
          </w:tcPr>
          <w:p>
            <w:pPr>
              <w:pStyle w:val="TableContents"/>
              <w:spacing w:before="0" w:after="283"/>
              <w:rPr>
                <w:rFonts w:ascii="Times New Roman" w:hAnsi="Times New Roman"/>
                <w:sz w:val="20"/>
              </w:rPr>
            </w:pPr>
            <w:r>
              <w:rPr>
                <w:rFonts w:ascii="Times New Roman" w:hAnsi="Times New Roman"/>
                <w:sz w:val="20"/>
              </w:rPr>
              <w:t>Exercised</w:t>
            </w:r>
          </w:p>
        </w:tc>
        <w:tc>
          <w:tcPr>
            <w:tcW w:w="413"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41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r>
      <w:tr>
        <w:trPr/>
        <w:tc>
          <w:tcPr>
            <w:tcW w:w="3996"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499" w:type="dxa"/>
            <w:tcBorders>
              <w:top w:val="single" w:sz="2" w:space="0" w:color="000000"/>
            </w:tcBorders>
            <w:shd w:fill="auto" w:val="clear"/>
            <w:tcMar>
              <w:top w:w="28" w:type="dxa"/>
            </w:tcMar>
            <w:vAlign w:val="bottom"/>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 w:type="dxa"/>
            <w:tcBorders>
              <w:top w:val="single" w:sz="2" w:space="0" w:color="000000"/>
            </w:tcBorders>
            <w:shd w:fill="auto" w:val="clear"/>
            <w:tcMar>
              <w:top w:w="28" w:type="dxa"/>
            </w:tcMar>
            <w:vAlign w:val="bottom"/>
          </w:tcPr>
          <w:p>
            <w:pPr>
              <w:pStyle w:val="TableContents"/>
              <w:spacing w:before="0" w:after="283"/>
              <w:rPr/>
            </w:pPr>
            <w:r>
              <w:rPr/>
              <w:t> </w:t>
            </w:r>
          </w:p>
        </w:tc>
        <w:tc>
          <w:tcPr>
            <w:tcW w:w="458"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125"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30" w:type="dxa"/>
            <w:tcBorders>
              <w:top w:val="single" w:sz="2" w:space="0" w:color="000000"/>
            </w:tcBorders>
            <w:shd w:fill="auto" w:val="clear"/>
            <w:tcMar>
              <w:top w:w="28" w:type="dxa"/>
            </w:tcMar>
            <w:vAlign w:val="bottom"/>
          </w:tcPr>
          <w:p>
            <w:pPr>
              <w:pStyle w:val="TableContents"/>
              <w:spacing w:before="0" w:after="283"/>
              <w:rPr/>
            </w:pPr>
            <w:r>
              <w:rPr/>
              <w:t> </w:t>
            </w:r>
          </w:p>
        </w:tc>
        <w:tc>
          <w:tcPr>
            <w:tcW w:w="512"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3996"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at 3/31/06</w:t>
            </w:r>
          </w:p>
        </w:tc>
        <w:tc>
          <w:tcPr>
            <w:tcW w:w="413" w:type="dxa"/>
            <w:tcBorders/>
            <w:shd w:fill="CCEEFF" w:val="clear"/>
            <w:vAlign w:val="bottom"/>
          </w:tcPr>
          <w:p>
            <w:pPr>
              <w:pStyle w:val="TableContents"/>
              <w:spacing w:before="0" w:after="283"/>
              <w:rPr/>
            </w:pPr>
            <w:r>
              <w:rPr/>
              <w:t>  </w:t>
            </w:r>
          </w:p>
        </w:tc>
        <w:tc>
          <w:tcPr>
            <w:tcW w:w="4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w:t>
            </w:r>
          </w:p>
        </w:tc>
        <w:tc>
          <w:tcPr>
            <w:tcW w:w="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w:t>
            </w:r>
          </w:p>
        </w:tc>
        <w:tc>
          <w:tcPr>
            <w:tcW w:w="413"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 years</w:t>
            </w:r>
          </w:p>
        </w:tc>
        <w:tc>
          <w:tcPr>
            <w:tcW w:w="41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1,343</w:t>
            </w:r>
          </w:p>
        </w:tc>
      </w:tr>
      <w:tr>
        <w:trPr/>
        <w:tc>
          <w:tcPr>
            <w:tcW w:w="3996"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499" w:type="dxa"/>
            <w:tcBorders>
              <w:top w:val="double" w:sz="6" w:space="0" w:color="000000"/>
            </w:tcBorders>
            <w:shd w:fill="auto" w:val="clear"/>
            <w:tcMar>
              <w:top w:w="28" w:type="dxa"/>
            </w:tcMar>
            <w:vAlign w:val="bottom"/>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 w:type="dxa"/>
            <w:tcBorders>
              <w:top w:val="double" w:sz="6" w:space="0" w:color="000000"/>
            </w:tcBorders>
            <w:shd w:fill="auto" w:val="clear"/>
            <w:tcMar>
              <w:top w:w="28" w:type="dxa"/>
            </w:tcMar>
            <w:vAlign w:val="bottom"/>
          </w:tcPr>
          <w:p>
            <w:pPr>
              <w:pStyle w:val="TableContents"/>
              <w:spacing w:before="0" w:after="283"/>
              <w:rPr/>
            </w:pPr>
            <w:r>
              <w:rPr/>
              <w:t> </w:t>
            </w:r>
          </w:p>
        </w:tc>
        <w:tc>
          <w:tcPr>
            <w:tcW w:w="458"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125"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30" w:type="dxa"/>
            <w:tcBorders>
              <w:top w:val="double" w:sz="6" w:space="0" w:color="000000"/>
            </w:tcBorders>
            <w:shd w:fill="auto" w:val="clear"/>
            <w:tcMar>
              <w:top w:w="28" w:type="dxa"/>
            </w:tcMar>
            <w:vAlign w:val="bottom"/>
          </w:tcPr>
          <w:p>
            <w:pPr>
              <w:pStyle w:val="TableContents"/>
              <w:spacing w:before="0" w:after="283"/>
              <w:rPr/>
            </w:pPr>
            <w:r>
              <w:rPr/>
              <w:t> </w:t>
            </w:r>
          </w:p>
        </w:tc>
        <w:tc>
          <w:tcPr>
            <w:tcW w:w="512"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996" w:type="dxa"/>
            <w:tcBorders/>
            <w:shd w:fill="auto" w:val="clear"/>
          </w:tcPr>
          <w:p>
            <w:pPr>
              <w:pStyle w:val="TableContents"/>
              <w:spacing w:before="0" w:after="283"/>
              <w:rPr>
                <w:rFonts w:ascii="Times New Roman" w:hAnsi="Times New Roman"/>
                <w:sz w:val="20"/>
              </w:rPr>
            </w:pPr>
            <w:r>
              <w:rPr>
                <w:rFonts w:ascii="Times New Roman" w:hAnsi="Times New Roman"/>
                <w:sz w:val="20"/>
              </w:rPr>
              <w:t>Exercisable at 3/31/06</w:t>
            </w:r>
          </w:p>
        </w:tc>
        <w:tc>
          <w:tcPr>
            <w:tcW w:w="413"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41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 years</w:t>
            </w:r>
          </w:p>
        </w:tc>
        <w:tc>
          <w:tcPr>
            <w:tcW w:w="41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873</w:t>
            </w:r>
          </w:p>
        </w:tc>
      </w:tr>
      <w:tr>
        <w:trPr/>
        <w:tc>
          <w:tcPr>
            <w:tcW w:w="3996"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499" w:type="dxa"/>
            <w:tcBorders>
              <w:top w:val="double" w:sz="6" w:space="0" w:color="000000"/>
            </w:tcBorders>
            <w:shd w:fill="auto" w:val="clear"/>
            <w:tcMar>
              <w:top w:w="28" w:type="dxa"/>
            </w:tcMar>
            <w:vAlign w:val="bottom"/>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 w:type="dxa"/>
            <w:tcBorders>
              <w:top w:val="double" w:sz="6" w:space="0" w:color="000000"/>
            </w:tcBorders>
            <w:shd w:fill="auto" w:val="clear"/>
            <w:tcMar>
              <w:top w:w="28" w:type="dxa"/>
            </w:tcMar>
            <w:vAlign w:val="bottom"/>
          </w:tcPr>
          <w:p>
            <w:pPr>
              <w:pStyle w:val="TableContents"/>
              <w:spacing w:before="0" w:after="283"/>
              <w:rPr/>
            </w:pPr>
            <w:r>
              <w:rPr/>
              <w:t> </w:t>
            </w:r>
          </w:p>
        </w:tc>
        <w:tc>
          <w:tcPr>
            <w:tcW w:w="458"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125"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30" w:type="dxa"/>
            <w:tcBorders>
              <w:top w:val="double" w:sz="6" w:space="0" w:color="000000"/>
            </w:tcBorders>
            <w:shd w:fill="auto" w:val="clear"/>
            <w:tcMar>
              <w:top w:w="28" w:type="dxa"/>
            </w:tcMar>
            <w:vAlign w:val="bottom"/>
          </w:tcPr>
          <w:p>
            <w:pPr>
              <w:pStyle w:val="TableContents"/>
              <w:spacing w:before="0" w:after="283"/>
              <w:rPr/>
            </w:pPr>
            <w:r>
              <w:rPr/>
              <w:t> </w:t>
            </w:r>
          </w:p>
        </w:tc>
        <w:tc>
          <w:tcPr>
            <w:tcW w:w="512"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9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The Company received $137,000 of cash from employees who exercised 47,000 options during the three months ended March 31, 2006. The intrinsic value of these exercised options totaled $210,000 The company has a net operating loss carryforward and, as a result, the tax benefit and credit to additional paid-in capital for the excess deduction will not be recognized until that future deduction reduces taxes payable. </w:t>
      </w:r>
    </w:p>
    <w:p>
      <w:pPr>
        <w:pStyle w:val="TextBody"/>
        <w:spacing w:before="90" w:after="0"/>
        <w:rPr>
          <w:rFonts w:ascii="Times New Roman" w:hAnsi="Times New Roman"/>
          <w:sz w:val="20"/>
        </w:rPr>
      </w:pPr>
      <w:r>
        <w:rPr>
          <w:rFonts w:ascii="Times New Roman" w:hAnsi="Times New Roman"/>
          <w:sz w:val="20"/>
        </w:rPr>
        <w:t xml:space="preserve">Information related to unvested stock options for the quarter ended March 31, 2006 is shown in the table below: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488"/>
        <w:gridCol w:w="411"/>
        <w:gridCol w:w="432"/>
        <w:gridCol w:w="80"/>
        <w:gridCol w:w="368"/>
        <w:gridCol w:w="146"/>
        <w:gridCol w:w="446"/>
        <w:gridCol w:w="411"/>
        <w:gridCol w:w="790"/>
      </w:tblGrid>
      <w:tr>
        <w:trPr/>
        <w:tc>
          <w:tcPr>
            <w:tcW w:w="548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r>
      <w:tr>
        <w:trPr/>
        <w:tc>
          <w:tcPr>
            <w:tcW w:w="5488" w:type="dxa"/>
            <w:tcBorders/>
            <w:shd w:fill="auto" w:val="clear"/>
            <w:vAlign w:val="bottom"/>
          </w:tcPr>
          <w:p>
            <w:pPr>
              <w:pStyle w:val="TableContents"/>
              <w:spacing w:before="0" w:after="283"/>
              <w:rPr>
                <w:rFonts w:ascii="Times New Roman" w:hAnsi="Times New Roman"/>
                <w:b/>
                <w:i/>
                <w:sz w:val="14"/>
              </w:rPr>
            </w:pPr>
            <w:r>
              <w:rPr>
                <w:rFonts w:ascii="Times New Roman" w:hAnsi="Times New Roman"/>
                <w:b/>
                <w:i/>
                <w:sz w:val="14"/>
              </w:rPr>
              <w:t>(Shares in thousands)</w:t>
            </w:r>
          </w:p>
        </w:tc>
        <w:tc>
          <w:tcPr>
            <w:tcW w:w="411" w:type="dxa"/>
            <w:tcBorders/>
            <w:shd w:fill="auto" w:val="clear"/>
            <w:vAlign w:val="bottom"/>
          </w:tcPr>
          <w:p>
            <w:pPr>
              <w:pStyle w:val="TableContents"/>
              <w:spacing w:before="0" w:after="283"/>
              <w:rPr/>
            </w:pPr>
            <w:r>
              <w:rPr/>
              <w:t>  </w:t>
            </w:r>
          </w:p>
        </w:tc>
        <w:tc>
          <w:tcPr>
            <w:tcW w:w="43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80"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592"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15"/>
              <w:jc w:val="center"/>
              <w:rPr>
                <w:rFonts w:ascii="Times New Roman" w:hAnsi="Times New Roman"/>
                <w:b/>
                <w:sz w:val="14"/>
              </w:rPr>
            </w:pPr>
            <w:r>
              <w:rPr>
                <w:rFonts w:ascii="Times New Roman" w:hAnsi="Times New Roman"/>
                <w:b/>
                <w:sz w:val="14"/>
              </w:rPr>
              <w:t>Price</w:t>
            </w:r>
          </w:p>
        </w:tc>
        <w:tc>
          <w:tcPr>
            <w:tcW w:w="411" w:type="dxa"/>
            <w:tcBorders/>
            <w:shd w:fill="auto" w:val="clear"/>
            <w:vAlign w:val="bottom"/>
          </w:tcPr>
          <w:p>
            <w:pPr>
              <w:pStyle w:val="TableContents"/>
              <w:spacing w:before="0" w:after="283"/>
              <w:rPr/>
            </w:pPr>
            <w:r>
              <w:rPr/>
              <w:t>  </w:t>
            </w:r>
          </w:p>
        </w:tc>
        <w:tc>
          <w:tcPr>
            <w:tcW w:w="790"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Remaining</w:t>
            </w:r>
          </w:p>
          <w:p>
            <w:pPr>
              <w:pStyle w:val="TableContents"/>
              <w:spacing w:before="0" w:after="15"/>
              <w:jc w:val="center"/>
              <w:rPr>
                <w:rFonts w:ascii="Times New Roman" w:hAnsi="Times New Roman"/>
                <w:b/>
                <w:sz w:val="14"/>
              </w:rPr>
            </w:pPr>
            <w:r>
              <w:rPr>
                <w:rFonts w:ascii="Times New Roman" w:hAnsi="Times New Roman"/>
                <w:b/>
                <w:sz w:val="14"/>
              </w:rPr>
              <w:t>Contractual</w:t>
              <w:br/>
              <w:t>Term</w:t>
            </w:r>
          </w:p>
        </w:tc>
      </w:tr>
      <w:tr>
        <w:trPr/>
        <w:tc>
          <w:tcPr>
            <w:tcW w:w="5488"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unvested stock options at 12/31/05</w:t>
            </w:r>
          </w:p>
        </w:tc>
        <w:tc>
          <w:tcPr>
            <w:tcW w:w="411"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80"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41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5488" w:type="dxa"/>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201" w:type="dxa"/>
            <w:gridSpan w:val="2"/>
            <w:tcBorders/>
            <w:shd w:fill="auto" w:val="clear"/>
            <w:vAlign w:val="center"/>
          </w:tcPr>
          <w:p>
            <w:pPr>
              <w:pStyle w:val="TableContents"/>
              <w:spacing w:before="0" w:after="283"/>
              <w:rPr>
                <w:sz w:val="4"/>
                <w:szCs w:val="4"/>
              </w:rPr>
            </w:pPr>
            <w:r>
              <w:rPr>
                <w:sz w:val="4"/>
                <w:szCs w:val="4"/>
              </w:rPr>
            </w:r>
          </w:p>
        </w:tc>
      </w:tr>
      <w:tr>
        <w:trPr/>
        <w:tc>
          <w:tcPr>
            <w:tcW w:w="5488"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41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41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sz w:val="4"/>
                <w:szCs w:val="4"/>
              </w:rPr>
            </w:pPr>
            <w:r>
              <w:rPr>
                <w:sz w:val="4"/>
                <w:szCs w:val="4"/>
              </w:rPr>
            </w:r>
          </w:p>
        </w:tc>
      </w:tr>
      <w:tr>
        <w:trPr/>
        <w:tc>
          <w:tcPr>
            <w:tcW w:w="5488" w:type="dxa"/>
            <w:tcBorders/>
            <w:shd w:fill="CCEEFF" w:val="clear"/>
          </w:tcPr>
          <w:p>
            <w:pPr>
              <w:pStyle w:val="TableContents"/>
              <w:spacing w:before="0" w:after="283"/>
              <w:rPr>
                <w:rFonts w:ascii="Times New Roman" w:hAnsi="Times New Roman"/>
                <w:sz w:val="20"/>
              </w:rPr>
            </w:pPr>
            <w:r>
              <w:rPr>
                <w:rFonts w:ascii="Times New Roman" w:hAnsi="Times New Roman"/>
                <w:sz w:val="20"/>
              </w:rPr>
              <w:t>Vested</w:t>
            </w:r>
          </w:p>
        </w:tc>
        <w:tc>
          <w:tcPr>
            <w:tcW w:w="411"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w:t>
            </w:r>
          </w:p>
        </w:tc>
        <w:tc>
          <w:tcPr>
            <w:tcW w:w="41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sz w:val="4"/>
                <w:szCs w:val="4"/>
              </w:rPr>
            </w:pPr>
            <w:r>
              <w:rPr>
                <w:sz w:val="4"/>
                <w:szCs w:val="4"/>
              </w:rPr>
            </w:r>
          </w:p>
        </w:tc>
      </w:tr>
      <w:tr>
        <w:trPr/>
        <w:tc>
          <w:tcPr>
            <w:tcW w:w="5488" w:type="dxa"/>
            <w:tcBorders/>
            <w:shd w:fill="auto" w:val="clear"/>
          </w:tcPr>
          <w:p>
            <w:pPr>
              <w:pStyle w:val="TableContents"/>
              <w:spacing w:before="0" w:after="283"/>
              <w:rPr>
                <w:rFonts w:ascii="Times New Roman" w:hAnsi="Times New Roman"/>
                <w:sz w:val="20"/>
              </w:rPr>
            </w:pPr>
            <w:r>
              <w:rPr>
                <w:rFonts w:ascii="Times New Roman" w:hAnsi="Times New Roman"/>
                <w:sz w:val="20"/>
              </w:rPr>
              <w:t>Forfeitures</w:t>
            </w:r>
          </w:p>
        </w:tc>
        <w:tc>
          <w:tcPr>
            <w:tcW w:w="41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41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sz w:val="4"/>
                <w:szCs w:val="4"/>
              </w:rPr>
            </w:pPr>
            <w:r>
              <w:rPr>
                <w:sz w:val="4"/>
                <w:szCs w:val="4"/>
              </w:rPr>
            </w:r>
          </w:p>
        </w:tc>
      </w:tr>
      <w:tr>
        <w:trPr/>
        <w:tc>
          <w:tcPr>
            <w:tcW w:w="5488" w:type="dxa"/>
            <w:tcBorders/>
            <w:shd w:fill="CCEEFF" w:val="clear"/>
          </w:tcPr>
          <w:p>
            <w:pPr>
              <w:pStyle w:val="TableContents"/>
              <w:spacing w:before="0" w:after="283"/>
              <w:rPr>
                <w:rFonts w:ascii="Times New Roman" w:hAnsi="Times New Roman"/>
                <w:sz w:val="20"/>
              </w:rPr>
            </w:pPr>
            <w:r>
              <w:rPr>
                <w:rFonts w:ascii="Times New Roman" w:hAnsi="Times New Roman"/>
                <w:sz w:val="20"/>
              </w:rPr>
              <w:t>Exercised</w:t>
            </w:r>
          </w:p>
        </w:tc>
        <w:tc>
          <w:tcPr>
            <w:tcW w:w="411"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41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sz w:val="4"/>
                <w:szCs w:val="4"/>
              </w:rPr>
            </w:pPr>
            <w:r>
              <w:rPr>
                <w:sz w:val="4"/>
                <w:szCs w:val="4"/>
              </w:rPr>
            </w:r>
          </w:p>
        </w:tc>
      </w:tr>
      <w:tr>
        <w:trPr/>
        <w:tc>
          <w:tcPr>
            <w:tcW w:w="5488"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pPr>
            <w:r>
              <w:rPr/>
              <w:t>  </w:t>
            </w:r>
          </w:p>
        </w:tc>
        <w:tc>
          <w:tcPr>
            <w:tcW w:w="43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6" w:type="dxa"/>
            <w:tcBorders>
              <w:top w:val="single" w:sz="2" w:space="0" w:color="000000"/>
            </w:tcBorders>
            <w:shd w:fill="auto" w:val="clear"/>
            <w:tcMar>
              <w:top w:w="28" w:type="dxa"/>
            </w:tcMar>
            <w:vAlign w:val="bottom"/>
          </w:tcPr>
          <w:p>
            <w:pPr>
              <w:pStyle w:val="TableContents"/>
              <w:spacing w:before="0" w:after="283"/>
              <w:rPr/>
            </w:pPr>
            <w:r>
              <w:rPr/>
              <w:t> </w:t>
            </w:r>
          </w:p>
        </w:tc>
        <w:tc>
          <w:tcPr>
            <w:tcW w:w="446" w:type="dxa"/>
            <w:tcBorders>
              <w:top w:val="single" w:sz="2" w:space="0" w:color="000000"/>
            </w:tcBorders>
            <w:shd w:fill="auto" w:val="clear"/>
            <w:tcMar>
              <w:top w:w="28" w:type="dxa"/>
            </w:tcM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79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5488" w:type="dxa"/>
            <w:tcBorders/>
            <w:shd w:fill="auto" w:val="clear"/>
          </w:tcPr>
          <w:p>
            <w:pPr>
              <w:pStyle w:val="TableContents"/>
              <w:spacing w:before="0" w:after="283"/>
              <w:rPr>
                <w:rFonts w:ascii="Times New Roman" w:hAnsi="Times New Roman"/>
                <w:sz w:val="20"/>
              </w:rPr>
            </w:pPr>
            <w:r>
              <w:rPr>
                <w:rFonts w:ascii="Times New Roman" w:hAnsi="Times New Roman"/>
                <w:sz w:val="20"/>
              </w:rPr>
              <w:t>Outstanding unvested stock options at 3/31/06</w:t>
            </w:r>
          </w:p>
        </w:tc>
        <w:tc>
          <w:tcPr>
            <w:tcW w:w="41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80"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w:t>
            </w:r>
          </w:p>
        </w:tc>
        <w:tc>
          <w:tcPr>
            <w:tcW w:w="41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 years</w:t>
            </w:r>
          </w:p>
        </w:tc>
      </w:tr>
    </w:tbl>
    <w:p>
      <w:pPr>
        <w:pStyle w:val="TextBody"/>
        <w:spacing w:before="180" w:after="0"/>
        <w:rPr>
          <w:rFonts w:ascii="Times New Roman" w:hAnsi="Times New Roman"/>
          <w:sz w:val="20"/>
        </w:rPr>
      </w:pPr>
      <w:r>
        <w:rPr>
          <w:rFonts w:ascii="Times New Roman" w:hAnsi="Times New Roman"/>
          <w:sz w:val="20"/>
        </w:rPr>
        <w:t xml:space="preserve">Information related to vested stock options for the quarter ended March 31, 2006 is shown in the table below: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488"/>
        <w:gridCol w:w="411"/>
        <w:gridCol w:w="432"/>
        <w:gridCol w:w="80"/>
        <w:gridCol w:w="368"/>
        <w:gridCol w:w="146"/>
        <w:gridCol w:w="446"/>
        <w:gridCol w:w="411"/>
        <w:gridCol w:w="790"/>
      </w:tblGrid>
      <w:tr>
        <w:trPr/>
        <w:tc>
          <w:tcPr>
            <w:tcW w:w="548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r>
      <w:tr>
        <w:trPr/>
        <w:tc>
          <w:tcPr>
            <w:tcW w:w="5488" w:type="dxa"/>
            <w:tcBorders/>
            <w:shd w:fill="auto" w:val="clear"/>
            <w:vAlign w:val="bottom"/>
          </w:tcPr>
          <w:p>
            <w:pPr>
              <w:pStyle w:val="TableContents"/>
              <w:spacing w:before="0" w:after="283"/>
              <w:rPr>
                <w:rFonts w:ascii="Times New Roman" w:hAnsi="Times New Roman"/>
                <w:b/>
                <w:i/>
                <w:sz w:val="14"/>
              </w:rPr>
            </w:pPr>
            <w:r>
              <w:rPr>
                <w:rFonts w:ascii="Times New Roman" w:hAnsi="Times New Roman"/>
                <w:b/>
                <w:i/>
                <w:sz w:val="14"/>
              </w:rPr>
              <w:t>(Shares in thousands)</w:t>
            </w:r>
          </w:p>
        </w:tc>
        <w:tc>
          <w:tcPr>
            <w:tcW w:w="411" w:type="dxa"/>
            <w:tcBorders/>
            <w:shd w:fill="auto" w:val="clear"/>
            <w:vAlign w:val="bottom"/>
          </w:tcPr>
          <w:p>
            <w:pPr>
              <w:pStyle w:val="TableContents"/>
              <w:spacing w:before="0" w:after="283"/>
              <w:rPr/>
            </w:pPr>
            <w:r>
              <w:rPr/>
              <w:t>  </w:t>
            </w:r>
          </w:p>
        </w:tc>
        <w:tc>
          <w:tcPr>
            <w:tcW w:w="43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80"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592"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15"/>
              <w:jc w:val="center"/>
              <w:rPr>
                <w:rFonts w:ascii="Times New Roman" w:hAnsi="Times New Roman"/>
                <w:b/>
                <w:sz w:val="14"/>
              </w:rPr>
            </w:pPr>
            <w:r>
              <w:rPr>
                <w:rFonts w:ascii="Times New Roman" w:hAnsi="Times New Roman"/>
                <w:b/>
                <w:sz w:val="14"/>
              </w:rPr>
              <w:t>Price</w:t>
            </w:r>
          </w:p>
        </w:tc>
        <w:tc>
          <w:tcPr>
            <w:tcW w:w="411" w:type="dxa"/>
            <w:tcBorders/>
            <w:shd w:fill="auto" w:val="clear"/>
            <w:vAlign w:val="bottom"/>
          </w:tcPr>
          <w:p>
            <w:pPr>
              <w:pStyle w:val="TableContents"/>
              <w:spacing w:before="0" w:after="283"/>
              <w:rPr/>
            </w:pPr>
            <w:r>
              <w:rPr/>
              <w:t>  </w:t>
            </w:r>
          </w:p>
        </w:tc>
        <w:tc>
          <w:tcPr>
            <w:tcW w:w="790"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Remaining</w:t>
            </w:r>
          </w:p>
          <w:p>
            <w:pPr>
              <w:pStyle w:val="TableContents"/>
              <w:spacing w:before="0" w:after="15"/>
              <w:jc w:val="center"/>
              <w:rPr>
                <w:rFonts w:ascii="Times New Roman" w:hAnsi="Times New Roman"/>
                <w:b/>
                <w:sz w:val="14"/>
              </w:rPr>
            </w:pPr>
            <w:r>
              <w:rPr>
                <w:rFonts w:ascii="Times New Roman" w:hAnsi="Times New Roman"/>
                <w:b/>
                <w:sz w:val="14"/>
              </w:rPr>
              <w:t>Contractual</w:t>
              <w:br/>
              <w:t>Term</w:t>
            </w:r>
          </w:p>
        </w:tc>
      </w:tr>
      <w:tr>
        <w:trPr/>
        <w:tc>
          <w:tcPr>
            <w:tcW w:w="5488"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vested stock options at 12/31/05</w:t>
            </w:r>
          </w:p>
        </w:tc>
        <w:tc>
          <w:tcPr>
            <w:tcW w:w="411"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80"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41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5488" w:type="dxa"/>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201" w:type="dxa"/>
            <w:gridSpan w:val="2"/>
            <w:tcBorders/>
            <w:shd w:fill="auto" w:val="clear"/>
            <w:vAlign w:val="center"/>
          </w:tcPr>
          <w:p>
            <w:pPr>
              <w:pStyle w:val="TableContents"/>
              <w:spacing w:before="0" w:after="283"/>
              <w:rPr>
                <w:sz w:val="4"/>
                <w:szCs w:val="4"/>
              </w:rPr>
            </w:pPr>
            <w:r>
              <w:rPr>
                <w:sz w:val="4"/>
                <w:szCs w:val="4"/>
              </w:rPr>
            </w:r>
          </w:p>
        </w:tc>
      </w:tr>
      <w:tr>
        <w:trPr/>
        <w:tc>
          <w:tcPr>
            <w:tcW w:w="5488"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41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41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sz w:val="4"/>
                <w:szCs w:val="4"/>
              </w:rPr>
            </w:pPr>
            <w:r>
              <w:rPr>
                <w:sz w:val="4"/>
                <w:szCs w:val="4"/>
              </w:rPr>
            </w:r>
          </w:p>
        </w:tc>
      </w:tr>
      <w:tr>
        <w:trPr/>
        <w:tc>
          <w:tcPr>
            <w:tcW w:w="5488" w:type="dxa"/>
            <w:tcBorders/>
            <w:shd w:fill="CCEEFF" w:val="clear"/>
          </w:tcPr>
          <w:p>
            <w:pPr>
              <w:pStyle w:val="TableContents"/>
              <w:spacing w:before="0" w:after="283"/>
              <w:rPr>
                <w:rFonts w:ascii="Times New Roman" w:hAnsi="Times New Roman"/>
                <w:sz w:val="20"/>
              </w:rPr>
            </w:pPr>
            <w:r>
              <w:rPr>
                <w:rFonts w:ascii="Times New Roman" w:hAnsi="Times New Roman"/>
                <w:sz w:val="20"/>
              </w:rPr>
              <w:t>Vested</w:t>
            </w:r>
          </w:p>
        </w:tc>
        <w:tc>
          <w:tcPr>
            <w:tcW w:w="411"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80"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w:t>
            </w:r>
          </w:p>
        </w:tc>
        <w:tc>
          <w:tcPr>
            <w:tcW w:w="41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sz w:val="4"/>
                <w:szCs w:val="4"/>
              </w:rPr>
            </w:pPr>
            <w:r>
              <w:rPr>
                <w:sz w:val="4"/>
                <w:szCs w:val="4"/>
              </w:rPr>
            </w:r>
          </w:p>
        </w:tc>
      </w:tr>
      <w:tr>
        <w:trPr/>
        <w:tc>
          <w:tcPr>
            <w:tcW w:w="5488" w:type="dxa"/>
            <w:tcBorders/>
            <w:shd w:fill="auto" w:val="clear"/>
          </w:tcPr>
          <w:p>
            <w:pPr>
              <w:pStyle w:val="TableContents"/>
              <w:spacing w:before="0" w:after="283"/>
              <w:rPr>
                <w:rFonts w:ascii="Times New Roman" w:hAnsi="Times New Roman"/>
                <w:sz w:val="20"/>
              </w:rPr>
            </w:pPr>
            <w:r>
              <w:rPr>
                <w:rFonts w:ascii="Times New Roman" w:hAnsi="Times New Roman"/>
                <w:sz w:val="20"/>
              </w:rPr>
              <w:t>Forfeitures</w:t>
            </w:r>
          </w:p>
        </w:tc>
        <w:tc>
          <w:tcPr>
            <w:tcW w:w="41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41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sz w:val="4"/>
                <w:szCs w:val="4"/>
              </w:rPr>
            </w:pPr>
            <w:r>
              <w:rPr>
                <w:sz w:val="4"/>
                <w:szCs w:val="4"/>
              </w:rPr>
            </w:r>
          </w:p>
        </w:tc>
      </w:tr>
      <w:tr>
        <w:trPr/>
        <w:tc>
          <w:tcPr>
            <w:tcW w:w="5488" w:type="dxa"/>
            <w:tcBorders/>
            <w:shd w:fill="CCEEFF" w:val="clear"/>
          </w:tcPr>
          <w:p>
            <w:pPr>
              <w:pStyle w:val="TableContents"/>
              <w:spacing w:before="0" w:after="283"/>
              <w:rPr>
                <w:rFonts w:ascii="Times New Roman" w:hAnsi="Times New Roman"/>
                <w:sz w:val="20"/>
              </w:rPr>
            </w:pPr>
            <w:r>
              <w:rPr>
                <w:rFonts w:ascii="Times New Roman" w:hAnsi="Times New Roman"/>
                <w:sz w:val="20"/>
              </w:rPr>
              <w:t>Exercised</w:t>
            </w:r>
          </w:p>
        </w:tc>
        <w:tc>
          <w:tcPr>
            <w:tcW w:w="411"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41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sz w:val="4"/>
                <w:szCs w:val="4"/>
              </w:rPr>
            </w:pPr>
            <w:r>
              <w:rPr>
                <w:sz w:val="4"/>
                <w:szCs w:val="4"/>
              </w:rPr>
            </w:r>
          </w:p>
        </w:tc>
      </w:tr>
      <w:tr>
        <w:trPr/>
        <w:tc>
          <w:tcPr>
            <w:tcW w:w="5488"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pPr>
            <w:r>
              <w:rPr/>
              <w:t>  </w:t>
            </w:r>
          </w:p>
        </w:tc>
        <w:tc>
          <w:tcPr>
            <w:tcW w:w="43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6" w:type="dxa"/>
            <w:tcBorders>
              <w:top w:val="single" w:sz="2" w:space="0" w:color="000000"/>
            </w:tcBorders>
            <w:shd w:fill="auto" w:val="clear"/>
            <w:tcMar>
              <w:top w:w="28" w:type="dxa"/>
            </w:tcMar>
            <w:vAlign w:val="bottom"/>
          </w:tcPr>
          <w:p>
            <w:pPr>
              <w:pStyle w:val="TableContents"/>
              <w:spacing w:before="0" w:after="283"/>
              <w:rPr/>
            </w:pPr>
            <w:r>
              <w:rPr/>
              <w:t> </w:t>
            </w:r>
          </w:p>
        </w:tc>
        <w:tc>
          <w:tcPr>
            <w:tcW w:w="446" w:type="dxa"/>
            <w:tcBorders>
              <w:top w:val="single" w:sz="2" w:space="0" w:color="000000"/>
            </w:tcBorders>
            <w:shd w:fill="auto" w:val="clear"/>
            <w:tcMar>
              <w:top w:w="28" w:type="dxa"/>
            </w:tcM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79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5488" w:type="dxa"/>
            <w:tcBorders/>
            <w:shd w:fill="auto" w:val="clear"/>
          </w:tcPr>
          <w:p>
            <w:pPr>
              <w:pStyle w:val="TableContents"/>
              <w:spacing w:before="0" w:after="283"/>
              <w:rPr>
                <w:rFonts w:ascii="Times New Roman" w:hAnsi="Times New Roman"/>
                <w:sz w:val="20"/>
              </w:rPr>
            </w:pPr>
            <w:r>
              <w:rPr>
                <w:rFonts w:ascii="Times New Roman" w:hAnsi="Times New Roman"/>
                <w:sz w:val="20"/>
              </w:rPr>
              <w:t>Outstanding vested stock options at 3/31/06</w:t>
            </w:r>
          </w:p>
        </w:tc>
        <w:tc>
          <w:tcPr>
            <w:tcW w:w="41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80"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41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 years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7" w:name="tx30007_5"/>
      <w:bookmarkEnd w:id="7"/>
      <w:r>
        <w:rPr>
          <w:rFonts w:ascii="Times New Roman" w:hAnsi="Times New Roman"/>
          <w:sz w:val="20"/>
          <w:u w:val="single"/>
        </w:rPr>
        <w:t>CECO ENVIRONMENTAL CORP.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b/>
          <w:sz w:val="20"/>
        </w:rPr>
      </w:pPr>
      <w:r>
        <w:rPr>
          <w:rFonts w:ascii="Times New Roman" w:hAnsi="Times New Roman"/>
          <w:b/>
          <w:sz w:val="20"/>
        </w:rPr>
        <w:t xml:space="preserve">ITEM 2. Results of Operations </w:t>
      </w:r>
    </w:p>
    <w:p>
      <w:pPr>
        <w:pStyle w:val="TextBody"/>
        <w:spacing w:before="90" w:after="0"/>
        <w:rPr>
          <w:rFonts w:ascii="Times New Roman" w:hAnsi="Times New Roman"/>
          <w:sz w:val="20"/>
        </w:rPr>
      </w:pPr>
      <w:r>
        <w:rPr>
          <w:rFonts w:ascii="Times New Roman" w:hAnsi="Times New Roman"/>
          <w:sz w:val="20"/>
        </w:rPr>
        <w:t xml:space="preserve">The Companys consolidated statements of operations for the three-month period ended March 31, 2006 reflect the operations of the Company consolidated with the operations of its subsidiaries.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6350"/>
        <w:gridCol w:w="412"/>
        <w:gridCol w:w="125"/>
        <w:gridCol w:w="383"/>
        <w:gridCol w:w="185"/>
        <w:gridCol w:w="361"/>
        <w:gridCol w:w="125"/>
        <w:gridCol w:w="383"/>
        <w:gridCol w:w="248"/>
      </w:tblGrid>
      <w:tr>
        <w:trPr/>
        <w:tc>
          <w:tcPr>
            <w:tcW w:w="6350"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r>
      <w:tr>
        <w:trPr/>
        <w:tc>
          <w:tcPr>
            <w:tcW w:w="635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56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w:t>
              <w:br/>
              <w:t>ended March 31,</w:t>
            </w:r>
          </w:p>
        </w:tc>
        <w:tc>
          <w:tcPr>
            <w:tcW w:w="248" w:type="dxa"/>
            <w:tcBorders/>
            <w:shd w:fill="auto" w:val="clear"/>
            <w:vAlign w:val="bottom"/>
          </w:tcPr>
          <w:p>
            <w:pPr>
              <w:pStyle w:val="TableContents"/>
              <w:spacing w:before="0" w:after="283"/>
              <w:rPr/>
            </w:pPr>
            <w:r>
              <w:rPr/>
              <w:t> </w:t>
            </w:r>
          </w:p>
        </w:tc>
      </w:tr>
      <w:tr>
        <w:trPr/>
        <w:tc>
          <w:tcPr>
            <w:tcW w:w="635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millions)</w:t>
            </w:r>
          </w:p>
        </w:tc>
        <w:tc>
          <w:tcPr>
            <w:tcW w:w="412" w:type="dxa"/>
            <w:tcBorders/>
            <w:shd w:fill="auto" w:val="clear"/>
            <w:vAlign w:val="bottom"/>
          </w:tcPr>
          <w:p>
            <w:pPr>
              <w:pStyle w:val="TableContents"/>
              <w:spacing w:before="0" w:after="283"/>
              <w:rPr/>
            </w:pPr>
            <w:r>
              <w:rPr/>
              <w:t>  </w:t>
            </w:r>
          </w:p>
        </w:tc>
        <w:tc>
          <w:tcPr>
            <w:tcW w:w="50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8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50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48" w:type="dxa"/>
            <w:tcBorders/>
            <w:shd w:fill="auto" w:val="clear"/>
            <w:vAlign w:val="bottom"/>
          </w:tcPr>
          <w:p>
            <w:pPr>
              <w:pStyle w:val="TableContents"/>
              <w:spacing w:before="0" w:after="283"/>
              <w:rPr/>
            </w:pPr>
            <w:r>
              <w:rPr/>
              <w:t> </w:t>
            </w:r>
          </w:p>
        </w:tc>
      </w:tr>
      <w:tr>
        <w:trPr/>
        <w:tc>
          <w:tcPr>
            <w:tcW w:w="6350" w:type="dxa"/>
            <w:tcBorders/>
            <w:shd w:fill="CCEEFF" w:val="clear"/>
          </w:tcPr>
          <w:p>
            <w:pPr>
              <w:pStyle w:val="TableContents"/>
              <w:spacing w:before="0" w:after="283"/>
              <w:rPr>
                <w:rFonts w:ascii="Times New Roman" w:hAnsi="Times New Roman"/>
                <w:sz w:val="20"/>
              </w:rPr>
            </w:pPr>
            <w:r>
              <w:rPr>
                <w:rFonts w:ascii="Times New Roman" w:hAnsi="Times New Roman"/>
                <w:sz w:val="20"/>
              </w:rPr>
              <w:t>Sales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c>
          <w:tcPr>
            <w:tcW w:w="18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248" w:type="dxa"/>
            <w:tcBorders/>
            <w:shd w:fill="CCEEFF" w:val="clear"/>
            <w:vAlign w:val="bottom"/>
          </w:tcPr>
          <w:p>
            <w:pPr>
              <w:pStyle w:val="TableContents"/>
              <w:spacing w:before="0" w:after="283"/>
              <w:rPr/>
            </w:pPr>
            <w:r>
              <w:rPr/>
              <w:t> </w:t>
            </w:r>
          </w:p>
        </w:tc>
      </w:tr>
      <w:tr>
        <w:trPr/>
        <w:tc>
          <w:tcPr>
            <w:tcW w:w="635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18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248" w:type="dxa"/>
            <w:tcBorders/>
            <w:shd w:fill="auto" w:val="clear"/>
            <w:vAlign w:val="bottom"/>
          </w:tcPr>
          <w:p>
            <w:pPr>
              <w:pStyle w:val="TableContents"/>
              <w:spacing w:before="0" w:after="283"/>
              <w:rPr/>
            </w:pPr>
            <w:r>
              <w:rPr/>
              <w:t> </w:t>
            </w:r>
          </w:p>
        </w:tc>
      </w:tr>
      <w:tr>
        <w:trPr/>
        <w:tc>
          <w:tcPr>
            <w:tcW w:w="6350"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3" w:type="dxa"/>
            <w:tcBorders>
              <w:top w:val="single" w:sz="2" w:space="0" w:color="000000"/>
            </w:tcBorders>
            <w:shd w:fill="auto" w:val="clear"/>
            <w:tcMar>
              <w:top w:w="28" w:type="dxa"/>
            </w:tcMar>
            <w:vAlign w:val="bottom"/>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3" w:type="dxa"/>
            <w:tcBorders>
              <w:top w:val="single" w:sz="2" w:space="0" w:color="000000"/>
            </w:tcBorders>
            <w:shd w:fill="auto" w:val="clear"/>
            <w:tcMar>
              <w:top w:w="28" w:type="dxa"/>
            </w:tcMar>
            <w:vAlign w:val="bottom"/>
          </w:tcPr>
          <w:p>
            <w:pPr>
              <w:pStyle w:val="TableContents"/>
              <w:spacing w:before="0" w:after="283"/>
              <w:rPr/>
            </w:pPr>
            <w:r>
              <w:rPr/>
              <w:t> </w:t>
            </w:r>
          </w:p>
        </w:tc>
        <w:tc>
          <w:tcPr>
            <w:tcW w:w="248" w:type="dxa"/>
            <w:tcBorders/>
            <w:shd w:fill="auto" w:val="clear"/>
            <w:vAlign w:val="center"/>
          </w:tcPr>
          <w:p>
            <w:pPr>
              <w:pStyle w:val="TableContents"/>
              <w:spacing w:before="0" w:after="283"/>
              <w:rPr/>
            </w:pPr>
            <w:r>
              <w:rPr/>
              <w:t> </w:t>
            </w:r>
          </w:p>
        </w:tc>
      </w:tr>
      <w:tr>
        <w:trPr/>
        <w:tc>
          <w:tcPr>
            <w:tcW w:w="6350"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 and amortization)</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8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248" w:type="dxa"/>
            <w:tcBorders/>
            <w:shd w:fill="CCEEFF" w:val="clear"/>
            <w:vAlign w:val="bottom"/>
          </w:tcPr>
          <w:p>
            <w:pPr>
              <w:pStyle w:val="TableContents"/>
              <w:spacing w:before="0" w:after="283"/>
              <w:rPr/>
            </w:pPr>
            <w:r>
              <w:rPr/>
              <w:t> </w:t>
            </w:r>
          </w:p>
        </w:tc>
      </w:tr>
      <w:tr>
        <w:trPr/>
        <w:tc>
          <w:tcPr>
            <w:tcW w:w="6350"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350" w:type="dxa"/>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c>
          <w:tcPr>
            <w:tcW w:w="1117" w:type="dxa"/>
            <w:gridSpan w:val="4"/>
            <w:tcBorders/>
            <w:shd w:fill="auto" w:val="clear"/>
            <w:vAlign w:val="center"/>
          </w:tcPr>
          <w:p>
            <w:pPr>
              <w:pStyle w:val="TableContents"/>
              <w:spacing w:before="0" w:after="283"/>
              <w:rPr>
                <w:sz w:val="4"/>
                <w:szCs w:val="4"/>
              </w:rPr>
            </w:pPr>
            <w:r>
              <w:rPr>
                <w:sz w:val="4"/>
                <w:szCs w:val="4"/>
              </w:rPr>
            </w:r>
          </w:p>
        </w:tc>
      </w:tr>
      <w:tr>
        <w:trPr/>
        <w:tc>
          <w:tcPr>
            <w:tcW w:w="6350"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8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248" w:type="dxa"/>
            <w:tcBorders/>
            <w:shd w:fill="CCEEFF" w:val="clear"/>
            <w:vAlign w:val="bottom"/>
          </w:tcPr>
          <w:p>
            <w:pPr>
              <w:pStyle w:val="TableContents"/>
              <w:spacing w:before="0" w:after="283"/>
              <w:rPr/>
            </w:pPr>
            <w:r>
              <w:rPr/>
              <w:t> </w:t>
            </w:r>
          </w:p>
        </w:tc>
      </w:tr>
      <w:tr>
        <w:trPr/>
        <w:tc>
          <w:tcPr>
            <w:tcW w:w="6350"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350" w:type="dxa"/>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c>
          <w:tcPr>
            <w:tcW w:w="1117" w:type="dxa"/>
            <w:gridSpan w:val="4"/>
            <w:tcBorders/>
            <w:shd w:fill="auto" w:val="clear"/>
            <w:vAlign w:val="center"/>
          </w:tcPr>
          <w:p>
            <w:pPr>
              <w:pStyle w:val="TableContents"/>
              <w:spacing w:before="0" w:after="283"/>
              <w:rPr>
                <w:sz w:val="4"/>
                <w:szCs w:val="4"/>
              </w:rPr>
            </w:pPr>
            <w:r>
              <w:rPr>
                <w:sz w:val="4"/>
                <w:szCs w:val="4"/>
              </w:rPr>
            </w:r>
          </w:p>
        </w:tc>
      </w:tr>
      <w:tr>
        <w:trPr/>
        <w:tc>
          <w:tcPr>
            <w:tcW w:w="6350"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 (loss)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8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50"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180" w:after="0"/>
        <w:rPr>
          <w:rFonts w:ascii="Times New Roman" w:hAnsi="Times New Roman"/>
          <w:sz w:val="20"/>
        </w:rPr>
      </w:pPr>
      <w:r>
        <w:rPr>
          <w:rFonts w:ascii="Times New Roman" w:hAnsi="Times New Roman"/>
          <w:sz w:val="20"/>
        </w:rPr>
        <w:t xml:space="preserve">Consolidated net sales for the first quarter were $24.4 million, an increase of 62% or $9.3 million compared to the same quarter in 2005. Slightly increased sales from our component parts and duct products coupled with significant increases in construction revenues and equipment revenues accounted for the increase in sales. </w:t>
      </w:r>
    </w:p>
    <w:p>
      <w:pPr>
        <w:pStyle w:val="TextBody"/>
        <w:spacing w:before="180" w:after="0"/>
        <w:rPr>
          <w:rFonts w:ascii="Times New Roman" w:hAnsi="Times New Roman"/>
          <w:sz w:val="20"/>
        </w:rPr>
      </w:pPr>
      <w:r>
        <w:rPr>
          <w:rFonts w:ascii="Times New Roman" w:hAnsi="Times New Roman"/>
          <w:sz w:val="20"/>
        </w:rPr>
        <w:t xml:space="preserve">In total, orders booked in 2006 increased to $ 36.0 million as compared to $17.1 million during the first quarter of 2005. This was an increase of $18.9 million or 111%. </w:t>
      </w:r>
    </w:p>
    <w:p>
      <w:pPr>
        <w:pStyle w:val="TextBody"/>
        <w:spacing w:before="180" w:after="0"/>
        <w:rPr>
          <w:rFonts w:ascii="Times New Roman" w:hAnsi="Times New Roman"/>
          <w:sz w:val="20"/>
        </w:rPr>
      </w:pPr>
      <w:r>
        <w:rPr>
          <w:rFonts w:ascii="Times New Roman" w:hAnsi="Times New Roman"/>
          <w:sz w:val="20"/>
        </w:rPr>
        <w:t xml:space="preserve">First quarter 2006 gross profit was $4.1 million (17.0%) compared to gross profit of $2.2 million (14.4%) during the same period in 2005. This increase was due to higher margins on construction and equipment contracts. </w:t>
      </w:r>
    </w:p>
    <w:p>
      <w:pPr>
        <w:pStyle w:val="TextBody"/>
        <w:spacing w:before="180" w:after="0"/>
        <w:rPr>
          <w:rFonts w:ascii="Times New Roman" w:hAnsi="Times New Roman"/>
          <w:sz w:val="20"/>
        </w:rPr>
      </w:pPr>
      <w:r>
        <w:rPr>
          <w:rFonts w:ascii="Times New Roman" w:hAnsi="Times New Roman"/>
          <w:sz w:val="20"/>
        </w:rPr>
        <w:t xml:space="preserve">Selling and administrative expenses increased by $304,000 or 10.7% to $3.1 million during the first quarter of 2006 from $2.8 million in the same period of 2005. This was due to increases in salary &amp; wage expenses, legal &amp; professional costs related to SEC filings and administrative expenses related to the addition of H.M. White, Inc. </w:t>
      </w:r>
    </w:p>
    <w:p>
      <w:pPr>
        <w:pStyle w:val="TextBody"/>
        <w:spacing w:before="180" w:after="0"/>
        <w:rPr>
          <w:rFonts w:ascii="Times New Roman" w:hAnsi="Times New Roman"/>
          <w:sz w:val="20"/>
        </w:rPr>
      </w:pPr>
      <w:r>
        <w:rPr>
          <w:rFonts w:ascii="Times New Roman" w:hAnsi="Times New Roman"/>
          <w:sz w:val="20"/>
        </w:rPr>
        <w:t xml:space="preserve">Depreciation and amortization remained constant at $292,000 during the three months ended March 31, 2006 and the three months ended March 31, 2005. </w:t>
      </w:r>
    </w:p>
    <w:p>
      <w:pPr>
        <w:pStyle w:val="TextBody"/>
        <w:spacing w:before="180" w:after="0"/>
        <w:rPr>
          <w:rFonts w:ascii="Times New Roman" w:hAnsi="Times New Roman"/>
          <w:sz w:val="20"/>
        </w:rPr>
      </w:pPr>
      <w:r>
        <w:rPr>
          <w:rFonts w:ascii="Times New Roman" w:hAnsi="Times New Roman"/>
          <w:sz w:val="20"/>
        </w:rPr>
        <w:t xml:space="preserve">Operating income increased by $1.7 million to $696,000 in the first quarter of 2006 compared to an operating loss of ($960,000) during the same quarter of 2005. This increase was due to much higher sales volumes and higher margins on construction and equipment contracts. </w:t>
      </w:r>
    </w:p>
    <w:p>
      <w:pPr>
        <w:pStyle w:val="TextBody"/>
        <w:spacing w:before="180" w:after="0"/>
        <w:rPr>
          <w:rFonts w:ascii="Times New Roman" w:hAnsi="Times New Roman"/>
          <w:sz w:val="20"/>
        </w:rPr>
      </w:pPr>
      <w:r>
        <w:rPr>
          <w:rFonts w:ascii="Times New Roman" w:hAnsi="Times New Roman"/>
          <w:sz w:val="20"/>
        </w:rPr>
        <w:t xml:space="preserve">Other expense was $1.1 million in the first quarter of 2006 compared to other income of $50,000 in the first quarter of 2005. The first quarter of 2006 includes a non-cash charge of $1.1 million for the fair market value adjustment of detachable stock warrants. These detachable stock warrants will either be exercised or will expire in 2006. In either event, the cumulative market value adjustments previously charged to expense will reverse through the income statement. </w:t>
      </w:r>
    </w:p>
    <w:p>
      <w:pPr>
        <w:pStyle w:val="TextBody"/>
        <w:spacing w:before="180" w:after="0"/>
        <w:rPr>
          <w:rFonts w:ascii="Times New Roman" w:hAnsi="Times New Roman"/>
          <w:sz w:val="20"/>
        </w:rPr>
      </w:pPr>
      <w:r>
        <w:rPr>
          <w:rFonts w:ascii="Times New Roman" w:hAnsi="Times New Roman"/>
          <w:sz w:val="20"/>
        </w:rPr>
        <w:t xml:space="preserve">Interest expense for the three months ended March 31, 2006 decreased slightly by $26,000 to $571,000 from $597,000 during the first quarter of 2005. This decrease was due to lower interest rates off set by higher borrowings to finance the increased sales activities.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Federal and state income tax benefit was $ 219,000 during the first quarter of 2006 and $875,000 during the first quarter of 2005. The estimated federal and state income tax rate in the first quarter of 2006 was 23%, compared to 58% in 2005. Our statutory income tax rate is affected by certain permanent differences including expenses for market valuation of warrants and non-deductible interest expense. </w:t>
      </w:r>
    </w:p>
    <w:p>
      <w:pPr>
        <w:pStyle w:val="TextBody"/>
        <w:spacing w:before="180" w:after="0"/>
        <w:rPr>
          <w:rFonts w:ascii="Times New Roman" w:hAnsi="Times New Roman"/>
          <w:sz w:val="20"/>
        </w:rPr>
      </w:pPr>
      <w:r>
        <w:rPr>
          <w:rFonts w:ascii="Times New Roman" w:hAnsi="Times New Roman"/>
          <w:sz w:val="20"/>
        </w:rPr>
        <w:t xml:space="preserve">Net loss for the quarter ended March 31, 2006 was $736,000 compared with a net loss of $632,000 for the same period in 2005. </w:t>
      </w:r>
    </w:p>
    <w:p>
      <w:pPr>
        <w:pStyle w:val="TextBody"/>
        <w:spacing w:before="270" w:after="0"/>
        <w:rPr>
          <w:rFonts w:ascii="Times New Roman" w:hAnsi="Times New Roman"/>
          <w:sz w:val="20"/>
        </w:rPr>
      </w:pPr>
      <w:r>
        <w:rPr>
          <w:rFonts w:ascii="Times New Roman" w:hAnsi="Times New Roman"/>
          <w:sz w:val="20"/>
        </w:rPr>
        <w:t xml:space="preserve">Backlog </w:t>
      </w:r>
    </w:p>
    <w:p>
      <w:pPr>
        <w:pStyle w:val="TextBody"/>
        <w:spacing w:before="90" w:after="0"/>
        <w:rPr>
          <w:rFonts w:ascii="Times New Roman" w:hAnsi="Times New Roman"/>
          <w:sz w:val="20"/>
        </w:rPr>
      </w:pPr>
      <w:r>
        <w:rPr>
          <w:rFonts w:ascii="Times New Roman" w:hAnsi="Times New Roman"/>
          <w:sz w:val="20"/>
        </w:rPr>
        <w:t xml:space="preserve">Our backlog consists of orders we have received for products and services we expect to ship and deliver within the next 12 months. Our backlog, as of March 31, 2006 was $40.5 million compared to $28.9 million as of December 31, 2005.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w:t>
      </w:r>
    </w:p>
    <w:p>
      <w:pPr>
        <w:pStyle w:val="TextBody"/>
        <w:spacing w:before="270" w:after="0"/>
        <w:rPr>
          <w:rFonts w:ascii="Times New Roman" w:hAnsi="Times New Roman"/>
          <w:b/>
          <w:sz w:val="20"/>
        </w:rPr>
      </w:pPr>
      <w:r>
        <w:rPr>
          <w:rFonts w:ascii="Times New Roman" w:hAnsi="Times New Roman"/>
          <w:b/>
          <w:sz w:val="20"/>
        </w:rPr>
        <w:t xml:space="preserve">Financial Condition, Liquidity and Capital Resources </w:t>
      </w:r>
    </w:p>
    <w:p>
      <w:pPr>
        <w:pStyle w:val="TextBody"/>
        <w:spacing w:before="90" w:after="0"/>
        <w:rPr>
          <w:rFonts w:ascii="Times New Roman" w:hAnsi="Times New Roman"/>
          <w:sz w:val="20"/>
        </w:rPr>
      </w:pPr>
      <w:r>
        <w:rPr>
          <w:rFonts w:ascii="Times New Roman" w:hAnsi="Times New Roman"/>
          <w:sz w:val="20"/>
        </w:rPr>
        <w:t xml:space="preserve">The Companys principal sources of liquidity are cash flow from operations and available borrowings under its revolving credit facility. The Companys principal uses of cash are operating costs, debt service, payment of interest on the Companys outstanding senior debt, working capital and other general corporate requirements. </w:t>
      </w:r>
    </w:p>
    <w:p>
      <w:pPr>
        <w:pStyle w:val="TextBody"/>
        <w:spacing w:before="180" w:after="0"/>
        <w:rPr>
          <w:rFonts w:ascii="Times New Roman" w:hAnsi="Times New Roman"/>
          <w:sz w:val="20"/>
        </w:rPr>
      </w:pPr>
      <w:r>
        <w:rPr>
          <w:rFonts w:ascii="Times New Roman" w:hAnsi="Times New Roman"/>
          <w:sz w:val="20"/>
        </w:rPr>
        <w:t xml:space="preserve">At March 31, 2006 and December 31, 2005, cash and cash equivalents totaled $322,000 and $310,000, respectively. Generally, we do not carry significant cash and cash equivalent balances because excess amounts are used to pay down our revolving line of credit. </w:t>
      </w:r>
    </w:p>
    <w:p>
      <w:pPr>
        <w:pStyle w:val="TextBody"/>
        <w:spacing w:before="180" w:after="0"/>
        <w:rPr>
          <w:rFonts w:ascii="Times New Roman" w:hAnsi="Times New Roman"/>
          <w:sz w:val="20"/>
        </w:rPr>
      </w:pPr>
      <w:r>
        <w:rPr>
          <w:rFonts w:ascii="Times New Roman" w:hAnsi="Times New Roman"/>
          <w:sz w:val="20"/>
        </w:rPr>
        <w:t xml:space="preserve">Total bank and related debt as of March 31, 2006 was $8.2 million and $6.8 million at December 31, 2005. Unused credit availability under our $13.0 million revolving line of credit at March 31, 2006 was $7.0 million. Availability is limited as determined by a borrowing base formula contained in the credit agreement. </w:t>
      </w:r>
    </w:p>
    <w:p>
      <w:pPr>
        <w:pStyle w:val="TextBody"/>
        <w:spacing w:before="180" w:after="0"/>
        <w:rPr>
          <w:rFonts w:ascii="Times New Roman" w:hAnsi="Times New Roman"/>
          <w:sz w:val="20"/>
        </w:rPr>
      </w:pPr>
      <w:r>
        <w:rPr>
          <w:rFonts w:ascii="Times New Roman" w:hAnsi="Times New Roman"/>
          <w:sz w:val="20"/>
        </w:rPr>
        <w:t xml:space="preserve">In December 2005, we refinanced our bank credit facility aggregating $16.1 million consisting of $3.1 million in term loans and a $13 million revolving credit line. Interest is charged based on the banks prime rate plus 2.0 percentage points on the credit facility and plus 2.25 points on the term loan (9.75% and 10.0% at March 31, 2006). </w:t>
      </w:r>
    </w:p>
    <w:p>
      <w:pPr>
        <w:pStyle w:val="TextBody"/>
        <w:spacing w:before="180" w:after="0"/>
        <w:rPr>
          <w:rFonts w:ascii="Times New Roman" w:hAnsi="Times New Roman"/>
          <w:sz w:val="20"/>
        </w:rPr>
      </w:pPr>
      <w:r>
        <w:rPr>
          <w:rFonts w:ascii="Times New Roman" w:hAnsi="Times New Roman"/>
          <w:sz w:val="20"/>
        </w:rPr>
        <w:t xml:space="preserve">In the future, if we cannot comply with the terms of the Credit Agreement as currently written, it will be necessary for us obtain a waiver or renegotiate our loan covenants, and there can be no assurance that such negotiations will be successful. In the event that we are not successful in obtaining a waiver or an amendment, we would be declared in default which would cause all amounts owed to be immediately due and payable.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u w:val="single"/>
        </w:rPr>
      </w:pPr>
      <w:r>
        <w:rPr>
          <w:rFonts w:ascii="Times New Roman" w:hAnsi="Times New Roman"/>
          <w:sz w:val="20"/>
          <w:u w:val="single"/>
        </w:rPr>
        <w:t xml:space="preserve">Overview of Cash Flows and Liquidity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6080"/>
        <w:gridCol w:w="425"/>
        <w:gridCol w:w="151"/>
        <w:gridCol w:w="674"/>
        <w:gridCol w:w="96"/>
        <w:gridCol w:w="385"/>
        <w:gridCol w:w="151"/>
        <w:gridCol w:w="527"/>
        <w:gridCol w:w="83"/>
      </w:tblGrid>
      <w:tr>
        <w:trPr/>
        <w:tc>
          <w:tcPr>
            <w:tcW w:w="608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08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984"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w:t>
              <w:br/>
              <w:t>March 31,</w:t>
            </w:r>
          </w:p>
        </w:tc>
        <w:tc>
          <w:tcPr>
            <w:tcW w:w="83" w:type="dxa"/>
            <w:tcBorders/>
            <w:shd w:fill="auto" w:val="clear"/>
            <w:vAlign w:val="bottom"/>
          </w:tcPr>
          <w:p>
            <w:pPr>
              <w:pStyle w:val="TableContents"/>
              <w:spacing w:before="0" w:after="283"/>
              <w:rPr/>
            </w:pPr>
            <w:r>
              <w:rPr/>
              <w:t> </w:t>
            </w:r>
          </w:p>
        </w:tc>
      </w:tr>
      <w:tr>
        <w:trPr/>
        <w:tc>
          <w:tcPr>
            <w:tcW w:w="608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thousands)</w:t>
            </w:r>
          </w:p>
        </w:tc>
        <w:tc>
          <w:tcPr>
            <w:tcW w:w="425"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9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6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3" w:type="dxa"/>
            <w:tcBorders/>
            <w:shd w:fill="auto" w:val="clear"/>
            <w:vAlign w:val="bottom"/>
          </w:tcPr>
          <w:p>
            <w:pPr>
              <w:pStyle w:val="TableContents"/>
              <w:spacing w:before="0" w:after="283"/>
              <w:rPr/>
            </w:pPr>
            <w:r>
              <w:rPr/>
              <w:t> </w:t>
            </w:r>
          </w:p>
        </w:tc>
      </w:tr>
      <w:tr>
        <w:trPr/>
        <w:tc>
          <w:tcPr>
            <w:tcW w:w="6080"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operating activities</w:t>
            </w:r>
          </w:p>
        </w:tc>
        <w:tc>
          <w:tcPr>
            <w:tcW w:w="4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(1,978</w:t>
            </w:r>
          </w:p>
        </w:tc>
        <w:tc>
          <w:tcPr>
            <w:tcW w:w="9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w:t>
            </w:r>
          </w:p>
        </w:tc>
        <w:tc>
          <w:tcPr>
            <w:tcW w:w="83" w:type="dxa"/>
            <w:tcBorders/>
            <w:shd w:fill="CCEEFF" w:val="clear"/>
            <w:vAlign w:val="bottom"/>
          </w:tcPr>
          <w:p>
            <w:pPr>
              <w:pStyle w:val="TableContents"/>
              <w:spacing w:before="0" w:after="283"/>
              <w:rPr/>
            </w:pPr>
            <w:r>
              <w:rPr/>
              <w:t> </w:t>
            </w:r>
          </w:p>
        </w:tc>
      </w:tr>
      <w:tr>
        <w:trPr/>
        <w:tc>
          <w:tcPr>
            <w:tcW w:w="6080"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4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080"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4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2,325</w:t>
            </w:r>
          </w:p>
        </w:tc>
        <w:tc>
          <w:tcPr>
            <w:tcW w:w="96"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080"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674" w:type="dxa"/>
            <w:tcBorders>
              <w:top w:val="single" w:sz="2" w:space="0" w:color="000000"/>
            </w:tcBorders>
            <w:shd w:fill="auto" w:val="clear"/>
            <w:tcMar>
              <w:top w:w="28" w:type="dxa"/>
            </w:tcM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1" w:type="dxa"/>
            <w:tcBorders>
              <w:top w:val="single" w:sz="2" w:space="0" w:color="000000"/>
            </w:tcBorders>
            <w:shd w:fill="auto" w:val="clear"/>
            <w:tcMar>
              <w:top w:w="28" w:type="dxa"/>
            </w:tcMar>
            <w:vAlign w:val="bottom"/>
          </w:tcPr>
          <w:p>
            <w:pPr>
              <w:pStyle w:val="TableContents"/>
              <w:spacing w:before="0" w:after="283"/>
              <w:rPr/>
            </w:pPr>
            <w:r>
              <w:rPr/>
              <w:t> </w:t>
            </w:r>
          </w:p>
        </w:tc>
        <w:tc>
          <w:tcPr>
            <w:tcW w:w="527"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6080" w:type="dxa"/>
            <w:tcBorders/>
            <w:shd w:fill="auto" w:val="clear"/>
          </w:tcPr>
          <w:p>
            <w:pPr>
              <w:pStyle w:val="TableContents"/>
              <w:spacing w:before="0" w:after="283"/>
              <w:rPr>
                <w:rFonts w:ascii="Times New Roman" w:hAnsi="Times New Roman"/>
                <w:sz w:val="20"/>
              </w:rPr>
            </w:pPr>
            <w:r>
              <w:rPr>
                <w:rFonts w:ascii="Times New Roman" w:hAnsi="Times New Roman"/>
                <w:sz w:val="20"/>
              </w:rPr>
              <w:t>Net increase</w:t>
            </w:r>
          </w:p>
        </w:tc>
        <w:tc>
          <w:tcPr>
            <w:tcW w:w="4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96"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83" w:type="dxa"/>
            <w:tcBorders/>
            <w:shd w:fill="auto" w:val="clear"/>
            <w:vAlign w:val="bottom"/>
          </w:tcPr>
          <w:p>
            <w:pPr>
              <w:pStyle w:val="TableContents"/>
              <w:spacing w:before="0" w:after="283"/>
              <w:rPr/>
            </w:pPr>
            <w:r>
              <w:rPr/>
              <w:t> </w:t>
            </w:r>
          </w:p>
        </w:tc>
      </w:tr>
      <w:tr>
        <w:trPr/>
        <w:tc>
          <w:tcPr>
            <w:tcW w:w="6080"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51" w:type="dxa"/>
            <w:tcBorders>
              <w:top w:val="double" w:sz="6" w:space="0" w:color="000000"/>
            </w:tcBorders>
            <w:shd w:fill="auto" w:val="clear"/>
            <w:tcMar>
              <w:top w:w="28" w:type="dxa"/>
            </w:tcMar>
            <w:vAlign w:val="bottom"/>
          </w:tcPr>
          <w:p>
            <w:pPr>
              <w:pStyle w:val="TableContents"/>
              <w:spacing w:before="0" w:after="283"/>
              <w:rPr/>
            </w:pPr>
            <w:r>
              <w:rPr/>
              <w:t> </w:t>
            </w:r>
          </w:p>
        </w:tc>
        <w:tc>
          <w:tcPr>
            <w:tcW w:w="674" w:type="dxa"/>
            <w:tcBorders>
              <w:top w:val="double" w:sz="6" w:space="0" w:color="000000"/>
            </w:tcBorders>
            <w:shd w:fill="auto" w:val="clear"/>
            <w:tcMar>
              <w:top w:w="28" w:type="dxa"/>
            </w:tcM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1" w:type="dxa"/>
            <w:tcBorders>
              <w:top w:val="double" w:sz="6" w:space="0" w:color="000000"/>
            </w:tcBorders>
            <w:shd w:fill="auto" w:val="clear"/>
            <w:tcMar>
              <w:top w:w="28" w:type="dxa"/>
            </w:tcMar>
            <w:vAlign w:val="bottom"/>
          </w:tcPr>
          <w:p>
            <w:pPr>
              <w:pStyle w:val="TableContents"/>
              <w:spacing w:before="0" w:after="283"/>
              <w:rPr/>
            </w:pPr>
            <w:r>
              <w:rPr/>
              <w:t> </w:t>
            </w:r>
          </w:p>
        </w:tc>
        <w:tc>
          <w:tcPr>
            <w:tcW w:w="527"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Due to significant increases in sales volume which typically causes an increase working capital requirements, cash used in operating activities increased by $2.4 million to $2.0 million in 2006 compared to cash provided by operations of $447,000 in 2005. Cash was used for increases in accounts receivable of $5.6 million, inventory increases of $313,000 and increases in prepaid expenses of $457,000. Cash was provided by increases in billings in excess of costs and estimated earnings on uncompleted contracts of $3.5 million. Non cash warrant valuation expenses of $1.1 million were included in our net loss. Other changes in working capital items provided cash of $ 524,000. Our net investment in working capital (excluding cash and cash equivalents and current portion of debt) at March 31, 2006 and December 31, 2005 was $6.6 million and $4.8 million respectively. </w:t>
      </w:r>
    </w:p>
    <w:p>
      <w:pPr>
        <w:pStyle w:val="TextBody"/>
        <w:spacing w:before="180" w:after="0"/>
        <w:rPr>
          <w:rFonts w:ascii="Times New Roman" w:hAnsi="Times New Roman"/>
          <w:sz w:val="20"/>
        </w:rPr>
      </w:pPr>
      <w:r>
        <w:rPr>
          <w:rFonts w:ascii="Times New Roman" w:hAnsi="Times New Roman"/>
          <w:sz w:val="20"/>
        </w:rPr>
        <w:t xml:space="preserve">Net cash used in investing activities related to the acquisition of capital expenditures for property and equipment was $335,000 for the first three months of 2006 compared with $228,000 for the same period in 2005. We are managing our capital expenditure spending in light of the current level of sales. With sales increasing significantly in 2006, we anticipate increased capital spending. Additionally, capital expenditures may be incurred depending on the ultimate disposition of our Cincinnati property. We are continuing our discussions with a potential purchaser for the sale of our Cincinnati property. The proceeds from this sale would be used to finance the acquisition of a replacement property. It is anticipated that the replacement property will cost significantly less than the current facility and the net transaction would result in the creation of additional working capital. </w:t>
      </w:r>
    </w:p>
    <w:p>
      <w:pPr>
        <w:pStyle w:val="TextBody"/>
        <w:spacing w:before="180" w:after="0"/>
        <w:rPr>
          <w:rFonts w:ascii="Times New Roman" w:hAnsi="Times New Roman"/>
          <w:sz w:val="20"/>
        </w:rPr>
      </w:pPr>
      <w:r>
        <w:rPr>
          <w:rFonts w:ascii="Times New Roman" w:hAnsi="Times New Roman"/>
          <w:sz w:val="20"/>
        </w:rPr>
        <w:t xml:space="preserve">Financing activities provided cash of $2.3 million during the first three months of 2006 compared with cash used of $156,000 during the same period of 2005. Cash was provided by proceeds from the exercise of warrants in the amount of $1.9 million and borrowings on the bank credit facility of $1.4 million. Cash was used to pay a portion of the subordinated debt which represented previously capitalized accrued interest. </w:t>
      </w:r>
    </w:p>
    <w:p>
      <w:pPr>
        <w:pStyle w:val="TextBody"/>
        <w:spacing w:before="270" w:after="0"/>
        <w:rPr>
          <w:rFonts w:ascii="Times New Roman" w:hAnsi="Times New Roman"/>
          <w:sz w:val="20"/>
        </w:rPr>
      </w:pPr>
      <w:r>
        <w:rPr>
          <w:rFonts w:ascii="Times New Roman" w:hAnsi="Times New Roman"/>
          <w:sz w:val="20"/>
          <w:u w:val="single"/>
        </w:rPr>
        <w:t>Forward-Looking Statements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We desire to take advantage of the safe harbor provisions of the Private Securities Litigation Reform Act of 1995 and are making this cautionary statement in connection with such safe harbor legislation. This Form 10-Q, the Annual Report to Shareholders, Form 10-K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 are forward-looking statements, and are based on managements current expectations of our near-term results, based on current information available pertaining to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 </w:t>
      </w:r>
    </w:p>
    <w:p>
      <w:pPr>
        <w:pStyle w:val="TextBody"/>
        <w:spacing w:before="180" w:after="0"/>
        <w:rPr>
          <w:rFonts w:ascii="Times New Roman" w:hAnsi="Times New Roman"/>
          <w:sz w:val="20"/>
        </w:rPr>
      </w:pPr>
      <w:r>
        <w:rPr>
          <w:rFonts w:ascii="Times New Roman" w:hAnsi="Times New Roman"/>
          <w:sz w:val="20"/>
        </w:rPr>
        <w:t xml:space="preserve">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8" w:name="tx30007_6"/>
      <w:bookmarkEnd w:id="8"/>
      <w:r>
        <w:rPr>
          <w:rFonts w:ascii="Times New Roman" w:hAnsi="Times New Roman"/>
          <w:sz w:val="20"/>
          <w:u w:val="single"/>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ITEM 3. QUANTITATIVE AND QUALITATIVE DISCLOSURE ABOUT MARKET RISK </w:t>
      </w:r>
    </w:p>
    <w:p>
      <w:pPr>
        <w:pStyle w:val="TextBody"/>
        <w:spacing w:before="180" w:after="0"/>
        <w:rPr>
          <w:rFonts w:ascii="Times New Roman" w:hAnsi="Times New Roman"/>
          <w:sz w:val="20"/>
        </w:rPr>
      </w:pPr>
      <w:r>
        <w:rPr>
          <w:rFonts w:ascii="Times New Roman" w:hAnsi="Times New Roman"/>
          <w:sz w:val="20"/>
        </w:rPr>
        <w:t xml:space="preserve">Risk Management Activities </w:t>
      </w:r>
    </w:p>
    <w:p>
      <w:pPr>
        <w:pStyle w:val="TextBody"/>
        <w:spacing w:before="90" w:after="0"/>
        <w:rPr>
          <w:rFonts w:ascii="Times New Roman" w:hAnsi="Times New Roman"/>
          <w:sz w:val="20"/>
        </w:rPr>
      </w:pPr>
      <w:r>
        <w:rPr>
          <w:rFonts w:ascii="Times New Roman" w:hAnsi="Times New Roman"/>
          <w:sz w:val="20"/>
        </w:rPr>
        <w:t xml:space="preserve">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 </w:t>
      </w:r>
    </w:p>
    <w:p>
      <w:pPr>
        <w:pStyle w:val="TextBody"/>
        <w:spacing w:before="270" w:after="0"/>
        <w:rPr>
          <w:rFonts w:ascii="Times New Roman" w:hAnsi="Times New Roman"/>
          <w:sz w:val="20"/>
        </w:rPr>
      </w:pPr>
      <w:r>
        <w:rPr>
          <w:rFonts w:ascii="Times New Roman" w:hAnsi="Times New Roman"/>
          <w:sz w:val="20"/>
        </w:rPr>
        <w:t xml:space="preserve">Interest Rate Management </w:t>
      </w:r>
    </w:p>
    <w:p>
      <w:pPr>
        <w:pStyle w:val="TextBody"/>
        <w:spacing w:before="90" w:after="0"/>
        <w:rPr>
          <w:rFonts w:ascii="Times New Roman" w:hAnsi="Times New Roman"/>
          <w:sz w:val="20"/>
        </w:rPr>
      </w:pPr>
      <w:r>
        <w:rPr>
          <w:rFonts w:ascii="Times New Roman" w:hAnsi="Times New Roman"/>
          <w:sz w:val="20"/>
        </w:rPr>
        <w:t xml:space="preserve">We may use interest rate swap contracts to adjust the proportion of our total debt that is subject to variable interest rates. </w:t>
      </w:r>
    </w:p>
    <w:p>
      <w:pPr>
        <w:pStyle w:val="TextBody"/>
        <w:spacing w:before="180" w:after="0"/>
        <w:rPr>
          <w:rFonts w:ascii="Times New Roman" w:hAnsi="Times New Roman"/>
          <w:sz w:val="20"/>
        </w:rPr>
      </w:pPr>
      <w:r>
        <w:rPr>
          <w:rFonts w:ascii="Times New Roman" w:hAnsi="Times New Roman"/>
          <w:sz w:val="20"/>
        </w:rPr>
        <w:t xml:space="preserve">The remaining amount of loans outstanding under the Credit Agreement bear interest at the floating rates as described in Note 9 to the consolidated statements contained in the Companys 2005 Annual Report on Form 10-K filed with the Securities and Exchange Commission. </w:t>
      </w:r>
    </w:p>
    <w:p>
      <w:pPr>
        <w:pStyle w:val="TextBody"/>
        <w:spacing w:before="270" w:after="0"/>
        <w:rPr>
          <w:rFonts w:ascii="Times New Roman" w:hAnsi="Times New Roman"/>
          <w:sz w:val="20"/>
        </w:rPr>
      </w:pPr>
      <w:r>
        <w:rPr>
          <w:rFonts w:ascii="Times New Roman" w:hAnsi="Times New Roman"/>
          <w:sz w:val="20"/>
        </w:rPr>
        <w:t xml:space="preserve">Credit Risk </w:t>
      </w:r>
    </w:p>
    <w:p>
      <w:pPr>
        <w:pStyle w:val="TextBody"/>
        <w:spacing w:before="90" w:after="0"/>
        <w:rPr>
          <w:rFonts w:ascii="Times New Roman" w:hAnsi="Times New Roman"/>
          <w:sz w:val="20"/>
        </w:rPr>
      </w:pPr>
      <w:r>
        <w:rPr>
          <w:rFonts w:ascii="Times New Roman" w:hAnsi="Times New Roman"/>
          <w:sz w:val="20"/>
        </w:rPr>
        <w:t xml:space="preserve">As part of our ongoing control procedures, we monitor concentrations of credit risk associated with financial institutions with which we conduct business.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9" w:name="tx30007_7"/>
      <w:bookmarkEnd w:id="9"/>
      <w:r>
        <w:rPr>
          <w:rFonts w:ascii="Times New Roman" w:hAnsi="Times New Roman"/>
          <w:sz w:val="20"/>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ITEM 4. CONTROLS AND PROCEDURES </w:t>
      </w:r>
    </w:p>
    <w:p>
      <w:pPr>
        <w:pStyle w:val="TextBody"/>
        <w:spacing w:before="270" w:after="0"/>
        <w:rPr>
          <w:rFonts w:ascii="Times New Roman" w:hAnsi="Times New Roman"/>
          <w:b/>
          <w:sz w:val="20"/>
          <w:u w:val="single"/>
        </w:rPr>
      </w:pPr>
      <w:r>
        <w:rPr>
          <w:rFonts w:ascii="Times New Roman" w:hAnsi="Times New Roman"/>
          <w:b/>
          <w:sz w:val="20"/>
          <w:u w:val="single"/>
        </w:rPr>
        <w:t xml:space="preserve">Evaluation of Disclosure Controls and Procedures </w:t>
      </w:r>
    </w:p>
    <w:p>
      <w:pPr>
        <w:pStyle w:val="TextBody"/>
        <w:spacing w:before="90" w:after="0"/>
        <w:rPr>
          <w:rFonts w:ascii="Times New Roman" w:hAnsi="Times New Roman"/>
          <w:sz w:val="20"/>
        </w:rPr>
      </w:pPr>
      <w:r>
        <w:rPr>
          <w:rFonts w:ascii="Times New Roman" w:hAnsi="Times New Roman"/>
          <w:sz w:val="20"/>
        </w:rPr>
        <w:t xml:space="preserve">We maintain disclosure controls and procedures (as defined in Rule 13a-15(e)) under the Securities and Exchange Act of 1934 (the Exchange Act) designed to ensure that information required to be disclosed in reports filed under the Securities Exchange Act of 1934, as amended, is recorded, processed, summarized and reported within the specified time periods. Our Chief Executive Officer and Chief Financial Officer evaluated, with the participation of our management, the effectiveness of our disclosure controls and procedures as of March 31, 2006. Based on the evaluation, our Chief Executive Officer and Chief Financial Officer concluded that our disclosure controls and procedures are effective. There were no significant changes in our disclosure controls or in other factors that could significantly affect our disclosure controls and procedures subsequent to the evaluation. </w:t>
      </w:r>
    </w:p>
    <w:p>
      <w:pPr>
        <w:pStyle w:val="TextBody"/>
        <w:spacing w:before="270" w:after="0"/>
        <w:rPr>
          <w:rFonts w:ascii="Times New Roman" w:hAnsi="Times New Roman"/>
          <w:b/>
          <w:sz w:val="20"/>
          <w:u w:val="single"/>
        </w:rPr>
      </w:pPr>
      <w:r>
        <w:rPr>
          <w:rFonts w:ascii="Times New Roman" w:hAnsi="Times New Roman"/>
          <w:b/>
          <w:sz w:val="20"/>
          <w:u w:val="single"/>
        </w:rPr>
        <w:t xml:space="preserve">Internal Controls Over Financial Reporting </w:t>
      </w:r>
    </w:p>
    <w:p>
      <w:pPr>
        <w:pStyle w:val="TextBody"/>
        <w:spacing w:before="90" w:after="0"/>
        <w:rPr>
          <w:rFonts w:ascii="Times New Roman" w:hAnsi="Times New Roman"/>
          <w:sz w:val="20"/>
        </w:rPr>
      </w:pPr>
      <w:r>
        <w:rPr>
          <w:rFonts w:ascii="Times New Roman" w:hAnsi="Times New Roman"/>
          <w:sz w:val="20"/>
        </w:rPr>
        <w:t xml:space="preserve">We are not subject to the disclosure requirements promulgated under Section 404 of the Sarbanes-Oxley Act of 2002 regarding internal controls over financial reporting until we file our Annual Report on Form 10-K for the year ended December 31, 2007. There were no significant changes in our internal controls over financial reporting that occurred during our most recent fiscal quarter that materially affected, or is reasonably likely to materially affect, our internal control over financial reporting.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10" w:name="tx30007_8"/>
      <w:bookmarkEnd w:id="10"/>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PART II -OTHER INFORMATION </w:t>
      </w:r>
    </w:p>
    <w:p>
      <w:pPr>
        <w:pStyle w:val="TextBody"/>
        <w:spacing w:before="270" w:after="0"/>
        <w:rPr>
          <w:rFonts w:ascii="Times New Roman" w:hAnsi="Times New Roman"/>
          <w:sz w:val="20"/>
        </w:rPr>
      </w:pPr>
      <w:bookmarkStart w:id="11" w:name="tx30007_9"/>
      <w:bookmarkEnd w:id="11"/>
      <w:r>
        <w:rPr>
          <w:rFonts w:ascii="Times New Roman" w:hAnsi="Times New Roman"/>
          <w:sz w:val="20"/>
        </w:rPr>
        <w:t xml:space="preserve">ITEM 6. EXHIBITS </w:t>
      </w:r>
    </w:p>
    <w:p>
      <w:pPr>
        <w:pStyle w:val="TextBody"/>
        <w:spacing w:before="90" w:after="0"/>
        <w:rPr>
          <w:rFonts w:ascii="Times New Roman" w:hAnsi="Times New Roman"/>
          <w:sz w:val="20"/>
        </w:rPr>
      </w:pPr>
      <w:r>
        <w:rPr>
          <w:rFonts w:ascii="Times New Roman" w:hAnsi="Times New Roman"/>
          <w:sz w:val="20"/>
        </w:rPr>
        <w:t xml:space="preserve">10.1 Letter Agreement with Fifth Third Bank. (Incorporated by reference from the Companys 10-K dated December 31, 2005.) </w:t>
      </w:r>
    </w:p>
    <w:p>
      <w:pPr>
        <w:pStyle w:val="TextBody"/>
        <w:spacing w:before="180" w:after="0"/>
        <w:rPr>
          <w:rFonts w:ascii="Times New Roman" w:hAnsi="Times New Roman"/>
          <w:sz w:val="20"/>
        </w:rPr>
      </w:pPr>
      <w:r>
        <w:rPr>
          <w:rFonts w:ascii="Times New Roman" w:hAnsi="Times New Roman"/>
          <w:sz w:val="20"/>
        </w:rPr>
        <w:t xml:space="preserve">10.2 Transition Agreement between H.M. White, Inc., H.M. White Holding Co., Inc. and HMW, LLC dated as of January 1, 2006. (Incorporated by reference from the Companys Form 8-K dated February 1, 2006) </w:t>
      </w:r>
    </w:p>
    <w:p>
      <w:pPr>
        <w:pStyle w:val="TextBody"/>
        <w:spacing w:before="180" w:after="0"/>
        <w:rPr>
          <w:rFonts w:ascii="Times New Roman" w:hAnsi="Times New Roman"/>
          <w:sz w:val="20"/>
        </w:rPr>
      </w:pPr>
      <w:r>
        <w:rPr>
          <w:rFonts w:ascii="Times New Roman" w:hAnsi="Times New Roman"/>
          <w:sz w:val="20"/>
        </w:rPr>
        <w:t xml:space="preserve">10.3 Fourth Amendment to Purchase Agreement between Buckley Properties Co. and The Kirk &amp; Blum Manufacturing Company dated January 13, 2006. (Incorporated by reference from the Companys 10-K dated December 31, 2005.) </w:t>
      </w:r>
    </w:p>
    <w:p>
      <w:pPr>
        <w:pStyle w:val="TextBody"/>
        <w:spacing w:before="180" w:after="0"/>
        <w:rPr>
          <w:rFonts w:ascii="Times New Roman" w:hAnsi="Times New Roman"/>
          <w:sz w:val="20"/>
        </w:rPr>
      </w:pPr>
      <w:r>
        <w:rPr>
          <w:rFonts w:ascii="Times New Roman" w:hAnsi="Times New Roman"/>
          <w:sz w:val="20"/>
        </w:rPr>
        <w:t xml:space="preserve">10.4 Fifth Amendment to Purchase Agreement between Buckley Properties Co. and The Kirk &amp; Blum Manufacturing Company dated February 1, 2006. (Incorporated by reference from the Companys 10-K dated December 31, 2005.) </w:t>
      </w:r>
    </w:p>
    <w:p>
      <w:pPr>
        <w:pStyle w:val="TextBody"/>
        <w:spacing w:before="180" w:after="0"/>
        <w:rPr>
          <w:rFonts w:ascii="Times New Roman" w:hAnsi="Times New Roman"/>
          <w:sz w:val="20"/>
        </w:rPr>
      </w:pPr>
      <w:r>
        <w:rPr>
          <w:rFonts w:ascii="Times New Roman" w:hAnsi="Times New Roman"/>
          <w:sz w:val="20"/>
        </w:rPr>
        <w:t xml:space="preserve">10.5 Sixth Amendment to Purchase Agreement between Buckley Properties Co. and The Kirk &amp; Blum Manufacturing Company dated February 15, 2006. (Incorporated by reference from the Companys 10-K dated December 31, 2005.) </w:t>
      </w:r>
    </w:p>
    <w:p>
      <w:pPr>
        <w:pStyle w:val="TextBody"/>
        <w:spacing w:before="180" w:after="0"/>
        <w:rPr>
          <w:rFonts w:ascii="Times New Roman" w:hAnsi="Times New Roman"/>
          <w:sz w:val="20"/>
        </w:rPr>
      </w:pPr>
      <w:r>
        <w:rPr>
          <w:rFonts w:ascii="Times New Roman" w:hAnsi="Times New Roman"/>
          <w:sz w:val="20"/>
        </w:rPr>
        <w:t xml:space="preserve">10.6 Seventh Amendment to Purchase Agreement between Buckley Properties Co. and The Kirk &amp; Blum Manufacturing Company dated March 8, 2006. (Incorporated by reference from the Companys 10-K dated December 31, 2005.) </w:t>
      </w:r>
    </w:p>
    <w:p>
      <w:pPr>
        <w:pStyle w:val="TextBody"/>
        <w:spacing w:before="180" w:after="0"/>
        <w:rPr>
          <w:rFonts w:ascii="Times New Roman" w:hAnsi="Times New Roman"/>
          <w:sz w:val="20"/>
        </w:rPr>
      </w:pPr>
      <w:r>
        <w:rPr>
          <w:rFonts w:ascii="Times New Roman" w:hAnsi="Times New Roman"/>
          <w:sz w:val="20"/>
        </w:rPr>
        <w:t xml:space="preserve">10.7 Fifth Amendment to Restated and Amended Purchase Agreement between The Kirk &amp; Blum Manufacturing Company and Millworks Town Center LLC for the sale of the Cincinnati manufacturing and corporate office facilities dated March 1, 2006. (Incorporated by reference from the Companys Form 8-K dated March 1, 2006) </w:t>
      </w:r>
    </w:p>
    <w:p>
      <w:pPr>
        <w:pStyle w:val="TextBody"/>
        <w:spacing w:before="180" w:after="0"/>
        <w:rPr>
          <w:rFonts w:ascii="Times New Roman" w:hAnsi="Times New Roman"/>
          <w:sz w:val="20"/>
        </w:rPr>
      </w:pPr>
      <w:r>
        <w:rPr>
          <w:rFonts w:ascii="Times New Roman" w:hAnsi="Times New Roman"/>
          <w:sz w:val="20"/>
        </w:rPr>
        <w:t xml:space="preserve">31.1 Rule 13(a)/15d-14(a) Certification by Chief Executive Officer </w:t>
      </w:r>
    </w:p>
    <w:p>
      <w:pPr>
        <w:pStyle w:val="TextBody"/>
        <w:spacing w:before="180" w:after="0"/>
        <w:rPr>
          <w:rFonts w:ascii="Times New Roman" w:hAnsi="Times New Roman"/>
          <w:sz w:val="20"/>
        </w:rPr>
      </w:pPr>
      <w:r>
        <w:rPr>
          <w:rFonts w:ascii="Times New Roman" w:hAnsi="Times New Roman"/>
          <w:sz w:val="20"/>
        </w:rPr>
        <w:t xml:space="preserve">31.2 Rule 13(a)/15d-14(a) Certification by Chief Financial Officer </w:t>
      </w:r>
    </w:p>
    <w:p>
      <w:pPr>
        <w:pStyle w:val="TextBody"/>
        <w:spacing w:before="180" w:after="0"/>
        <w:rPr>
          <w:rFonts w:ascii="Times New Roman" w:hAnsi="Times New Roman"/>
          <w:sz w:val="20"/>
        </w:rPr>
      </w:pPr>
      <w:r>
        <w:rPr>
          <w:rFonts w:ascii="Times New Roman" w:hAnsi="Times New Roman"/>
          <w:sz w:val="20"/>
        </w:rPr>
        <w:t xml:space="preserve">32.1 Certification of Chief Executive Officer (18 U.S. Section 1350) </w:t>
      </w:r>
    </w:p>
    <w:p>
      <w:pPr>
        <w:pStyle w:val="TextBody"/>
        <w:spacing w:before="180" w:after="0"/>
        <w:rPr>
          <w:rFonts w:ascii="Times New Roman" w:hAnsi="Times New Roman"/>
          <w:sz w:val="20"/>
        </w:rPr>
      </w:pPr>
      <w:r>
        <w:rPr>
          <w:rFonts w:ascii="Times New Roman" w:hAnsi="Times New Roman"/>
          <w:sz w:val="20"/>
        </w:rPr>
        <w:t xml:space="preserve">32.2 Certification of Chief Financial Officer (18 U.S. Section 1350)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12" w:name="tx30007_10"/>
      <w:bookmarkEnd w:id="12"/>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SIGNATURE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V.P. - Finance and Administration</w:t>
            </w:r>
          </w:p>
          <w:p>
            <w:pPr>
              <w:pStyle w:val="TableContents"/>
              <w:spacing w:before="0" w:after="15"/>
              <w:rPr>
                <w:rFonts w:ascii="Times New Roman" w:hAnsi="Times New Roman"/>
                <w:sz w:val="20"/>
              </w:rPr>
            </w:pPr>
            <w:r>
              <w:rPr>
                <w:rFonts w:ascii="Times New Roman" w:hAnsi="Times New Roman"/>
                <w:sz w:val="20"/>
              </w:rPr>
              <w:t>and Chief Financial Officer</w:t>
            </w:r>
          </w:p>
        </w:tc>
      </w:tr>
    </w:tbl>
    <w:p>
      <w:pPr>
        <w:pStyle w:val="TextBody"/>
        <w:spacing w:before="180" w:after="0"/>
        <w:rPr>
          <w:rFonts w:ascii="Times New Roman" w:hAnsi="Times New Roman"/>
          <w:sz w:val="20"/>
        </w:rPr>
      </w:pPr>
      <w:r>
        <w:rPr>
          <w:rFonts w:ascii="Times New Roman" w:hAnsi="Times New Roman"/>
          <w:sz w:val="20"/>
        </w:rPr>
        <w:t xml:space="preserve">Date: May 11,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TextBody"/>
        <w:spacing w:before="0" w:after="0"/>
        <w:jc w:val="right"/>
        <w:rPr>
          <w:rFonts w:ascii="Times New Roman" w:hAnsi="Times New Roman"/>
          <w:b/>
          <w:sz w:val="20"/>
        </w:rPr>
      </w:pPr>
      <w:bookmarkStart w:id="13" w:name="dex311.htm"/>
      <w:bookmarkStart w:id="14" w:name="ksdex311"/>
      <w:bookmarkEnd w:id="13"/>
      <w:bookmarkEnd w:id="14"/>
      <w:r>
        <w:rPr>
          <w:rFonts w:ascii="Times New Roman" w:hAnsi="Times New Roman"/>
          <w:b/>
          <w:sz w:val="20"/>
        </w:rPr>
        <w:t xml:space="preserve">Exhibit 31.1 </w:t>
      </w:r>
    </w:p>
    <w:p>
      <w:pPr>
        <w:pStyle w:val="TextBody"/>
        <w:spacing w:before="180" w:after="0"/>
        <w:jc w:val="center"/>
        <w:rPr>
          <w:rFonts w:ascii="Times New Roman" w:hAnsi="Times New Roman"/>
          <w:sz w:val="20"/>
        </w:rPr>
      </w:pPr>
      <w:r>
        <w:rPr>
          <w:rFonts w:ascii="Times New Roman" w:hAnsi="Times New Roman"/>
          <w:sz w:val="20"/>
        </w:rPr>
        <w:t xml:space="preserve">Certification </w:t>
      </w:r>
    </w:p>
    <w:p>
      <w:pPr>
        <w:pStyle w:val="TextBody"/>
        <w:spacing w:before="180" w:after="0"/>
        <w:rPr>
          <w:rFonts w:ascii="Times New Roman" w:hAnsi="Times New Roman"/>
          <w:sz w:val="20"/>
        </w:rPr>
      </w:pPr>
      <w:r>
        <w:rPr>
          <w:rFonts w:ascii="Times New Roman" w:hAnsi="Times New Roman"/>
          <w:sz w:val="20"/>
        </w:rPr>
        <w:t xml:space="preserve">I, Phillip DeZwirek,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150" w:type="pct"/>
        <w:jc w:val="left"/>
        <w:tblInd w:w="0" w:type="dxa"/>
        <w:tblCellMar>
          <w:top w:w="0" w:type="dxa"/>
          <w:left w:w="0" w:type="dxa"/>
          <w:bottom w:w="0" w:type="dxa"/>
          <w:right w:w="0" w:type="dxa"/>
        </w:tblCellMar>
      </w:tblPr>
      <w:tblGrid>
        <w:gridCol w:w="4388"/>
      </w:tblGrid>
      <w:tr>
        <w:trPr/>
        <w:tc>
          <w:tcPr>
            <w:tcW w:w="4388" w:type="dxa"/>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May 11, 2006</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TextBody"/>
        <w:spacing w:before="0" w:after="0"/>
        <w:jc w:val="right"/>
        <w:rPr>
          <w:rFonts w:ascii="Times New Roman" w:hAnsi="Times New Roman"/>
          <w:b/>
          <w:sz w:val="20"/>
        </w:rPr>
      </w:pPr>
      <w:bookmarkStart w:id="15" w:name="dex312.htm"/>
      <w:bookmarkStart w:id="16" w:name="ksdex312"/>
      <w:bookmarkEnd w:id="15"/>
      <w:bookmarkEnd w:id="16"/>
      <w:r>
        <w:rPr>
          <w:rFonts w:ascii="Times New Roman" w:hAnsi="Times New Roman"/>
          <w:b/>
          <w:sz w:val="20"/>
        </w:rPr>
        <w:t xml:space="preserve">Exhibit 31.2 </w:t>
      </w:r>
    </w:p>
    <w:p>
      <w:pPr>
        <w:pStyle w:val="TextBody"/>
        <w:spacing w:before="180" w:after="0"/>
        <w:jc w:val="center"/>
        <w:rPr>
          <w:rFonts w:ascii="Times New Roman" w:hAnsi="Times New Roman"/>
          <w:sz w:val="20"/>
        </w:rPr>
      </w:pPr>
      <w:r>
        <w:rPr>
          <w:rFonts w:ascii="Times New Roman" w:hAnsi="Times New Roman"/>
          <w:sz w:val="20"/>
        </w:rPr>
        <w:t xml:space="preserve">Certification </w:t>
      </w:r>
    </w:p>
    <w:p>
      <w:pPr>
        <w:pStyle w:val="TextBody"/>
        <w:spacing w:before="180" w:after="0"/>
        <w:rPr>
          <w:rFonts w:ascii="Times New Roman" w:hAnsi="Times New Roman"/>
          <w:sz w:val="20"/>
        </w:rPr>
      </w:pPr>
      <w:r>
        <w:rPr>
          <w:rFonts w:ascii="Times New Roman" w:hAnsi="Times New Roman"/>
          <w:sz w:val="20"/>
        </w:rPr>
        <w:t xml:space="preserve">I, Dennis W. Blazer,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150" w:type="pct"/>
        <w:jc w:val="left"/>
        <w:tblInd w:w="0" w:type="dxa"/>
        <w:tblCellMar>
          <w:top w:w="0" w:type="dxa"/>
          <w:left w:w="0" w:type="dxa"/>
          <w:bottom w:w="0" w:type="dxa"/>
          <w:right w:w="0" w:type="dxa"/>
        </w:tblCellMar>
      </w:tblPr>
      <w:tblGrid>
        <w:gridCol w:w="4388"/>
      </w:tblGrid>
      <w:tr>
        <w:trPr/>
        <w:tc>
          <w:tcPr>
            <w:tcW w:w="4388" w:type="dxa"/>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May 11, 2006</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TextBody"/>
        <w:spacing w:before="0" w:after="0"/>
        <w:jc w:val="right"/>
        <w:rPr>
          <w:rFonts w:ascii="Times New Roman" w:hAnsi="Times New Roman"/>
          <w:b/>
          <w:sz w:val="20"/>
        </w:rPr>
      </w:pPr>
      <w:bookmarkStart w:id="17" w:name="dex321.htm"/>
      <w:bookmarkStart w:id="18" w:name="ksdex321"/>
      <w:bookmarkEnd w:id="17"/>
      <w:bookmarkEnd w:id="18"/>
      <w:r>
        <w:rPr>
          <w:rFonts w:ascii="Times New Roman" w:hAnsi="Times New Roman"/>
          <w:b/>
          <w:sz w:val="20"/>
        </w:rPr>
        <w:t xml:space="preserve">Exhibit 32.1 </w:t>
      </w:r>
    </w:p>
    <w:p>
      <w:pPr>
        <w:pStyle w:val="TextBody"/>
        <w:spacing w:before="18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March 31, 2006 as filed with the Securities and Exchange Commission on the date hereof (the Report), I, Phillip DeZwirek, Chairman of the Board and Chief Executive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150" w:type="pct"/>
        <w:jc w:val="left"/>
        <w:tblInd w:w="0" w:type="dxa"/>
        <w:tblCellMar>
          <w:top w:w="0" w:type="dxa"/>
          <w:left w:w="0" w:type="dxa"/>
          <w:bottom w:w="0" w:type="dxa"/>
          <w:right w:w="0" w:type="dxa"/>
        </w:tblCellMar>
      </w:tblPr>
      <w:tblGrid>
        <w:gridCol w:w="4388"/>
      </w:tblGrid>
      <w:tr>
        <w:trPr/>
        <w:tc>
          <w:tcPr>
            <w:tcW w:w="4388" w:type="dxa"/>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388" w:type="dxa"/>
            <w:tcBorders/>
            <w:shd w:fill="auto" w:val="clear"/>
          </w:tcPr>
          <w:p>
            <w:pPr>
              <w:pStyle w:val="TableContents"/>
              <w:spacing w:before="0" w:after="283"/>
              <w:rPr>
                <w:rFonts w:ascii="Times New Roman" w:hAnsi="Times New Roman"/>
                <w:sz w:val="20"/>
              </w:rPr>
            </w:pPr>
            <w:r>
              <w:rPr>
                <w:rFonts w:ascii="Times New Roman" w:hAnsi="Times New Roman"/>
                <w:sz w:val="20"/>
              </w:rPr>
              <w:t>May 11, 2006</w:t>
            </w:r>
          </w:p>
        </w:tc>
      </w:tr>
    </w:tbl>
    <w:p>
      <w:pPr>
        <w:pStyle w:val="TextBody"/>
        <w:spacing w:before="18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TextBody"/>
        <w:spacing w:before="0" w:after="0"/>
        <w:jc w:val="right"/>
        <w:rPr>
          <w:rFonts w:ascii="Times New Roman" w:hAnsi="Times New Roman"/>
          <w:b/>
          <w:sz w:val="20"/>
        </w:rPr>
      </w:pPr>
      <w:bookmarkStart w:id="19" w:name="dex322.htm"/>
      <w:bookmarkStart w:id="20" w:name="ksdex322"/>
      <w:bookmarkEnd w:id="19"/>
      <w:bookmarkEnd w:id="20"/>
      <w:r>
        <w:rPr>
          <w:rFonts w:ascii="Times New Roman" w:hAnsi="Times New Roman"/>
          <w:b/>
          <w:sz w:val="20"/>
        </w:rPr>
        <w:t xml:space="preserve">Exhibit 32.2 </w:t>
      </w:r>
    </w:p>
    <w:p>
      <w:pPr>
        <w:pStyle w:val="TextBody"/>
        <w:spacing w:before="18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March 31, 2006 as filed with the Securities and Exchange Commission on the date hereof (the Report), I, Dennis W. Blazer, V.P.  Finance and Administration and Chief Financial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5105" w:type="dxa"/>
        <w:jc w:val="left"/>
        <w:tblInd w:w="0" w:type="dxa"/>
        <w:tblCellMar>
          <w:top w:w="0" w:type="dxa"/>
          <w:left w:w="0" w:type="dxa"/>
          <w:bottom w:w="0" w:type="dxa"/>
          <w:right w:w="0" w:type="dxa"/>
        </w:tblCellMar>
      </w:tblPr>
      <w:tblGrid>
        <w:gridCol w:w="5105"/>
      </w:tblGrid>
      <w:tr>
        <w:trPr/>
        <w:tc>
          <w:tcPr>
            <w:tcW w:w="5105"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5105"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5105"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 Chief Financial Officer</w:t>
            </w:r>
          </w:p>
        </w:tc>
      </w:tr>
      <w:tr>
        <w:trPr/>
        <w:tc>
          <w:tcPr>
            <w:tcW w:w="5105" w:type="dxa"/>
            <w:tcBorders/>
            <w:shd w:fill="auto" w:val="clear"/>
          </w:tcPr>
          <w:p>
            <w:pPr>
              <w:pStyle w:val="TableContents"/>
              <w:spacing w:before="0" w:after="283"/>
              <w:rPr>
                <w:rFonts w:ascii="Times New Roman" w:hAnsi="Times New Roman"/>
                <w:sz w:val="20"/>
              </w:rPr>
            </w:pPr>
            <w:r>
              <w:rPr>
                <w:rFonts w:ascii="Times New Roman" w:hAnsi="Times New Roman"/>
                <w:sz w:val="20"/>
              </w:rPr>
              <w:t>May 11, 2006</w:t>
            </w:r>
          </w:p>
        </w:tc>
      </w:tr>
    </w:tbl>
    <w:p>
      <w:pPr>
        <w:pStyle w:val="TextBody"/>
        <w:spacing w:before="18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7463</Words>
  <CharactersWithSpaces>47328</CharactersWithSpaces>
  <Paragraphs>2037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 906 CFO Certification</dc:title>
</cp:coreProperties>
</file>