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155575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142240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3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100"/>
          </w:cols>
          <w:pgMar w:left="320" w:top="1424" w:right="47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000-7099</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13-2566064</w:t>
      </w:r>
    </w:p>
    <w:p>
      <w:pPr>
        <w:spacing w:after="0" w:line="12" w:lineRule="exact"/>
        <w:rPr>
          <w:sz w:val="24"/>
          <w:szCs w:val="24"/>
          <w:color w:val="auto"/>
        </w:rPr>
      </w:pPr>
    </w:p>
    <w:p>
      <w:pPr>
        <w:sectPr>
          <w:pgSz w:w="11900" w:h="16838" w:orient="portrait"/>
          <w:cols w:equalWidth="0" w:num="3">
            <w:col w:w="4580" w:space="720"/>
            <w:col w:w="2980" w:space="720"/>
            <w:col w:w="2100"/>
          </w:cols>
          <w:pgMar w:left="320" w:top="1424" w:right="479" w:bottom="1440" w:gutter="0" w:footer="0" w:header="0"/>
          <w:type w:val="continuous"/>
        </w:sectPr>
      </w:pP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500" w:space="720"/>
            <w:col w:w="2940" w:space="720"/>
            <w:col w:w="2220"/>
          </w:cols>
          <w:pgMar w:left="320" w:top="1424" w:right="479" w:bottom="1440" w:gutter="0" w:footer="0" w:header="0"/>
          <w:type w:val="continuous"/>
        </w:sect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5080 Spectrum Drive</w:t>
      </w:r>
    </w:p>
    <w:p>
      <w:pPr>
        <w:spacing w:after="0" w:line="3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Suite 800E</w:t>
      </w:r>
    </w:p>
    <w:p>
      <w:pPr>
        <w:spacing w:after="0" w:line="9"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Addison, 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75001</w:t>
      </w:r>
    </w:p>
    <w:p>
      <w:pPr>
        <w:spacing w:after="0" w:line="31" w:lineRule="exact"/>
        <w:rPr>
          <w:sz w:val="24"/>
          <w:szCs w:val="24"/>
          <w:color w:val="auto"/>
        </w:rPr>
      </w:pPr>
    </w:p>
    <w:p>
      <w:pPr>
        <w:sectPr>
          <w:pgSz w:w="11900" w:h="16838" w:orient="portrait"/>
          <w:cols w:equalWidth="0" w:num="2">
            <w:col w:w="7540" w:space="720"/>
            <w:col w:w="2840"/>
          </w:cols>
          <w:pgMar w:left="320" w:top="1424" w:right="47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440" w:space="720"/>
            <w:col w:w="2940"/>
          </w:cols>
          <w:pgMar w:left="320" w:top="1424" w:right="47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75" w:lineRule="exact"/>
        <w:rPr>
          <w:sz w:val="24"/>
          <w:szCs w:val="24"/>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6" w:lineRule="exact"/>
        <w:rPr>
          <w:sz w:val="24"/>
          <w:szCs w:val="24"/>
          <w:color w:val="auto"/>
        </w:rPr>
      </w:pPr>
    </w:p>
    <w:tbl>
      <w:tblPr>
        <w:tblLayout w:type="fixed"/>
        <w:tblInd w:w="1100" w:type="dxa"/>
        <w:tblCellMar>
          <w:top w:w="0" w:type="dxa"/>
          <w:left w:w="0" w:type="dxa"/>
          <w:bottom w:w="0" w:type="dxa"/>
          <w:right w:w="0" w:type="dxa"/>
        </w:tblCellMar>
      </w:tblPr>
      <w:tr>
        <w:trPr>
          <w:trHeight w:val="188"/>
        </w:trPr>
        <w:tc>
          <w:tcPr>
            <w:tcW w:w="310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Title of each class</w:t>
            </w:r>
          </w:p>
        </w:tc>
        <w:tc>
          <w:tcPr>
            <w:tcW w:w="2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Trading Symbol</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6"/>
        </w:trPr>
        <w:tc>
          <w:tcPr>
            <w:tcW w:w="310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CECO</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wp:posOffset>
            </wp:positionH>
            <wp:positionV relativeFrom="paragraph">
              <wp:posOffset>-252095</wp:posOffset>
            </wp:positionV>
            <wp:extent cx="6705600" cy="276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5600" cy="276225"/>
                    </a:xfrm>
                    <a:prstGeom prst="rect">
                      <a:avLst/>
                    </a:prstGeom>
                    <a:noFill/>
                  </pic:spPr>
                </pic:pic>
              </a:graphicData>
            </a:graphic>
          </wp:anchor>
        </w:drawing>
      </w:r>
    </w:p>
    <w:p>
      <w:pPr>
        <w:spacing w:after="0" w:line="161"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46"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828040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24" w:right="479" w:bottom="1440" w:gutter="0" w:footer="0" w:header="0"/>
          <w:type w:val="continuous"/>
        </w:sectPr>
      </w:pPr>
    </w:p>
    <w:bookmarkStart w:id="1" w:name="page2"/>
    <w:bookmarkEnd w:id="1"/>
    <w:p>
      <w:pPr>
        <w:ind w:right="1080"/>
        <w:spacing w:after="0" w:line="273" w:lineRule="auto"/>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5.02. Departure of Directors or Certain Officers; Election of Directors; Appointment of Certain Officers; Compensatory Arrangements of Certain Officers.</w:t>
      </w:r>
    </w:p>
    <w:p>
      <w:pPr>
        <w:spacing w:after="0" w:line="160"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On June 4, 2025, Todd R. Gleason, the Chief Executive Officer of CECO Environmental Corp. (the "Company"), received an equity grant of 150,000 performance-based restricted stock units (“PSUs”) under the Company’s 2021 Equity and Incentive Compensation Plan. The PSUs will vest four years from the grant date only if (i) Mr. Gleason is still employed by the Company at the vest date, and (ii) the Company’s stock price reaches at least $40.00 (with additional payouts up to a maximum of 200% if the Company's stock price reaches additional stock price targets as outlined in the Equity Award Agreement, as defined herein) for 20 or more consecutive trading days during the four-year performance period. The terms of the PSU award are documented within an equity award agreement between the Company and Mr. Gleason, dated June 4, 2025 (the “Equity Award Agreement”).</w:t>
      </w:r>
    </w:p>
    <w:p>
      <w:pPr>
        <w:spacing w:after="0" w:line="18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Equity Award Agreement is a summary only and is qualified in its entirety by reference to the full text of the Equity Award Agreement, which is filed as Exhibit 10.1 to this Current Report on Form 8-K and is incorporated herein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9.01. Financial Statements and Exhibits.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18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r>
      <w:tr>
        <w:trPr>
          <w:trHeight w:val="352"/>
        </w:trPr>
        <w:tc>
          <w:tcPr>
            <w:tcW w:w="100" w:type="dxa"/>
            <w:vAlign w:val="bottom"/>
          </w:tcPr>
          <w:p>
            <w:pPr>
              <w:spacing w:after="0"/>
              <w:rPr>
                <w:sz w:val="24"/>
                <w:szCs w:val="24"/>
                <w:color w:val="auto"/>
              </w:rPr>
            </w:pPr>
          </w:p>
        </w:tc>
        <w:tc>
          <w:tcPr>
            <w:tcW w:w="1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80" w:type="dxa"/>
            <w:vAlign w:val="bottom"/>
          </w:tcPr>
          <w:p>
            <w:pPr>
              <w:spacing w:after="0"/>
              <w:rPr>
                <w:sz w:val="24"/>
                <w:szCs w:val="24"/>
                <w:color w:val="auto"/>
              </w:rPr>
            </w:pPr>
          </w:p>
        </w:tc>
        <w:tc>
          <w:tcPr>
            <w:tcW w:w="9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Pr>
          <w:p>
            <w:pPr>
              <w:spacing w:after="0"/>
              <w:rPr>
                <w:sz w:val="24"/>
                <w:szCs w:val="24"/>
                <w:color w:val="auto"/>
              </w:rPr>
            </w:pPr>
          </w:p>
        </w:tc>
      </w:tr>
      <w:tr>
        <w:trPr>
          <w:trHeight w:val="391"/>
        </w:trPr>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Equity award agreement between the Company and Todd R. Gleason, dated June 4, 2025.</w:t>
            </w:r>
          </w:p>
        </w:tc>
        <w:tc>
          <w:tcPr>
            <w:tcW w:w="3080" w:type="dxa"/>
            <w:vAlign w:val="bottom"/>
            <w:gridSpan w:val="2"/>
          </w:tcPr>
          <w:p>
            <w:pPr>
              <w:spacing w:after="0"/>
              <w:rPr>
                <w:sz w:val="24"/>
                <w:szCs w:val="24"/>
                <w:color w:val="auto"/>
              </w:rPr>
            </w:pPr>
          </w:p>
        </w:tc>
      </w:tr>
      <w:tr>
        <w:trPr>
          <w:trHeight w:val="453"/>
        </w:trPr>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11"/>
        </w:trPr>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p>
      <w:pPr>
        <w:spacing w:after="0"/>
        <w:tabs>
          <w:tab w:leader="none" w:pos="6640" w:val="left"/>
        </w:tabs>
        <w:rPr>
          <w:sz w:val="20"/>
          <w:szCs w:val="20"/>
          <w:color w:val="auto"/>
        </w:rPr>
      </w:pPr>
      <w:r>
        <w:rPr>
          <w:rFonts w:ascii="Times New Roman" w:cs="Times New Roman" w:eastAsia="Times New Roman" w:hAnsi="Times New Roman"/>
          <w:sz w:val="18"/>
          <w:szCs w:val="18"/>
          <w:color w:val="auto"/>
        </w:rPr>
        <w:t>Date: June 6, 2025</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25" w:lineRule="exact"/>
        <w:rPr>
          <w:sz w:val="20"/>
          <w:szCs w:val="20"/>
          <w:color w:val="auto"/>
        </w:rPr>
      </w:pPr>
    </w:p>
    <w:p>
      <w:pPr>
        <w:ind w:left="66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Joycelynn Watkins-Asiyanbi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Joycelynn Watkins-Asiyanbi</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SVP, Chief Administrative and Legal Officer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0" w:right="37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26"/>
        </w:trPr>
        <w:tc>
          <w:tcPr>
            <w:tcW w:w="47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Grantee:</w:t>
            </w:r>
          </w:p>
        </w:tc>
        <w:tc>
          <w:tcPr>
            <w:tcW w:w="64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Todd R. Gleason</w:t>
            </w:r>
          </w:p>
        </w:tc>
        <w:tc>
          <w:tcPr>
            <w:tcW w:w="0" w:type="dxa"/>
            <w:vAlign w:val="bottom"/>
          </w:tcPr>
          <w:p>
            <w:pPr>
              <w:spacing w:after="0"/>
              <w:rPr>
                <w:sz w:val="1"/>
                <w:szCs w:val="1"/>
                <w:color w:val="auto"/>
              </w:rPr>
            </w:pPr>
          </w:p>
        </w:tc>
      </w:tr>
      <w:tr>
        <w:trPr>
          <w:trHeight w:val="52"/>
        </w:trPr>
        <w:tc>
          <w:tcPr>
            <w:tcW w:w="4780" w:type="dxa"/>
            <w:vAlign w:val="bottom"/>
            <w:tcBorders>
              <w:left w:val="single" w:sz="8" w:color="auto"/>
              <w:bottom w:val="single" w:sz="8" w:color="auto"/>
              <w:right w:val="single" w:sz="8" w:color="auto"/>
            </w:tcBorders>
          </w:tcPr>
          <w:p>
            <w:pPr>
              <w:spacing w:after="0"/>
              <w:rPr>
                <w:sz w:val="4"/>
                <w:szCs w:val="4"/>
                <w:color w:val="auto"/>
              </w:rPr>
            </w:pPr>
          </w:p>
        </w:tc>
        <w:tc>
          <w:tcPr>
            <w:tcW w:w="6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4780" w:type="dxa"/>
            <w:vAlign w:val="bottom"/>
            <w:tcBorders>
              <w:left w:val="single" w:sz="8" w:color="auto"/>
              <w:right w:val="single" w:sz="8" w:color="auto"/>
            </w:tcBorders>
          </w:tcPr>
          <w:p>
            <w:pPr>
              <w:ind w:left="120"/>
              <w:spacing w:after="0" w:line="208" w:lineRule="exact"/>
              <w:rPr>
                <w:sz w:val="20"/>
                <w:szCs w:val="20"/>
                <w:color w:val="auto"/>
              </w:rPr>
            </w:pPr>
            <w:r>
              <w:rPr>
                <w:rFonts w:ascii="Times New Roman" w:cs="Times New Roman" w:eastAsia="Times New Roman" w:hAnsi="Times New Roman"/>
                <w:sz w:val="22"/>
                <w:szCs w:val="22"/>
                <w:b w:val="1"/>
                <w:bCs w:val="1"/>
                <w:color w:val="auto"/>
              </w:rPr>
              <w:t>Target Number of Restricted Stock Units</w:t>
            </w:r>
          </w:p>
        </w:tc>
        <w:tc>
          <w:tcPr>
            <w:tcW w:w="6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150,000</w:t>
            </w:r>
          </w:p>
        </w:tc>
        <w:tc>
          <w:tcPr>
            <w:tcW w:w="0" w:type="dxa"/>
            <w:vAlign w:val="bottom"/>
          </w:tcPr>
          <w:p>
            <w:pPr>
              <w:spacing w:after="0"/>
              <w:rPr>
                <w:sz w:val="1"/>
                <w:szCs w:val="1"/>
                <w:color w:val="auto"/>
              </w:rPr>
            </w:pPr>
          </w:p>
        </w:tc>
      </w:tr>
      <w:tr>
        <w:trPr>
          <w:trHeight w:val="165"/>
        </w:trPr>
        <w:tc>
          <w:tcPr>
            <w:tcW w:w="47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“PRSUs”:</w:t>
            </w:r>
          </w:p>
        </w:tc>
        <w:tc>
          <w:tcPr>
            <w:tcW w:w="64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47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6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6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June 4, 2025</w:t>
            </w:r>
          </w:p>
        </w:tc>
        <w:tc>
          <w:tcPr>
            <w:tcW w:w="0" w:type="dxa"/>
            <w:vAlign w:val="bottom"/>
          </w:tcPr>
          <w:p>
            <w:pPr>
              <w:spacing w:after="0"/>
              <w:rPr>
                <w:sz w:val="1"/>
                <w:szCs w:val="1"/>
                <w:color w:val="auto"/>
              </w:rPr>
            </w:pPr>
          </w:p>
        </w:tc>
      </w:tr>
      <w:tr>
        <w:trPr>
          <w:trHeight w:val="56"/>
        </w:trPr>
        <w:tc>
          <w:tcPr>
            <w:tcW w:w="4780" w:type="dxa"/>
            <w:vAlign w:val="bottom"/>
            <w:tcBorders>
              <w:left w:val="single" w:sz="8" w:color="auto"/>
              <w:bottom w:val="single" w:sz="8" w:color="auto"/>
              <w:right w:val="single" w:sz="8" w:color="auto"/>
            </w:tcBorders>
          </w:tcPr>
          <w:p>
            <w:pPr>
              <w:spacing w:after="0"/>
              <w:rPr>
                <w:sz w:val="4"/>
                <w:szCs w:val="4"/>
                <w:color w:val="auto"/>
              </w:rPr>
            </w:pPr>
          </w:p>
        </w:tc>
        <w:tc>
          <w:tcPr>
            <w:tcW w:w="6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3"/>
        </w:trPr>
        <w:tc>
          <w:tcPr>
            <w:tcW w:w="4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Vesting Date:</w:t>
            </w:r>
          </w:p>
        </w:tc>
        <w:tc>
          <w:tcPr>
            <w:tcW w:w="6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June 4, 2029</w:t>
            </w:r>
          </w:p>
        </w:tc>
        <w:tc>
          <w:tcPr>
            <w:tcW w:w="0" w:type="dxa"/>
            <w:vAlign w:val="bottom"/>
          </w:tcPr>
          <w:p>
            <w:pPr>
              <w:spacing w:after="0"/>
              <w:rPr>
                <w:sz w:val="1"/>
                <w:szCs w:val="1"/>
                <w:color w:val="auto"/>
              </w:rPr>
            </w:pPr>
          </w:p>
        </w:tc>
      </w:tr>
      <w:tr>
        <w:trPr>
          <w:trHeight w:val="28"/>
        </w:trPr>
        <w:tc>
          <w:tcPr>
            <w:tcW w:w="4780" w:type="dxa"/>
            <w:vAlign w:val="bottom"/>
            <w:tcBorders>
              <w:left w:val="single" w:sz="8" w:color="auto"/>
              <w:bottom w:val="single" w:sz="8" w:color="auto"/>
              <w:right w:val="single" w:sz="8" w:color="auto"/>
            </w:tcBorders>
          </w:tcPr>
          <w:p>
            <w:pPr>
              <w:spacing w:after="0"/>
              <w:rPr>
                <w:sz w:val="2"/>
                <w:szCs w:val="2"/>
                <w:color w:val="auto"/>
              </w:rPr>
            </w:pPr>
          </w:p>
        </w:tc>
        <w:tc>
          <w:tcPr>
            <w:tcW w:w="6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CECO ENVIRONMENTAL CORP.</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Performance-Based Restricted Stock Units Agreement</w:t>
      </w:r>
    </w:p>
    <w:p>
      <w:pPr>
        <w:spacing w:after="0" w:line="231"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This PERFORMANCE-BASED RESTRICTED STOCK UNITS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as of the date set forth above (the “</w:t>
      </w:r>
      <w:r>
        <w:rPr>
          <w:rFonts w:ascii="Times New Roman" w:cs="Times New Roman" w:eastAsia="Times New Roman" w:hAnsi="Times New Roman"/>
          <w:sz w:val="22"/>
          <w:szCs w:val="22"/>
          <w:b w:val="1"/>
          <w:bCs w:val="1"/>
          <w:i w:val="1"/>
          <w:iCs w:val="1"/>
          <w:color w:val="auto"/>
        </w:rPr>
        <w:t>Date of Grant</w:t>
      </w:r>
      <w:r>
        <w:rPr>
          <w:rFonts w:ascii="Times New Roman" w:cs="Times New Roman" w:eastAsia="Times New Roman" w:hAnsi="Times New Roman"/>
          <w:sz w:val="22"/>
          <w:szCs w:val="22"/>
          <w:color w:val="auto"/>
        </w:rPr>
        <w:t>”) by and between CECO Environmental Corp.,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the individual named above (the “</w:t>
      </w:r>
      <w:r>
        <w:rPr>
          <w:rFonts w:ascii="Times New Roman" w:cs="Times New Roman" w:eastAsia="Times New Roman" w:hAnsi="Times New Roman"/>
          <w:sz w:val="22"/>
          <w:szCs w:val="22"/>
          <w:b w:val="1"/>
          <w:bCs w:val="1"/>
          <w:i w:val="1"/>
          <w:iCs w:val="1"/>
          <w:color w:val="auto"/>
        </w:rPr>
        <w:t>Grantee</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757"/>
        <w:spacing w:after="0" w:line="246" w:lineRule="auto"/>
        <w:tabs>
          <w:tab w:leader="none" w:pos="101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Certain Definitions</w:t>
      </w:r>
      <w:r>
        <w:rPr>
          <w:rFonts w:ascii="Times New Roman" w:cs="Times New Roman" w:eastAsia="Times New Roman" w:hAnsi="Times New Roman"/>
          <w:sz w:val="22"/>
          <w:szCs w:val="22"/>
          <w:color w:val="auto"/>
        </w:rPr>
        <w:t>. Capitalized terms used, but not otherwise defined, in this Agreement will have the meanings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given to such terms in the CECO Environmental Corp. 2021 Equity and Incentive Compensation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firstLine="757"/>
        <w:spacing w:after="0" w:line="237" w:lineRule="auto"/>
        <w:tabs>
          <w:tab w:leader="none" w:pos="101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PRSUs</w:t>
      </w:r>
      <w:r>
        <w:rPr>
          <w:rFonts w:ascii="Times New Roman" w:cs="Times New Roman" w:eastAsia="Times New Roman" w:hAnsi="Times New Roman"/>
          <w:sz w:val="22"/>
          <w:szCs w:val="22"/>
          <w:color w:val="auto"/>
        </w:rPr>
        <w:t>. Subject to and upon the terms, conditions and restrictions set forth in this Agreement and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pursuant to authorization under resolutions of the Committee, the Company has granted to the Grantee as of the Date of Grant the number of performance-based Restricted Stock Units (“</w:t>
      </w:r>
      <w:r>
        <w:rPr>
          <w:rFonts w:ascii="Times New Roman" w:cs="Times New Roman" w:eastAsia="Times New Roman" w:hAnsi="Times New Roman"/>
          <w:sz w:val="22"/>
          <w:szCs w:val="22"/>
          <w:b w:val="1"/>
          <w:bCs w:val="1"/>
          <w:i w:val="1"/>
          <w:iCs w:val="1"/>
          <w:color w:val="auto"/>
        </w:rPr>
        <w:t>PRSUs</w:t>
      </w:r>
      <w:r>
        <w:rPr>
          <w:rFonts w:ascii="Times New Roman" w:cs="Times New Roman" w:eastAsia="Times New Roman" w:hAnsi="Times New Roman"/>
          <w:sz w:val="22"/>
          <w:szCs w:val="22"/>
          <w:color w:val="auto"/>
        </w:rPr>
        <w:t xml:space="preserve">”) as set forth above. The Grantee may earn a percentage of the PRSUs based on the level of achievement of the Performance Goals as described in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Each PRSU so earned shall then represent the right of the Grantee to receive one share of Common Stock subject to and upon the terms and conditions of this Agreement.</w:t>
      </w:r>
    </w:p>
    <w:p>
      <w:pPr>
        <w:spacing w:after="0" w:line="175" w:lineRule="exact"/>
        <w:rPr>
          <w:rFonts w:ascii="Times New Roman" w:cs="Times New Roman" w:eastAsia="Times New Roman" w:hAnsi="Times New Roman"/>
          <w:sz w:val="22"/>
          <w:szCs w:val="22"/>
          <w:color w:val="auto"/>
        </w:rPr>
      </w:pPr>
    </w:p>
    <w:p>
      <w:pPr>
        <w:jc w:val="both"/>
        <w:ind w:firstLine="757"/>
        <w:spacing w:after="0" w:line="246" w:lineRule="auto"/>
        <w:tabs>
          <w:tab w:leader="none" w:pos="101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Payment of PRSUs</w:t>
      </w:r>
      <w:r>
        <w:rPr>
          <w:rFonts w:ascii="Times New Roman" w:cs="Times New Roman" w:eastAsia="Times New Roman" w:hAnsi="Times New Roman"/>
          <w:sz w:val="22"/>
          <w:szCs w:val="22"/>
          <w:color w:val="auto"/>
        </w:rPr>
        <w:t>. The PRSUs will become payable in accordance with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if the Restriction Period lapses and Grantee’s right to receive payment for the PRSUs becomes nonforfeitable (“</w:t>
      </w:r>
      <w:r>
        <w:rPr>
          <w:rFonts w:ascii="Times New Roman" w:cs="Times New Roman" w:eastAsia="Times New Roman" w:hAnsi="Times New Roman"/>
          <w:sz w:val="22"/>
          <w:szCs w:val="22"/>
          <w:b w:val="1"/>
          <w:bCs w:val="1"/>
          <w:i w:val="1"/>
          <w:iCs w:val="1"/>
          <w:color w:val="auto"/>
        </w:rPr>
        <w:t>Vest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Vesting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Vested</w:t>
      </w:r>
      <w:r>
        <w:rPr>
          <w:rFonts w:ascii="Times New Roman" w:cs="Times New Roman" w:eastAsia="Times New Roman" w:hAnsi="Times New Roman"/>
          <w:sz w:val="22"/>
          <w:szCs w:val="22"/>
          <w:color w:val="auto"/>
        </w:rPr>
        <w:t xml:space="preserve">”) in accordance with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of this Agreement.</w:t>
      </w:r>
    </w:p>
    <w:p>
      <w:pPr>
        <w:spacing w:after="0" w:line="167" w:lineRule="exact"/>
        <w:rPr>
          <w:rFonts w:ascii="Times New Roman" w:cs="Times New Roman" w:eastAsia="Times New Roman" w:hAnsi="Times New Roman"/>
          <w:sz w:val="22"/>
          <w:szCs w:val="22"/>
          <w:color w:val="auto"/>
        </w:rPr>
      </w:pPr>
    </w:p>
    <w:p>
      <w:pPr>
        <w:jc w:val="both"/>
        <w:ind w:firstLine="757"/>
        <w:spacing w:after="0" w:line="246" w:lineRule="auto"/>
        <w:tabs>
          <w:tab w:leader="none" w:pos="101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Restrictions on Transfer of PRSUs</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15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Plan, neither the PRSUs evidenced hereby nor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interest therein or in the Common Stock underlying such PRSUs shall be transferable prior to payment to the Grantee pursuant to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other than by will or pursuant to the laws of descent and distribution.</w:t>
      </w:r>
    </w:p>
    <w:p>
      <w:pPr>
        <w:spacing w:after="0" w:line="167"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 of PRSUs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1500" w:hanging="743"/>
        <w:spacing w:after="0" w:line="261" w:lineRule="auto"/>
        <w:tabs>
          <w:tab w:leader="none" w:pos="15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PRSUs covered by this Agreement shall Vest on the Vesting Date, to the extent that the following performance goals for the performance period, as described below (collectively, the “</w:t>
      </w:r>
      <w:r>
        <w:rPr>
          <w:rFonts w:ascii="Times New Roman" w:cs="Times New Roman" w:eastAsia="Times New Roman" w:hAnsi="Times New Roman"/>
          <w:sz w:val="21"/>
          <w:szCs w:val="21"/>
          <w:b w:val="1"/>
          <w:bCs w:val="1"/>
          <w:i w:val="1"/>
          <w:iCs w:val="1"/>
          <w:color w:val="auto"/>
        </w:rPr>
        <w:t>Performance Goals</w:t>
      </w:r>
      <w:r>
        <w:rPr>
          <w:rFonts w:ascii="Times New Roman" w:cs="Times New Roman" w:eastAsia="Times New Roman" w:hAnsi="Times New Roman"/>
          <w:sz w:val="21"/>
          <w:szCs w:val="21"/>
          <w:color w:val="auto"/>
        </w:rPr>
        <w:t>”), are achieved, once determined and certified by the Committee in its sole discretion, conditioned upon the Grantee’s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 w:name="page5"/>
    <w:bookmarkEnd w:id="4"/>
    <w:p>
      <w:pPr>
        <w:ind w:left="743"/>
        <w:spacing w:after="0"/>
        <w:rPr>
          <w:sz w:val="20"/>
          <w:szCs w:val="20"/>
          <w:color w:val="auto"/>
        </w:rPr>
      </w:pPr>
      <w:r>
        <w:rPr>
          <w:rFonts w:ascii="Times New Roman" w:cs="Times New Roman" w:eastAsia="Times New Roman" w:hAnsi="Times New Roman"/>
          <w:sz w:val="22"/>
          <w:szCs w:val="22"/>
          <w:color w:val="auto"/>
        </w:rPr>
        <w:t>continuous employment with the Company or a Subsidiary through the Vesting Date.</w:t>
      </w:r>
    </w:p>
    <w:p>
      <w:pPr>
        <w:spacing w:after="0" w:line="206" w:lineRule="exact"/>
        <w:rPr>
          <w:sz w:val="20"/>
          <w:szCs w:val="20"/>
          <w:color w:val="auto"/>
        </w:rPr>
      </w:pPr>
    </w:p>
    <w:p>
      <w:pPr>
        <w:jc w:val="both"/>
        <w:ind w:left="743"/>
        <w:spacing w:after="0" w:line="238" w:lineRule="auto"/>
        <w:rPr>
          <w:sz w:val="20"/>
          <w:szCs w:val="20"/>
          <w:color w:val="auto"/>
        </w:rPr>
      </w:pPr>
      <w:r>
        <w:rPr>
          <w:rFonts w:ascii="Times New Roman" w:cs="Times New Roman" w:eastAsia="Times New Roman" w:hAnsi="Times New Roman"/>
          <w:sz w:val="22"/>
          <w:szCs w:val="22"/>
          <w:color w:val="auto"/>
        </w:rPr>
        <w:t>The performance period commences on the Date of Grant and ends on (and is inclusive of) the Vesting Date. If the closing price for a share of Company stock as reported on the stock exchange on which the Company’s shares are then listed equals or exceeds one of the stock prices set forth below for twenty (20) or more consecutive trading days during the performance period, then the number of PRSUs that are earned shall be as follows:</w:t>
      </w:r>
    </w:p>
    <w:p>
      <w:pPr>
        <w:spacing w:after="0" w:line="181" w:lineRule="exact"/>
        <w:rPr>
          <w:sz w:val="20"/>
          <w:szCs w:val="20"/>
          <w:color w:val="auto"/>
        </w:rPr>
      </w:pPr>
    </w:p>
    <w:tbl>
      <w:tblPr>
        <w:tblLayout w:type="fixed"/>
        <w:tblInd w:w="723" w:type="dxa"/>
        <w:tblCellMar>
          <w:top w:w="0" w:type="dxa"/>
          <w:left w:w="0" w:type="dxa"/>
          <w:bottom w:w="0" w:type="dxa"/>
          <w:right w:w="0" w:type="dxa"/>
        </w:tblCellMar>
      </w:tblPr>
      <w:tr>
        <w:trPr>
          <w:trHeight w:val="290"/>
        </w:trPr>
        <w:tc>
          <w:tcPr>
            <w:tcW w:w="40" w:type="dxa"/>
            <w:vAlign w:val="bottom"/>
            <w:tcBorders>
              <w:top w:val="single" w:sz="8" w:color="auto"/>
              <w:bottom w:val="single" w:sz="8" w:color="auto"/>
              <w:right w:val="single" w:sz="8" w:color="auto"/>
            </w:tcBorders>
            <w:shd w:val="clear" w:color="auto" w:fill="000000"/>
          </w:tcPr>
          <w:p>
            <w:pPr>
              <w:spacing w:after="0"/>
              <w:rPr>
                <w:sz w:val="24"/>
                <w:szCs w:val="24"/>
                <w:color w:val="auto"/>
              </w:rPr>
            </w:pPr>
          </w:p>
        </w:tc>
        <w:tc>
          <w:tcPr>
            <w:tcW w:w="4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Stock Price*</w:t>
            </w:r>
          </w:p>
        </w:tc>
        <w:tc>
          <w:tcPr>
            <w:tcW w:w="4660" w:type="dxa"/>
            <w:vAlign w:val="bottom"/>
            <w:tcBorders>
              <w:top w:val="single" w:sz="8" w:color="auto"/>
              <w:bottom w:val="single" w:sz="8" w:color="auto"/>
            </w:tcBorders>
          </w:tcPr>
          <w:p>
            <w:pPr>
              <w:ind w:left="1340"/>
              <w:spacing w:after="0"/>
              <w:rPr>
                <w:sz w:val="20"/>
                <w:szCs w:val="20"/>
                <w:color w:val="auto"/>
              </w:rPr>
            </w:pPr>
            <w:r>
              <w:rPr>
                <w:rFonts w:ascii="Times New Roman" w:cs="Times New Roman" w:eastAsia="Times New Roman" w:hAnsi="Times New Roman"/>
                <w:sz w:val="22"/>
                <w:szCs w:val="22"/>
                <w:color w:val="auto"/>
              </w:rPr>
              <w:t>% of PRSUs Earned**</w:t>
            </w:r>
          </w:p>
        </w:tc>
      </w:tr>
      <w:tr>
        <w:trPr>
          <w:trHeight w:val="220"/>
        </w:trPr>
        <w:tc>
          <w:tcPr>
            <w:tcW w:w="40" w:type="dxa"/>
            <w:vAlign w:val="bottom"/>
          </w:tcPr>
          <w:p>
            <w:pPr>
              <w:spacing w:after="0"/>
              <w:rPr>
                <w:sz w:val="19"/>
                <w:szCs w:val="19"/>
                <w:color w:val="auto"/>
              </w:rPr>
            </w:pPr>
          </w:p>
        </w:tc>
        <w:tc>
          <w:tcPr>
            <w:tcW w:w="486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8"/>
              </w:rPr>
              <w:t>Less than $40.00</w:t>
            </w:r>
          </w:p>
        </w:tc>
        <w:tc>
          <w:tcPr>
            <w:tcW w:w="466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5"/>
              </w:rPr>
              <w:t>0%</w:t>
            </w:r>
          </w:p>
        </w:tc>
      </w:tr>
      <w:tr>
        <w:trPr>
          <w:trHeight w:val="237"/>
        </w:trPr>
        <w:tc>
          <w:tcPr>
            <w:tcW w:w="40" w:type="dxa"/>
            <w:vAlign w:val="bottom"/>
          </w:tcPr>
          <w:p>
            <w:pPr>
              <w:spacing w:after="0"/>
              <w:rPr>
                <w:sz w:val="20"/>
                <w:szCs w:val="20"/>
                <w:color w:val="auto"/>
              </w:rPr>
            </w:pPr>
          </w:p>
        </w:tc>
        <w:tc>
          <w:tcPr>
            <w:tcW w:w="486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$40.00</w:t>
            </w:r>
          </w:p>
        </w:tc>
        <w:tc>
          <w:tcPr>
            <w:tcW w:w="466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100%</w:t>
            </w:r>
          </w:p>
        </w:tc>
      </w:tr>
      <w:tr>
        <w:trPr>
          <w:trHeight w:val="237"/>
        </w:trPr>
        <w:tc>
          <w:tcPr>
            <w:tcW w:w="40" w:type="dxa"/>
            <w:vAlign w:val="bottom"/>
          </w:tcPr>
          <w:p>
            <w:pPr>
              <w:spacing w:after="0"/>
              <w:rPr>
                <w:sz w:val="20"/>
                <w:szCs w:val="20"/>
                <w:color w:val="auto"/>
              </w:rPr>
            </w:pPr>
          </w:p>
        </w:tc>
        <w:tc>
          <w:tcPr>
            <w:tcW w:w="486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$47.50</w:t>
            </w:r>
          </w:p>
        </w:tc>
        <w:tc>
          <w:tcPr>
            <w:tcW w:w="466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125%</w:t>
            </w:r>
          </w:p>
        </w:tc>
      </w:tr>
      <w:tr>
        <w:trPr>
          <w:trHeight w:val="236"/>
        </w:trPr>
        <w:tc>
          <w:tcPr>
            <w:tcW w:w="40" w:type="dxa"/>
            <w:vAlign w:val="bottom"/>
          </w:tcPr>
          <w:p>
            <w:pPr>
              <w:spacing w:after="0"/>
              <w:rPr>
                <w:sz w:val="20"/>
                <w:szCs w:val="20"/>
                <w:color w:val="auto"/>
              </w:rPr>
            </w:pPr>
          </w:p>
        </w:tc>
        <w:tc>
          <w:tcPr>
            <w:tcW w:w="486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$55.00</w:t>
            </w:r>
          </w:p>
        </w:tc>
        <w:tc>
          <w:tcPr>
            <w:tcW w:w="466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150%</w:t>
            </w:r>
          </w:p>
        </w:tc>
      </w:tr>
      <w:tr>
        <w:trPr>
          <w:trHeight w:val="237"/>
        </w:trPr>
        <w:tc>
          <w:tcPr>
            <w:tcW w:w="40" w:type="dxa"/>
            <w:vAlign w:val="bottom"/>
          </w:tcPr>
          <w:p>
            <w:pPr>
              <w:spacing w:after="0"/>
              <w:rPr>
                <w:sz w:val="20"/>
                <w:szCs w:val="20"/>
                <w:color w:val="auto"/>
              </w:rPr>
            </w:pPr>
          </w:p>
        </w:tc>
        <w:tc>
          <w:tcPr>
            <w:tcW w:w="486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$62.50</w:t>
            </w:r>
          </w:p>
        </w:tc>
        <w:tc>
          <w:tcPr>
            <w:tcW w:w="466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175%</w:t>
            </w:r>
          </w:p>
        </w:tc>
      </w:tr>
      <w:tr>
        <w:trPr>
          <w:trHeight w:val="247"/>
        </w:trPr>
        <w:tc>
          <w:tcPr>
            <w:tcW w:w="40" w:type="dxa"/>
            <w:vAlign w:val="bottom"/>
          </w:tcPr>
          <w:p>
            <w:pPr>
              <w:spacing w:after="0"/>
              <w:rPr>
                <w:sz w:val="21"/>
                <w:szCs w:val="21"/>
                <w:color w:val="auto"/>
              </w:rPr>
            </w:pPr>
          </w:p>
        </w:tc>
        <w:tc>
          <w:tcPr>
            <w:tcW w:w="4860" w:type="dxa"/>
            <w:vAlign w:val="bottom"/>
          </w:tcPr>
          <w:p>
            <w:pPr>
              <w:jc w:val="center"/>
              <w:spacing w:after="0" w:line="246" w:lineRule="exact"/>
              <w:rPr>
                <w:sz w:val="20"/>
                <w:szCs w:val="20"/>
                <w:color w:val="auto"/>
              </w:rPr>
            </w:pPr>
            <w:r>
              <w:rPr>
                <w:rFonts w:ascii="Times New Roman" w:cs="Times New Roman" w:eastAsia="Times New Roman" w:hAnsi="Times New Roman"/>
                <w:sz w:val="22"/>
                <w:szCs w:val="22"/>
                <w:color w:val="auto"/>
                <w:w w:val="99"/>
              </w:rPr>
              <w:t>$70.00</w:t>
            </w:r>
          </w:p>
        </w:tc>
        <w:tc>
          <w:tcPr>
            <w:tcW w:w="4660" w:type="dxa"/>
            <w:vAlign w:val="bottom"/>
          </w:tcPr>
          <w:p>
            <w:pPr>
              <w:jc w:val="center"/>
              <w:spacing w:after="0" w:line="246" w:lineRule="exact"/>
              <w:rPr>
                <w:sz w:val="20"/>
                <w:szCs w:val="20"/>
                <w:color w:val="auto"/>
              </w:rPr>
            </w:pPr>
            <w:r>
              <w:rPr>
                <w:rFonts w:ascii="Times New Roman" w:cs="Times New Roman" w:eastAsia="Times New Roman" w:hAnsi="Times New Roman"/>
                <w:sz w:val="22"/>
                <w:szCs w:val="22"/>
                <w:color w:val="auto"/>
                <w:w w:val="97"/>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-1154430</wp:posOffset>
            </wp:positionV>
            <wp:extent cx="6060440" cy="1157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60440" cy="1157605"/>
                    </a:xfrm>
                    <a:prstGeom prst="rect">
                      <a:avLst/>
                    </a:prstGeom>
                    <a:noFill/>
                  </pic:spPr>
                </pic:pic>
              </a:graphicData>
            </a:graphic>
          </wp:anchor>
        </w:drawing>
      </w:r>
    </w:p>
    <w:p>
      <w:pPr>
        <w:ind w:left="743" w:right="100" w:firstLine="5"/>
        <w:spacing w:after="0" w:line="258" w:lineRule="auto"/>
        <w:tabs>
          <w:tab w:leader="none" w:pos="90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no payout interpolation between stock prices. For example, if the highest stock price during a period of twenty (20) consecutive trading days is $67.23, then 175% of the number of PRSUs shall be earned.</w:t>
      </w:r>
    </w:p>
    <w:p>
      <w:pPr>
        <w:spacing w:after="0" w:line="159" w:lineRule="exact"/>
        <w:rPr>
          <w:sz w:val="20"/>
          <w:szCs w:val="20"/>
          <w:color w:val="auto"/>
        </w:rPr>
      </w:pPr>
    </w:p>
    <w:p>
      <w:pPr>
        <w:jc w:val="both"/>
        <w:ind w:left="743"/>
        <w:spacing w:after="0" w:line="248" w:lineRule="auto"/>
        <w:rPr>
          <w:sz w:val="20"/>
          <w:szCs w:val="20"/>
          <w:color w:val="auto"/>
        </w:rPr>
      </w:pPr>
      <w:r>
        <w:rPr>
          <w:rFonts w:ascii="Times New Roman" w:cs="Times New Roman" w:eastAsia="Times New Roman" w:hAnsi="Times New Roman"/>
          <w:sz w:val="21"/>
          <w:szCs w:val="21"/>
          <w:color w:val="auto"/>
        </w:rPr>
        <w:t>**Any PRSUs that do not so Vest will be forfeited, including if the Grantee ceases to be continuously employed by the Company or a Subsidiary prior to the Vesting Date. To the extent that, after certifying the achievement of the applicable Performance Goals, the Committee determines that the PRSUs were not earned, the PRSUs shall be immediately forfeited. For purposes of this Agreement, “continuously employed” (or substantially similar terms) means the absence of any interruption or termination of the Grantee’s employment with the Company or a Subsidiary. Continuous employment shall not be considered interrupted or terminated in the case of transfers between locations of the Company and its Subsidiaries or authorized leaves of absences.</w:t>
      </w:r>
    </w:p>
    <w:p>
      <w:pPr>
        <w:spacing w:after="0" w:line="166" w:lineRule="exact"/>
        <w:rPr>
          <w:sz w:val="20"/>
          <w:szCs w:val="20"/>
          <w:color w:val="auto"/>
        </w:rPr>
      </w:pPr>
    </w:p>
    <w:p>
      <w:pPr>
        <w:jc w:val="both"/>
        <w:ind w:left="1503" w:hanging="1503"/>
        <w:spacing w:after="0" w:line="236" w:lineRule="auto"/>
        <w:tabs>
          <w:tab w:leader="none" w:pos="150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Notwithstanding </w:t>
      </w:r>
      <w:r>
        <w:rPr>
          <w:rFonts w:ascii="Times New Roman" w:cs="Times New Roman" w:eastAsia="Times New Roman" w:hAnsi="Times New Roman"/>
          <w:sz w:val="22"/>
          <w:szCs w:val="22"/>
          <w:b w:val="1"/>
          <w:bCs w:val="1"/>
          <w:u w:val="single" w:color="auto"/>
          <w:color w:val="auto"/>
        </w:rPr>
        <w:t>Section 5(a)</w:t>
      </w:r>
      <w:r>
        <w:rPr>
          <w:rFonts w:ascii="Times New Roman" w:cs="Times New Roman" w:eastAsia="Times New Roman" w:hAnsi="Times New Roman"/>
          <w:sz w:val="22"/>
          <w:szCs w:val="22"/>
          <w:color w:val="auto"/>
        </w:rPr>
        <w:t xml:space="preserve"> above, if at any time before the Vesting Date, and while the Grantee is continuously employed by the Company or a Subsidiary, a Change in Control occurs, then the date of the Change in Control shall be treated as the last day of the performance period and the PRSUs will vest, if at all, based on the level of achievement of the Performance Goals as of such date, except to the extent that a Replacement Award (as defined below) is issued with respect to the PRSUs. PRSUs that Vest in accordance with this </w:t>
      </w:r>
      <w:r>
        <w:rPr>
          <w:rFonts w:ascii="Times New Roman" w:cs="Times New Roman" w:eastAsia="Times New Roman" w:hAnsi="Times New Roman"/>
          <w:sz w:val="22"/>
          <w:szCs w:val="22"/>
          <w:b w:val="1"/>
          <w:bCs w:val="1"/>
          <w:u w:val="single" w:color="auto"/>
          <w:color w:val="auto"/>
        </w:rPr>
        <w:t>Section 5(b)(i)</w:t>
      </w:r>
      <w:r>
        <w:rPr>
          <w:rFonts w:ascii="Times New Roman" w:cs="Times New Roman" w:eastAsia="Times New Roman" w:hAnsi="Times New Roman"/>
          <w:sz w:val="22"/>
          <w:szCs w:val="22"/>
          <w:color w:val="auto"/>
        </w:rPr>
        <w:t xml:space="preserve"> will be paid as provided for in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color w:val="auto"/>
        </w:rPr>
        <w:t xml:space="preserve"> of this Agreement, and any PRSUs that do not vest will be forfeited.</w:t>
      </w:r>
    </w:p>
    <w:p>
      <w:pPr>
        <w:spacing w:after="0" w:line="173" w:lineRule="exact"/>
        <w:rPr>
          <w:rFonts w:ascii="Times New Roman" w:cs="Times New Roman" w:eastAsia="Times New Roman" w:hAnsi="Times New Roman"/>
          <w:sz w:val="22"/>
          <w:szCs w:val="22"/>
          <w:color w:val="auto"/>
        </w:rPr>
      </w:pPr>
    </w:p>
    <w:p>
      <w:pPr>
        <w:jc w:val="both"/>
        <w:ind w:left="1503" w:hanging="755"/>
        <w:spacing w:after="0" w:line="264" w:lineRule="auto"/>
        <w:tabs>
          <w:tab w:leader="none" w:pos="1503"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a “</w:t>
      </w:r>
      <w:r>
        <w:rPr>
          <w:rFonts w:ascii="Times New Roman" w:cs="Times New Roman" w:eastAsia="Times New Roman" w:hAnsi="Times New Roman"/>
          <w:sz w:val="21"/>
          <w:szCs w:val="21"/>
          <w:b w:val="1"/>
          <w:bCs w:val="1"/>
          <w:i w:val="1"/>
          <w:iCs w:val="1"/>
          <w:color w:val="auto"/>
        </w:rPr>
        <w:t>Replacement Award</w:t>
      </w:r>
      <w:r>
        <w:rPr>
          <w:rFonts w:ascii="Times New Roman" w:cs="Times New Roman" w:eastAsia="Times New Roman" w:hAnsi="Times New Roman"/>
          <w:sz w:val="21"/>
          <w:szCs w:val="21"/>
          <w:color w:val="auto"/>
        </w:rPr>
        <w:t xml:space="preserve">” means an award (A) of time-based restricted stock units, (B) that has a value at the time of grant or adjustment at least equal to the value of the PRSUs that would Vest under </w:t>
      </w:r>
      <w:r>
        <w:rPr>
          <w:rFonts w:ascii="Times New Roman" w:cs="Times New Roman" w:eastAsia="Times New Roman" w:hAnsi="Times New Roman"/>
          <w:sz w:val="21"/>
          <w:szCs w:val="21"/>
          <w:b w:val="1"/>
          <w:bCs w:val="1"/>
          <w:u w:val="single" w:color="auto"/>
          <w:color w:val="auto"/>
        </w:rPr>
        <w:t>Section 5(b)(i)</w:t>
      </w:r>
      <w:r>
        <w:rPr>
          <w:rFonts w:ascii="Times New Roman" w:cs="Times New Roman" w:eastAsia="Times New Roman" w:hAnsi="Times New Roman"/>
          <w:sz w:val="21"/>
          <w:szCs w:val="21"/>
          <w:color w:val="auto"/>
        </w:rPr>
        <w:t xml:space="preserve"> if there were no Replacement Award, (C) that relates</w:t>
      </w:r>
    </w:p>
    <w:p>
      <w:pPr>
        <w:spacing w:after="0" w:line="163"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775970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5" w:name="page6"/>
    <w:bookmarkEnd w:id="5"/>
    <w:p>
      <w:pPr>
        <w:jc w:val="both"/>
        <w:ind w:left="1140"/>
        <w:spacing w:after="0" w:line="247" w:lineRule="auto"/>
        <w:rPr>
          <w:sz w:val="20"/>
          <w:szCs w:val="20"/>
          <w:color w:val="auto"/>
        </w:rPr>
      </w:pPr>
      <w:r>
        <w:rPr>
          <w:rFonts w:ascii="Times New Roman" w:cs="Times New Roman" w:eastAsia="Times New Roman" w:hAnsi="Times New Roman"/>
          <w:sz w:val="21"/>
          <w:szCs w:val="21"/>
          <w:color w:val="auto"/>
        </w:rPr>
        <w:t>to publicly traded equity securities of the Company or its successor in the Change in Control or another entity that is affiliated with the Company or its successor following the Change in Control, (D) if the Grantee is subject to U.S. federal income tax under the Code, the tax consequences of which to such Grantee under the Code are not less favorable to such Grantee than the tax consequences of this award,</w:t>
      </w:r>
    </w:p>
    <w:p>
      <w:pPr>
        <w:spacing w:after="0" w:line="2" w:lineRule="exact"/>
        <w:rPr>
          <w:sz w:val="20"/>
          <w:szCs w:val="20"/>
          <w:color w:val="auto"/>
        </w:rPr>
      </w:pPr>
    </w:p>
    <w:p>
      <w:pPr>
        <w:jc w:val="both"/>
        <w:ind w:left="1140" w:hanging="6"/>
        <w:spacing w:after="0" w:line="232" w:lineRule="auto"/>
        <w:tabs>
          <w:tab w:leader="none" w:pos="1478"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that Vests subject to continuous employment through the Vesting Date and (F) the other terms and conditions of which are not less favorable to the Grantee holding the Replacement Award than the terms and conditions of this Agreement (including the provisions that would apply in the event of a subsequent Change in Control). A Replacement Award may be granted only to the extent it does not result in the PRSUs granted hereunder or the Replacement Award failing to comply with or be exempt from Section 409A of the Code. Without limiting the generality of the foregoing, the Replacement Award may take the form of a continuation of the PRSUs as time-based restricted stock units if the requirements of the two preceding sentences are satisfied. The determination of whether the conditions of this </w:t>
      </w:r>
      <w:r>
        <w:rPr>
          <w:rFonts w:ascii="Times New Roman" w:cs="Times New Roman" w:eastAsia="Times New Roman" w:hAnsi="Times New Roman"/>
          <w:sz w:val="22"/>
          <w:szCs w:val="22"/>
          <w:b w:val="1"/>
          <w:bCs w:val="1"/>
          <w:u w:val="single" w:color="auto"/>
          <w:color w:val="auto"/>
        </w:rPr>
        <w:t>Section 5(b)(ii)</w:t>
      </w:r>
      <w:r>
        <w:rPr>
          <w:rFonts w:ascii="Times New Roman" w:cs="Times New Roman" w:eastAsia="Times New Roman" w:hAnsi="Times New Roman"/>
          <w:sz w:val="22"/>
          <w:szCs w:val="22"/>
          <w:color w:val="auto"/>
        </w:rPr>
        <w:t xml:space="preserve"> are satisfied will be made by the Committee, as constituted immediately before the Change in Control, in its sole discretion.</w:t>
      </w:r>
    </w:p>
    <w:p>
      <w:pPr>
        <w:spacing w:after="0" w:line="176" w:lineRule="exact"/>
        <w:rPr>
          <w:rFonts w:ascii="Times New Roman" w:cs="Times New Roman" w:eastAsia="Times New Roman" w:hAnsi="Times New Roman"/>
          <w:sz w:val="22"/>
          <w:szCs w:val="22"/>
          <w:color w:val="auto"/>
        </w:rPr>
      </w:pPr>
    </w:p>
    <w:p>
      <w:pPr>
        <w:jc w:val="both"/>
        <w:ind w:left="1140" w:hanging="755"/>
        <w:spacing w:after="0" w:line="236" w:lineRule="auto"/>
        <w:tabs>
          <w:tab w:leader="none" w:pos="11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receiving a Replacement Award, the Grantee experiences a termination of employment with the Company or a Subsidiary (or any of their successors) (as applicable, the “</w:t>
      </w:r>
      <w:r>
        <w:rPr>
          <w:rFonts w:ascii="Times New Roman" w:cs="Times New Roman" w:eastAsia="Times New Roman" w:hAnsi="Times New Roman"/>
          <w:sz w:val="22"/>
          <w:szCs w:val="22"/>
          <w:b w:val="1"/>
          <w:bCs w:val="1"/>
          <w:i w:val="1"/>
          <w:iCs w:val="1"/>
          <w:color w:val="auto"/>
        </w:rPr>
        <w:t>Successor</w:t>
      </w:r>
      <w:r>
        <w:rPr>
          <w:rFonts w:ascii="Times New Roman" w:cs="Times New Roman" w:eastAsia="Times New Roman" w:hAnsi="Times New Roman"/>
          <w:sz w:val="22"/>
          <w:szCs w:val="22"/>
          <w:color w:val="auto"/>
        </w:rPr>
        <w:t>”) by reason of a termination by the Successor without Cause or by the Grantee for Good Reason, in each case within a period of two years after the Change in Control and during the remaining vesting period for the Replacement Award, 100% of the Replacement Award shall become nonforfeitable and payable with respect to the restricted stock units covered by such Replacement Award upon such termination.</w:t>
      </w:r>
    </w:p>
    <w:p>
      <w:pPr>
        <w:spacing w:after="0" w:line="181" w:lineRule="exact"/>
        <w:rPr>
          <w:rFonts w:ascii="Times New Roman" w:cs="Times New Roman" w:eastAsia="Times New Roman" w:hAnsi="Times New Roman"/>
          <w:sz w:val="22"/>
          <w:szCs w:val="22"/>
          <w:color w:val="auto"/>
        </w:rPr>
      </w:pPr>
    </w:p>
    <w:p>
      <w:pPr>
        <w:jc w:val="both"/>
        <w:ind w:left="1140" w:hanging="755"/>
        <w:spacing w:after="0" w:line="239" w:lineRule="auto"/>
        <w:tabs>
          <w:tab w:leader="none" w:pos="11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Replacement Award is provided, notwithstanding anything in this Agreement to the contrary, any outstanding PRSUs that at the time of the Change in Control are not subject to a “substantial risk of forfeiture” (within the meaning of Section 409A of the Code) will be deemed to be Vested at the time of such Change in Control and will be paid as provided for in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color w:val="auto"/>
        </w:rPr>
        <w:t xml:space="preserve"> of this Agreement.</w:t>
      </w:r>
    </w:p>
    <w:p>
      <w:pPr>
        <w:spacing w:after="0" w:line="174" w:lineRule="exact"/>
        <w:rPr>
          <w:rFonts w:ascii="Times New Roman" w:cs="Times New Roman" w:eastAsia="Times New Roman" w:hAnsi="Times New Roman"/>
          <w:sz w:val="22"/>
          <w:szCs w:val="22"/>
          <w:color w:val="auto"/>
        </w:rPr>
      </w:pPr>
    </w:p>
    <w:p>
      <w:pPr>
        <w:jc w:val="both"/>
        <w:ind w:left="1140" w:hanging="755"/>
        <w:spacing w:after="0" w:line="235" w:lineRule="auto"/>
        <w:tabs>
          <w:tab w:leader="none" w:pos="11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shall mean (A) “Cause” as defined in an individual employment agreement then in effect between the Grantee and the Company (an “</w:t>
      </w:r>
      <w:r>
        <w:rPr>
          <w:rFonts w:ascii="Times New Roman" w:cs="Times New Roman" w:eastAsia="Times New Roman" w:hAnsi="Times New Roman"/>
          <w:sz w:val="22"/>
          <w:szCs w:val="22"/>
          <w:b w:val="1"/>
          <w:bCs w:val="1"/>
          <w:i w:val="1"/>
          <w:iCs w:val="1"/>
          <w:color w:val="auto"/>
        </w:rPr>
        <w:t>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if any, or (B) if the Grantee does not have an Employment Agreement or such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Employment Agreement does not define “Cause”, then: (1) any use or misappropriation by the Grantee of the Company’s, its parent’s, an affiliate’s or a subsidiary’s funds, assets or property for any personal or other improper purpose; (2) any act of moral turpitude, dishonesty, or fraud by or felony conviction of the Grantee whether or not such acts were committed in connection with the Company’s, an affiliate’s or a subsidiary’s business; (3) any failure by the</w:t>
      </w:r>
    </w:p>
    <w:p>
      <w:pPr>
        <w:spacing w:after="0" w:line="19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775970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6" w:name="page7"/>
    <w:bookmarkEnd w:id="6"/>
    <w:p>
      <w:pPr>
        <w:jc w:val="both"/>
        <w:ind w:left="1503"/>
        <w:spacing w:after="0" w:line="245" w:lineRule="auto"/>
        <w:rPr>
          <w:sz w:val="20"/>
          <w:szCs w:val="20"/>
          <w:color w:val="auto"/>
        </w:rPr>
      </w:pPr>
      <w:r>
        <w:rPr>
          <w:rFonts w:ascii="Times New Roman" w:cs="Times New Roman" w:eastAsia="Times New Roman" w:hAnsi="Times New Roman"/>
          <w:sz w:val="21"/>
          <w:szCs w:val="21"/>
          <w:color w:val="auto"/>
        </w:rPr>
        <w:t>Grantee substantially to perform the lawful instructions of the person(s) to whom the Grantee reports (other than as a result of total or partial incapacity due to physical or mental illness) following written notice by the Company to the Grantee of such failure and 15 days within which to cure such failure; (4) any willful or gross misconduct by the Grantee in connection with the Grantee’s duties to the Company which, in the reasonable good faith judgment of the Board, could reasonably be expected to be materially injurious to the financial condition or business reputation of the Company, its subsidiaries or affiliates; or (5) any failure by the Grantee to follow a material Company policy or (6) any material breach by the Grantee of the Employment Agreement following written notice by the Company to the Grantee of such breach and 15 days within which to cure such breach. Any failure by the Company or a Subsidiary to notify the Grantee after the first occurrence of an event constituting Cause shall not preclude any subsequent occurrences of such event (or a similar event) from constituting Cause.</w:t>
      </w:r>
    </w:p>
    <w:p>
      <w:pPr>
        <w:spacing w:after="0" w:line="171" w:lineRule="exact"/>
        <w:rPr>
          <w:sz w:val="20"/>
          <w:szCs w:val="20"/>
          <w:color w:val="auto"/>
        </w:rPr>
      </w:pPr>
    </w:p>
    <w:p>
      <w:pPr>
        <w:jc w:val="both"/>
        <w:ind w:left="1503" w:hanging="755"/>
        <w:spacing w:after="0" w:line="233" w:lineRule="auto"/>
        <w:tabs>
          <w:tab w:leader="none" w:pos="1503"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xml:space="preserve">” shall mean (A) “Good Reason” as defined in the Grantee’s Employment Agreement, if any, or (B) if the Grantee does not have an Employment Agreement or such Employment Agreement does not define “Good Reason”, then the occurrence of any of the following without the prior written consent of the Grantee: (1) a material diminution in the Grantee’s duties, authorities or responsibilities; (2) a material reduction of the Grantee’s annual base salary or incentive opportunity under the Company’s short-term incentive program,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reduction that is part of a reduction applicable to all Company executives who report directly to the Company’s Chief Executive Officer shall not be deemed “Good Reason” hereunder; (3) relocation of the Grantee’s primary workplace beyond a 50 mile radius from its current location; or (4) any material breach by the Company of an Employment Agreement with the Grantee;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purposes of subsection (B) the Grantee’s termination of employment shall not be deemed to be for Good Reason unless (x) the Grantee has notified the Company in writing describing the occurrence of one or more Good Reason events within 90 days of such occurrence, (y) the Company fails to cure such Good Reason event within 30 days after its receipt of such written notice and (z) the termination of employment occurs within 180 days after the occurrence of the applicable Good Reason event. The Grantee may not invoke termination for Good Reason if Cause exists at the time of such termination.</w:t>
      </w:r>
    </w:p>
    <w:p>
      <w:pPr>
        <w:spacing w:after="0" w:line="173" w:lineRule="exact"/>
        <w:rPr>
          <w:rFonts w:ascii="Times New Roman" w:cs="Times New Roman" w:eastAsia="Times New Roman" w:hAnsi="Times New Roman"/>
          <w:sz w:val="22"/>
          <w:szCs w:val="22"/>
          <w:color w:val="auto"/>
        </w:rPr>
      </w:pPr>
    </w:p>
    <w:p>
      <w:pPr>
        <w:jc w:val="both"/>
        <w:ind w:left="743" w:hanging="743"/>
        <w:spacing w:after="0" w:line="246" w:lineRule="auto"/>
        <w:tabs>
          <w:tab w:leader="none" w:pos="74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PRSUs that have not Vested pursuant to this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by the Vesting Date will be forfeited automatically and without further notice on the Vesting Date (or earlier if, and on such date that, Grantee ceases to be an employee of the Company or a Subsidiary prior to the Vesting Date).</w:t>
      </w:r>
    </w:p>
    <w:p>
      <w:pPr>
        <w:spacing w:after="0" w:line="167" w:lineRule="exact"/>
        <w:rPr>
          <w:sz w:val="20"/>
          <w:szCs w:val="20"/>
          <w:color w:val="auto"/>
        </w:rPr>
      </w:pPr>
    </w:p>
    <w:p>
      <w:pPr>
        <w:ind w:left="263" w:hanging="263"/>
        <w:spacing w:after="0"/>
        <w:tabs>
          <w:tab w:leader="none" w:pos="26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Form and Time of Payment of PRSUs</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775970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7" w:name="page8"/>
    <w:bookmarkEnd w:id="7"/>
    <w:p>
      <w:pPr>
        <w:jc w:val="both"/>
        <w:ind w:left="743" w:hanging="743"/>
        <w:spacing w:after="0" w:line="282" w:lineRule="auto"/>
        <w:tabs>
          <w:tab w:leader="none" w:pos="743"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Payment for the PRSUs, after and to the extent they have Vested, shall be made in the form of Common Stock. Except as provided in </w:t>
      </w:r>
      <w:r>
        <w:rPr>
          <w:rFonts w:ascii="Times New Roman" w:cs="Times New Roman" w:eastAsia="Times New Roman" w:hAnsi="Times New Roman"/>
          <w:sz w:val="21"/>
          <w:szCs w:val="21"/>
          <w:b w:val="1"/>
          <w:bCs w:val="1"/>
          <w:u w:val="single" w:color="auto"/>
          <w:color w:val="auto"/>
        </w:rPr>
        <w:t>Section 6(b)</w:t>
      </w:r>
      <w:r>
        <w:rPr>
          <w:rFonts w:ascii="Times New Roman" w:cs="Times New Roman" w:eastAsia="Times New Roman" w:hAnsi="Times New Roman"/>
          <w:sz w:val="21"/>
          <w:szCs w:val="21"/>
          <w:color w:val="auto"/>
        </w:rPr>
        <w:t>, payment shall be made on (or as soon as practicable after) the Vesting Date.</w:t>
      </w:r>
    </w:p>
    <w:p>
      <w:pPr>
        <w:spacing w:after="0" w:line="130" w:lineRule="exact"/>
        <w:rPr>
          <w:rFonts w:ascii="Times New Roman" w:cs="Times New Roman" w:eastAsia="Times New Roman" w:hAnsi="Times New Roman"/>
          <w:sz w:val="21"/>
          <w:szCs w:val="21"/>
          <w:color w:val="auto"/>
        </w:rPr>
      </w:pPr>
    </w:p>
    <w:p>
      <w:pPr>
        <w:jc w:val="both"/>
        <w:ind w:left="743" w:hanging="743"/>
        <w:spacing w:after="0" w:line="241" w:lineRule="auto"/>
        <w:tabs>
          <w:tab w:leader="none" w:pos="74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b w:val="1"/>
          <w:bCs w:val="1"/>
          <w:u w:val="single" w:color="auto"/>
          <w:color w:val="auto"/>
        </w:rPr>
        <w:t>Section 6(a)</w:t>
      </w:r>
      <w:r>
        <w:rPr>
          <w:rFonts w:ascii="Times New Roman" w:cs="Times New Roman" w:eastAsia="Times New Roman" w:hAnsi="Times New Roman"/>
          <w:sz w:val="22"/>
          <w:szCs w:val="22"/>
          <w:color w:val="auto"/>
        </w:rPr>
        <w:t>, to the extent that the PRSUs are Vested on the date of a Change in Control, Grantee will receive payment for Vested PRSUs on the Change in Control in Common Stock or other form of consideration paid to shareholders of the Company’s Common Stock in connection with such Change in Control.</w:t>
      </w:r>
    </w:p>
    <w:p>
      <w:pPr>
        <w:spacing w:after="0" w:line="175" w:lineRule="exact"/>
        <w:rPr>
          <w:rFonts w:ascii="Times New Roman" w:cs="Times New Roman" w:eastAsia="Times New Roman" w:hAnsi="Times New Roman"/>
          <w:sz w:val="22"/>
          <w:szCs w:val="22"/>
          <w:color w:val="auto"/>
        </w:rPr>
      </w:pPr>
    </w:p>
    <w:p>
      <w:pPr>
        <w:jc w:val="both"/>
        <w:ind w:left="743" w:hanging="743"/>
        <w:spacing w:after="0" w:line="239" w:lineRule="auto"/>
        <w:tabs>
          <w:tab w:leader="none" w:pos="74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permissible under Section 409A of the Code and permitted by the Committee, no Common Stock may be issued to the Grantee at a time earlier than otherwise expressly provided in this Agreement. Notwithstanding anything herein to the contrary, the PRSUs will in all events be paid within the short-term deferral period for purposes of Section 409A of the Code.</w:t>
      </w:r>
    </w:p>
    <w:p>
      <w:pPr>
        <w:spacing w:after="0" w:line="180" w:lineRule="exact"/>
        <w:rPr>
          <w:rFonts w:ascii="Times New Roman" w:cs="Times New Roman" w:eastAsia="Times New Roman" w:hAnsi="Times New Roman"/>
          <w:sz w:val="22"/>
          <w:szCs w:val="22"/>
          <w:color w:val="auto"/>
        </w:rPr>
      </w:pPr>
    </w:p>
    <w:p>
      <w:pPr>
        <w:ind w:left="743" w:hanging="743"/>
        <w:spacing w:after="0" w:line="258" w:lineRule="auto"/>
        <w:tabs>
          <w:tab w:leader="none" w:pos="74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obligations to the Grantee with respect to the Vested PRSUs will be satisfied in full upon the issuance of Common Stock or other consideration paid corresponding to such Vested PRSUs.</w:t>
      </w:r>
    </w:p>
    <w:p>
      <w:pPr>
        <w:spacing w:after="0" w:line="158" w:lineRule="exact"/>
        <w:rPr>
          <w:rFonts w:ascii="Times New Roman" w:cs="Times New Roman" w:eastAsia="Times New Roman" w:hAnsi="Times New Roman"/>
          <w:sz w:val="22"/>
          <w:szCs w:val="22"/>
          <w:color w:val="auto"/>
        </w:rPr>
      </w:pPr>
    </w:p>
    <w:p>
      <w:pPr>
        <w:jc w:val="both"/>
        <w:ind w:left="743" w:hanging="743"/>
        <w:spacing w:after="0" w:line="238" w:lineRule="auto"/>
        <w:tabs>
          <w:tab w:leader="none" w:pos="74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except as permitted by Section 9, Common Stock paid to the Grantee pursuant to this Agreement may not be sold, assigned, transferred, pledged, hypothecated or otherwise disposed of by the Grantee prior to the first anniversary of the date such Common Stock is paid to the Grantee, unless the Grantee’s employment with the Company and its Subsidiaries is terminated or a Change in Control occurs.</w:t>
      </w:r>
    </w:p>
    <w:p>
      <w:pPr>
        <w:spacing w:after="0" w:line="173" w:lineRule="exact"/>
        <w:rPr>
          <w:sz w:val="20"/>
          <w:szCs w:val="20"/>
          <w:color w:val="auto"/>
        </w:rPr>
      </w:pPr>
    </w:p>
    <w:p>
      <w:pPr>
        <w:ind w:left="263" w:hanging="263"/>
        <w:spacing w:after="0"/>
        <w:tabs>
          <w:tab w:leader="none" w:pos="26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Dividend Equivalents; Voting and Other Rights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743" w:hanging="743"/>
        <w:spacing w:after="0" w:line="244" w:lineRule="auto"/>
        <w:tabs>
          <w:tab w:leader="none" w:pos="74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Grantee shall have no rights of ownership in the Common Stock underlying the PRSUs and no right to vote the Common Stock underlying the PRSUs until the date on which the Common Stock underlying the PRSUs is issued or transferred to the Grantee pursuant to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color w:val="auto"/>
        </w:rPr>
        <w:t xml:space="preserve"> above.</w:t>
      </w:r>
    </w:p>
    <w:p>
      <w:pPr>
        <w:spacing w:after="0" w:line="173" w:lineRule="exact"/>
        <w:rPr>
          <w:rFonts w:ascii="Times New Roman" w:cs="Times New Roman" w:eastAsia="Times New Roman" w:hAnsi="Times New Roman"/>
          <w:sz w:val="22"/>
          <w:szCs w:val="22"/>
          <w:color w:val="auto"/>
        </w:rPr>
      </w:pPr>
    </w:p>
    <w:p>
      <w:pPr>
        <w:jc w:val="both"/>
        <w:ind w:left="743" w:hanging="743"/>
        <w:spacing w:after="0" w:line="247" w:lineRule="auto"/>
        <w:tabs>
          <w:tab w:leader="none" w:pos="743"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From and after the Date of Grant and until the earlier of (i) the time when applicable PRSUs Vest in accordance with </w:t>
      </w:r>
      <w:r>
        <w:rPr>
          <w:rFonts w:ascii="Times New Roman" w:cs="Times New Roman" w:eastAsia="Times New Roman" w:hAnsi="Times New Roman"/>
          <w:sz w:val="21"/>
          <w:szCs w:val="21"/>
          <w:b w:val="1"/>
          <w:bCs w:val="1"/>
          <w:u w:val="single" w:color="auto"/>
          <w:color w:val="auto"/>
        </w:rPr>
        <w:t>Section 6</w:t>
      </w:r>
      <w:r>
        <w:rPr>
          <w:rFonts w:ascii="Times New Roman" w:cs="Times New Roman" w:eastAsia="Times New Roman" w:hAnsi="Times New Roman"/>
          <w:sz w:val="21"/>
          <w:szCs w:val="21"/>
          <w:color w:val="auto"/>
        </w:rPr>
        <w:t xml:space="preserve"> hereof or (ii) the time when the Grantee’s right to receive payment of applicable PRSUs is forfeited in accordance with </w:t>
      </w:r>
      <w:r>
        <w:rPr>
          <w:rFonts w:ascii="Times New Roman" w:cs="Times New Roman" w:eastAsia="Times New Roman" w:hAnsi="Times New Roman"/>
          <w:sz w:val="21"/>
          <w:szCs w:val="21"/>
          <w:b w:val="1"/>
          <w:bCs w:val="1"/>
          <w:u w:val="single" w:color="auto"/>
          <w:color w:val="auto"/>
        </w:rPr>
        <w:t>Section 5</w:t>
      </w:r>
      <w:r>
        <w:rPr>
          <w:rFonts w:ascii="Times New Roman" w:cs="Times New Roman" w:eastAsia="Times New Roman" w:hAnsi="Times New Roman"/>
          <w:sz w:val="21"/>
          <w:szCs w:val="21"/>
          <w:color w:val="auto"/>
        </w:rPr>
        <w:t xml:space="preserve"> hereof, on the date that the Company pays a cash dividend (if any) to holders of Common Stock generally, the Grantee shall be credited with cash per outstanding PRSU equal to the amount of such dividend. Any amounts credited pursuant to the immediately preceding sentence shall be subject to the same applicable terms and conditions (including Vesting, payment, application of the payout percentage and forfeitability) as apply to the PRSUs based on which the dividend equivalents were credited, and such amounts shall be paid in cash at the same time as the PRSUs to which they relate are settled.</w:t>
      </w:r>
    </w:p>
    <w:p>
      <w:pPr>
        <w:spacing w:after="0" w:line="171" w:lineRule="exact"/>
        <w:rPr>
          <w:rFonts w:ascii="Times New Roman" w:cs="Times New Roman" w:eastAsia="Times New Roman" w:hAnsi="Times New Roman"/>
          <w:sz w:val="21"/>
          <w:szCs w:val="21"/>
          <w:color w:val="auto"/>
        </w:rPr>
      </w:pPr>
    </w:p>
    <w:p>
      <w:pPr>
        <w:ind w:left="743" w:hanging="743"/>
        <w:spacing w:after="0" w:line="258" w:lineRule="auto"/>
        <w:tabs>
          <w:tab w:leader="none" w:pos="74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Company under this Agreement will be merely that of an unfunded and unsecured promise of the Company to deliver Common Stock or</w:t>
      </w:r>
    </w:p>
    <w:p>
      <w:pPr>
        <w:spacing w:after="0" w:line="167"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775970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8" w:name="page9"/>
    <w:bookmarkEnd w:id="8"/>
    <w:p>
      <w:pPr>
        <w:jc w:val="both"/>
        <w:ind w:left="1500"/>
        <w:spacing w:after="0" w:line="244" w:lineRule="auto"/>
        <w:rPr>
          <w:sz w:val="20"/>
          <w:szCs w:val="20"/>
          <w:color w:val="auto"/>
        </w:rPr>
      </w:pPr>
      <w:r>
        <w:rPr>
          <w:rFonts w:ascii="Times New Roman" w:cs="Times New Roman" w:eastAsia="Times New Roman" w:hAnsi="Times New Roman"/>
          <w:sz w:val="22"/>
          <w:szCs w:val="22"/>
          <w:color w:val="auto"/>
        </w:rPr>
        <w:t>other payment in the future, and the rights of the Grantee will be no greater than that of an unsecured general creditor. No assets of the Company will be held or set aside as security for the obligations of the Company under this Agreement.</w:t>
      </w:r>
    </w:p>
    <w:p>
      <w:pPr>
        <w:spacing w:after="0" w:line="169" w:lineRule="exact"/>
        <w:rPr>
          <w:sz w:val="20"/>
          <w:szCs w:val="20"/>
          <w:color w:val="auto"/>
        </w:rPr>
      </w:pPr>
    </w:p>
    <w:p>
      <w:pPr>
        <w:jc w:val="both"/>
        <w:ind w:firstLine="757"/>
        <w:spacing w:after="0" w:line="246" w:lineRule="auto"/>
        <w:tabs>
          <w:tab w:leader="none" w:pos="101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The PRSUs and the number of shares of Common Stock issuable for each PRSU, and the other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conditions of the grant evidenced by this Agreement, are subject to mandatory adjustment, including as provided in Section 11 of the Plan.</w:t>
      </w:r>
    </w:p>
    <w:p>
      <w:pPr>
        <w:spacing w:after="0" w:line="167"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Withholding Taxes</w:t>
      </w:r>
      <w:r>
        <w:rPr>
          <w:rFonts w:ascii="Times New Roman" w:cs="Times New Roman" w:eastAsia="Times New Roman" w:hAnsi="Times New Roman"/>
          <w:sz w:val="22"/>
          <w:szCs w:val="22"/>
          <w:color w:val="auto"/>
        </w:rPr>
        <w:t>. To the extent that the Company is required to withhold federal, state, local or foreign taxes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other amounts in connection with the delivery to the Grantee of Common Stock or any other payment to the Grantee or any other payment or vesting event under this Agreement, the Grantee agrees that the Company will withhold any taxes or other amounts required to be withheld by the Company under federal, state, local or foreign law as a result of the settlement of the PRSUs in an amount sufficient to satisfy the such withholding obligations. If permitted by applicable law, the Company shall retain such number of shares of Common Stock otherwise deliverable hereunder in satisfaction of all or any portion of such taxes. The shares so retained shall be credited against any such withholding requirement at the market value of such Common Stock on the date of such delivery. In no event will the market value of the Common Shares to be withheld and/or delivered pursuant to this </w:t>
      </w:r>
      <w:r>
        <w:rPr>
          <w:rFonts w:ascii="Times New Roman" w:cs="Times New Roman" w:eastAsia="Times New Roman" w:hAnsi="Times New Roman"/>
          <w:sz w:val="22"/>
          <w:szCs w:val="22"/>
          <w:b w:val="1"/>
          <w:bCs w:val="1"/>
          <w:u w:val="single" w:color="auto"/>
          <w:color w:val="auto"/>
        </w:rPr>
        <w:t>Section 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satisfy applicable withholding taxes exceed the maximum statutory amount of taxes that could be required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withheld. To the extent the Company is unable to withhold shares in an amount sufficient to satisfy the Grantee’s tax withholding obligations, then the Company may deduct such taxes from cash payments due hereunder or from other compensation owed to the Grantee, or the Company may require the Grantee to make arrangements satisfactory to the Company for payment of the balance of such taxes or other amounts required to be withheld as a condition to the obligation of the Company to make any delivery of Common Stock or payment hereunder.</w:t>
      </w:r>
    </w:p>
    <w:p>
      <w:pPr>
        <w:spacing w:after="0" w:line="18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b w:val="1"/>
          <w:bCs w:val="1"/>
          <w:u w:val="single" w:color="auto"/>
          <w:color w:val="auto"/>
        </w:rPr>
        <w:t>Compliance With Law</w:t>
      </w:r>
      <w:r>
        <w:rPr>
          <w:rFonts w:ascii="Times New Roman" w:cs="Times New Roman" w:eastAsia="Times New Roman" w:hAnsi="Times New Roman"/>
          <w:sz w:val="22"/>
          <w:szCs w:val="22"/>
          <w:color w:val="auto"/>
        </w:rPr>
        <w:t xml:space="preserve">. The Company shall make reasonable efforts to comply with all applicable federal and state securities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notwithstanding any other provision of the Plan and this Agreement, the Company shall not be obligated to issue any Common Stock pursuant to this Agreement if the issuance thereof would result in a violation of any such law.</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u w:val="single" w:color="auto"/>
          <w:color w:val="auto"/>
        </w:rPr>
        <w:t>Compliance With or Exemption From Section 409A of the Code</w:t>
      </w:r>
      <w:r>
        <w:rPr>
          <w:rFonts w:ascii="Times New Roman" w:cs="Times New Roman" w:eastAsia="Times New Roman" w:hAnsi="Times New Roman"/>
          <w:sz w:val="22"/>
          <w:szCs w:val="22"/>
          <w:color w:val="auto"/>
        </w:rPr>
        <w:t>. To the extent applicable, it is intended that this 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 w:name="page10"/>
    <w:bookmarkEnd w:id="9"/>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u w:val="single" w:color="auto"/>
          <w:color w:val="auto"/>
        </w:rPr>
        <w:t>Interpretation</w:t>
      </w:r>
      <w:r>
        <w:rPr>
          <w:rFonts w:ascii="Times New Roman" w:cs="Times New Roman" w:eastAsia="Times New Roman" w:hAnsi="Times New Roman"/>
          <w:sz w:val="22"/>
          <w:szCs w:val="22"/>
          <w:color w:val="auto"/>
        </w:rPr>
        <w:t>. Any reference in this Agreement to Section 409A of the Code will also include any proposed, temporary or final regulations, or any other guidance, promulgated with respect to such Section by the U.S. Department of the Treasury or the Internal Revenue Service.</w:t>
      </w:r>
    </w:p>
    <w:p>
      <w:pPr>
        <w:spacing w:after="0" w:line="16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b w:val="1"/>
          <w:bCs w:val="1"/>
          <w:u w:val="single" w:color="auto"/>
          <w:color w:val="auto"/>
        </w:rPr>
        <w:t>No Right to Future Awards or Employment</w:t>
      </w:r>
      <w:r>
        <w:rPr>
          <w:rFonts w:ascii="Times New Roman" w:cs="Times New Roman" w:eastAsia="Times New Roman" w:hAnsi="Times New Roman"/>
          <w:sz w:val="22"/>
          <w:szCs w:val="22"/>
          <w:color w:val="auto"/>
        </w:rPr>
        <w:t>. The grant of the PRSUs under this Agreement to the Grantee is a voluntary, discretionary award being made on a one-time basis and it does not constitute a commitment to make any future awards. Nothing contained in this Agreement shall confer upon the Grantee any right to be employed or remain employed by the Company or any of its Subsidiaries, nor limit or affect in any manner the right of the Company or any of its Subsidiaries to terminate the employment or adjust the compensation of the Grantee.</w:t>
      </w:r>
    </w:p>
    <w:p>
      <w:pPr>
        <w:spacing w:after="0" w:line="17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b w:val="1"/>
          <w:bCs w:val="1"/>
          <w:u w:val="single" w:color="auto"/>
          <w:color w:val="auto"/>
        </w:rPr>
        <w:t>Relation to Other Benefits</w:t>
      </w:r>
      <w:r>
        <w:rPr>
          <w:rFonts w:ascii="Times New Roman" w:cs="Times New Roman" w:eastAsia="Times New Roman" w:hAnsi="Times New Roman"/>
          <w:sz w:val="22"/>
          <w:szCs w:val="22"/>
          <w:color w:val="auto"/>
        </w:rPr>
        <w:t>. Any economic or other benefit to the Grantee under this Agreement or the Plan shall not be taken into account in determining any benefits to which the Grantee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 The grant of the PRSUs and any payments made hereunder will not be considered salary or other compensation for purposes of any severance pay or similar allowance, except as otherwise required by law.</w:t>
      </w:r>
    </w:p>
    <w:p>
      <w:pPr>
        <w:spacing w:after="0" w:line="17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15.</w:t>
      </w:r>
      <w:r>
        <w:rPr>
          <w:rFonts w:ascii="Times New Roman" w:cs="Times New Roman" w:eastAsia="Times New Roman" w:hAnsi="Times New Roman"/>
          <w:sz w:val="21"/>
          <w:szCs w:val="21"/>
          <w:b w:val="1"/>
          <w:bCs w:val="1"/>
          <w:u w:val="single" w:color="auto"/>
          <w:color w:val="auto"/>
        </w:rPr>
        <w:t>Amendments</w:t>
      </w:r>
      <w:r>
        <w:rPr>
          <w:rFonts w:ascii="Times New Roman" w:cs="Times New Roman" w:eastAsia="Times New Roman" w:hAnsi="Times New Roman"/>
          <w:sz w:val="21"/>
          <w:szCs w:val="21"/>
          <w:color w:val="auto"/>
        </w:rPr>
        <w:t xml:space="preserve">. Any amendment to the Plan shall be deemed to be an amendment to this Agreement to the extent that the amendment is applicable 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 except as permitted by the Plan or the terms of this Agreement, no amendment shall adversely affect the rights of the Grantee under this Agreement without the Grantee’s written consent, and</w:t>
      </w:r>
    </w:p>
    <w:p>
      <w:pPr>
        <w:spacing w:after="0" w:line="2" w:lineRule="exact"/>
        <w:rPr>
          <w:sz w:val="20"/>
          <w:szCs w:val="20"/>
          <w:color w:val="auto"/>
        </w:rPr>
      </w:pPr>
    </w:p>
    <w:p>
      <w:pPr>
        <w:ind w:firstLine="8"/>
        <w:spacing w:after="0" w:line="237" w:lineRule="auto"/>
        <w:tabs>
          <w:tab w:leader="none" w:pos="31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Grantee’s consent shall not be required to an amendment that is deemed necessary by the Company to ensure compliance with Section 409A of the Code or Section 10D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-31750</wp:posOffset>
            </wp:positionV>
            <wp:extent cx="342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5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In the event that one or more of the provisions of this Agreement shall be invalidated for any reason by a court of competent jurisdiction, any provision so invalidated shall be deemed amended to the minimum extent needed to cause such provision to be valid, or if such amendment is not possible, then such provision shall be deemed separable from the other provisions hereof, and the remaining provisions hereof shall continue to be valid and fully enforceable.</w:t>
      </w:r>
    </w:p>
    <w:p>
      <w:pPr>
        <w:spacing w:after="0" w:line="17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color w:val="auto"/>
        </w:rPr>
        <w:t>. This Agreement is subject to the terms and 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 Notwithstanding anything in this Agreement to the contrary, Grantee acknowledges and agrees that this Agreement and the award described herein (and any settlement thereof) are subject to the terms and conditions of the Company’s clawback policy (if any) as may be in effect from time to time, including specifically to implement Section 10D of the Exchange Act and any applicable rules or regulations promulgated thereunder (including applicable rules and regulations of any national securities exchange on which the Common Stock may be traded) (the “</w:t>
      </w:r>
      <w:r>
        <w:rPr>
          <w:rFonts w:ascii="Times New Roman" w:cs="Times New Roman" w:eastAsia="Times New Roman" w:hAnsi="Times New Roman"/>
          <w:sz w:val="22"/>
          <w:szCs w:val="22"/>
          <w:b w:val="1"/>
          <w:bCs w:val="1"/>
          <w:i w:val="1"/>
          <w:iCs w:val="1"/>
          <w:color w:val="auto"/>
        </w:rPr>
        <w:t>Compensation Recovery Policy</w:t>
      </w:r>
      <w:r>
        <w:rPr>
          <w:rFonts w:ascii="Times New Roman" w:cs="Times New Roman" w:eastAsia="Times New Roman" w:hAnsi="Times New Roman"/>
          <w:sz w:val="22"/>
          <w:szCs w:val="22"/>
          <w:color w:val="auto"/>
        </w:rPr>
        <w:t>”), and that relevant sections of this Agreement shall be deemed superseded by and subject to the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terms and conditions of the Compensation Recovery Policy from and after the effective date thereof.</w:t>
      </w:r>
    </w:p>
    <w:p>
      <w:pPr>
        <w:spacing w:after="0" w:line="20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PRSUs and the Grantee’s participation in the Plan, or future awards that may be granted under the Plan, by electronic means or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7"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color w:val="auto"/>
        </w:rPr>
        <w:t>19.</w:t>
      </w: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This Agreement shall be governed by and construed with the internal substantive laws of the State of Delaware, without giving effect to any principle of law that would result in the application of the law of any other jurisdiction.</w:t>
      </w:r>
    </w:p>
    <w:p>
      <w:pPr>
        <w:spacing w:after="0" w:line="12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xml:space="preserve">. Without limiting </w:t>
      </w:r>
      <w:r>
        <w:rPr>
          <w:rFonts w:ascii="Times New Roman" w:cs="Times New Roman" w:eastAsia="Times New Roman" w:hAnsi="Times New Roman"/>
          <w:sz w:val="22"/>
          <w:szCs w:val="22"/>
          <w:b w:val="1"/>
          <w:bCs w:val="1"/>
          <w:u w:val="single" w:color="auto"/>
          <w:color w:val="auto"/>
        </w:rPr>
        <w:t>Section 4</w:t>
      </w:r>
      <w:r>
        <w:rPr>
          <w:rFonts w:ascii="Times New Roman" w:cs="Times New Roman" w:eastAsia="Times New Roman" w:hAnsi="Times New Roman"/>
          <w:sz w:val="22"/>
          <w:szCs w:val="22"/>
          <w:color w:val="auto"/>
        </w:rPr>
        <w:t xml:space="preserve"> hereof, the provisions of this Agreement shall inure to the benefit of, and be binding upon, the successors, administrators, heirs, legal representatives and assigns of the Grantee, and the successors and assigns of the Company.</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b w:val="1"/>
          <w:bCs w:val="1"/>
          <w:u w:val="single" w:color="auto"/>
          <w:color w:val="auto"/>
        </w:rPr>
        <w:t>Acknowledgement</w:t>
      </w:r>
      <w:r>
        <w:rPr>
          <w:rFonts w:ascii="Times New Roman" w:cs="Times New Roman" w:eastAsia="Times New Roman" w:hAnsi="Times New Roman"/>
          <w:sz w:val="22"/>
          <w:szCs w:val="22"/>
          <w:color w:val="auto"/>
        </w:rPr>
        <w:t>. The Grantee acknowledges that the Grantee (a) has received a copy of the Plan and the Plan’s prospectus, (b) has had an opportunity to review the terms of this Agreement and the Plan, (c) understands the terms and conditions of this Agreement and the Plan and (d) agrees to such terms and conditions.</w:t>
      </w:r>
    </w:p>
    <w:p>
      <w:pPr>
        <w:spacing w:after="0" w:line="16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together will constitute one and the same agreement.</w:t>
      </w:r>
    </w:p>
    <w:p>
      <w:pPr>
        <w:spacing w:after="0" w:line="15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CECO ENVIRONMENTAL CORP.</w:t>
      </w:r>
    </w:p>
    <w:p>
      <w:pPr>
        <w:spacing w:after="0" w:line="23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10795</wp:posOffset>
            </wp:positionV>
            <wp:extent cx="32746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b w:val="1"/>
          <w:bCs w:val="1"/>
          <w:color w:val="auto"/>
        </w:rPr>
        <w:t>Lynn Watkins-Asiyanbi</w:t>
      </w:r>
    </w:p>
    <w:p>
      <w:pPr>
        <w:spacing w:after="0" w:line="1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b w:val="1"/>
          <w:bCs w:val="1"/>
          <w:color w:val="auto"/>
        </w:rPr>
        <w:t>Chief Administrative and Legal Officer</w:t>
      </w: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Grantee Acknowledgment and Acceptance</w:t>
      </w:r>
    </w:p>
    <w:p>
      <w:pPr>
        <w:spacing w:after="0" w:line="23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10795</wp:posOffset>
            </wp:positionV>
            <wp:extent cx="32746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lowerLetter"/>
      <w:start w:val="2"/>
    </w:lvl>
    <w:lvl w:ilvl="1">
      <w:lvlJc w:val="left"/>
      <w:lvlText w:val="(%2)"/>
      <w:numFmt w:val="lowerRoman"/>
      <w:start w:val="1"/>
    </w:lvl>
  </w:abstractNum>
  <w:abstractNum w:abstractNumId="5">
    <w:nsid w:val="216231B"/>
    <w:multiLevelType w:val="hybridMultilevel"/>
    <w:lvl w:ilvl="0">
      <w:lvlJc w:val="left"/>
      <w:lvlText w:val="%1"/>
      <w:numFmt w:val="lowerRoman"/>
      <w:start w:val="1"/>
    </w:lvl>
    <w:lvl w:ilvl="1">
      <w:lvlJc w:val="left"/>
      <w:lvlText w:val="(%2)"/>
      <w:numFmt w:val="upperLetter"/>
      <w:start w:val="5"/>
    </w:lvl>
  </w:abstractNum>
  <w:abstractNum w:abstractNumId="6">
    <w:nsid w:val="1F16E9E8"/>
    <w:multiLevelType w:val="hybridMultilevel"/>
    <w:lvl w:ilvl="0">
      <w:lvlJc w:val="left"/>
      <w:lvlText w:val="(%1)"/>
      <w:numFmt w:val="lowerRoman"/>
      <w:start w:val="2"/>
    </w:lvl>
    <w:lvl w:ilvl="1">
      <w:lvlJc w:val="left"/>
      <w:lvlText w:val="%2"/>
      <w:numFmt w:val="upperLetter"/>
      <w:start w:val="1"/>
    </w:lvl>
  </w:abstractNum>
  <w:abstractNum w:abstractNumId="7">
    <w:nsid w:val="1190CDE7"/>
    <w:multiLevelType w:val="hybridMultilevel"/>
    <w:lvl w:ilvl="0">
      <w:lvlJc w:val="left"/>
      <w:lvlText w:val="%1"/>
      <w:numFmt w:val="lowerLetter"/>
      <w:start w:val="1"/>
    </w:lvl>
    <w:lvl w:ilvl="1">
      <w:lvlJc w:val="left"/>
      <w:lvlText w:val="(%2)"/>
      <w:numFmt w:val="lowerLetter"/>
      <w:start w:val="22"/>
    </w:lvl>
  </w:abstractNum>
  <w:abstractNum w:abstractNumId="8">
    <w:nsid w:val="66EF438D"/>
    <w:multiLevelType w:val="hybridMultilevel"/>
    <w:lvl w:ilvl="0">
      <w:lvlJc w:val="left"/>
      <w:lvlText w:val="(%1)"/>
      <w:numFmt w:val="lowerLetter"/>
      <w:start w:val="3"/>
    </w:lvl>
    <w:lvl w:ilvl="1">
      <w:lvlJc w:val="left"/>
      <w:lvlText w:val="%2"/>
      <w:numFmt w:val="lowerLetter"/>
      <w:start w:val="1"/>
    </w:lvl>
  </w:abstractNum>
  <w:abstractNum w:abstractNumId="9">
    <w:nsid w:val="140E0F76"/>
    <w:multiLevelType w:val="hybridMultilevel"/>
    <w:lvl w:ilvl="0">
      <w:lvlJc w:val="left"/>
      <w:lvlText w:val="%1."/>
      <w:numFmt w:val="decimal"/>
      <w:start w:val="6"/>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7"/>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8"/>
    </w:lvl>
  </w:abstractNum>
  <w:abstractNum w:abstractNumId="14">
    <w:nsid w:val="1BEFD79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2025-06-06T16:00:29Z</dcterms:created>
  <dcterms:modified xsi:type="dcterms:W3CDTF">2025-06-06T16:00:29Z</dcterms:modified>
</cp:coreProperties>
</file>