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304165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880"/>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tbl>
      <w:tblPr>
        <w:tblLayout w:type="fixed"/>
        <w:tblInd w:w="500" w:type="dxa"/>
        <w:tblCellMar>
          <w:top w:w="0" w:type="dxa"/>
          <w:left w:w="0" w:type="dxa"/>
          <w:bottom w:w="0" w:type="dxa"/>
          <w:right w:w="0" w:type="dxa"/>
        </w:tblCellMar>
      </w:tblPr>
      <w:tr>
        <w:trPr>
          <w:trHeight w:val="225"/>
        </w:trPr>
        <w:tc>
          <w:tcPr>
            <w:tcW w:w="2620" w:type="dxa"/>
            <w:vAlign w:val="bottom"/>
          </w:tcPr>
          <w:p>
            <w:pPr>
              <w:jc w:val="center"/>
              <w:ind w:right="662"/>
              <w:spacing w:after="0"/>
              <w:rPr>
                <w:sz w:val="20"/>
                <w:szCs w:val="20"/>
                <w:color w:val="auto"/>
              </w:rPr>
            </w:pPr>
            <w:r>
              <w:rPr>
                <w:rFonts w:ascii="Arial" w:cs="Arial" w:eastAsia="Arial" w:hAnsi="Arial"/>
                <w:sz w:val="18"/>
                <w:szCs w:val="18"/>
                <w:b w:val="1"/>
                <w:bCs w:val="1"/>
                <w:color w:val="auto"/>
                <w:w w:val="91"/>
              </w:rPr>
              <w:t>Delaware</w:t>
            </w:r>
          </w:p>
        </w:tc>
        <w:tc>
          <w:tcPr>
            <w:tcW w:w="2480" w:type="dxa"/>
            <w:vAlign w:val="bottom"/>
          </w:tcPr>
          <w:p>
            <w:pPr>
              <w:ind w:left="780"/>
              <w:spacing w:after="0"/>
              <w:rPr>
                <w:sz w:val="20"/>
                <w:szCs w:val="20"/>
                <w:color w:val="auto"/>
              </w:rPr>
            </w:pPr>
            <w:r>
              <w:rPr>
                <w:rFonts w:ascii="Arial" w:cs="Arial" w:eastAsia="Arial" w:hAnsi="Arial"/>
                <w:sz w:val="18"/>
                <w:szCs w:val="18"/>
                <w:b w:val="1"/>
                <w:bCs w:val="1"/>
                <w:color w:val="auto"/>
              </w:rPr>
              <w:t>000-07099</w:t>
            </w:r>
          </w:p>
        </w:tc>
        <w:tc>
          <w:tcPr>
            <w:tcW w:w="2040" w:type="dxa"/>
            <w:vAlign w:val="bottom"/>
          </w:tcPr>
          <w:p>
            <w:pPr>
              <w:jc w:val="center"/>
              <w:ind w:left="822"/>
              <w:spacing w:after="0"/>
              <w:rPr>
                <w:sz w:val="20"/>
                <w:szCs w:val="20"/>
                <w:color w:val="auto"/>
              </w:rPr>
            </w:pPr>
            <w:r>
              <w:rPr>
                <w:rFonts w:ascii="Arial" w:cs="Arial" w:eastAsia="Arial" w:hAnsi="Arial"/>
                <w:sz w:val="18"/>
                <w:szCs w:val="18"/>
                <w:b w:val="1"/>
                <w:bCs w:val="1"/>
                <w:color w:val="auto"/>
                <w:w w:val="89"/>
              </w:rPr>
              <w:t>13-2566064</w:t>
            </w:r>
          </w:p>
        </w:tc>
      </w:tr>
      <w:tr>
        <w:trPr>
          <w:trHeight w:val="149"/>
        </w:trPr>
        <w:tc>
          <w:tcPr>
            <w:tcW w:w="2620" w:type="dxa"/>
            <w:vAlign w:val="bottom"/>
          </w:tcPr>
          <w:p>
            <w:pPr>
              <w:jc w:val="center"/>
              <w:ind w:right="6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80" w:type="dxa"/>
            <w:vAlign w:val="bottom"/>
          </w:tcPr>
          <w:p>
            <w:pPr>
              <w:ind w:left="780"/>
              <w:spacing w:after="0" w:line="149" w:lineRule="exact"/>
              <w:rPr>
                <w:sz w:val="20"/>
                <w:szCs w:val="20"/>
                <w:color w:val="auto"/>
              </w:rPr>
            </w:pPr>
            <w:r>
              <w:rPr>
                <w:rFonts w:ascii="Arial" w:cs="Arial" w:eastAsia="Arial" w:hAnsi="Arial"/>
                <w:sz w:val="14"/>
                <w:szCs w:val="14"/>
                <w:b w:val="1"/>
                <w:bCs w:val="1"/>
                <w:color w:val="auto"/>
              </w:rPr>
              <w:t>(Commission</w:t>
            </w:r>
          </w:p>
        </w:tc>
        <w:tc>
          <w:tcPr>
            <w:tcW w:w="2040" w:type="dxa"/>
            <w:vAlign w:val="bottom"/>
          </w:tcPr>
          <w:p>
            <w:pPr>
              <w:jc w:val="center"/>
              <w:ind w:left="8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20" w:type="dxa"/>
            <w:vAlign w:val="bottom"/>
          </w:tcPr>
          <w:p>
            <w:pPr>
              <w:jc w:val="center"/>
              <w:ind w:right="662"/>
              <w:spacing w:after="0"/>
              <w:rPr>
                <w:sz w:val="20"/>
                <w:szCs w:val="20"/>
                <w:color w:val="auto"/>
              </w:rPr>
            </w:pPr>
            <w:r>
              <w:rPr>
                <w:rFonts w:ascii="Arial" w:cs="Arial" w:eastAsia="Arial" w:hAnsi="Arial"/>
                <w:sz w:val="14"/>
                <w:szCs w:val="14"/>
                <w:b w:val="1"/>
                <w:bCs w:val="1"/>
                <w:color w:val="auto"/>
                <w:w w:val="94"/>
              </w:rPr>
              <w:t>incorporation or organization)</w:t>
            </w:r>
          </w:p>
        </w:tc>
        <w:tc>
          <w:tcPr>
            <w:tcW w:w="2480" w:type="dxa"/>
            <w:vAlign w:val="bottom"/>
          </w:tcPr>
          <w:p>
            <w:pPr>
              <w:ind w:left="760"/>
              <w:spacing w:after="0"/>
              <w:rPr>
                <w:sz w:val="20"/>
                <w:szCs w:val="20"/>
                <w:color w:val="auto"/>
              </w:rPr>
            </w:pPr>
            <w:r>
              <w:rPr>
                <w:rFonts w:ascii="Arial" w:cs="Arial" w:eastAsia="Arial" w:hAnsi="Arial"/>
                <w:sz w:val="14"/>
                <w:szCs w:val="14"/>
                <w:b w:val="1"/>
                <w:bCs w:val="1"/>
                <w:color w:val="auto"/>
              </w:rPr>
              <w:t>File Number)</w:t>
            </w:r>
          </w:p>
        </w:tc>
        <w:tc>
          <w:tcPr>
            <w:tcW w:w="2040" w:type="dxa"/>
            <w:vAlign w:val="bottom"/>
          </w:tcPr>
          <w:p>
            <w:pPr>
              <w:jc w:val="center"/>
              <w:ind w:left="82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9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14651 North Dallas Parkway</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Dallas, Texas 75254</w:t>
      </w:r>
    </w:p>
    <w:p>
      <w:pPr>
        <w:spacing w:after="0" w:line="2"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20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Matthew Eckl</w:t>
      </w:r>
    </w:p>
    <w:p>
      <w:pPr>
        <w:spacing w:after="0" w:line="27"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(214) 357-6181</w:t>
      </w:r>
    </w:p>
    <w:p>
      <w:pPr>
        <w:spacing w:after="0" w:line="2"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520" w:right="2500" w:hanging="512"/>
        <w:spacing w:after="0" w:line="277" w:lineRule="auto"/>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Section 1. Conflict Minerals Disclosure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40"/>
          </w:cols>
          <w:pgMar w:left="320" w:top="206" w:right="839" w:bottom="1440" w:gutter="0" w:footer="0" w:header="0"/>
        </w:sectPr>
      </w:pPr>
    </w:p>
    <w:bookmarkStart w:id="1" w:name="page2"/>
    <w:bookmarkEnd w:id="1"/>
    <w:p>
      <w:pPr>
        <w:ind w:right="320" w:firstLine="678"/>
        <w:spacing w:after="0" w:line="308" w:lineRule="auto"/>
        <w:rPr>
          <w:sz w:val="20"/>
          <w:szCs w:val="20"/>
          <w:color w:val="auto"/>
        </w:rPr>
      </w:pPr>
      <w:r>
        <w:rPr>
          <w:rFonts w:ascii="Arial" w:cs="Arial" w:eastAsia="Arial" w:hAnsi="Arial"/>
          <w:sz w:val="17"/>
          <w:szCs w:val="17"/>
          <w:color w:val="auto"/>
        </w:rPr>
        <w:t>CECO Environmental Corp. (including its consolidated subsidiaries,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is filing this Form SD pursuant to Rule 13p-1 under the Securities Exchange Act of 1934 for the reporting period from January 1, 2019 to December 31, 2019 (the “</w:t>
      </w:r>
      <w:r>
        <w:rPr>
          <w:rFonts w:ascii="Arial" w:cs="Arial" w:eastAsia="Arial" w:hAnsi="Arial"/>
          <w:sz w:val="17"/>
          <w:szCs w:val="17"/>
          <w:b w:val="1"/>
          <w:bCs w:val="1"/>
          <w:i w:val="1"/>
          <w:iCs w:val="1"/>
          <w:color w:val="auto"/>
        </w:rPr>
        <w:t>Reporting Period</w:t>
      </w:r>
      <w:r>
        <w:rPr>
          <w:rFonts w:ascii="Arial" w:cs="Arial" w:eastAsia="Arial" w:hAnsi="Arial"/>
          <w:sz w:val="17"/>
          <w:szCs w:val="17"/>
          <w:color w:val="auto"/>
        </w:rPr>
        <w:t>”).</w:t>
      </w:r>
    </w:p>
    <w:p>
      <w:pPr>
        <w:spacing w:after="0" w:line="160" w:lineRule="exact"/>
        <w:rPr>
          <w:sz w:val="20"/>
          <w:szCs w:val="20"/>
          <w:color w:val="auto"/>
        </w:rPr>
      </w:pPr>
    </w:p>
    <w:p>
      <w:pPr>
        <w:ind w:firstLine="739"/>
        <w:spacing w:after="0" w:line="287"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w:t>
      </w:r>
      <w:r>
        <w:rPr>
          <w:rFonts w:ascii="Arial" w:cs="Arial" w:eastAsia="Arial" w:hAnsi="Arial"/>
          <w:sz w:val="16"/>
          <w:szCs w:val="16"/>
          <w:b w:val="1"/>
          <w:bCs w:val="1"/>
          <w:color w:val="auto"/>
        </w:rPr>
        <w:t>conflict minerals</w:t>
      </w:r>
      <w:r>
        <w:rPr>
          <w:rFonts w:ascii="Arial" w:cs="Arial" w:eastAsia="Arial" w:hAnsi="Arial"/>
          <w:sz w:val="16"/>
          <w:szCs w:val="16"/>
          <w:color w:val="auto"/>
        </w:rPr>
        <w:t>” (as defined below) are necessary to the functionality or production of such products. Form SD defines “conflict minerals” as: (i)(a) columbite-tantalite (or coltan, the metal ore from which tantalum is extracted), (b) cassiterite (the metal ore from which tin is extracted),</w:t>
      </w:r>
    </w:p>
    <w:p>
      <w:pPr>
        <w:spacing w:after="0" w:line="2" w:lineRule="exact"/>
        <w:rPr>
          <w:sz w:val="20"/>
          <w:szCs w:val="20"/>
          <w:color w:val="auto"/>
        </w:rPr>
      </w:pPr>
    </w:p>
    <w:p>
      <w:pPr>
        <w:jc w:val="both"/>
        <w:ind w:right="60" w:firstLine="8"/>
        <w:spacing w:after="0" w:line="255" w:lineRule="auto"/>
        <w:tabs>
          <w:tab w:leader="none" w:pos="245" w:val="left"/>
        </w:tabs>
        <w:numPr>
          <w:ilvl w:val="0"/>
          <w:numId w:val="2"/>
        </w:numPr>
        <w:rPr>
          <w:rFonts w:ascii="Arial" w:cs="Arial" w:eastAsia="Arial" w:hAnsi="Arial"/>
          <w:sz w:val="18"/>
          <w:szCs w:val="18"/>
          <w:color w:val="auto"/>
        </w:rPr>
      </w:pPr>
      <w:r>
        <w:rPr>
          <w:rFonts w:ascii="Arial" w:cs="Arial" w:eastAsia="Arial" w:hAnsi="Arial"/>
          <w:sz w:val="18"/>
          <w:szCs w:val="18"/>
          <w:color w:val="auto"/>
        </w:rPr>
        <w:t>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color w:val="auto"/>
        </w:rPr>
        <w:t>Covered Countries</w:t>
      </w:r>
      <w:r>
        <w:rPr>
          <w:rFonts w:ascii="Arial" w:cs="Arial" w:eastAsia="Arial" w:hAnsi="Arial"/>
          <w:sz w:val="18"/>
          <w:szCs w:val="18"/>
          <w:color w:val="auto"/>
        </w:rPr>
        <w:t>”).</w:t>
      </w:r>
    </w:p>
    <w:p>
      <w:pPr>
        <w:spacing w:after="0" w:line="217" w:lineRule="exact"/>
        <w:rPr>
          <w:sz w:val="20"/>
          <w:szCs w:val="20"/>
          <w:color w:val="auto"/>
        </w:rPr>
      </w:pPr>
    </w:p>
    <w:p>
      <w:pPr>
        <w:ind w:firstLine="739"/>
        <w:spacing w:after="0" w:line="270"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its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http://www.cecoenviro.com/sec-filings. The content on, or accessible through, any website referred to in this Form SD is not incorporated by reference into this Form SD unless expressly noted.</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4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specified in Section 2 of Form SD, the Company is hereby filing its Conflict Minerals Report as Exhibit 1.01 to this Form SD.</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following exhibit is filed as part of this Form SD.</w:t>
      </w:r>
    </w:p>
    <w:p>
      <w:pPr>
        <w:spacing w:after="0" w:line="200" w:lineRule="exact"/>
        <w:rPr>
          <w:sz w:val="20"/>
          <w:szCs w:val="20"/>
          <w:color w:val="auto"/>
        </w:rPr>
      </w:pPr>
    </w:p>
    <w:p>
      <w:pPr>
        <w:spacing w:after="0" w:line="32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20"/>
        <w:spacing w:after="0"/>
        <w:tabs>
          <w:tab w:leader="none" w:pos="8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5288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p>
      <w:pPr>
        <w:spacing w:after="0" w:line="122" w:lineRule="exact"/>
        <w:rPr>
          <w:sz w:val="20"/>
          <w:szCs w:val="20"/>
          <w:color w:val="auto"/>
        </w:rPr>
      </w:pPr>
    </w:p>
    <w:p>
      <w:pPr>
        <w:ind w:left="180"/>
        <w:spacing w:after="0"/>
        <w:tabs>
          <w:tab w:leader="none" w:pos="82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3">
        <w:r>
          <w:rPr>
            <w:rFonts w:ascii="Arial" w:cs="Arial" w:eastAsia="Arial" w:hAnsi="Arial"/>
            <w:sz w:val="16"/>
            <w:szCs w:val="16"/>
            <w:u w:val="single" w:color="auto"/>
            <w:color w:val="0000EE"/>
          </w:rPr>
          <w:t>Conflict Minerals Report of CECO Environmental Corp.</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left="740"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By: /s/ Matthew Eckl</w:t>
            </w:r>
          </w:p>
        </w:tc>
        <w:tc>
          <w:tcPr>
            <w:tcW w:w="138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May 27, 2020</w:t>
            </w:r>
          </w:p>
        </w:tc>
      </w:tr>
      <w:tr>
        <w:trPr>
          <w:trHeight w:val="209"/>
        </w:trPr>
        <w:tc>
          <w:tcPr>
            <w:tcW w:w="360" w:type="dxa"/>
            <w:vAlign w:val="bottom"/>
          </w:tcPr>
          <w:p>
            <w:pPr>
              <w:spacing w:after="0"/>
              <w:rPr>
                <w:sz w:val="18"/>
                <w:szCs w:val="18"/>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Matthew Eckl</w:t>
            </w:r>
          </w:p>
        </w:tc>
        <w:tc>
          <w:tcPr>
            <w:tcW w:w="1380" w:type="dxa"/>
            <w:vAlign w:val="bottom"/>
          </w:tcPr>
          <w:p>
            <w:pPr>
              <w:spacing w:after="0"/>
              <w:rPr>
                <w:sz w:val="18"/>
                <w:szCs w:val="18"/>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(Date)</w:t>
            </w:r>
          </w:p>
        </w:tc>
      </w:tr>
      <w:tr>
        <w:trPr>
          <w:trHeight w:val="230"/>
        </w:trPr>
        <w:tc>
          <w:tcPr>
            <w:tcW w:w="3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380" w:type="dxa"/>
            <w:vAlign w:val="bottom"/>
          </w:tcPr>
          <w:p>
            <w:pPr>
              <w:spacing w:after="0"/>
              <w:rPr>
                <w:sz w:val="20"/>
                <w:szCs w:val="20"/>
                <w:color w:val="auto"/>
              </w:rPr>
            </w:pPr>
          </w:p>
        </w:tc>
        <w:tc>
          <w:tcPr>
            <w:tcW w:w="3320" w:type="dxa"/>
            <w:vAlign w:val="bottom"/>
          </w:tcPr>
          <w:p>
            <w:pPr>
              <w:spacing w:after="0"/>
              <w:rPr>
                <w:sz w:val="20"/>
                <w:szCs w:val="20"/>
                <w:color w:val="auto"/>
              </w:rPr>
            </w:pPr>
          </w:p>
        </w:tc>
      </w:tr>
    </w:tbl>
    <w:p>
      <w:pPr>
        <w:sectPr>
          <w:pgSz w:w="11900" w:h="16838" w:orient="portrait"/>
          <w:cols w:equalWidth="0" w:num="1">
            <w:col w:w="11220"/>
          </w:cols>
          <w:pgMar w:left="320" w:top="233" w:right="359" w:bottom="1440" w:gutter="0" w:footer="0" w:header="0"/>
        </w:sectPr>
      </w:pPr>
    </w:p>
    <w:bookmarkStart w:id="2" w:name="page3"/>
    <w:bookmarkEnd w:id="2"/>
    <w:p>
      <w:pPr>
        <w:ind w:left="9740"/>
        <w:spacing w:after="0"/>
        <w:rPr>
          <w:sz w:val="20"/>
          <w:szCs w:val="20"/>
          <w:color w:val="auto"/>
        </w:rPr>
      </w:pPr>
      <w:r>
        <w:rPr>
          <w:rFonts w:ascii="Arial" w:cs="Arial" w:eastAsia="Arial" w:hAnsi="Arial"/>
          <w:sz w:val="18"/>
          <w:szCs w:val="18"/>
          <w:color w:val="auto"/>
        </w:rPr>
        <w:t>Exhibit 1.01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CECO Environmental Corp.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reporting period from January 1, 2019 to December 31, 2019</w:t>
      </w:r>
    </w:p>
    <w:p>
      <w:pPr>
        <w:spacing w:after="0" w:line="211" w:lineRule="exact"/>
        <w:rPr>
          <w:sz w:val="20"/>
          <w:szCs w:val="20"/>
          <w:color w:val="auto"/>
        </w:rPr>
      </w:pPr>
    </w:p>
    <w:p>
      <w:pPr>
        <w:ind w:right="140" w:firstLine="640"/>
        <w:spacing w:after="0" w:line="263" w:lineRule="auto"/>
        <w:rPr>
          <w:sz w:val="20"/>
          <w:szCs w:val="20"/>
          <w:color w:val="auto"/>
        </w:rPr>
      </w:pPr>
      <w:r>
        <w:rPr>
          <w:rFonts w:ascii="Arial" w:cs="Arial" w:eastAsia="Arial" w:hAnsi="Arial"/>
          <w:sz w:val="18"/>
          <w:szCs w:val="18"/>
          <w:color w:val="auto"/>
        </w:rPr>
        <w:t>This Conflict Minerals Report (this “</w:t>
      </w:r>
      <w:r>
        <w:rPr>
          <w:rFonts w:ascii="Arial" w:cs="Arial" w:eastAsia="Arial" w:hAnsi="Arial"/>
          <w:sz w:val="18"/>
          <w:szCs w:val="18"/>
          <w:b w:val="1"/>
          <w:bCs w:val="1"/>
          <w:i w:val="1"/>
          <w:iCs w:val="1"/>
          <w:color w:val="auto"/>
        </w:rPr>
        <w:t>Report</w:t>
      </w:r>
      <w:r>
        <w:rPr>
          <w:rFonts w:ascii="Arial" w:cs="Arial" w:eastAsia="Arial" w:hAnsi="Arial"/>
          <w:sz w:val="18"/>
          <w:szCs w:val="18"/>
          <w:color w:val="auto"/>
        </w:rPr>
        <w:t>”) of CECO Environmental Corp. (including its consolidated subsidiaries,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 has been prepared pursuant to Rule 13p-1 and Form SD promulgated under the Securities Exchange Act of 1934 for the reporting period from January 1, 2019 to December 31, 2019 (the “</w:t>
      </w:r>
      <w:r>
        <w:rPr>
          <w:rFonts w:ascii="Arial" w:cs="Arial" w:eastAsia="Arial" w:hAnsi="Arial"/>
          <w:sz w:val="18"/>
          <w:szCs w:val="18"/>
          <w:b w:val="1"/>
          <w:bCs w:val="1"/>
          <w:i w:val="1"/>
          <w:iCs w:val="1"/>
          <w:color w:val="auto"/>
        </w:rPr>
        <w:t>Reporting Period</w:t>
      </w:r>
      <w:r>
        <w:rPr>
          <w:rFonts w:ascii="Arial" w:cs="Arial" w:eastAsia="Arial" w:hAnsi="Arial"/>
          <w:sz w:val="18"/>
          <w:szCs w:val="18"/>
          <w:color w:val="auto"/>
        </w:rPr>
        <w:t>”).</w:t>
      </w:r>
    </w:p>
    <w:p>
      <w:pPr>
        <w:spacing w:after="0" w:line="184" w:lineRule="exact"/>
        <w:rPr>
          <w:sz w:val="20"/>
          <w:szCs w:val="20"/>
          <w:color w:val="auto"/>
        </w:rPr>
      </w:pPr>
    </w:p>
    <w:p>
      <w:pPr>
        <w:jc w:val="both"/>
        <w:ind w:right="100" w:firstLine="640"/>
        <w:spacing w:after="0" w:line="286" w:lineRule="auto"/>
        <w:rPr>
          <w:sz w:val="20"/>
          <w:szCs w:val="20"/>
          <w:color w:val="auto"/>
        </w:rPr>
      </w:pPr>
      <w:r>
        <w:rPr>
          <w:rFonts w:ascii="Arial" w:cs="Arial" w:eastAsia="Arial" w:hAnsi="Arial"/>
          <w:sz w:val="16"/>
          <w:szCs w:val="16"/>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Arial" w:cs="Arial" w:eastAsia="Arial" w:hAnsi="Arial"/>
          <w:sz w:val="16"/>
          <w:szCs w:val="16"/>
          <w:b w:val="1"/>
          <w:bCs w:val="1"/>
          <w:i w:val="1"/>
          <w:iCs w:val="1"/>
          <w:color w:val="auto"/>
        </w:rPr>
        <w:t>conflict minerals</w:t>
      </w:r>
      <w:r>
        <w:rPr>
          <w:rFonts w:ascii="Arial" w:cs="Arial" w:eastAsia="Arial" w:hAnsi="Arial"/>
          <w:sz w:val="16"/>
          <w:szCs w:val="16"/>
          <w:color w:val="auto"/>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w:t>
      </w:r>
    </w:p>
    <w:p>
      <w:pPr>
        <w:spacing w:after="0" w:line="1" w:lineRule="exact"/>
        <w:rPr>
          <w:sz w:val="20"/>
          <w:szCs w:val="20"/>
          <w:color w:val="auto"/>
        </w:rPr>
      </w:pPr>
    </w:p>
    <w:p>
      <w:pPr>
        <w:ind w:right="260" w:firstLine="8"/>
        <w:spacing w:after="0" w:line="260"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other mineral or its derivatives determined by the U.S. Secretary of State to be financing conflict in the Democratic Republic of the Congo or an “adjoining country,” as such term is defined in Form SD (collectively, the “</w:t>
      </w:r>
      <w:r>
        <w:rPr>
          <w:rFonts w:ascii="Arial" w:cs="Arial" w:eastAsia="Arial" w:hAnsi="Arial"/>
          <w:sz w:val="18"/>
          <w:szCs w:val="18"/>
          <w:b w:val="1"/>
          <w:bCs w:val="1"/>
          <w:i w:val="1"/>
          <w:iCs w:val="1"/>
          <w:color w:val="auto"/>
        </w:rPr>
        <w:t>Covered Countries</w:t>
      </w:r>
      <w:r>
        <w:rPr>
          <w:rFonts w:ascii="Arial" w:cs="Arial" w:eastAsia="Arial" w:hAnsi="Arial"/>
          <w:sz w:val="18"/>
          <w:szCs w:val="18"/>
          <w:color w:val="auto"/>
        </w:rPr>
        <w:t>”).</w:t>
      </w:r>
    </w:p>
    <w:p>
      <w:pPr>
        <w:spacing w:after="0" w:line="185" w:lineRule="exact"/>
        <w:rPr>
          <w:sz w:val="20"/>
          <w:szCs w:val="20"/>
          <w:color w:val="auto"/>
        </w:rPr>
      </w:pPr>
    </w:p>
    <w:p>
      <w:pPr>
        <w:ind w:right="60" w:firstLine="640"/>
        <w:spacing w:after="0" w:line="288" w:lineRule="auto"/>
        <w:rPr>
          <w:sz w:val="20"/>
          <w:szCs w:val="20"/>
          <w:color w:val="auto"/>
        </w:rPr>
      </w:pPr>
      <w:r>
        <w:rPr>
          <w:rFonts w:ascii="Arial" w:cs="Arial" w:eastAsia="Arial" w:hAnsi="Arial"/>
          <w:sz w:val="16"/>
          <w:szCs w:val="16"/>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materially vary from those expressed. For a more complete discussion of these and other risk factors, see the Company’s other filings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including its Annual Report on Form 10-K for the year ended December 31, 2019 and subsequent Quarterly Reports on Form 10-Q. The Company makes these statements as of the date of this disclosure, and undertakes no obligation to update them unless otherwise required by law.</w:t>
      </w:r>
    </w:p>
    <w:p>
      <w:pPr>
        <w:spacing w:after="0" w:line="168" w:lineRule="exact"/>
        <w:rPr>
          <w:sz w:val="20"/>
          <w:szCs w:val="20"/>
          <w:color w:val="auto"/>
        </w:rPr>
      </w:pPr>
    </w:p>
    <w:p>
      <w:pPr>
        <w:ind w:firstLine="640"/>
        <w:spacing w:after="0" w:line="271" w:lineRule="auto"/>
        <w:rPr>
          <w:sz w:val="20"/>
          <w:szCs w:val="20"/>
          <w:color w:val="auto"/>
        </w:rPr>
      </w:pPr>
      <w:r>
        <w:rPr>
          <w:rFonts w:ascii="Arial" w:cs="Arial" w:eastAsia="Arial" w:hAnsi="Arial"/>
          <w:sz w:val="17"/>
          <w:szCs w:val="17"/>
          <w:color w:val="auto"/>
        </w:rPr>
        <w:t>The Company’s operations may at times manufacture, or contract to manufacture, products for which conflict minerals are necessary to the functionality or production of those products (collectively, the “</w:t>
      </w:r>
      <w:r>
        <w:rPr>
          <w:rFonts w:ascii="Arial" w:cs="Arial" w:eastAsia="Arial" w:hAnsi="Arial"/>
          <w:sz w:val="17"/>
          <w:szCs w:val="17"/>
          <w:b w:val="1"/>
          <w:bCs w:val="1"/>
          <w:i w:val="1"/>
          <w:iCs w:val="1"/>
          <w:color w:val="auto"/>
        </w:rPr>
        <w:t>products</w:t>
      </w:r>
      <w:r>
        <w:rPr>
          <w:rFonts w:ascii="Arial" w:cs="Arial" w:eastAsia="Arial" w:hAnsi="Arial"/>
          <w:sz w:val="17"/>
          <w:szCs w:val="17"/>
          <w:color w:val="auto"/>
        </w:rPr>
        <w:t>”). As required by Form SD, the Company has conducted a good faith reasonable country of origin inquiry (“</w:t>
      </w:r>
      <w:r>
        <w:rPr>
          <w:rFonts w:ascii="Arial" w:cs="Arial" w:eastAsia="Arial" w:hAnsi="Arial"/>
          <w:sz w:val="17"/>
          <w:szCs w:val="17"/>
          <w:b w:val="1"/>
          <w:bCs w:val="1"/>
          <w:i w:val="1"/>
          <w:iCs w:val="1"/>
          <w:color w:val="auto"/>
        </w:rPr>
        <w:t>RCOI</w:t>
      </w:r>
      <w:r>
        <w:rPr>
          <w:rFonts w:ascii="Arial" w:cs="Arial" w:eastAsia="Arial" w:hAnsi="Arial"/>
          <w:sz w:val="17"/>
          <w:szCs w:val="17"/>
          <w:color w:val="auto"/>
        </w:rPr>
        <w:t>”) regarding the conflict minerals included in the products during the Reporting Period, which the Company refers to as the “</w:t>
      </w:r>
      <w:r>
        <w:rPr>
          <w:rFonts w:ascii="Arial" w:cs="Arial" w:eastAsia="Arial" w:hAnsi="Arial"/>
          <w:sz w:val="17"/>
          <w:szCs w:val="17"/>
          <w:b w:val="1"/>
          <w:bCs w:val="1"/>
          <w:i w:val="1"/>
          <w:iCs w:val="1"/>
          <w:color w:val="auto"/>
        </w:rPr>
        <w:t>Subject Minerals</w:t>
      </w:r>
      <w:r>
        <w:rPr>
          <w:rFonts w:ascii="Arial" w:cs="Arial" w:eastAsia="Arial" w:hAnsi="Arial"/>
          <w:sz w:val="17"/>
          <w:szCs w:val="17"/>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www.cecoenviro.com/sec-filings. The content on, or accessible through, any website referred to in this Report is not incorporated by reference into this Report unless expressly noted.</w:t>
      </w:r>
    </w:p>
    <w:p>
      <w:pPr>
        <w:spacing w:after="0" w:line="174"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RCOI and Due Diligence Process.</w:t>
      </w:r>
    </w:p>
    <w:p>
      <w:pPr>
        <w:spacing w:after="0" w:line="229" w:lineRule="exact"/>
        <w:rPr>
          <w:sz w:val="20"/>
          <w:szCs w:val="20"/>
          <w:color w:val="auto"/>
        </w:rPr>
      </w:pPr>
    </w:p>
    <w:p>
      <w:pPr>
        <w:ind w:right="140" w:firstLine="640"/>
        <w:spacing w:after="0" w:line="273" w:lineRule="auto"/>
        <w:rPr>
          <w:sz w:val="20"/>
          <w:szCs w:val="20"/>
          <w:color w:val="auto"/>
        </w:rPr>
      </w:pPr>
      <w:r>
        <w:rPr>
          <w:rFonts w:ascii="Arial" w:cs="Arial" w:eastAsia="Arial" w:hAnsi="Arial"/>
          <w:sz w:val="17"/>
          <w:szCs w:val="17"/>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Third Edition, including the related supplements on gold, tin, tantalum and tungsten (the “</w:t>
      </w:r>
      <w:r>
        <w:rPr>
          <w:rFonts w:ascii="Arial" w:cs="Arial" w:eastAsia="Arial" w:hAnsi="Arial"/>
          <w:sz w:val="17"/>
          <w:szCs w:val="17"/>
          <w:b w:val="1"/>
          <w:bCs w:val="1"/>
          <w:i w:val="1"/>
          <w:iCs w:val="1"/>
          <w:color w:val="auto"/>
        </w:rPr>
        <w:t>OECD Guidelines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RCOI</w:t>
      </w:r>
    </w:p>
    <w:p>
      <w:pPr>
        <w:spacing w:after="0" w:line="229" w:lineRule="exact"/>
        <w:rPr>
          <w:sz w:val="20"/>
          <w:szCs w:val="20"/>
          <w:color w:val="auto"/>
        </w:rPr>
      </w:pPr>
    </w:p>
    <w:p>
      <w:pPr>
        <w:ind w:right="60" w:firstLine="640"/>
        <w:spacing w:after="0" w:line="273" w:lineRule="auto"/>
        <w:rPr>
          <w:sz w:val="20"/>
          <w:szCs w:val="20"/>
          <w:color w:val="auto"/>
        </w:rPr>
      </w:pPr>
      <w:r>
        <w:rPr>
          <w:rFonts w:ascii="Arial" w:cs="Arial" w:eastAsia="Arial" w:hAnsi="Arial"/>
          <w:sz w:val="17"/>
          <w:szCs w:val="17"/>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78" w:lineRule="exact"/>
        <w:rPr>
          <w:sz w:val="20"/>
          <w:szCs w:val="20"/>
          <w:color w:val="auto"/>
        </w:rPr>
      </w:pPr>
    </w:p>
    <w:p>
      <w:pPr>
        <w:ind w:right="320" w:firstLine="640"/>
        <w:spacing w:after="0" w:line="273" w:lineRule="auto"/>
        <w:rPr>
          <w:sz w:val="20"/>
          <w:szCs w:val="20"/>
          <w:color w:val="auto"/>
        </w:rPr>
      </w:pPr>
      <w:r>
        <w:rPr>
          <w:rFonts w:ascii="Arial" w:cs="Arial" w:eastAsia="Arial" w:hAnsi="Arial"/>
          <w:sz w:val="17"/>
          <w:szCs w:val="17"/>
          <w:color w:val="auto"/>
        </w:rPr>
        <w:t>The Company worked to identify direct suppliers that it believed potentially provided materials or components containing Subject Minerals (collectively, the “</w:t>
      </w:r>
      <w:r>
        <w:rPr>
          <w:rFonts w:ascii="Arial" w:cs="Arial" w:eastAsia="Arial" w:hAnsi="Arial"/>
          <w:sz w:val="17"/>
          <w:szCs w:val="17"/>
          <w:b w:val="1"/>
          <w:bCs w:val="1"/>
          <w:i w:val="1"/>
          <w:iCs w:val="1"/>
          <w:color w:val="auto"/>
        </w:rPr>
        <w:t>Covered Suppliers</w:t>
      </w:r>
      <w:r>
        <w:rPr>
          <w:rFonts w:ascii="Arial" w:cs="Arial" w:eastAsia="Arial" w:hAnsi="Arial"/>
          <w:sz w:val="17"/>
          <w:szCs w:val="17"/>
          <w:color w:val="auto"/>
        </w:rPr>
        <w:t>”) during the Reporting Period. The Company then included additional questions regarding conflict minerals in its Supplier Questionnaire on Conflict Minerals, which the Company refers to as the “</w:t>
      </w:r>
      <w:r>
        <w:rPr>
          <w:rFonts w:ascii="Arial" w:cs="Arial" w:eastAsia="Arial" w:hAnsi="Arial"/>
          <w:sz w:val="17"/>
          <w:szCs w:val="17"/>
          <w:b w:val="1"/>
          <w:bCs w:val="1"/>
          <w:i w:val="1"/>
          <w:iCs w:val="1"/>
          <w:color w:val="auto"/>
        </w:rPr>
        <w:t>Supplier Questionnaire</w:t>
      </w:r>
      <w:r>
        <w:rPr>
          <w:rFonts w:ascii="Arial" w:cs="Arial" w:eastAsia="Arial" w:hAnsi="Arial"/>
          <w:sz w:val="17"/>
          <w:szCs w:val="17"/>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78" w:lineRule="exact"/>
        <w:rPr>
          <w:sz w:val="20"/>
          <w:szCs w:val="20"/>
          <w:color w:val="auto"/>
        </w:rPr>
      </w:pPr>
    </w:p>
    <w:p>
      <w:pPr>
        <w:jc w:val="both"/>
        <w:ind w:right="140" w:firstLine="640"/>
        <w:spacing w:after="0" w:line="263" w:lineRule="auto"/>
        <w:rPr>
          <w:sz w:val="20"/>
          <w:szCs w:val="20"/>
          <w:color w:val="auto"/>
        </w:rPr>
      </w:pPr>
      <w:r>
        <w:rPr>
          <w:rFonts w:ascii="Arial" w:cs="Arial" w:eastAsia="Arial" w:hAnsi="Arial"/>
          <w:sz w:val="18"/>
          <w:szCs w:val="18"/>
          <w:color w:val="auto"/>
        </w:rPr>
        <w:t>The Company, through its three business segments, operates as a leading global provider of engineered technologies focused on critical solutions in the energy, industrial and fluid handling segments. The Company, with respect to the Reporting Period, reasonably determined that all of its segments’ product groups contained Subject Minerals.</w:t>
      </w:r>
    </w:p>
    <w:p>
      <w:pPr>
        <w:spacing w:after="0" w:line="184" w:lineRule="exact"/>
        <w:rPr>
          <w:sz w:val="20"/>
          <w:szCs w:val="20"/>
          <w:color w:val="auto"/>
        </w:rPr>
      </w:pPr>
    </w:p>
    <w:p>
      <w:pPr>
        <w:ind w:right="200" w:firstLine="640"/>
        <w:spacing w:after="0" w:line="271" w:lineRule="auto"/>
        <w:rPr>
          <w:sz w:val="20"/>
          <w:szCs w:val="20"/>
          <w:color w:val="auto"/>
        </w:rPr>
      </w:pPr>
      <w:r>
        <w:rPr>
          <w:rFonts w:ascii="Arial" w:cs="Arial" w:eastAsia="Arial" w:hAnsi="Arial"/>
          <w:sz w:val="17"/>
          <w:szCs w:val="17"/>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Arial" w:cs="Arial" w:eastAsia="Arial" w:hAnsi="Arial"/>
          <w:sz w:val="17"/>
          <w:szCs w:val="17"/>
          <w:i w:val="1"/>
          <w:iCs w:val="1"/>
          <w:color w:val="auto"/>
        </w:rPr>
        <w:t>e.g.</w:t>
      </w:r>
      <w:r>
        <w:rPr>
          <w:rFonts w:ascii="Arial" w:cs="Arial" w:eastAsia="Arial" w:hAnsi="Arial"/>
          <w:sz w:val="17"/>
          <w:szCs w:val="17"/>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78" w:lineRule="exact"/>
        <w:rPr>
          <w:sz w:val="20"/>
          <w:szCs w:val="20"/>
          <w:color w:val="auto"/>
        </w:rPr>
      </w:pPr>
    </w:p>
    <w:p>
      <w:pPr>
        <w:jc w:val="both"/>
        <w:ind w:right="320" w:firstLine="640"/>
        <w:spacing w:after="0" w:line="263" w:lineRule="auto"/>
        <w:rPr>
          <w:sz w:val="20"/>
          <w:szCs w:val="20"/>
          <w:color w:val="auto"/>
        </w:rPr>
      </w:pPr>
      <w:r>
        <w:rPr>
          <w:rFonts w:ascii="Arial" w:cs="Arial" w:eastAsia="Arial" w:hAnsi="Arial"/>
          <w:sz w:val="18"/>
          <w:szCs w:val="18"/>
          <w:color w:val="auto"/>
        </w:rPr>
        <w:t>In general, the Company obtained completed Supplier Questionnaires or similar representations from Covered Suppliers. Such representations included, from certain Covered Suppliers, the Responsible Minerals Initiative (“RMI”) Conflict Minerals Reporting Template, indicating the facility at which the Subject Minerals were processed.</w:t>
      </w:r>
    </w:p>
    <w:p>
      <w:pPr>
        <w:spacing w:after="0" w:line="184" w:lineRule="exact"/>
        <w:rPr>
          <w:sz w:val="20"/>
          <w:szCs w:val="20"/>
          <w:color w:val="auto"/>
        </w:rPr>
      </w:pPr>
    </w:p>
    <w:p>
      <w:pPr>
        <w:ind w:firstLine="640"/>
        <w:spacing w:after="0" w:line="269" w:lineRule="auto"/>
        <w:rPr>
          <w:sz w:val="20"/>
          <w:szCs w:val="20"/>
          <w:color w:val="auto"/>
        </w:rPr>
      </w:pPr>
      <w:r>
        <w:rPr>
          <w:rFonts w:ascii="Arial" w:cs="Arial" w:eastAsia="Arial" w:hAnsi="Arial"/>
          <w:sz w:val="17"/>
          <w:szCs w:val="17"/>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 Supplier Questionnaires or similar representations from Covered Suppliers that listed smelter or refiner names 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 RCOI procedures are an evolving process. See “</w:t>
      </w:r>
      <w:r>
        <w:rPr>
          <w:rFonts w:ascii="Arial" w:cs="Arial" w:eastAsia="Arial" w:hAnsi="Arial"/>
          <w:sz w:val="17"/>
          <w:szCs w:val="17"/>
          <w:i w:val="1"/>
          <w:iCs w:val="1"/>
          <w:color w:val="auto"/>
        </w:rPr>
        <w:t>Additional Due Diligence and Risk Mitigation</w:t>
      </w:r>
      <w:r>
        <w:rPr>
          <w:rFonts w:ascii="Arial" w:cs="Arial" w:eastAsia="Arial" w:hAnsi="Arial"/>
          <w:sz w:val="17"/>
          <w:szCs w:val="17"/>
          <w:color w:val="auto"/>
        </w:rPr>
        <w:t>” below for additional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Due Diligence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due diligence process is based on the OECD Guidelines. Due diligence measures undertaken by the Company during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Reporting Period included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Strong Company Management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Internal Team to Support Supply Chain Due Diligence.</w:t>
      </w:r>
    </w:p>
    <w:p>
      <w:pPr>
        <w:spacing w:after="0" w:line="225" w:lineRule="exact"/>
        <w:rPr>
          <w:sz w:val="20"/>
          <w:szCs w:val="20"/>
          <w:color w:val="auto"/>
        </w:rPr>
      </w:pPr>
    </w:p>
    <w:p>
      <w:pPr>
        <w:ind w:right="80" w:firstLine="640"/>
        <w:spacing w:after="0" w:line="273" w:lineRule="auto"/>
        <w:rPr>
          <w:sz w:val="20"/>
          <w:szCs w:val="20"/>
          <w:color w:val="auto"/>
        </w:rPr>
      </w:pPr>
      <w:r>
        <w:rPr>
          <w:rFonts w:ascii="Arial" w:cs="Arial" w:eastAsia="Arial" w:hAnsi="Arial"/>
          <w:sz w:val="17"/>
          <w:szCs w:val="17"/>
          <w:color w:val="auto"/>
        </w:rPr>
        <w:t>The Company has established an internal team to manage conflict minerals engagement with its suppliers. During the Reporting Period, the Company held meetings with legal advisors, the Company’s Chief Financial Officer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Internal Measures Taken to Strengthen Engagement with Suppliers.</w:t>
      </w:r>
    </w:p>
    <w:p>
      <w:pPr>
        <w:spacing w:after="0" w:line="225" w:lineRule="exact"/>
        <w:rPr>
          <w:sz w:val="20"/>
          <w:szCs w:val="20"/>
          <w:color w:val="auto"/>
        </w:rPr>
      </w:pPr>
    </w:p>
    <w:p>
      <w:pPr>
        <w:ind w:right="300" w:firstLine="640"/>
        <w:spacing w:after="0" w:line="301" w:lineRule="auto"/>
        <w:rPr>
          <w:sz w:val="20"/>
          <w:szCs w:val="20"/>
          <w:color w:val="auto"/>
        </w:rPr>
      </w:pPr>
      <w:r>
        <w:rPr>
          <w:rFonts w:ascii="Arial" w:cs="Arial" w:eastAsia="Arial" w:hAnsi="Arial"/>
          <w:sz w:val="16"/>
          <w:szCs w:val="16"/>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Adoption of Conflict Minerals Policy.</w:t>
      </w:r>
    </w:p>
    <w:p>
      <w:pPr>
        <w:spacing w:after="0" w:line="225" w:lineRule="exact"/>
        <w:rPr>
          <w:sz w:val="20"/>
          <w:szCs w:val="20"/>
          <w:color w:val="auto"/>
        </w:rPr>
      </w:pPr>
    </w:p>
    <w:p>
      <w:pPr>
        <w:ind w:right="160" w:firstLine="640"/>
        <w:spacing w:after="0" w:line="311" w:lineRule="auto"/>
        <w:rPr>
          <w:sz w:val="20"/>
          <w:szCs w:val="20"/>
          <w:color w:val="auto"/>
        </w:rPr>
      </w:pPr>
      <w:r>
        <w:rPr>
          <w:rFonts w:ascii="Arial" w:cs="Arial" w:eastAsia="Arial" w:hAnsi="Arial"/>
          <w:sz w:val="16"/>
          <w:szCs w:val="16"/>
          <w:color w:val="auto"/>
        </w:rPr>
        <w:t>Within the Company’s supplier relationships, the Company seeks to ethically manage its sourcing processes and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https://investors.cecoenviro.com/conflict-minerals-policy.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 and Assess Risks in the Supply Chain</w:t>
      </w:r>
    </w:p>
    <w:p>
      <w:pPr>
        <w:spacing w:after="0" w:line="225" w:lineRule="exact"/>
        <w:rPr>
          <w:sz w:val="20"/>
          <w:szCs w:val="20"/>
          <w:color w:val="auto"/>
        </w:rPr>
      </w:pPr>
    </w:p>
    <w:p>
      <w:pPr>
        <w:ind w:right="640" w:firstLine="640"/>
        <w:spacing w:after="0" w:line="277" w:lineRule="auto"/>
        <w:rPr>
          <w:sz w:val="20"/>
          <w:szCs w:val="20"/>
          <w:color w:val="auto"/>
        </w:rPr>
      </w:pPr>
      <w:r>
        <w:rPr>
          <w:rFonts w:ascii="Arial" w:cs="Arial" w:eastAsia="Arial" w:hAnsi="Arial"/>
          <w:sz w:val="18"/>
          <w:szCs w:val="18"/>
          <w:color w:val="auto"/>
        </w:rPr>
        <w:t>As discussed above, the Company continues to assess its supply chain risks and work with its suppliers in developing greater supply chain transparency.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and Implement a Strategy to Respond to Identified Risks</w:t>
      </w:r>
    </w:p>
    <w:p>
      <w:pPr>
        <w:spacing w:after="0" w:line="225" w:lineRule="exact"/>
        <w:rPr>
          <w:sz w:val="20"/>
          <w:szCs w:val="20"/>
          <w:color w:val="auto"/>
        </w:rPr>
      </w:pPr>
    </w:p>
    <w:p>
      <w:pPr>
        <w:ind w:firstLine="640"/>
        <w:spacing w:after="0" w:line="271" w:lineRule="auto"/>
        <w:rPr>
          <w:sz w:val="20"/>
          <w:szCs w:val="20"/>
          <w:color w:val="auto"/>
        </w:rPr>
      </w:pPr>
      <w:r>
        <w:rPr>
          <w:rFonts w:ascii="Arial" w:cs="Arial" w:eastAsia="Arial" w:hAnsi="Arial"/>
          <w:sz w:val="17"/>
          <w:szCs w:val="17"/>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Carry Out Independent Third-Party Audit of Smelter’s / Refiner’s Due Diligence Practices</w:t>
      </w:r>
    </w:p>
    <w:p>
      <w:pPr>
        <w:spacing w:after="0" w:line="225" w:lineRule="exact"/>
        <w:rPr>
          <w:sz w:val="20"/>
          <w:szCs w:val="20"/>
          <w:color w:val="auto"/>
        </w:rPr>
      </w:pPr>
    </w:p>
    <w:p>
      <w:pPr>
        <w:ind w:firstLine="640"/>
        <w:spacing w:after="0" w:line="263" w:lineRule="auto"/>
        <w:rPr>
          <w:sz w:val="20"/>
          <w:szCs w:val="20"/>
          <w:color w:val="auto"/>
        </w:rPr>
      </w:pPr>
      <w:r>
        <w:rPr>
          <w:rFonts w:ascii="Arial" w:cs="Arial" w:eastAsia="Arial" w:hAnsi="Arial"/>
          <w:sz w:val="18"/>
          <w:szCs w:val="18"/>
          <w:color w:val="auto"/>
        </w:rPr>
        <w:t>Where possible, the Company has relied on third-party assurances and certifications. For example, the Company accepts as reliable any smelter that is compliant with the RMI Responsible Mineral Assurance Process standards. To the extent that other audited supplier certifications are provided to the Company, the Company may consider reliance on a case-by-case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Annually on Supply Chain Due Diligence</w:t>
      </w:r>
    </w:p>
    <w:p>
      <w:pPr>
        <w:spacing w:after="0" w:line="225" w:lineRule="exact"/>
        <w:rPr>
          <w:sz w:val="20"/>
          <w:szCs w:val="20"/>
          <w:color w:val="auto"/>
        </w:rPr>
      </w:pPr>
    </w:p>
    <w:p>
      <w:pPr>
        <w:ind w:right="440" w:firstLine="640"/>
        <w:spacing w:after="0" w:line="277" w:lineRule="auto"/>
        <w:rPr>
          <w:sz w:val="20"/>
          <w:szCs w:val="20"/>
          <w:color w:val="auto"/>
        </w:rPr>
      </w:pPr>
      <w:r>
        <w:rPr>
          <w:rFonts w:ascii="Arial" w:cs="Arial" w:eastAsia="Arial" w:hAnsi="Arial"/>
          <w:sz w:val="18"/>
          <w:szCs w:val="18"/>
          <w:color w:val="auto"/>
        </w:rPr>
        <w:t>The Form SD and this Report are publicly available at www.cecoenviro.com/sec-filings and meet the OECD Guidelines’ recommendation to report annually on supply chain due diligence.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Due Diligence Results.</w:t>
      </w:r>
    </w:p>
    <w:p>
      <w:pPr>
        <w:spacing w:after="0" w:line="229" w:lineRule="exact"/>
        <w:rPr>
          <w:sz w:val="20"/>
          <w:szCs w:val="20"/>
          <w:color w:val="auto"/>
        </w:rPr>
      </w:pPr>
    </w:p>
    <w:p>
      <w:pPr>
        <w:ind w:right="140" w:firstLine="640"/>
        <w:spacing w:after="0" w:line="301" w:lineRule="auto"/>
        <w:rPr>
          <w:sz w:val="20"/>
          <w:szCs w:val="20"/>
          <w:color w:val="auto"/>
        </w:rPr>
      </w:pPr>
      <w:r>
        <w:rPr>
          <w:rFonts w:ascii="Arial" w:cs="Arial" w:eastAsia="Arial" w:hAnsi="Arial"/>
          <w:sz w:val="16"/>
          <w:szCs w:val="16"/>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Additional Due Diligence and Risk Mitigation.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expects to take the following steps, among others, to improve its RCOI process and due diligence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Terms and Conditions / Supplier Code of Conduct</w:t>
      </w:r>
    </w:p>
    <w:p>
      <w:pPr>
        <w:spacing w:after="0" w:line="225" w:lineRule="exact"/>
        <w:rPr>
          <w:sz w:val="20"/>
          <w:szCs w:val="20"/>
          <w:color w:val="auto"/>
        </w:rPr>
      </w:pPr>
    </w:p>
    <w:p>
      <w:pPr>
        <w:ind w:firstLine="640"/>
        <w:spacing w:after="0" w:line="273" w:lineRule="auto"/>
        <w:rPr>
          <w:sz w:val="20"/>
          <w:szCs w:val="20"/>
          <w:color w:val="auto"/>
        </w:rPr>
      </w:pPr>
      <w:r>
        <w:rPr>
          <w:rFonts w:ascii="Arial" w:cs="Arial" w:eastAsia="Arial" w:hAnsi="Arial"/>
          <w:sz w:val="17"/>
          <w:szCs w:val="17"/>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may establish a supplier code of conduct to prohibit suppliers from supplying the Company with certain conflict minerals originating in the Covered Countries.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Improvement of Supply Chain Due Diligence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expects to continue to improve its supply chain due diligence efforts. Such measures may include, but are not limited to:</w:t>
      </w:r>
    </w:p>
    <w:p>
      <w:pPr>
        <w:spacing w:after="0" w:line="237" w:lineRule="exact"/>
        <w:rPr>
          <w:sz w:val="20"/>
          <w:szCs w:val="20"/>
          <w:color w:val="auto"/>
        </w:rPr>
      </w:pPr>
    </w:p>
    <w:p>
      <w:pPr>
        <w:ind w:left="900" w:hanging="60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assessing the presence of conflict minerals in its supply chain;</w:t>
      </w:r>
    </w:p>
    <w:p>
      <w:pPr>
        <w:spacing w:after="0" w:line="265" w:lineRule="exact"/>
        <w:rPr>
          <w:rFonts w:ascii="Arial" w:cs="Arial" w:eastAsia="Arial" w:hAnsi="Arial"/>
          <w:sz w:val="18"/>
          <w:szCs w:val="18"/>
          <w:color w:val="auto"/>
        </w:rPr>
      </w:pPr>
    </w:p>
    <w:p>
      <w:pPr>
        <w:ind w:left="900" w:hanging="60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clearly communicating expectations with regard to transparency of supplier sourcing of conflict minerals;</w:t>
      </w:r>
    </w:p>
    <w:p>
      <w:pPr>
        <w:spacing w:after="0" w:line="265" w:lineRule="exact"/>
        <w:rPr>
          <w:rFonts w:ascii="Arial" w:cs="Arial" w:eastAsia="Arial" w:hAnsi="Arial"/>
          <w:sz w:val="18"/>
          <w:szCs w:val="18"/>
          <w:color w:val="auto"/>
        </w:rPr>
      </w:pPr>
    </w:p>
    <w:p>
      <w:pPr>
        <w:ind w:left="900" w:hanging="60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the response rate for the RCOI process;</w:t>
      </w:r>
    </w:p>
    <w:p>
      <w:pPr>
        <w:spacing w:after="0" w:line="265" w:lineRule="exact"/>
        <w:rPr>
          <w:rFonts w:ascii="Arial" w:cs="Arial" w:eastAsia="Arial" w:hAnsi="Arial"/>
          <w:sz w:val="18"/>
          <w:szCs w:val="18"/>
          <w:color w:val="auto"/>
        </w:rPr>
      </w:pPr>
    </w:p>
    <w:p>
      <w:pPr>
        <w:ind w:left="900" w:right="1760" w:hanging="60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continuing to compare RCOI results to information collected via independent conflict free smelter validation programs such as the RMI Responsible Mineral Assurance Process standards; and</w:t>
      </w:r>
    </w:p>
    <w:p>
      <w:pPr>
        <w:spacing w:after="0" w:line="183" w:lineRule="exact"/>
        <w:rPr>
          <w:rFonts w:ascii="Arial" w:cs="Arial" w:eastAsia="Arial" w:hAnsi="Arial"/>
          <w:sz w:val="18"/>
          <w:szCs w:val="18"/>
          <w:color w:val="auto"/>
        </w:rPr>
      </w:pPr>
    </w:p>
    <w:p>
      <w:pPr>
        <w:ind w:left="900" w:right="1700" w:hanging="60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contacting smelters identified as a result of the RCOI process and requesting their compliance with an industry program such as the RMI Responsible Mineral Assurance Process standards.</w:t>
      </w:r>
    </w:p>
    <w:sectPr>
      <w:pgSz w:w="11900" w:h="16838" w:orient="portrait"/>
      <w:cols w:equalWidth="0" w:num="1">
        <w:col w:w="11220"/>
      </w:cols>
      <w:pgMar w:left="320" w:top="12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2020-05-27T15:22:51Z</dcterms:created>
  <dcterms:modified xsi:type="dcterms:W3CDTF">2020-05-27T15:22:51Z</dcterms:modified>
</cp:coreProperties>
</file>