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115570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134620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March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130810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116205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5"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3600" w:type="dxa"/>
            <w:vAlign w:val="bottom"/>
          </w:tcPr>
          <w:p>
            <w:pPr>
              <w:jc w:val="center"/>
              <w:ind w:right="1863"/>
              <w:spacing w:after="0"/>
              <w:rPr>
                <w:sz w:val="20"/>
                <w:szCs w:val="20"/>
                <w:color w:val="auto"/>
              </w:rPr>
            </w:pPr>
            <w:r>
              <w:rPr>
                <w:rFonts w:ascii="Arial" w:cs="Arial" w:eastAsia="Arial" w:hAnsi="Arial"/>
                <w:sz w:val="16"/>
                <w:szCs w:val="16"/>
                <w:b w:val="1"/>
                <w:bCs w:val="1"/>
                <w:color w:val="auto"/>
                <w:w w:val="93"/>
              </w:rPr>
              <w:t>Delaware</w:t>
            </w:r>
          </w:p>
        </w:tc>
        <w:tc>
          <w:tcPr>
            <w:tcW w:w="2520" w:type="dxa"/>
            <w:vAlign w:val="bottom"/>
          </w:tcPr>
          <w:p>
            <w:pPr>
              <w:jc w:val="center"/>
              <w:ind w:right="345"/>
              <w:spacing w:after="0"/>
              <w:rPr>
                <w:sz w:val="20"/>
                <w:szCs w:val="20"/>
                <w:color w:val="auto"/>
              </w:rPr>
            </w:pPr>
            <w:r>
              <w:rPr>
                <w:rFonts w:ascii="Arial" w:cs="Arial" w:eastAsia="Arial" w:hAnsi="Arial"/>
                <w:sz w:val="16"/>
                <w:szCs w:val="16"/>
                <w:b w:val="1"/>
                <w:bCs w:val="1"/>
                <w:color w:val="auto"/>
                <w:w w:val="91"/>
              </w:rPr>
              <w:t>000-7099</w:t>
            </w:r>
          </w:p>
        </w:tc>
        <w:tc>
          <w:tcPr>
            <w:tcW w:w="2900" w:type="dxa"/>
            <w:vAlign w:val="bottom"/>
          </w:tcPr>
          <w:p>
            <w:pPr>
              <w:jc w:val="center"/>
              <w:ind w:left="1724"/>
              <w:spacing w:after="0"/>
              <w:rPr>
                <w:sz w:val="20"/>
                <w:szCs w:val="20"/>
                <w:color w:val="auto"/>
              </w:rPr>
            </w:pPr>
            <w:r>
              <w:rPr>
                <w:rFonts w:ascii="Arial" w:cs="Arial" w:eastAsia="Arial" w:hAnsi="Arial"/>
                <w:sz w:val="16"/>
                <w:szCs w:val="16"/>
                <w:b w:val="1"/>
                <w:bCs w:val="1"/>
                <w:color w:val="auto"/>
                <w:w w:val="91"/>
              </w:rPr>
              <w:t>13-2566064</w:t>
            </w:r>
          </w:p>
        </w:tc>
        <w:tc>
          <w:tcPr>
            <w:tcW w:w="0" w:type="dxa"/>
            <w:vAlign w:val="bottom"/>
          </w:tcPr>
          <w:p>
            <w:pPr>
              <w:spacing w:after="0"/>
              <w:rPr>
                <w:sz w:val="1"/>
                <w:szCs w:val="1"/>
                <w:color w:val="auto"/>
              </w:rPr>
            </w:pPr>
          </w:p>
        </w:tc>
      </w:tr>
      <w:tr>
        <w:trPr>
          <w:trHeight w:val="148"/>
        </w:trPr>
        <w:tc>
          <w:tcPr>
            <w:tcW w:w="3600" w:type="dxa"/>
            <w:vAlign w:val="bottom"/>
          </w:tcPr>
          <w:p>
            <w:pPr>
              <w:jc w:val="center"/>
              <w:ind w:right="1863"/>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2520" w:type="dxa"/>
            <w:vAlign w:val="bottom"/>
          </w:tcPr>
          <w:p>
            <w:pPr>
              <w:jc w:val="center"/>
              <w:ind w:right="325"/>
              <w:spacing w:after="0" w:line="149" w:lineRule="exact"/>
              <w:rPr>
                <w:sz w:val="20"/>
                <w:szCs w:val="20"/>
                <w:color w:val="auto"/>
              </w:rPr>
            </w:pPr>
            <w:r>
              <w:rPr>
                <w:rFonts w:ascii="Arial" w:cs="Arial" w:eastAsia="Arial" w:hAnsi="Arial"/>
                <w:sz w:val="14"/>
                <w:szCs w:val="14"/>
                <w:b w:val="1"/>
                <w:bCs w:val="1"/>
                <w:color w:val="auto"/>
                <w:w w:val="90"/>
              </w:rPr>
              <w:t>(Commission</w:t>
            </w:r>
          </w:p>
        </w:tc>
        <w:tc>
          <w:tcPr>
            <w:tcW w:w="2900" w:type="dxa"/>
            <w:vAlign w:val="bottom"/>
          </w:tcPr>
          <w:p>
            <w:pPr>
              <w:jc w:val="center"/>
              <w:ind w:left="1724"/>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3600" w:type="dxa"/>
            <w:vAlign w:val="bottom"/>
          </w:tcPr>
          <w:p>
            <w:pPr>
              <w:jc w:val="center"/>
              <w:ind w:right="1863"/>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jc w:val="center"/>
              <w:ind w:right="325"/>
              <w:spacing w:after="0"/>
              <w:rPr>
                <w:sz w:val="20"/>
                <w:szCs w:val="20"/>
                <w:color w:val="auto"/>
              </w:rPr>
            </w:pPr>
            <w:r>
              <w:rPr>
                <w:rFonts w:ascii="Arial" w:cs="Arial" w:eastAsia="Arial" w:hAnsi="Arial"/>
                <w:sz w:val="14"/>
                <w:szCs w:val="14"/>
                <w:b w:val="1"/>
                <w:bCs w:val="1"/>
                <w:color w:val="auto"/>
                <w:w w:val="98"/>
              </w:rPr>
              <w:t>File Number)</w:t>
            </w:r>
          </w:p>
        </w:tc>
        <w:tc>
          <w:tcPr>
            <w:tcW w:w="2900" w:type="dxa"/>
            <w:vAlign w:val="bottom"/>
          </w:tcPr>
          <w:p>
            <w:pPr>
              <w:jc w:val="center"/>
              <w:ind w:left="170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63"/>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Suite 500</w:t>
            </w:r>
          </w:p>
        </w:tc>
        <w:tc>
          <w:tcPr>
            <w:tcW w:w="2520" w:type="dxa"/>
            <w:vAlign w:val="bottom"/>
          </w:tcPr>
          <w:p>
            <w:pPr>
              <w:spacing w:after="0"/>
              <w:rPr>
                <w:sz w:val="14"/>
                <w:szCs w:val="14"/>
                <w:color w:val="auto"/>
              </w:rPr>
            </w:pPr>
          </w:p>
        </w:tc>
        <w:tc>
          <w:tcPr>
            <w:tcW w:w="2900" w:type="dxa"/>
            <w:vAlign w:val="bottom"/>
            <w:vMerge w:val="restart"/>
          </w:tcPr>
          <w:p>
            <w:pPr>
              <w:jc w:val="right"/>
              <w:ind w:right="1224"/>
              <w:spacing w:after="0"/>
              <w:rPr>
                <w:sz w:val="20"/>
                <w:szCs w:val="20"/>
                <w:color w:val="auto"/>
              </w:rPr>
            </w:pPr>
            <w:r>
              <w:rPr>
                <w:rFonts w:ascii="Arial" w:cs="Arial" w:eastAsia="Arial" w:hAnsi="Arial"/>
                <w:sz w:val="16"/>
                <w:szCs w:val="16"/>
                <w:b w:val="1"/>
                <w:bCs w:val="1"/>
                <w:color w:val="auto"/>
              </w:rPr>
              <w:t>75254</w:t>
            </w:r>
          </w:p>
        </w:tc>
        <w:tc>
          <w:tcPr>
            <w:tcW w:w="0" w:type="dxa"/>
            <w:vAlign w:val="bottom"/>
          </w:tcPr>
          <w:p>
            <w:pPr>
              <w:spacing w:after="0"/>
              <w:rPr>
                <w:sz w:val="1"/>
                <w:szCs w:val="1"/>
                <w:color w:val="auto"/>
              </w:rPr>
            </w:pPr>
          </w:p>
        </w:tc>
      </w:tr>
      <w:tr>
        <w:trPr>
          <w:trHeight w:val="193"/>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6"/>
              </w:rPr>
              <w:t>Dallas, TX</w:t>
            </w:r>
          </w:p>
        </w:tc>
        <w:tc>
          <w:tcPr>
            <w:tcW w:w="252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3760" w:right="3620" w:hanging="3752"/>
        <w:spacing w:after="0" w:line="457" w:lineRule="auto"/>
        <w:tabs>
          <w:tab w:leader="none" w:pos="33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CECE</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39" w:lineRule="exact"/>
        <w:rPr>
          <w:sz w:val="24"/>
          <w:szCs w:val="24"/>
          <w:color w:val="auto"/>
        </w:rPr>
      </w:pPr>
    </w:p>
    <w:p>
      <w:pPr>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0" w:lineRule="exact"/>
        <w:rPr>
          <w:sz w:val="24"/>
          <w:szCs w:val="24"/>
          <w:color w:val="auto"/>
        </w:rPr>
      </w:pPr>
    </w:p>
    <w:p>
      <w:pPr>
        <w:ind w:right="54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1"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On March 14, 2022, CECO Environmental Corp., a Delaware corporation (the “Company”), issued a press release announcing its financial results for its fourth quarter and year ended December 31, 2021. A copy of the press release is furnished as Exhibit 99.1 to this report and is incorporated herein by reference.</w:t>
      </w:r>
    </w:p>
    <w:p>
      <w:pPr>
        <w:spacing w:after="0" w:line="18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10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0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700" w:type="dxa"/>
            <w:vAlign w:val="bottom"/>
            <w:tcBorders>
              <w:bottom w:val="single" w:sz="8" w:color="0000EE"/>
            </w:tcBorders>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dated March 14, 2022</w:t>
              </w:r>
            </w:hyperlink>
          </w:p>
        </w:tc>
        <w:tc>
          <w:tcPr>
            <w:tcW w:w="7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3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6"/>
          <w:szCs w:val="16"/>
          <w:color w:val="auto"/>
        </w:rPr>
        <w:t>CECO Environmental Corp.</w:t>
      </w:r>
    </w:p>
    <w:p>
      <w:pPr>
        <w:spacing w:after="0" w:line="387"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tab/>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109220</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2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Matthew Eckl</w:t>
      </w:r>
    </w:p>
    <w:p>
      <w:pPr>
        <w:spacing w:after="0" w:line="17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0553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CECO Environmental Reports Fourth Quarter and Full Year 2021 Results;</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i w:val="1"/>
          <w:iCs w:val="1"/>
          <w:color w:val="auto"/>
        </w:rPr>
        <w:t>Delivered Continued Quarterly Bookings Growth and Sequential Increases in Revenue and Margins</w:t>
      </w:r>
    </w:p>
    <w:p>
      <w:pPr>
        <w:spacing w:after="0" w:line="19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DALLAS (March 14, 2022) -- CECO Environmental Corp. (Nasdaq: CECE), </w:t>
      </w:r>
      <w:r>
        <w:rPr>
          <w:rFonts w:ascii="Arial" w:cs="Arial" w:eastAsia="Arial" w:hAnsi="Arial"/>
          <w:sz w:val="20"/>
          <w:szCs w:val="20"/>
          <w:color w:val="auto"/>
        </w:rPr>
        <w:t>a leading environmentally focused, diversified</w:t>
      </w:r>
      <w:r>
        <w:rPr>
          <w:rFonts w:ascii="Arial" w:cs="Arial" w:eastAsia="Arial" w:hAnsi="Arial"/>
          <w:sz w:val="20"/>
          <w:szCs w:val="20"/>
          <w:b w:val="1"/>
          <w:bCs w:val="1"/>
          <w:color w:val="auto"/>
        </w:rPr>
        <w:t xml:space="preserve"> </w:t>
      </w:r>
      <w:r>
        <w:rPr>
          <w:rFonts w:ascii="Arial" w:cs="Arial" w:eastAsia="Arial" w:hAnsi="Arial"/>
          <w:sz w:val="20"/>
          <w:szCs w:val="20"/>
          <w:color w:val="auto"/>
        </w:rPr>
        <w:t>industrial company whose solutions protect people, the environment, and industrial equipment, today reported its financial results for the fourth quarter and full year results of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Fourth Quarter 2021*</w:t>
      </w:r>
    </w:p>
    <w:p>
      <w:pPr>
        <w:spacing w:after="0" w:line="188" w:lineRule="exact"/>
        <w:rPr>
          <w:sz w:val="20"/>
          <w:szCs w:val="20"/>
          <w:color w:val="auto"/>
        </w:rPr>
      </w:pP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 of $93.6 million, compared with $82.9 million</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profit of $28.5 million (30.5% margin), compared with $26.2 million (31.6% margin)</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income of $5.3 million, compared with $3.7 million</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Non-GAAP operating income of $7.7 million, compared with $8.8 million</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of $1.2 million, compared with $1.8 million</w:t>
      </w:r>
    </w:p>
    <w:p>
      <w:pPr>
        <w:ind w:left="760" w:hanging="378"/>
        <w:spacing w:after="0" w:line="225"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Non-GAAP net income of $3.4 million, compared with $5.6 million</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of $9.1 million, compared with $9.9 million</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Bookings of $90.6 million, compared with $77.2 million</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Backlog of $213.9 million, compared with $183.1 million</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per diluted share of $0.03, compared with $0.05</w:t>
      </w:r>
    </w:p>
    <w:p>
      <w:pPr>
        <w:ind w:left="760" w:hanging="378"/>
        <w:spacing w:after="0" w:line="225"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Non-GAAP earnings per diluted share of $0.10, compared with $0.16</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Bank Debt of $65.5 million, compared with $74.0 million</w:t>
      </w: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Repurchased approximately 177,000 shares of common stock at cost of $1.3 million</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Full Year 2021*</w:t>
      </w:r>
    </w:p>
    <w:p>
      <w:pPr>
        <w:spacing w:after="0" w:line="161" w:lineRule="exact"/>
        <w:rPr>
          <w:sz w:val="20"/>
          <w:szCs w:val="20"/>
          <w:color w:val="auto"/>
        </w:rPr>
      </w:pP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of $324.1 million, compared with $316.0 million</w:t>
      </w: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profit of $100.9 million (31.1% margin), compared with $105.1 million (33.3% margin)</w:t>
      </w:r>
    </w:p>
    <w:p>
      <w:pPr>
        <w:ind w:left="760" w:hanging="378"/>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of $9.9 million, compared with operating income of $13.3 million</w:t>
      </w: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operating income of $19.1 million, compared with $28.2 million</w:t>
      </w: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of $1.4 million, compared with $8.2 million</w:t>
      </w: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net income of $9.8 million, compared with $19.5 million</w:t>
      </w: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$25.0 million, compared with $32.8 million</w:t>
      </w:r>
    </w:p>
    <w:p>
      <w:pPr>
        <w:ind w:left="760" w:hanging="378"/>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Bookings of $360.8 million, compared with $279.6 million</w:t>
      </w: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per diluted share of $0.04, compared with $0.23</w:t>
      </w: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earnings per diluted share of $0.28, compared with $0.55</w:t>
      </w: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Repurchased approximately 699,000 shares of common stock at cost of $5.0 million</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*All comparisons are versus the comparable prior year period, unless otherwise stated</w:t>
      </w:r>
    </w:p>
    <w:p>
      <w:pPr>
        <w:spacing w:after="0" w:line="378" w:lineRule="exact"/>
        <w:rPr>
          <w:sz w:val="20"/>
          <w:szCs w:val="20"/>
          <w:color w:val="auto"/>
        </w:rPr>
      </w:pPr>
    </w:p>
    <w:p>
      <w:pPr>
        <w:ind w:right="180"/>
        <w:spacing w:after="0" w:line="229" w:lineRule="auto"/>
        <w:rPr>
          <w:sz w:val="20"/>
          <w:szCs w:val="20"/>
          <w:color w:val="auto"/>
        </w:rPr>
      </w:pPr>
      <w:r>
        <w:rPr>
          <w:rFonts w:ascii="Arial" w:cs="Arial" w:eastAsia="Arial" w:hAnsi="Arial"/>
          <w:sz w:val="20"/>
          <w:szCs w:val="20"/>
          <w:color w:val="auto"/>
        </w:rPr>
        <w:t>“Our continued orders growth in the fourth quarter capped a year in which we grew overall bookings 29 percent and put CECO in position for solid growth in 2022,” said Todd Gleason, Chief Executive Officer. “As we expected, CECO delivered sequential growth in revenue and margins in the fourth quarter, despite unprecedented inflation, labor and material shortages. We also completed the purchase of all of the shares authorized by our previously announced share repurchase program and continued to reduce net debt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56"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Mr. Gleason concluded, “We expect to continue to reshape our portfolio to expand our leadership positions in industrial air, industrial water and to support the energy transition. Already in 2022, we completed the acquisition of GRC which grows our short-cycle industrial sales and expands our presence in the water infrastructure and flow management markets. We expect to deliver solid organic sales growth and double-digit EBITDA growth in 2022, which will be enhanced by strategic, accretive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13"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auto"/>
        </w:rPr>
        <w:t>A conference call is scheduled for today at 8:30 a.m. ET to discuss the fourth quarter and full year 2021 financial results. The conference call may be accessed via webcast by going to the Company's website at http://www.cecoenviro.com/events-calendar or by dialing (888) 346-4547 (Toll-Free) within the U.S., (855) 669-9657 (Toll-Free) within Canada or Toll/International +1(412) 317-5251.</w:t>
      </w:r>
    </w:p>
    <w:p>
      <w:pPr>
        <w:spacing w:after="0" w:line="198" w:lineRule="exact"/>
        <w:rPr>
          <w:sz w:val="20"/>
          <w:szCs w:val="20"/>
          <w:color w:val="auto"/>
        </w:rPr>
      </w:pPr>
    </w:p>
    <w:p>
      <w:pPr>
        <w:ind w:left="120" w:right="180"/>
        <w:spacing w:after="0" w:line="232" w:lineRule="auto"/>
        <w:rPr>
          <w:sz w:val="20"/>
          <w:szCs w:val="20"/>
          <w:color w:val="auto"/>
        </w:rPr>
      </w:pPr>
      <w:r>
        <w:rPr>
          <w:rFonts w:ascii="Arial" w:cs="Arial" w:eastAsia="Arial" w:hAnsi="Arial"/>
          <w:sz w:val="20"/>
          <w:szCs w:val="20"/>
          <w:color w:val="auto"/>
        </w:rPr>
        <w:t>A replay of the conference call will be available on the Company's website at http://www.cecoenviro.com for seven days. The replay may be accessed by dialing (877) 344-7529 (Toll-Free) within the U.S., (855) 669-9658 (Toll-Free) within Canada, or Toll/International +1 (412) 317-0088 and entering access code 2120412.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3|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ABOUT CECO ENVIRONMENTAL</w:t>
      </w:r>
    </w:p>
    <w:p>
      <w:pPr>
        <w:spacing w:after="0" w:line="226"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 Environmental is a global leader in industrial air quality and water treatment, serving a diversified set of niche markets through an attractive asset-light business model.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and wastewater treatment along with a wide range of other applications. CECO is listed on Nasdaq under the ticker symbol "CECE". For more information, please visit www.cecoenviro.com.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360" w:firstLine="8"/>
        <w:spacing w:after="0" w:line="257"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4|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200" w:type="dxa"/>
            <w:vAlign w:val="bottom"/>
          </w:tcPr>
          <w:p>
            <w:pPr>
              <w:spacing w:after="0"/>
              <w:rPr>
                <w:sz w:val="16"/>
                <w:szCs w:val="16"/>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December 31, 2021</w:t>
            </w:r>
          </w:p>
        </w:tc>
        <w:tc>
          <w:tcPr>
            <w:tcW w:w="200" w:type="dxa"/>
            <w:vAlign w:val="bottom"/>
          </w:tcPr>
          <w:p>
            <w:pPr>
              <w:spacing w:after="0"/>
              <w:rPr>
                <w:sz w:val="16"/>
                <w:szCs w:val="16"/>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330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29,902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2,093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1,819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74,991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63,046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51,429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45,498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 net</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17,052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10,760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11,530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income taxes</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17"/>
                <w:szCs w:val="17"/>
                <w:color w:val="auto"/>
              </w:rPr>
            </w:pPr>
          </w:p>
        </w:tc>
        <w:tc>
          <w:tcPr>
            <w:tcW w:w="1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189,011</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183,485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15,948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16,228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 from operating leases</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10,893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161,183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161,820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 finite life, net</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25,841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 indefinite life</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9,629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12,937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Deferred charges and other assets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3,187</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416,197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419,314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440" w:type="dxa"/>
            <w:vAlign w:val="bottom"/>
          </w:tcPr>
          <w:p>
            <w:pPr>
              <w:ind w:left="1680"/>
              <w:spacing w:after="0" w:line="183"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debt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2,203</w:t>
            </w:r>
          </w:p>
        </w:tc>
        <w:tc>
          <w:tcPr>
            <w:tcW w:w="2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3,125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84,081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84,997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Billings in excess of costs and estimated earnings on uncompleted contracts</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28,908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20,691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1,493</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116,685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109,356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14,826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Debt, less current portion</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61,577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69,491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 liability, net</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8,762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210,240</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215,703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Preferred stock, $.01 par value; 10,000 shares authorized, none issued</w:t>
            </w:r>
          </w:p>
        </w:tc>
        <w:tc>
          <w:tcPr>
            <w:tcW w:w="200" w:type="dxa"/>
            <w:vAlign w:val="bottom"/>
          </w:tcPr>
          <w:p>
            <w:pPr>
              <w:spacing w:after="0"/>
              <w:rPr>
                <w:sz w:val="17"/>
                <w:szCs w:val="17"/>
                <w:color w:val="auto"/>
              </w:rPr>
            </w:pPr>
          </w:p>
        </w:tc>
        <w:tc>
          <w:tcPr>
            <w:tcW w:w="1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$.01 par value; 100,000,000 shares authorized, 35,028,197 and</w:t>
            </w:r>
          </w:p>
        </w:tc>
        <w:tc>
          <w:tcPr>
            <w:tcW w:w="2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4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rPr>
              <w:t>35,504,757 shares issued and outstanding at December 31, 2021 and</w:t>
            </w:r>
          </w:p>
        </w:tc>
        <w:tc>
          <w:tcPr>
            <w:tcW w:w="200" w:type="dxa"/>
            <w:vAlign w:val="bottom"/>
            <w:shd w:val="clear" w:color="auto" w:fill="CFF0FC"/>
          </w:tcPr>
          <w:p>
            <w:pPr>
              <w:spacing w:after="0"/>
              <w:rPr>
                <w:sz w:val="15"/>
                <w:szCs w:val="15"/>
                <w:color w:val="auto"/>
              </w:rPr>
            </w:pP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December 31, 2020, respectively</w:t>
            </w:r>
          </w:p>
        </w:tc>
        <w:tc>
          <w:tcPr>
            <w:tcW w:w="200" w:type="dxa"/>
            <w:vAlign w:val="bottom"/>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252,989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255,296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loss</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(36,715 )</w:t>
            </w: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(38,141 )</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7"/>
                <w:szCs w:val="17"/>
                <w:color w:val="auto"/>
              </w:rPr>
            </w:pPr>
          </w:p>
        </w:tc>
        <w:tc>
          <w:tcPr>
            <w:tcW w:w="1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(12,070 )</w:t>
            </w:r>
          </w:p>
        </w:tc>
        <w:tc>
          <w:tcPr>
            <w:tcW w:w="200" w:type="dxa"/>
            <w:vAlign w:val="bottom"/>
          </w:tcPr>
          <w:p>
            <w:pPr>
              <w:spacing w:after="0"/>
              <w:rPr>
                <w:sz w:val="17"/>
                <w:szCs w:val="17"/>
                <w:color w:val="auto"/>
              </w:rPr>
            </w:pP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(14,496 )</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204,554</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203,014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00"/>
              <w:spacing w:after="0" w:line="162" w:lineRule="exact"/>
              <w:rPr>
                <w:sz w:val="20"/>
                <w:szCs w:val="20"/>
                <w:color w:val="auto"/>
              </w:rPr>
            </w:pPr>
            <w:r>
              <w:rPr>
                <w:rFonts w:ascii="Arial" w:cs="Arial" w:eastAsia="Arial" w:hAnsi="Arial"/>
                <w:sz w:val="18"/>
                <w:szCs w:val="18"/>
                <w:color w:val="auto"/>
              </w:rPr>
              <w:t>Less treasury stock, at cost, zero and 137,920 shares at December 31, 2021</w:t>
            </w:r>
          </w:p>
        </w:tc>
        <w:tc>
          <w:tcPr>
            <w:tcW w:w="200" w:type="dxa"/>
            <w:vAlign w:val="bottom"/>
          </w:tcPr>
          <w:p>
            <w:pPr>
              <w:spacing w:after="0"/>
              <w:rPr>
                <w:sz w:val="14"/>
                <w:szCs w:val="14"/>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and December 31, 2020, respectively</w:t>
            </w:r>
          </w:p>
        </w:tc>
        <w:tc>
          <w:tcPr>
            <w:tcW w:w="20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CECO shareholders' equity</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204,554</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202,658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380"/>
              <w:spacing w:after="0" w:line="196" w:lineRule="exact"/>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1,403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205,957</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203,611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56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416,197</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419,314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-3651250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-3634105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-3651250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-3634105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-2851150</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-2851150</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-2062480</wp:posOffset>
            </wp:positionV>
            <wp:extent cx="514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-2062480</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-424815</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-159385</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5|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Three Months Ended December 31,</w:t>
            </w:r>
          </w:p>
        </w:tc>
        <w:tc>
          <w:tcPr>
            <w:tcW w:w="180" w:type="dxa"/>
            <w:vAlign w:val="bottom"/>
          </w:tcPr>
          <w:p>
            <w:pPr>
              <w:spacing w:after="0"/>
              <w:rPr>
                <w:sz w:val="16"/>
                <w:szCs w:val="16"/>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For the Year Ended December 31,</w:t>
            </w:r>
          </w:p>
        </w:tc>
      </w:tr>
      <w:tr>
        <w:trPr>
          <w:trHeight w:val="16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93,589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82,930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324,140</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316,011</w:t>
            </w:r>
          </w:p>
        </w:tc>
        <w:tc>
          <w:tcPr>
            <w:tcW w:w="8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65,054</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56,707</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223,218</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210,883</w:t>
            </w:r>
          </w:p>
        </w:tc>
        <w:tc>
          <w:tcPr>
            <w:tcW w:w="80" w:type="dxa"/>
            <w:vAlign w:val="bottom"/>
          </w:tcPr>
          <w:p>
            <w:pPr>
              <w:spacing w:after="0"/>
              <w:rPr>
                <w:sz w:val="17"/>
                <w:szCs w:val="17"/>
                <w:color w:val="auto"/>
              </w:rPr>
            </w:pPr>
          </w:p>
        </w:tc>
      </w:tr>
      <w:tr>
        <w:trPr>
          <w:trHeight w:val="196"/>
        </w:trPr>
        <w:tc>
          <w:tcPr>
            <w:tcW w:w="55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28,535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26,223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100,922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105,128</w:t>
            </w:r>
          </w:p>
        </w:tc>
        <w:tc>
          <w:tcPr>
            <w:tcW w:w="8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Selling and administrative expenses</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20,903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17,561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81,797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76,926</w:t>
            </w:r>
          </w:p>
        </w:tc>
        <w:tc>
          <w:tcPr>
            <w:tcW w:w="80" w:type="dxa"/>
            <w:vAlign w:val="bottom"/>
          </w:tcPr>
          <w:p>
            <w:pPr>
              <w:spacing w:after="0"/>
              <w:rPr>
                <w:sz w:val="17"/>
                <w:szCs w:val="17"/>
                <w:color w:val="auto"/>
              </w:rPr>
            </w:pPr>
          </w:p>
        </w:tc>
      </w:tr>
      <w:tr>
        <w:trPr>
          <w:trHeight w:val="203"/>
        </w:trPr>
        <w:tc>
          <w:tcPr>
            <w:tcW w:w="5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and earnout expenses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7,789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8,799</w:t>
            </w:r>
          </w:p>
        </w:tc>
        <w:tc>
          <w:tcPr>
            <w:tcW w:w="8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Restructuring expenses (income)</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(23 )</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632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2,331</w:t>
            </w:r>
          </w:p>
        </w:tc>
        <w:tc>
          <w:tcPr>
            <w:tcW w:w="80" w:type="dxa"/>
            <w:vAlign w:val="bottom"/>
          </w:tcPr>
          <w:p>
            <w:pPr>
              <w:spacing w:after="0"/>
              <w:rPr>
                <w:sz w:val="17"/>
                <w:szCs w:val="17"/>
                <w:color w:val="auto"/>
              </w:rPr>
            </w:pPr>
          </w:p>
        </w:tc>
      </w:tr>
      <w:tr>
        <w:trPr>
          <w:trHeight w:val="203"/>
        </w:trPr>
        <w:tc>
          <w:tcPr>
            <w:tcW w:w="5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and integration expenses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1,354</w:t>
            </w:r>
          </w:p>
        </w:tc>
        <w:tc>
          <w:tcPr>
            <w:tcW w:w="8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Executive transition expenses</w:t>
            </w:r>
          </w:p>
        </w:tc>
        <w:tc>
          <w:tcPr>
            <w:tcW w:w="2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1,522</w:t>
            </w:r>
          </w:p>
        </w:tc>
        <w:tc>
          <w:tcPr>
            <w:tcW w:w="80" w:type="dxa"/>
            <w:vAlign w:val="bottom"/>
          </w:tcPr>
          <w:p>
            <w:pPr>
              <w:spacing w:after="0"/>
              <w:rPr>
                <w:sz w:val="17"/>
                <w:szCs w:val="17"/>
                <w:color w:val="auto"/>
              </w:rPr>
            </w:pPr>
          </w:p>
        </w:tc>
      </w:tr>
      <w:tr>
        <w:trPr>
          <w:trHeight w:val="203"/>
        </w:trPr>
        <w:tc>
          <w:tcPr>
            <w:tcW w:w="5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 impairment</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850</w:t>
            </w:r>
          </w:p>
        </w:tc>
        <w:tc>
          <w:tcPr>
            <w:tcW w:w="80" w:type="dxa"/>
            <w:vAlign w:val="bottom"/>
            <w:shd w:val="clear" w:color="auto" w:fill="CFF0FC"/>
          </w:tcPr>
          <w:p>
            <w:pPr>
              <w:spacing w:after="0"/>
              <w:rPr>
                <w:sz w:val="17"/>
                <w:szCs w:val="17"/>
                <w:color w:val="auto"/>
              </w:rPr>
            </w:pPr>
          </w:p>
        </w:tc>
      </w:tr>
      <w:tr>
        <w:trPr>
          <w:trHeight w:val="196"/>
        </w:trPr>
        <w:tc>
          <w:tcPr>
            <w:tcW w:w="55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5,254</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3,694</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9,857</w:t>
            </w: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13,346</w:t>
            </w:r>
          </w:p>
        </w:tc>
        <w:tc>
          <w:tcPr>
            <w:tcW w:w="80" w:type="dxa"/>
            <w:vAlign w:val="bottom"/>
            <w:tcBorders>
              <w:top w:val="single" w:sz="8" w:color="CFF0FC"/>
            </w:tcBorders>
          </w:tcPr>
          <w:p>
            <w:pPr>
              <w:spacing w:after="0"/>
              <w:rPr>
                <w:sz w:val="17"/>
                <w:szCs w:val="17"/>
                <w:color w:val="auto"/>
              </w:rPr>
            </w:pPr>
          </w:p>
        </w:tc>
      </w:tr>
      <w:tr>
        <w:trPr>
          <w:trHeight w:val="203"/>
        </w:trPr>
        <w:tc>
          <w:tcPr>
            <w:tcW w:w="5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(1,076 )</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(2,231 )</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2,033</w:t>
            </w:r>
          </w:p>
        </w:tc>
        <w:tc>
          <w:tcPr>
            <w:tcW w:w="80" w:type="dxa"/>
            <w:vAlign w:val="bottom"/>
            <w:shd w:val="clear" w:color="auto" w:fill="CFF0FC"/>
          </w:tcPr>
          <w:p>
            <w:pPr>
              <w:spacing w:after="0"/>
              <w:rPr>
                <w:sz w:val="17"/>
                <w:szCs w:val="17"/>
                <w:color w:val="auto"/>
              </w:rPr>
            </w:pPr>
          </w:p>
        </w:tc>
      </w:tr>
      <w:tr>
        <w:trPr>
          <w:trHeight w:val="202"/>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(800 )</w:t>
            </w:r>
          </w:p>
        </w:tc>
        <w:tc>
          <w:tcPr>
            <w:tcW w:w="2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(795 )</w:t>
            </w:r>
          </w:p>
        </w:tc>
        <w:tc>
          <w:tcPr>
            <w:tcW w:w="1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(2,952 )</w:t>
            </w:r>
          </w:p>
        </w:tc>
        <w:tc>
          <w:tcPr>
            <w:tcW w:w="2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(3,535 )</w:t>
            </w:r>
          </w:p>
        </w:tc>
      </w:tr>
      <w:tr>
        <w:trPr>
          <w:trHeight w:val="196"/>
        </w:trPr>
        <w:tc>
          <w:tcPr>
            <w:tcW w:w="55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3,378</w:t>
            </w: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3,875</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4,674</w:t>
            </w: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11,844</w:t>
            </w:r>
          </w:p>
        </w:tc>
        <w:tc>
          <w:tcPr>
            <w:tcW w:w="8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3,672</w:t>
            </w:r>
          </w:p>
        </w:tc>
        <w:tc>
          <w:tcPr>
            <w:tcW w:w="80" w:type="dxa"/>
            <w:vAlign w:val="bottom"/>
          </w:tcPr>
          <w:p>
            <w:pPr>
              <w:spacing w:after="0"/>
              <w:rPr>
                <w:sz w:val="17"/>
                <w:szCs w:val="17"/>
                <w:color w:val="auto"/>
              </w:rPr>
            </w:pPr>
          </w:p>
        </w:tc>
      </w:tr>
      <w:tr>
        <w:trPr>
          <w:trHeight w:val="196"/>
        </w:trPr>
        <w:tc>
          <w:tcPr>
            <w:tcW w:w="55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1,983</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8,172</w:t>
            </w:r>
          </w:p>
        </w:tc>
        <w:tc>
          <w:tcPr>
            <w:tcW w:w="8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(298 )</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(557 )</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80" w:type="dxa"/>
            <w:vAlign w:val="bottom"/>
          </w:tcPr>
          <w:p>
            <w:pPr>
              <w:spacing w:after="0"/>
              <w:rPr>
                <w:sz w:val="17"/>
                <w:szCs w:val="17"/>
                <w:color w:val="auto"/>
              </w:rPr>
            </w:pPr>
          </w:p>
        </w:tc>
      </w:tr>
      <w:tr>
        <w:trPr>
          <w:trHeight w:val="196"/>
        </w:trPr>
        <w:tc>
          <w:tcPr>
            <w:tcW w:w="5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 attributable to CECO Environmental Corp.</w:t>
            </w: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1,202</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1,780</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1,426</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8,211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560" w:type="dxa"/>
            <w:vAlign w:val="bottom"/>
          </w:tcPr>
          <w:p>
            <w:pPr>
              <w:ind w:left="20"/>
              <w:spacing w:after="0" w:line="196" w:lineRule="exact"/>
              <w:rPr>
                <w:sz w:val="20"/>
                <w:szCs w:val="20"/>
                <w:color w:val="auto"/>
              </w:rPr>
            </w:pPr>
            <w:r>
              <w:rPr>
                <w:rFonts w:ascii="Arial" w:cs="Arial" w:eastAsia="Arial" w:hAnsi="Arial"/>
                <w:sz w:val="18"/>
                <w:szCs w:val="18"/>
                <w:color w:val="auto"/>
              </w:rPr>
              <w:t>Income per share: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5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0.03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0.05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0.04</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0.23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3"/>
        </w:trPr>
        <w:tc>
          <w:tcPr>
            <w:tcW w:w="5560" w:type="dxa"/>
            <w:vAlign w:val="bottom"/>
          </w:tcPr>
          <w:p>
            <w:pPr>
              <w:ind w:left="200"/>
              <w:spacing w:after="0" w:line="182"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0.03</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0.05</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0.04</w:t>
            </w:r>
          </w:p>
        </w:tc>
        <w:tc>
          <w:tcPr>
            <w:tcW w:w="20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0.23</w:t>
            </w:r>
          </w:p>
        </w:tc>
        <w:tc>
          <w:tcPr>
            <w:tcW w:w="80" w:type="dxa"/>
            <w:vAlign w:val="bottom"/>
          </w:tcPr>
          <w:p>
            <w:pPr>
              <w:spacing w:after="0"/>
              <w:rPr>
                <w:sz w:val="15"/>
                <w:szCs w:val="15"/>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5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35,399,724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35,366,837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35,345,785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35,289,616</w:t>
            </w:r>
          </w:p>
        </w:tc>
        <w:tc>
          <w:tcPr>
            <w:tcW w:w="80" w:type="dxa"/>
            <w:vAlign w:val="bottom"/>
          </w:tcPr>
          <w:p>
            <w:pPr>
              <w:spacing w:after="0"/>
              <w:rPr>
                <w:sz w:val="17"/>
                <w:szCs w:val="17"/>
                <w:color w:val="auto"/>
              </w:rPr>
            </w:pPr>
          </w:p>
        </w:tc>
      </w:tr>
      <w:tr>
        <w:trPr>
          <w:trHeight w:val="203"/>
        </w:trPr>
        <w:tc>
          <w:tcPr>
            <w:tcW w:w="5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35,537,136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35,655,014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35,594,779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35,520,670</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-1891030</wp:posOffset>
            </wp:positionV>
            <wp:extent cx="6032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-1891030</wp:posOffset>
            </wp:positionV>
            <wp:extent cx="6032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-1891030</wp:posOffset>
            </wp:positionV>
            <wp:extent cx="51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-1891030</wp:posOffset>
            </wp:positionV>
            <wp:extent cx="5143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-828040</wp:posOffset>
            </wp:positionV>
            <wp:extent cx="6032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-828040</wp:posOffset>
            </wp:positionV>
            <wp:extent cx="603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-828040</wp:posOffset>
            </wp:positionV>
            <wp:extent cx="514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-828040</wp:posOffset>
            </wp:positionV>
            <wp:extent cx="514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-565150</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-548005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-565150</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-548005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-565150</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-548005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-565150</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-548005</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6|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Three Months Ended December 31,</w:t>
            </w:r>
          </w:p>
        </w:tc>
        <w:tc>
          <w:tcPr>
            <w:tcW w:w="160" w:type="dxa"/>
            <w:vAlign w:val="bottom"/>
          </w:tcPr>
          <w:p>
            <w:pPr>
              <w:spacing w:after="0"/>
              <w:rPr>
                <w:sz w:val="16"/>
                <w:szCs w:val="16"/>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For the Year Ended December 31,</w:t>
            </w:r>
          </w:p>
        </w:tc>
      </w:tr>
      <w:tr>
        <w:trPr>
          <w:trHeight w:val="169"/>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r>
      <w:tr>
        <w:trPr>
          <w:trHeight w:val="196"/>
        </w:trPr>
        <w:tc>
          <w:tcPr>
            <w:tcW w:w="5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as reported in accordance with GAAP</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17"/>
                <w:szCs w:val="17"/>
                <w:color w:val="auto"/>
              </w:rPr>
            </w:pPr>
          </w:p>
        </w:tc>
      </w:tr>
      <w:tr>
        <w:trPr>
          <w:trHeight w:val="203"/>
        </w:trPr>
        <w:tc>
          <w:tcPr>
            <w:tcW w:w="550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Operating margin in accordance with GAAP</w:t>
            </w:r>
          </w:p>
        </w:tc>
        <w:tc>
          <w:tcPr>
            <w:tcW w:w="160" w:type="dxa"/>
            <w:vAlign w:val="bottom"/>
          </w:tcPr>
          <w:p>
            <w:pPr>
              <w:spacing w:after="0"/>
              <w:rPr>
                <w:sz w:val="17"/>
                <w:szCs w:val="17"/>
                <w:color w:val="auto"/>
              </w:rPr>
            </w:pP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i w:val="1"/>
                <w:iCs w:val="1"/>
                <w:color w:val="auto"/>
              </w:rPr>
              <w:t>5.7 %</w:t>
            </w:r>
          </w:p>
        </w:tc>
        <w:tc>
          <w:tcPr>
            <w:tcW w:w="28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i w:val="1"/>
                <w:iCs w:val="1"/>
                <w:color w:val="auto"/>
              </w:rPr>
              <w:t>4.5 %</w:t>
            </w:r>
          </w:p>
        </w:tc>
        <w:tc>
          <w:tcPr>
            <w:tcW w:w="16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i w:val="1"/>
                <w:iCs w:val="1"/>
                <w:color w:val="auto"/>
              </w:rPr>
              <w:t>3.1 %</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4.2 %</w:t>
            </w:r>
          </w:p>
        </w:tc>
      </w:tr>
      <w:tr>
        <w:trPr>
          <w:trHeight w:val="203"/>
        </w:trPr>
        <w:tc>
          <w:tcPr>
            <w:tcW w:w="5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and earnout expenses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7"/>
                <w:szCs w:val="17"/>
                <w:color w:val="auto"/>
              </w:rPr>
            </w:pP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r>
      <w:tr>
        <w:trPr>
          <w:trHeight w:val="203"/>
        </w:trPr>
        <w:tc>
          <w:tcPr>
            <w:tcW w:w="5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and integration expenses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7"/>
                <w:szCs w:val="17"/>
                <w:color w:val="auto"/>
              </w:rPr>
            </w:pP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Executive transition expenses</w:t>
            </w:r>
          </w:p>
        </w:tc>
        <w:tc>
          <w:tcPr>
            <w:tcW w:w="16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r>
      <w:tr>
        <w:trPr>
          <w:trHeight w:val="203"/>
        </w:trPr>
        <w:tc>
          <w:tcPr>
            <w:tcW w:w="5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 impairment</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7"/>
                <w:szCs w:val="17"/>
                <w:color w:val="auto"/>
              </w:rPr>
            </w:pPr>
          </w:p>
        </w:tc>
      </w:tr>
      <w:tr>
        <w:trPr>
          <w:trHeight w:val="196"/>
        </w:trPr>
        <w:tc>
          <w:tcPr>
            <w:tcW w:w="550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Non-GAAP operating income</w:t>
            </w: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7.7</w:t>
            </w:r>
          </w:p>
        </w:tc>
        <w:tc>
          <w:tcPr>
            <w:tcW w:w="3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3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19.1</w:t>
            </w:r>
          </w:p>
        </w:tc>
        <w:tc>
          <w:tcPr>
            <w:tcW w:w="3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28.2</w:t>
            </w:r>
          </w:p>
        </w:tc>
        <w:tc>
          <w:tcPr>
            <w:tcW w:w="220" w:type="dxa"/>
            <w:vAlign w:val="bottom"/>
            <w:tcBorders>
              <w:top w:val="single" w:sz="8" w:color="CFF0FC"/>
            </w:tcBorders>
          </w:tcPr>
          <w:p>
            <w:pPr>
              <w:spacing w:after="0"/>
              <w:rPr>
                <w:sz w:val="17"/>
                <w:szCs w:val="17"/>
                <w:color w:val="auto"/>
              </w:rPr>
            </w:pPr>
          </w:p>
        </w:tc>
      </w:tr>
      <w:tr>
        <w:trPr>
          <w:trHeight w:val="203"/>
        </w:trPr>
        <w:tc>
          <w:tcPr>
            <w:tcW w:w="5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i w:val="1"/>
                <w:iCs w:val="1"/>
                <w:color w:val="auto"/>
              </w:rPr>
              <w:t>Non-GAAP operating margin</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i w:val="1"/>
                <w:iCs w:val="1"/>
                <w:color w:val="auto"/>
              </w:rPr>
              <w:t>8.2 %</w:t>
            </w: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i w:val="1"/>
                <w:iCs w:val="1"/>
                <w:color w:val="auto"/>
              </w:rPr>
              <w:t>10.6 %</w:t>
            </w: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i w:val="1"/>
                <w:iCs w:val="1"/>
                <w:color w:val="auto"/>
              </w:rPr>
              <w:t>5.9 %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i w:val="1"/>
                <w:iCs w:val="1"/>
                <w:color w:val="auto"/>
              </w:rPr>
              <w:t>8.9 %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-262255</wp:posOffset>
            </wp:positionV>
            <wp:extent cx="14605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-262255</wp:posOffset>
            </wp:positionV>
            <wp:extent cx="14605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-262255</wp:posOffset>
            </wp:positionV>
            <wp:extent cx="137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-262255</wp:posOffset>
            </wp:positionV>
            <wp:extent cx="1371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Three Months Ended December 31,</w:t>
            </w:r>
          </w:p>
        </w:tc>
        <w:tc>
          <w:tcPr>
            <w:tcW w:w="200" w:type="dxa"/>
            <w:vAlign w:val="bottom"/>
          </w:tcPr>
          <w:p>
            <w:pPr>
              <w:spacing w:after="0"/>
              <w:rPr>
                <w:sz w:val="16"/>
                <w:szCs w:val="16"/>
                <w:color w:val="auto"/>
              </w:rPr>
            </w:pPr>
          </w:p>
        </w:tc>
        <w:tc>
          <w:tcPr>
            <w:tcW w:w="25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For the Year Ended December 31,</w:t>
            </w:r>
          </w:p>
        </w:tc>
      </w:tr>
      <w:tr>
        <w:trPr>
          <w:trHeight w:val="169"/>
        </w:trPr>
        <w:tc>
          <w:tcPr>
            <w:tcW w:w="55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as reported in accordance with GAAP</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7"/>
                <w:szCs w:val="17"/>
                <w:color w:val="auto"/>
              </w:rPr>
            </w:pPr>
          </w:p>
        </w:tc>
      </w:tr>
      <w:tr>
        <w:trPr>
          <w:trHeight w:val="202"/>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Amortization and earnout expenses</w:t>
            </w: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80" w:type="dxa"/>
            <w:vAlign w:val="bottom"/>
          </w:tcPr>
          <w:p>
            <w:pPr>
              <w:spacing w:after="0"/>
              <w:rPr>
                <w:sz w:val="17"/>
                <w:szCs w:val="17"/>
                <w:color w:val="auto"/>
              </w:rPr>
            </w:pPr>
          </w:p>
        </w:tc>
      </w:tr>
      <w:tr>
        <w:trPr>
          <w:trHeight w:val="203"/>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Restructuring expenses</w:t>
            </w:r>
          </w:p>
        </w:tc>
        <w:tc>
          <w:tcPr>
            <w:tcW w:w="2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Acquisition and integration expenses</w:t>
            </w: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r>
      <w:tr>
        <w:trPr>
          <w:trHeight w:val="203"/>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Executive transition expenses</w:t>
            </w:r>
          </w:p>
        </w:tc>
        <w:tc>
          <w:tcPr>
            <w:tcW w:w="2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Intangible asset impairment</w:t>
            </w:r>
          </w:p>
        </w:tc>
        <w:tc>
          <w:tcPr>
            <w:tcW w:w="200" w:type="dxa"/>
            <w:vAlign w:val="bottom"/>
          </w:tcPr>
          <w:p>
            <w:pPr>
              <w:spacing w:after="0"/>
              <w:rPr>
                <w:sz w:val="17"/>
                <w:szCs w:val="17"/>
                <w:color w:val="auto"/>
              </w:rPr>
            </w:pPr>
          </w:p>
        </w:tc>
        <w:tc>
          <w:tcPr>
            <w:tcW w:w="12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80" w:type="dxa"/>
            <w:vAlign w:val="bottom"/>
          </w:tcPr>
          <w:p>
            <w:pPr>
              <w:spacing w:after="0"/>
              <w:rPr>
                <w:sz w:val="17"/>
                <w:szCs w:val="17"/>
                <w:color w:val="auto"/>
              </w:rPr>
            </w:pPr>
          </w:p>
        </w:tc>
      </w:tr>
      <w:tr>
        <w:trPr>
          <w:trHeight w:val="203"/>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Foreign currency remeasurement</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Tax benefit expense of adjustments</w:t>
            </w:r>
          </w:p>
        </w:tc>
        <w:tc>
          <w:tcPr>
            <w:tcW w:w="20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(0.7 )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(1.3 )</w:t>
            </w:r>
          </w:p>
        </w:tc>
        <w:tc>
          <w:tcPr>
            <w:tcW w:w="20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(3.9 )</w:t>
            </w: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Non-GAAP net income</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w:t>
            </w: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r>
      <w:tr>
        <w:trPr>
          <w:trHeight w:val="203"/>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Non-cash stock compensation</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(1.0 )</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203"/>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r>
      <w:tr>
        <w:trPr>
          <w:trHeight w:val="196"/>
        </w:trPr>
        <w:tc>
          <w:tcPr>
            <w:tcW w:w="554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32.8</w:t>
            </w: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Earnings per share:</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1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80" w:type="dxa"/>
            <w:vAlign w:val="bottom"/>
          </w:tcPr>
          <w:p>
            <w:pPr>
              <w:spacing w:after="0"/>
              <w:rPr>
                <w:sz w:val="17"/>
                <w:szCs w:val="17"/>
                <w:color w:val="auto"/>
              </w:rPr>
            </w:pPr>
          </w:p>
        </w:tc>
      </w:tr>
      <w:tr>
        <w:trPr>
          <w:trHeight w:val="203"/>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0.23</w:t>
            </w: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Non-GAAP net income per share:</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1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0.55</w:t>
            </w:r>
          </w:p>
        </w:tc>
        <w:tc>
          <w:tcPr>
            <w:tcW w:w="80" w:type="dxa"/>
            <w:vAlign w:val="bottom"/>
          </w:tcPr>
          <w:p>
            <w:pPr>
              <w:spacing w:after="0"/>
              <w:rPr>
                <w:sz w:val="17"/>
                <w:szCs w:val="17"/>
                <w:color w:val="auto"/>
              </w:rPr>
            </w:pPr>
          </w:p>
        </w:tc>
      </w:tr>
      <w:tr>
        <w:trPr>
          <w:trHeight w:val="203"/>
        </w:trPr>
        <w:tc>
          <w:tcPr>
            <w:tcW w:w="5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0.55</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7|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213" w:lineRule="exact"/>
        <w:rPr>
          <w:sz w:val="20"/>
          <w:szCs w:val="20"/>
          <w:color w:val="auto"/>
        </w:rPr>
      </w:pPr>
    </w:p>
    <w:p>
      <w:pPr>
        <w:ind w:right="420"/>
        <w:spacing w:after="0" w:line="230"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98"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Non-GAAP operating income, non-GAAP net income, non-GAAP operating margin, non-GAAP earnings per diluted share and adjusted EBITDA, as we present them in the financial data included in this press release, have been adjusted to exclude the effects of amortization expenses for acquisition related intangible assets, contingent retention and earnout expenses, restructuring expenses primarily relating to severance and legal expenses, acquisition and integration expenses which include retention, legal, accounting, banking, and other expenses, executive transition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99"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99"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non-GAAP earnings per basic and diluted share and adjusted EBITDA stated in the tables above are reconciled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8|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2021,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economic and political conditions generally; our ability to successfully realize the expected benefits of our restructuring program; our ability to successfully integrate acquired businesses and realize the synergies from strategic transactions; and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9|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2022-03-14T06:07:08Z</dcterms:created>
  <dcterms:modified xsi:type="dcterms:W3CDTF">2022-03-14T06:07:08Z</dcterms:modified>
</cp:coreProperties>
</file>