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3.jpeg" ContentType="image/jpeg"/>
  <Override PartName="/word/media/image2.jpeg" ContentType="image/jpeg"/>
  <Override PartName="/word/media/image1.jpeg" ContentType="image/jpe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pBdr>
          <w:top w:val="single" w:sz="24" w:space="1" w:color="000000"/>
          <w:bottom w:val="single" w:sz="8" w:space="1" w:color="000000"/>
        </w:pBdr>
        <w:spacing w:lineRule="auto" w:line="307" w:before="0" w:after="160"/>
        <w:ind w:left="0" w:right="0" w:hanging="0"/>
        <w:rPr/>
      </w:pPr>
      <w:bookmarkStart w:id="0" w:name="tmb-20230421xdefa14a.htm"/>
      <w:bookmarkStart w:id="1" w:name="kstmb20230421xdefa14a"/>
      <w:bookmarkEnd w:id="0"/>
      <w:bookmarkEnd w:id="1"/>
      <w:r>
        <w:rPr/>
        <w:t>​</w:t>
      </w:r>
    </w:p>
    <w:p>
      <w:pPr>
        <w:pStyle w:val="TextBody"/>
        <w:spacing w:lineRule="auto" w:line="307" w:before="0" w:after="160"/>
        <w:ind w:left="0" w:right="0" w:hanging="0"/>
        <w:rPr/>
      </w:pPr>
      <w:r>
        <w:rPr/>
        <w:t>​</w:t>
      </w:r>
    </w:p>
    <w:p>
      <w:pPr>
        <w:pStyle w:val="TextBody"/>
        <w:spacing w:lineRule="auto" w:line="285" w:before="0" w:after="0"/>
        <w:ind w:left="0" w:right="0" w:hanging="0"/>
        <w:jc w:val="center"/>
        <w:rPr>
          <w:rFonts w:ascii="Arial;Helvetica;sans-serif" w:hAnsi="Arial;Helvetica;sans-serif"/>
          <w:b/>
          <w:sz w:val="36"/>
        </w:rPr>
      </w:pPr>
      <w:r>
        <w:rPr>
          <w:rFonts w:ascii="Arial;Helvetica;sans-serif" w:hAnsi="Arial;Helvetica;sans-serif"/>
          <w:b/>
          <w:sz w:val="36"/>
        </w:rPr>
        <w:t>UNITED STATES</w:t>
      </w:r>
    </w:p>
    <w:p>
      <w:pPr>
        <w:pStyle w:val="TextBody"/>
        <w:spacing w:lineRule="auto" w:line="285" w:before="0" w:after="0"/>
        <w:ind w:left="0" w:right="0" w:hanging="0"/>
        <w:jc w:val="center"/>
        <w:rPr>
          <w:rFonts w:ascii="Arial;Helvetica;sans-serif" w:hAnsi="Arial;Helvetica;sans-serif"/>
          <w:b/>
          <w:sz w:val="36"/>
        </w:rPr>
      </w:pPr>
      <w:r>
        <w:rPr>
          <w:rFonts w:ascii="Arial;Helvetica;sans-serif" w:hAnsi="Arial;Helvetica;sans-serif"/>
          <w:b/>
          <w:sz w:val="36"/>
        </w:rPr>
        <w:t>SECURITIES AND EXCHANGE COMMISSION</w:t>
      </w:r>
    </w:p>
    <w:p>
      <w:pPr>
        <w:pStyle w:val="TextBody"/>
        <w:spacing w:lineRule="auto" w:line="285" w:before="0" w:after="120"/>
        <w:ind w:left="0" w:right="0" w:hanging="0"/>
        <w:jc w:val="center"/>
        <w:rPr>
          <w:rFonts w:ascii="Arial;Helvetica;sans-serif" w:hAnsi="Arial;Helvetica;sans-serif"/>
          <w:b/>
          <w:sz w:val="24"/>
        </w:rPr>
      </w:pPr>
      <w:r>
        <w:rPr>
          <w:rFonts w:ascii="Arial;Helvetica;sans-serif" w:hAnsi="Arial;Helvetica;sans-serif"/>
          <w:b/>
          <w:sz w:val="24"/>
        </w:rPr>
        <w:t>Washington, DC 20549</w:t>
      </w:r>
    </w:p>
    <w:p>
      <w:pPr>
        <w:pStyle w:val="HorizontalLine"/>
        <w:pBdr>
          <w:bottom w:val="single" w:sz="6" w:space="0" w:color="000000"/>
        </w:pBdr>
        <w:spacing w:before="0" w:after="120"/>
        <w:ind w:left="3827" w:right="3827" w:hanging="0"/>
        <w:rPr/>
      </w:pPr>
      <w:r>
        <w:rPr/>
      </w:r>
    </w:p>
    <w:p>
      <w:pPr>
        <w:pStyle w:val="TextBody"/>
        <w:spacing w:lineRule="auto" w:line="285" w:before="0" w:after="0"/>
        <w:ind w:left="0" w:right="0" w:hanging="0"/>
        <w:jc w:val="center"/>
        <w:rPr>
          <w:rFonts w:ascii="Arial;Helvetica;sans-serif" w:hAnsi="Arial;Helvetica;sans-serif"/>
          <w:b/>
          <w:sz w:val="32"/>
        </w:rPr>
      </w:pPr>
      <w:r>
        <w:rPr>
          <w:rFonts w:ascii="Arial;Helvetica;sans-serif" w:hAnsi="Arial;Helvetica;sans-serif"/>
          <w:b/>
          <w:sz w:val="32"/>
        </w:rPr>
        <w:t>SCHEDULE 14A</w:t>
      </w:r>
    </w:p>
    <w:p>
      <w:pPr>
        <w:pStyle w:val="TextBody"/>
        <w:spacing w:lineRule="auto" w:line="285" w:before="0" w:after="120"/>
        <w:ind w:left="0" w:right="0" w:hanging="0"/>
        <w:jc w:val="center"/>
        <w:rPr>
          <w:rFonts w:ascii="Arial;Helvetica;sans-serif" w:hAnsi="Arial;Helvetica;sans-serif"/>
          <w:b/>
          <w:sz w:val="28"/>
        </w:rPr>
      </w:pPr>
      <w:r>
        <w:rPr>
          <w:rFonts w:ascii="Arial;Helvetica;sans-serif" w:hAnsi="Arial;Helvetica;sans-serif"/>
          <w:b/>
          <w:sz w:val="28"/>
        </w:rPr>
        <w:t>(RULE 14a-101)</w:t>
      </w:r>
    </w:p>
    <w:p>
      <w:pPr>
        <w:pStyle w:val="TextBody"/>
        <w:spacing w:lineRule="auto" w:line="285" w:before="0" w:after="0"/>
        <w:ind w:left="0" w:right="0" w:hanging="0"/>
        <w:jc w:val="center"/>
        <w:rPr>
          <w:rFonts w:ascii="Arial;Helvetica;sans-serif" w:hAnsi="Arial;Helvetica;sans-serif"/>
          <w:b/>
          <w:sz w:val="24"/>
        </w:rPr>
      </w:pPr>
      <w:r>
        <w:rPr>
          <w:rFonts w:ascii="Arial;Helvetica;sans-serif" w:hAnsi="Arial;Helvetica;sans-serif"/>
          <w:b/>
          <w:sz w:val="24"/>
        </w:rPr>
        <w:t>PROXY STATEMENT PURSUANT TO SECTION 14(A) OF THE</w:t>
      </w:r>
    </w:p>
    <w:p>
      <w:pPr>
        <w:pStyle w:val="TextBody"/>
        <w:spacing w:lineRule="auto" w:line="285" w:before="0" w:after="120"/>
        <w:ind w:left="0" w:right="0" w:hanging="0"/>
        <w:jc w:val="center"/>
        <w:rPr>
          <w:rFonts w:ascii="Arial;Helvetica;sans-serif" w:hAnsi="Arial;Helvetica;sans-serif"/>
          <w:b/>
          <w:sz w:val="24"/>
        </w:rPr>
      </w:pPr>
      <w:r>
        <w:rPr>
          <w:rFonts w:ascii="Arial;Helvetica;sans-serif" w:hAnsi="Arial;Helvetica;sans-serif"/>
          <w:b/>
          <w:sz w:val="24"/>
        </w:rPr>
        <w:t>SECURITIES EXCHANGE ACT OF 1934</w:t>
      </w:r>
    </w:p>
    <w:p>
      <w:pPr>
        <w:pStyle w:val="HorizontalLine"/>
        <w:pBdr>
          <w:bottom w:val="single" w:sz="6" w:space="0" w:color="000000"/>
        </w:pBdr>
        <w:spacing w:before="0" w:after="0"/>
        <w:ind w:left="3827" w:right="3827" w:hanging="0"/>
        <w:rPr/>
      </w:pPr>
      <w:r>
        <w:rPr/>
      </w:r>
    </w:p>
    <w:p>
      <w:pPr>
        <w:pStyle w:val="TextBody"/>
        <w:spacing w:lineRule="auto" w:line="307" w:before="0" w:after="160"/>
        <w:ind w:left="0" w:right="0" w:hanging="0"/>
        <w:rPr/>
      </w:pPr>
      <w:r>
        <w:rPr/>
        <w:t>​</w:t>
      </w:r>
    </w:p>
    <w:tbl>
      <w:tblPr>
        <w:tblW w:w="6381" w:type="dxa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2326"/>
        <w:gridCol w:w="3901"/>
        <w:gridCol w:w="154"/>
      </w:tblGrid>
      <w:tr>
        <w:trPr/>
        <w:tc>
          <w:tcPr>
            <w:tcW w:w="2326" w:type="dxa"/>
            <w:tcBorders/>
            <w:shd w:fill="auto" w:val="clear"/>
            <w:vAlign w:val="center"/>
          </w:tcPr>
          <w:p>
            <w:pPr>
              <w:pStyle w:val="TableContents"/>
              <w:spacing w:lineRule="auto" w:line="307" w:before="0" w:after="160"/>
              <w:ind w:left="0" w:right="0" w:hanging="0"/>
              <w:rPr/>
            </w:pPr>
            <w:r>
              <w:rPr/>
              <w:t>​</w:t>
            </w:r>
          </w:p>
        </w:tc>
        <w:tc>
          <w:tcPr>
            <w:tcW w:w="3901" w:type="dxa"/>
            <w:tcBorders/>
            <w:shd w:fill="auto" w:val="clear"/>
            <w:vAlign w:val="center"/>
          </w:tcPr>
          <w:p>
            <w:pPr>
              <w:pStyle w:val="TableContents"/>
              <w:spacing w:lineRule="auto" w:line="307" w:before="0" w:after="160"/>
              <w:ind w:left="0" w:right="0" w:hanging="0"/>
              <w:rPr/>
            </w:pPr>
            <w:r>
              <w:rPr/>
              <w:t>​</w:t>
            </w:r>
          </w:p>
        </w:tc>
        <w:tc>
          <w:tcPr>
            <w:tcW w:w="154" w:type="dxa"/>
            <w:tcBorders/>
            <w:shd w:fill="auto" w:val="clear"/>
            <w:vAlign w:val="center"/>
          </w:tcPr>
          <w:p>
            <w:pPr>
              <w:pStyle w:val="TableContents"/>
              <w:spacing w:lineRule="auto" w:line="307" w:before="0" w:after="160"/>
              <w:ind w:left="0" w:right="0" w:hanging="0"/>
              <w:rPr/>
            </w:pPr>
            <w:r>
              <w:rPr/>
              <w:t>​</w:t>
            </w:r>
          </w:p>
        </w:tc>
      </w:tr>
      <w:tr>
        <w:trPr/>
        <w:tc>
          <w:tcPr>
            <w:tcW w:w="2326" w:type="dxa"/>
            <w:tcBorders/>
            <w:shd w:fill="auto" w:val="clear"/>
            <w:vAlign w:val="center"/>
          </w:tcPr>
          <w:p>
            <w:pPr>
              <w:pStyle w:val="TableContents"/>
              <w:spacing w:lineRule="auto" w:line="285" w:before="0" w:after="0"/>
              <w:ind w:left="0" w:right="0" w:hanging="0"/>
              <w:rPr>
                <w:rFonts w:ascii="Calibri;Helvetica;sans-serif" w:hAnsi="Calibri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Filed by the Registrant </w:t>
            </w:r>
            <w:r>
              <w:rPr>
                <w:rFonts w:ascii="Calibri;Helvetica;sans-serif" w:hAnsi="Calibri;Helvetica;sans-serif"/>
                <w:sz w:val="20"/>
              </w:rPr>
              <w:t>☒</w:t>
            </w:r>
          </w:p>
        </w:tc>
        <w:tc>
          <w:tcPr>
            <w:tcW w:w="3901" w:type="dxa"/>
            <w:tcBorders/>
            <w:shd w:fill="auto" w:val="clear"/>
            <w:vAlign w:val="center"/>
          </w:tcPr>
          <w:p>
            <w:pPr>
              <w:pStyle w:val="TableContents"/>
              <w:spacing w:lineRule="auto" w:line="285" w:before="0" w:after="0"/>
              <w:ind w:left="0" w:right="0" w:hanging="0"/>
              <w:rPr>
                <w:rFonts w:ascii="Calibri;Helvetica;sans-serif" w:hAnsi="Calibri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Filed by a party other than the Registrant </w:t>
            </w:r>
            <w:r>
              <w:rPr>
                <w:rFonts w:ascii="Calibri;Helvetica;sans-serif" w:hAnsi="Calibri;Helvetica;sans-serif"/>
                <w:sz w:val="20"/>
              </w:rPr>
              <w:t>☐</w:t>
            </w:r>
          </w:p>
        </w:tc>
        <w:tc>
          <w:tcPr>
            <w:tcW w:w="154" w:type="dxa"/>
            <w:tcBorders/>
            <w:shd w:fill="auto" w:val="clear"/>
            <w:vAlign w:val="center"/>
          </w:tcPr>
          <w:p>
            <w:pPr>
              <w:pStyle w:val="TableContents"/>
              <w:spacing w:lineRule="auto" w:line="307" w:before="0" w:after="160"/>
              <w:ind w:left="0" w:right="0" w:hanging="0"/>
              <w:jc w:val="center"/>
              <w:rPr/>
            </w:pPr>
            <w:r>
              <w:rPr/>
              <w:t>​</w:t>
            </w:r>
          </w:p>
        </w:tc>
      </w:tr>
    </w:tbl>
    <w:p>
      <w:pPr>
        <w:pStyle w:val="TextBody"/>
        <w:spacing w:lineRule="auto" w:line="307" w:before="0" w:after="160"/>
        <w:ind w:left="0" w:right="0" w:hanging="0"/>
        <w:rPr/>
      </w:pPr>
      <w:r>
        <w:rPr/>
        <w:t>​</w:t>
      </w:r>
    </w:p>
    <w:p>
      <w:pPr>
        <w:pStyle w:val="TextBody"/>
        <w:spacing w:lineRule="auto" w:line="285" w:before="0" w:after="240"/>
        <w:ind w:left="0" w:right="0" w:hanging="0"/>
        <w:rPr>
          <w:rFonts w:ascii="Arial;Helvetica;sans-serif" w:hAnsi="Arial;Helvetica;sans-serif"/>
          <w:sz w:val="20"/>
        </w:rPr>
      </w:pPr>
      <w:r>
        <w:rPr>
          <w:rFonts w:ascii="Arial;Helvetica;sans-serif" w:hAnsi="Arial;Helvetica;sans-serif"/>
          <w:sz w:val="20"/>
        </w:rPr>
        <w:t>Check the appropriate box:</w:t>
      </w:r>
    </w:p>
    <w:tbl>
      <w:tblPr>
        <w:tblW w:w="2695" w:type="dxa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2465"/>
      </w:tblGrid>
      <w:tr>
        <w:trPr/>
        <w:tc>
          <w:tcPr>
            <w:tcW w:w="230" w:type="dxa"/>
            <w:tcBorders/>
            <w:shd w:fill="auto" w:val="clear"/>
            <w:vAlign w:val="center"/>
          </w:tcPr>
          <w:p>
            <w:pPr>
              <w:pStyle w:val="TableContents"/>
              <w:spacing w:lineRule="auto" w:line="285" w:before="0" w:after="240"/>
              <w:rPr/>
            </w:pPr>
            <w:r>
              <w:rPr/>
              <w:t>☐</w:t>
            </w:r>
          </w:p>
        </w:tc>
        <w:tc>
          <w:tcPr>
            <w:tcW w:w="2465" w:type="dxa"/>
            <w:tcBorders/>
            <w:shd w:fill="auto" w:val="clear"/>
            <w:vAlign w:val="center"/>
          </w:tcPr>
          <w:p>
            <w:pPr>
              <w:pStyle w:val="TableContents"/>
              <w:spacing w:lineRule="auto" w:line="285" w:before="0" w:after="240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Preliminary proxy statement</w:t>
            </w:r>
          </w:p>
        </w:tc>
      </w:tr>
    </w:tbl>
    <w:tbl>
      <w:tblPr>
        <w:tblW w:w="7075" w:type="dxa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6845"/>
      </w:tblGrid>
      <w:tr>
        <w:trPr/>
        <w:tc>
          <w:tcPr>
            <w:tcW w:w="230" w:type="dxa"/>
            <w:tcBorders/>
            <w:shd w:fill="auto" w:val="clear"/>
            <w:vAlign w:val="center"/>
          </w:tcPr>
          <w:p>
            <w:pPr>
              <w:pStyle w:val="TableContents"/>
              <w:spacing w:lineRule="auto" w:line="285" w:before="0" w:after="240"/>
              <w:rPr/>
            </w:pPr>
            <w:r>
              <w:rPr/>
              <w:t>☐</w:t>
            </w:r>
          </w:p>
        </w:tc>
        <w:tc>
          <w:tcPr>
            <w:tcW w:w="6845" w:type="dxa"/>
            <w:tcBorders/>
            <w:shd w:fill="auto" w:val="clear"/>
            <w:vAlign w:val="center"/>
          </w:tcPr>
          <w:p>
            <w:pPr>
              <w:pStyle w:val="TableContents"/>
              <w:spacing w:lineRule="auto" w:line="285" w:before="0" w:after="240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Confidential, for use of the Commission only (as permitted by Rule 14a-6(e)(2))</w:t>
            </w:r>
          </w:p>
        </w:tc>
      </w:tr>
    </w:tbl>
    <w:tbl>
      <w:tblPr>
        <w:tblW w:w="2530" w:type="dxa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2300"/>
      </w:tblGrid>
      <w:tr>
        <w:trPr/>
        <w:tc>
          <w:tcPr>
            <w:tcW w:w="230" w:type="dxa"/>
            <w:tcBorders/>
            <w:shd w:fill="auto" w:val="clear"/>
            <w:vAlign w:val="center"/>
          </w:tcPr>
          <w:p>
            <w:pPr>
              <w:pStyle w:val="TableContents"/>
              <w:spacing w:lineRule="auto" w:line="285" w:before="0" w:after="240"/>
              <w:rPr/>
            </w:pPr>
            <w:r>
              <w:rPr/>
              <w:t>☐</w:t>
            </w:r>
          </w:p>
        </w:tc>
        <w:tc>
          <w:tcPr>
            <w:tcW w:w="2300" w:type="dxa"/>
            <w:tcBorders/>
            <w:shd w:fill="auto" w:val="clear"/>
            <w:vAlign w:val="center"/>
          </w:tcPr>
          <w:p>
            <w:pPr>
              <w:pStyle w:val="TableContents"/>
              <w:spacing w:lineRule="auto" w:line="285" w:before="0" w:after="240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Definitive proxy statement</w:t>
            </w:r>
          </w:p>
        </w:tc>
      </w:tr>
    </w:tbl>
    <w:tbl>
      <w:tblPr>
        <w:tblW w:w="2800" w:type="dxa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2570"/>
      </w:tblGrid>
      <w:tr>
        <w:trPr/>
        <w:tc>
          <w:tcPr>
            <w:tcW w:w="230" w:type="dxa"/>
            <w:tcBorders/>
            <w:shd w:fill="auto" w:val="clear"/>
            <w:vAlign w:val="center"/>
          </w:tcPr>
          <w:p>
            <w:pPr>
              <w:pStyle w:val="TableContents"/>
              <w:spacing w:lineRule="auto" w:line="285" w:before="0" w:after="240"/>
              <w:rPr/>
            </w:pPr>
            <w:r>
              <w:rPr/>
              <w:t>☒</w:t>
            </w:r>
          </w:p>
        </w:tc>
        <w:tc>
          <w:tcPr>
            <w:tcW w:w="2570" w:type="dxa"/>
            <w:tcBorders/>
            <w:shd w:fill="auto" w:val="clear"/>
            <w:vAlign w:val="center"/>
          </w:tcPr>
          <w:p>
            <w:pPr>
              <w:pStyle w:val="TableContents"/>
              <w:spacing w:lineRule="auto" w:line="285" w:before="0" w:after="240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Definitive additional materials</w:t>
            </w:r>
          </w:p>
        </w:tc>
      </w:tr>
    </w:tbl>
    <w:tbl>
      <w:tblPr>
        <w:tblW w:w="4315" w:type="dxa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4085"/>
      </w:tblGrid>
      <w:tr>
        <w:trPr/>
        <w:tc>
          <w:tcPr>
            <w:tcW w:w="230" w:type="dxa"/>
            <w:tcBorders/>
            <w:shd w:fill="auto" w:val="clear"/>
            <w:vAlign w:val="center"/>
          </w:tcPr>
          <w:p>
            <w:pPr>
              <w:pStyle w:val="TableContents"/>
              <w:spacing w:lineRule="auto" w:line="285" w:before="0" w:after="240"/>
              <w:rPr/>
            </w:pPr>
            <w:r>
              <w:rPr/>
              <w:t>☐</w:t>
            </w:r>
          </w:p>
        </w:tc>
        <w:tc>
          <w:tcPr>
            <w:tcW w:w="4085" w:type="dxa"/>
            <w:tcBorders/>
            <w:shd w:fill="auto" w:val="clear"/>
            <w:vAlign w:val="center"/>
          </w:tcPr>
          <w:p>
            <w:pPr>
              <w:pStyle w:val="TableContents"/>
              <w:spacing w:lineRule="auto" w:line="285" w:before="0" w:after="240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Soliciting material pursuant to Sec. 240.14a-12</w:t>
            </w:r>
          </w:p>
        </w:tc>
      </w:tr>
    </w:tbl>
    <w:p>
      <w:pPr>
        <w:pStyle w:val="TextBody"/>
        <w:spacing w:lineRule="auto" w:line="285" w:before="0" w:after="120"/>
        <w:ind w:left="0" w:right="0" w:hanging="0"/>
        <w:jc w:val="center"/>
        <w:rPr/>
      </w:pPr>
      <w:r>
        <w:rPr/>
        <w:drawing>
          <wp:inline distT="0" distB="0" distL="0" distR="0">
            <wp:extent cx="885825" cy="409575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spacing w:lineRule="auto" w:line="285" w:before="0" w:after="0"/>
        <w:ind w:left="0" w:right="0" w:hanging="0"/>
        <w:jc w:val="center"/>
        <w:rPr>
          <w:rFonts w:ascii="Arial;Helvetica;sans-serif" w:hAnsi="Arial;Helvetica;sans-serif"/>
          <w:b/>
          <w:sz w:val="36"/>
        </w:rPr>
      </w:pPr>
      <w:r>
        <w:rPr>
          <w:rFonts w:ascii="Arial;Helvetica;sans-serif" w:hAnsi="Arial;Helvetica;sans-serif"/>
          <w:b/>
          <w:sz w:val="36"/>
        </w:rPr>
        <w:t>CECO ENVIRONMENTAL CORP.</w:t>
      </w:r>
    </w:p>
    <w:p>
      <w:pPr>
        <w:pStyle w:val="TextBody"/>
        <w:spacing w:lineRule="auto" w:line="285" w:before="0" w:after="240"/>
        <w:ind w:left="0" w:right="0" w:hanging="0"/>
        <w:jc w:val="center"/>
        <w:rPr>
          <w:rFonts w:ascii="Arial;Helvetica;sans-serif" w:hAnsi="Arial;Helvetica;sans-serif"/>
          <w:b/>
          <w:sz w:val="24"/>
        </w:rPr>
      </w:pPr>
      <w:r>
        <w:rPr>
          <w:rFonts w:ascii="Arial;Helvetica;sans-serif" w:hAnsi="Arial;Helvetica;sans-serif"/>
          <w:b/>
          <w:sz w:val="24"/>
        </w:rPr>
        <w:t>(Name of Registrant as Specified in Its Charter)</w:t>
      </w:r>
    </w:p>
    <w:p>
      <w:pPr>
        <w:pStyle w:val="TextBody"/>
        <w:spacing w:lineRule="auto" w:line="285" w:before="0" w:after="240"/>
        <w:ind w:left="0" w:right="0" w:hanging="0"/>
        <w:jc w:val="center"/>
        <w:rPr>
          <w:rFonts w:ascii="Arial;Helvetica;sans-serif" w:hAnsi="Arial;Helvetica;sans-serif"/>
          <w:b/>
          <w:sz w:val="16"/>
        </w:rPr>
      </w:pPr>
      <w:r>
        <w:rPr>
          <w:rFonts w:ascii="Arial;Helvetica;sans-serif" w:hAnsi="Arial;Helvetica;sans-serif"/>
          <w:b/>
          <w:sz w:val="16"/>
        </w:rPr>
        <w:t>(Name of Person(s) Filing Proxy Statement, if other than Registrant)</w:t>
      </w:r>
    </w:p>
    <w:p>
      <w:pPr>
        <w:pStyle w:val="TextBody"/>
        <w:spacing w:lineRule="auto" w:line="285" w:before="0" w:after="240"/>
        <w:ind w:left="0" w:right="0" w:hanging="0"/>
        <w:rPr>
          <w:rFonts w:ascii="Arial;Helvetica;sans-serif" w:hAnsi="Arial;Helvetica;sans-serif"/>
          <w:sz w:val="20"/>
        </w:rPr>
      </w:pPr>
      <w:r>
        <w:rPr>
          <w:rFonts w:ascii="Arial;Helvetica;sans-serif" w:hAnsi="Arial;Helvetica;sans-serif"/>
          <w:sz w:val="20"/>
        </w:rPr>
        <w:t>Payment of filing fee (Check the appropriate box):</w:t>
      </w:r>
    </w:p>
    <w:tbl>
      <w:tblPr>
        <w:tblW w:w="1705" w:type="dxa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1475"/>
      </w:tblGrid>
      <w:tr>
        <w:trPr/>
        <w:tc>
          <w:tcPr>
            <w:tcW w:w="230" w:type="dxa"/>
            <w:tcBorders/>
            <w:shd w:fill="auto" w:val="clear"/>
            <w:vAlign w:val="center"/>
          </w:tcPr>
          <w:p>
            <w:pPr>
              <w:pStyle w:val="TableContents"/>
              <w:spacing w:lineRule="auto" w:line="285" w:before="0" w:after="240"/>
              <w:rPr/>
            </w:pPr>
            <w:r>
              <w:rPr/>
              <w:t>☒</w:t>
            </w:r>
          </w:p>
        </w:tc>
        <w:tc>
          <w:tcPr>
            <w:tcW w:w="1475" w:type="dxa"/>
            <w:tcBorders/>
            <w:shd w:fill="auto" w:val="clear"/>
            <w:vAlign w:val="center"/>
          </w:tcPr>
          <w:p>
            <w:pPr>
              <w:pStyle w:val="TableContents"/>
              <w:spacing w:lineRule="auto" w:line="285" w:before="0" w:after="240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No Fee Required</w:t>
            </w:r>
          </w:p>
        </w:tc>
      </w:tr>
    </w:tbl>
    <w:tbl>
      <w:tblPr>
        <w:tblW w:w="4270" w:type="dxa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4040"/>
      </w:tblGrid>
      <w:tr>
        <w:trPr/>
        <w:tc>
          <w:tcPr>
            <w:tcW w:w="230" w:type="dxa"/>
            <w:tcBorders/>
            <w:shd w:fill="auto" w:val="clear"/>
            <w:vAlign w:val="center"/>
          </w:tcPr>
          <w:p>
            <w:pPr>
              <w:pStyle w:val="TableContents"/>
              <w:spacing w:lineRule="auto" w:line="285" w:before="0" w:after="240"/>
              <w:rPr/>
            </w:pPr>
            <w:r>
              <w:rPr/>
              <w:t>☐</w:t>
            </w:r>
          </w:p>
        </w:tc>
        <w:tc>
          <w:tcPr>
            <w:tcW w:w="4040" w:type="dxa"/>
            <w:tcBorders/>
            <w:shd w:fill="auto" w:val="clear"/>
            <w:vAlign w:val="center"/>
          </w:tcPr>
          <w:p>
            <w:pPr>
              <w:pStyle w:val="TableContents"/>
              <w:spacing w:lineRule="auto" w:line="285" w:before="0" w:after="240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Fee paid previously with preliminary materials:</w:t>
            </w:r>
          </w:p>
        </w:tc>
      </w:tr>
    </w:tbl>
    <w:tbl>
      <w:tblPr>
        <w:tblW w:w="8965" w:type="dxa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8735"/>
      </w:tblGrid>
      <w:tr>
        <w:trPr/>
        <w:tc>
          <w:tcPr>
            <w:tcW w:w="230" w:type="dxa"/>
            <w:tcBorders/>
            <w:shd w:fill="auto" w:val="clear"/>
            <w:vAlign w:val="center"/>
          </w:tcPr>
          <w:p>
            <w:pPr>
              <w:pStyle w:val="TableContents"/>
              <w:spacing w:lineRule="auto" w:line="285" w:before="0" w:after="0"/>
              <w:rPr/>
            </w:pPr>
            <w:r>
              <w:rPr/>
              <w:t>☐</w:t>
            </w:r>
          </w:p>
        </w:tc>
        <w:tc>
          <w:tcPr>
            <w:tcW w:w="8735" w:type="dxa"/>
            <w:tcBorders/>
            <w:shd w:fill="auto" w:val="clear"/>
            <w:vAlign w:val="center"/>
          </w:tcPr>
          <w:p>
            <w:pPr>
              <w:pStyle w:val="TableContents"/>
              <w:spacing w:lineRule="auto" w:line="285" w:before="0" w:after="0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Fee computed on table in exhibit required by Item 25(b) per Exchange Act Rules 14a-6(i)(1) and 0-11</w:t>
            </w:r>
          </w:p>
        </w:tc>
      </w:tr>
    </w:tbl>
    <w:p>
      <w:pPr>
        <w:pStyle w:val="HorizontalLine"/>
        <w:rPr/>
      </w:pPr>
      <w:r>
        <w:rPr/>
      </w:r>
    </w:p>
    <w:tbl>
      <w:tblPr>
        <w:tblW w:w="12758" w:type="dxa"/>
        <w:jc w:val="center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12735"/>
        <w:gridCol w:w="23"/>
      </w:tblGrid>
      <w:tr>
        <w:trPr/>
        <w:tc>
          <w:tcPr>
            <w:tcW w:w="12735" w:type="dxa"/>
            <w:tcBorders/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jc w:val="center"/>
              <w:rPr/>
            </w:pPr>
            <w:r>
              <w:rPr/>
              <w:drawing>
                <wp:inline distT="0" distB="0" distL="0" distR="0">
                  <wp:extent cx="8086725" cy="10477500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86725" cy="10477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ind w:left="0" w:right="0" w:hanging="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758" w:type="dxa"/>
        <w:jc w:val="center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12735"/>
        <w:gridCol w:w="23"/>
      </w:tblGrid>
      <w:tr>
        <w:trPr/>
        <w:tc>
          <w:tcPr>
            <w:tcW w:w="12735" w:type="dxa"/>
            <w:tcBorders/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jc w:val="center"/>
              <w:rPr/>
            </w:pPr>
            <w:r>
              <w:rPr/>
              <w:drawing>
                <wp:inline distT="0" distB="0" distL="0" distR="0">
                  <wp:extent cx="8086725" cy="10477500"/>
                  <wp:effectExtent l="0" t="0" r="0" b="0"/>
                  <wp:docPr id="3" name="Imag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86725" cy="10477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ind w:left="0" w:right="0" w:hanging="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spacing w:before="0" w:after="283"/>
        <w:ind w:left="0" w:right="0" w:hanging="0"/>
        <w:rPr/>
      </w:pPr>
      <w:r>
        <w:br w:type="page"/>
      </w: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Calibri">
    <w:altName w:val="Helvetica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134</Words>
  <CharactersWithSpaces>844</CharactersWithSpaces>
  <Paragraphs>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