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00"/>
          </w:cols>
          <w:pgMar w:left="320" w:top="1019" w:right="47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580" w:space="720"/>
            <w:col w:w="2980" w:space="720"/>
            <w:col w:w="2100"/>
          </w:cols>
          <w:pgMar w:left="320" w:top="1019" w:right="4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0" w:space="720"/>
            <w:col w:w="2940" w:space="720"/>
            <w:col w:w="2220"/>
          </w:cols>
          <w:pgMar w:left="320" w:top="1019" w:right="479" w:bottom="1440" w:gutter="0" w:footer="0" w:header="0"/>
          <w:type w:val="continuous"/>
        </w:sect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Suite 800E</w:t>
      </w:r>
    </w:p>
    <w:p>
      <w:pPr>
        <w:spacing w:after="0" w:line="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sectPr>
          <w:pgSz w:w="11900" w:h="16838" w:orient="portrait"/>
          <w:cols w:equalWidth="0" w:num="2">
            <w:col w:w="7540" w:space="720"/>
            <w:col w:w="2840"/>
          </w:cols>
          <w:pgMar w:left="320" w:top="1019" w:right="4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440" w:space="720"/>
            <w:col w:w="2940"/>
          </w:cols>
          <w:pgMar w:left="320" w:top="1019"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19" w:right="47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20, 2025, CECO Environmental Corp. (the “Company”) held its 2025 annual meeting of stockholders (the "Annual Meeting"). At the Annual Meeting, the Company's stockholders: (1) elected each of the eight director nominees listed below to serve as a director of the Company for a term that will continue until the next annual meeting of stockholders and until his or her successor is elected and duly qualified; (2) approved, on an advisory basis, the Company’s named executive officer compensation; (3) recommended, on an advisory basis, a frequency of every one year for future advisory votes to approve the Company’s named executive officer compensation; and (4) ratified the appointment of Deloitte &amp; Touche LLP ("Deloitte") as the Company’s independent registered public accounting firm for fiscal 2025. The voting results at the Annual Meeting with respect to each of the matters described above were as follows:</w:t>
      </w:r>
    </w:p>
    <w:p>
      <w:pPr>
        <w:spacing w:after="0" w:line="189"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 director nominees named in the proxy statement and standing for election were elected based upon the following votes: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340" w:type="dxa"/>
            <w:vAlign w:val="bottom"/>
          </w:tcPr>
          <w:p>
            <w:pPr>
              <w:spacing w:after="0"/>
              <w:rPr>
                <w:sz w:val="15"/>
                <w:szCs w:val="15"/>
                <w:color w:val="auto"/>
              </w:rPr>
            </w:pPr>
          </w:p>
        </w:tc>
        <w:tc>
          <w:tcPr>
            <w:tcW w:w="17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FOR</w:t>
            </w:r>
          </w:p>
        </w:tc>
        <w:tc>
          <w:tcPr>
            <w:tcW w:w="460" w:type="dxa"/>
            <w:vAlign w:val="bottom"/>
          </w:tcPr>
          <w:p>
            <w:pPr>
              <w:spacing w:after="0"/>
              <w:rPr>
                <w:sz w:val="15"/>
                <w:szCs w:val="15"/>
                <w:color w:val="auto"/>
              </w:rPr>
            </w:pPr>
          </w:p>
        </w:tc>
        <w:tc>
          <w:tcPr>
            <w:tcW w:w="17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40" w:type="dxa"/>
            <w:vAlign w:val="bottom"/>
          </w:tcPr>
          <w:p>
            <w:pPr>
              <w:spacing w:after="0"/>
              <w:rPr>
                <w:sz w:val="15"/>
                <w:szCs w:val="15"/>
                <w:color w:val="auto"/>
              </w:rPr>
            </w:pPr>
          </w:p>
        </w:tc>
        <w:tc>
          <w:tcPr>
            <w:tcW w:w="17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40" w:type="dxa"/>
            <w:vAlign w:val="bottom"/>
          </w:tcPr>
          <w:p>
            <w:pPr>
              <w:spacing w:after="0"/>
              <w:rPr>
                <w:sz w:val="15"/>
                <w:szCs w:val="15"/>
                <w:color w:val="auto"/>
              </w:rPr>
            </w:pP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5"/>
                <w:szCs w:val="15"/>
                <w:color w:val="auto"/>
              </w:rPr>
            </w:pPr>
          </w:p>
        </w:tc>
      </w:tr>
      <w:tr>
        <w:trPr>
          <w:trHeight w:val="21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DeZwirek</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28,633,357</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1,099,433</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29,685,668</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47,217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E. Knowling, Jr.</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29,658,485</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Claudio A. Mannarino</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29,680,400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48,155</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Munish Nanda</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29,482,623</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243,678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Valerie Gentile Sachs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28,324,998</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1,317,517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111,367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Laurie A. Siegel</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29,121,881</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606,559</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25,442</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shd w:val="clear" w:color="auto" w:fill="CFF0FC"/>
          </w:tcPr>
          <w:p>
            <w:pPr>
              <w:spacing w:after="0"/>
              <w:rPr>
                <w:sz w:val="18"/>
                <w:szCs w:val="18"/>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Richard F. Wallman</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29,677,009</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56,018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named executive officer compensation was approved, on an advisory basis,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tcPr>
          <w:p>
            <w:pPr>
              <w:spacing w:after="0"/>
              <w:rPr>
                <w:sz w:val="15"/>
                <w:szCs w:val="15"/>
                <w:color w:val="auto"/>
              </w:rPr>
            </w:pPr>
          </w:p>
        </w:tc>
        <w:tc>
          <w:tcPr>
            <w:tcW w:w="23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80" w:type="dxa"/>
            <w:vAlign w:val="bottom"/>
          </w:tcPr>
          <w:p>
            <w:pPr>
              <w:spacing w:after="0"/>
              <w:rPr>
                <w:sz w:val="15"/>
                <w:szCs w:val="15"/>
                <w:color w:val="auto"/>
              </w:rPr>
            </w:pPr>
          </w:p>
        </w:tc>
        <w:tc>
          <w:tcPr>
            <w:tcW w:w="23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580" w:type="dxa"/>
            <w:vAlign w:val="bottom"/>
          </w:tcPr>
          <w:p>
            <w:pPr>
              <w:spacing w:after="0"/>
              <w:rPr>
                <w:sz w:val="15"/>
                <w:szCs w:val="15"/>
                <w:color w:val="auto"/>
              </w:rPr>
            </w:pPr>
          </w:p>
        </w:tc>
        <w:tc>
          <w:tcPr>
            <w:tcW w:w="23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5"/>
                <w:szCs w:val="15"/>
                <w:color w:val="auto"/>
              </w:rPr>
            </w:pPr>
          </w:p>
        </w:tc>
      </w:tr>
      <w:tr>
        <w:trPr>
          <w:trHeight w:val="209"/>
        </w:trPr>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28,679,259</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1,025,229</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49,394</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5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frequency of one year for future advisory votes to approve the Company's named executive officer compensation was recommended, on an advisory basis,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500" w:type="dxa"/>
            <w:vAlign w:val="bottom"/>
          </w:tcPr>
          <w:p>
            <w:pPr>
              <w:spacing w:after="0"/>
              <w:rPr>
                <w:sz w:val="15"/>
                <w:szCs w:val="15"/>
                <w:color w:val="auto"/>
              </w:rPr>
            </w:pPr>
          </w:p>
        </w:tc>
        <w:tc>
          <w:tcPr>
            <w:tcW w:w="18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TWO YEARS</w:t>
            </w:r>
          </w:p>
        </w:tc>
        <w:tc>
          <w:tcPr>
            <w:tcW w:w="480" w:type="dxa"/>
            <w:vAlign w:val="bottom"/>
          </w:tcPr>
          <w:p>
            <w:pPr>
              <w:spacing w:after="0"/>
              <w:rPr>
                <w:sz w:val="15"/>
                <w:szCs w:val="15"/>
                <w:color w:val="auto"/>
              </w:rPr>
            </w:pPr>
          </w:p>
        </w:tc>
        <w:tc>
          <w:tcPr>
            <w:tcW w:w="1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460" w:type="dxa"/>
            <w:vAlign w:val="bottom"/>
          </w:tcPr>
          <w:p>
            <w:pPr>
              <w:spacing w:after="0"/>
              <w:rPr>
                <w:sz w:val="15"/>
                <w:szCs w:val="15"/>
                <w:color w:val="auto"/>
              </w:rPr>
            </w:pPr>
          </w:p>
        </w:tc>
        <w:tc>
          <w:tcPr>
            <w:tcW w:w="18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80" w:type="dxa"/>
            <w:vAlign w:val="bottom"/>
          </w:tcPr>
          <w:p>
            <w:pPr>
              <w:spacing w:after="0"/>
              <w:rPr>
                <w:sz w:val="15"/>
                <w:szCs w:val="15"/>
                <w:color w:val="auto"/>
              </w:rPr>
            </w:pPr>
          </w:p>
        </w:tc>
        <w:tc>
          <w:tcPr>
            <w:tcW w:w="1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5"/>
                <w:szCs w:val="15"/>
                <w:color w:val="auto"/>
              </w:rPr>
            </w:pPr>
          </w:p>
        </w:tc>
      </w:tr>
      <w:tr>
        <w:trPr>
          <w:trHeight w:val="210"/>
        </w:trPr>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28,510,829</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116,030</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1,085,051</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41,972</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2,810,881</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380" w:right="320"/>
        <w:spacing w:after="0" w:line="266" w:lineRule="auto"/>
        <w:rPr>
          <w:sz w:val="20"/>
          <w:szCs w:val="20"/>
          <w:color w:val="auto"/>
        </w:rPr>
      </w:pPr>
      <w:r>
        <w:rPr>
          <w:rFonts w:ascii="Times New Roman" w:cs="Times New Roman" w:eastAsia="Times New Roman" w:hAnsi="Times New Roman"/>
          <w:sz w:val="18"/>
          <w:szCs w:val="18"/>
          <w:color w:val="auto"/>
        </w:rPr>
        <w:t>Following the stockholder vote on Proposal No. 3 described above, the Company's Board of Directors determined that a stockholder advisory vote regarding the compensation of the Company’s executive officers (“Say-on-Pay” vote) will be held each year at the Company’s Annual Meeting of Stockholders until the next advisory vote of stockholders is held regarding the frequency of stockholder Say-on-Pay votes.</w:t>
      </w:r>
    </w:p>
    <w:p>
      <w:pPr>
        <w:spacing w:after="0" w:line="176"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Deloitte as the Company’s independent registered public accounting firm for fiscal 2025 was ratified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5"/>
                <w:szCs w:val="15"/>
                <w:color w:val="auto"/>
              </w:rPr>
            </w:pPr>
          </w:p>
        </w:tc>
        <w:tc>
          <w:tcPr>
            <w:tcW w:w="328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spacing w:after="0"/>
              <w:rPr>
                <w:sz w:val="15"/>
                <w:szCs w:val="15"/>
                <w:color w:val="auto"/>
              </w:rPr>
            </w:pPr>
          </w:p>
        </w:tc>
        <w:tc>
          <w:tcPr>
            <w:tcW w:w="324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0" w:type="dxa"/>
            <w:vAlign w:val="bottom"/>
          </w:tcPr>
          <w:p>
            <w:pPr>
              <w:spacing w:after="0"/>
              <w:rPr>
                <w:sz w:val="15"/>
                <w:szCs w:val="15"/>
                <w:color w:val="auto"/>
              </w:rPr>
            </w:pPr>
          </w:p>
        </w:tc>
      </w:tr>
      <w:tr>
        <w:trPr>
          <w:trHeight w:val="210"/>
        </w:trPr>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32,491,022</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3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50,368</w:t>
            </w:r>
          </w:p>
        </w:tc>
        <w:tc>
          <w:tcPr>
            <w:tcW w:w="100" w:type="dxa"/>
            <w:vAlign w:val="bottom"/>
            <w:shd w:val="clear" w:color="auto" w:fill="CFF0FC"/>
          </w:tcPr>
          <w:p>
            <w:pPr>
              <w:spacing w:after="0"/>
              <w:rPr>
                <w:sz w:val="18"/>
                <w:szCs w:val="18"/>
                <w:color w:val="auto"/>
              </w:rPr>
            </w:pPr>
          </w:p>
        </w:tc>
      </w:tr>
      <w:tr>
        <w:trPr>
          <w:trHeight w:val="1627"/>
        </w:trPr>
        <w:tc>
          <w:tcPr>
            <w:tcW w:w="3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9" w:lineRule="exact"/>
        <w:rPr>
          <w:sz w:val="20"/>
          <w:szCs w:val="20"/>
          <w:color w:val="auto"/>
        </w:rPr>
      </w:pPr>
    </w:p>
    <w:p>
      <w:pPr>
        <w:ind w:left="20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22,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SVP, Chief Administrative and Legal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2025-05-22T06:40:11Z</dcterms:created>
  <dcterms:modified xsi:type="dcterms:W3CDTF">2025-05-22T06:40:11Z</dcterms:modified>
</cp:coreProperties>
</file>