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 Pursuant to Rules 13d-1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of $0.01 Per Share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960" w:hanging="581"/>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960" w:hanging="581"/>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rFonts w:ascii="MS PGothic" w:cs="MS PGothic" w:eastAsia="MS PGothic" w:hAnsi="MS PGothic"/>
          <w:sz w:val="18"/>
          <w:szCs w:val="18"/>
          <w:color w:val="auto"/>
        </w:rPr>
      </w:pPr>
    </w:p>
    <w:p>
      <w:pPr>
        <w:ind w:left="960" w:hanging="581"/>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5100" w:val="left"/>
          <w:tab w:leader="none" w:pos="1032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2 of 12</w:t>
      </w:r>
    </w:p>
    <w:p>
      <w:pPr>
        <w:spacing w:after="0" w:line="306" w:lineRule="exact"/>
        <w:rPr>
          <w:sz w:val="20"/>
          <w:szCs w:val="20"/>
          <w:color w:val="auto"/>
        </w:rPr>
      </w:pPr>
    </w:p>
    <w:p>
      <w:pPr>
        <w:ind w:left="840" w:hanging="50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840" w:right="68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Trigran Investments, Inc.</w:t>
      </w:r>
    </w:p>
    <w:p>
      <w:pPr>
        <w:spacing w:after="0" w:line="289"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-325120</wp:posOffset>
            </wp:positionV>
            <wp:extent cx="6635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52" w:lineRule="exact"/>
        <w:rPr>
          <w:sz w:val="20"/>
          <w:szCs w:val="20"/>
          <w:color w:val="auto"/>
        </w:rPr>
      </w:pPr>
    </w:p>
    <w:p>
      <w:pPr>
        <w:ind w:left="1520" w:hanging="675"/>
        <w:spacing w:after="0"/>
        <w:tabs>
          <w:tab w:leader="none" w:pos="152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76" w:lineRule="exact"/>
        <w:rPr>
          <w:rFonts w:ascii="Times New Roman" w:cs="Times New Roman" w:eastAsia="Times New Roman" w:hAnsi="Times New Roman"/>
          <w:sz w:val="18"/>
          <w:szCs w:val="18"/>
          <w:color w:val="auto"/>
        </w:rPr>
      </w:pPr>
    </w:p>
    <w:p>
      <w:pPr>
        <w:ind w:left="1520" w:hanging="675"/>
        <w:spacing w:after="0"/>
        <w:tabs>
          <w:tab w:leader="none" w:pos="152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x</w:t>
      </w:r>
    </w:p>
    <w:p>
      <w:pPr>
        <w:spacing w:after="0" w:line="310"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33" w:lineRule="exact"/>
        <w:rPr>
          <w:rFonts w:ascii="Times New Roman" w:cs="Times New Roman" w:eastAsia="Times New Roman" w:hAnsi="Times New Roman"/>
          <w:sz w:val="18"/>
          <w:szCs w:val="18"/>
          <w:color w:val="auto"/>
        </w:rPr>
      </w:pPr>
    </w:p>
    <w:p>
      <w:pPr>
        <w:ind w:left="840" w:right="7760" w:hanging="508"/>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Illinois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-502285</wp:posOffset>
            </wp:positionV>
            <wp:extent cx="6635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-845185</wp:posOffset>
            </wp:positionV>
            <wp:extent cx="62064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-1016635</wp:posOffset>
            </wp:positionV>
            <wp:extent cx="6206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533,783 shares of common stock</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840" w:hanging="496"/>
        <w:spacing w:after="0"/>
        <w:tabs>
          <w:tab w:leader="none" w:pos="18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572,779 shares of common stock</w:t>
      </w:r>
    </w:p>
    <w:p>
      <w:pPr>
        <w:spacing w:after="0" w:line="274" w:lineRule="exact"/>
        <w:rPr>
          <w:rFonts w:ascii="Times New Roman" w:cs="Times New Roman" w:eastAsia="Times New Roman" w:hAnsi="Times New Roman"/>
          <w:sz w:val="18"/>
          <w:szCs w:val="18"/>
          <w:color w:val="auto"/>
        </w:rPr>
      </w:pPr>
    </w:p>
    <w:p>
      <w:pPr>
        <w:ind w:left="840" w:right="5600" w:hanging="508"/>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572,779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-476885</wp:posOffset>
            </wp:positionV>
            <wp:extent cx="6000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50" w:lineRule="exact"/>
        <w:rPr>
          <w:sz w:val="20"/>
          <w:szCs w:val="20"/>
          <w:color w:val="auto"/>
        </w:rPr>
      </w:pPr>
    </w:p>
    <w:p>
      <w:pPr>
        <w:ind w:left="840" w:hanging="553"/>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333" w:lineRule="exact"/>
        <w:rPr>
          <w:rFonts w:ascii="Times New Roman" w:cs="Times New Roman" w:eastAsia="Times New Roman" w:hAnsi="Times New Roman"/>
          <w:sz w:val="18"/>
          <w:szCs w:val="18"/>
          <w:color w:val="auto"/>
        </w:rPr>
      </w:pPr>
    </w:p>
    <w:p>
      <w:pPr>
        <w:ind w:left="840" w:hanging="550"/>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84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 (based on 34,270,494 shares of common stock issued and outstanding as of November 1, 2022 pursuant to the CECO Environmental Corp. Form 10-Q filed with the SEC on November 7, 2022)</w:t>
      </w:r>
    </w:p>
    <w:p>
      <w:pPr>
        <w:spacing w:after="0" w:line="289" w:lineRule="exact"/>
        <w:rPr>
          <w:rFonts w:ascii="Times New Roman" w:cs="Times New Roman" w:eastAsia="Times New Roman" w:hAnsi="Times New Roman"/>
          <w:sz w:val="18"/>
          <w:szCs w:val="18"/>
          <w:color w:val="auto"/>
        </w:rPr>
      </w:pPr>
    </w:p>
    <w:p>
      <w:pPr>
        <w:ind w:left="840" w:right="8540" w:hanging="553"/>
        <w:spacing w:after="0" w:line="282" w:lineRule="auto"/>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IA/CO</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its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-264795</wp:posOffset>
            </wp:positionV>
            <wp:extent cx="6635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-744855</wp:posOffset>
            </wp:positionV>
            <wp:extent cx="6635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-1362075</wp:posOffset>
            </wp:positionV>
            <wp:extent cx="6635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5100" w:val="left"/>
          <w:tab w:leader="none" w:pos="1032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3 of 12</w:t>
      </w:r>
    </w:p>
    <w:p>
      <w:pPr>
        <w:spacing w:after="0" w:line="279" w:lineRule="exact"/>
        <w:rPr>
          <w:sz w:val="20"/>
          <w:szCs w:val="20"/>
          <w:color w:val="auto"/>
        </w:rPr>
      </w:pPr>
    </w:p>
    <w:p>
      <w:pPr>
        <w:ind w:left="840" w:hanging="50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840" w:right="68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Douglas Granat</w:t>
      </w:r>
    </w:p>
    <w:p>
      <w:pPr>
        <w:spacing w:after="0" w:line="302"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-333375</wp:posOffset>
            </wp:positionV>
            <wp:extent cx="6635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4" w:lineRule="exact"/>
        <w:rPr>
          <w:sz w:val="20"/>
          <w:szCs w:val="20"/>
          <w:color w:val="auto"/>
        </w:rPr>
      </w:pPr>
    </w:p>
    <w:p>
      <w:pPr>
        <w:ind w:left="1420" w:hanging="575"/>
        <w:spacing w:after="0" w:line="207" w:lineRule="exact"/>
        <w:tabs>
          <w:tab w:leader="none" w:pos="14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420" w:hanging="575"/>
        <w:spacing w:after="0" w:line="207" w:lineRule="exact"/>
        <w:tabs>
          <w:tab w:leader="none" w:pos="14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48"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840" w:right="7760" w:hanging="508"/>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-511175</wp:posOffset>
            </wp:positionV>
            <wp:extent cx="6635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-854075</wp:posOffset>
            </wp:positionV>
            <wp:extent cx="6266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-1025525</wp:posOffset>
            </wp:positionV>
            <wp:extent cx="6266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533,783 shares of common stock</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840" w:hanging="496"/>
        <w:spacing w:after="0"/>
        <w:tabs>
          <w:tab w:leader="none" w:pos="1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572,779 shares of common stock</w:t>
      </w:r>
    </w:p>
    <w:p>
      <w:pPr>
        <w:spacing w:after="0" w:line="274" w:lineRule="exact"/>
        <w:rPr>
          <w:rFonts w:ascii="Times New Roman" w:cs="Times New Roman" w:eastAsia="Times New Roman" w:hAnsi="Times New Roman"/>
          <w:sz w:val="18"/>
          <w:szCs w:val="18"/>
          <w:color w:val="auto"/>
        </w:rPr>
      </w:pPr>
    </w:p>
    <w:p>
      <w:pPr>
        <w:ind w:left="840" w:right="5600" w:hanging="508"/>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572,779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-476885</wp:posOffset>
            </wp:positionV>
            <wp:extent cx="6000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63" w:lineRule="exact"/>
        <w:rPr>
          <w:sz w:val="20"/>
          <w:szCs w:val="20"/>
          <w:color w:val="auto"/>
        </w:rPr>
      </w:pPr>
    </w:p>
    <w:p>
      <w:pPr>
        <w:ind w:left="840" w:hanging="553"/>
        <w:spacing w:after="0"/>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840" w:hanging="550"/>
        <w:spacing w:after="0"/>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84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 (based on 34,270,494 shares of common stock issued and outstanding as of November 1, 2022 pursuant to the CECO Environmental Corp. Form 10-Q filed with the SEC on November 7, 2022)</w:t>
      </w:r>
    </w:p>
    <w:p>
      <w:pPr>
        <w:spacing w:after="0" w:line="302" w:lineRule="exact"/>
        <w:rPr>
          <w:rFonts w:ascii="Times New Roman" w:cs="Times New Roman" w:eastAsia="Times New Roman" w:hAnsi="Times New Roman"/>
          <w:sz w:val="18"/>
          <w:szCs w:val="18"/>
          <w:color w:val="auto"/>
        </w:rPr>
      </w:pPr>
    </w:p>
    <w:p>
      <w:pPr>
        <w:ind w:left="840" w:right="8540" w:hanging="553"/>
        <w:spacing w:after="0" w:line="282" w:lineRule="auto"/>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-264795</wp:posOffset>
            </wp:positionV>
            <wp:extent cx="6635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-753745</wp:posOffset>
            </wp:positionV>
            <wp:extent cx="6635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-1379220</wp:posOffset>
            </wp:positionV>
            <wp:extent cx="6635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5100" w:val="left"/>
          <w:tab w:leader="none" w:pos="1032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4 of 12</w:t>
      </w:r>
    </w:p>
    <w:p>
      <w:pPr>
        <w:spacing w:after="0" w:line="279" w:lineRule="exact"/>
        <w:rPr>
          <w:sz w:val="20"/>
          <w:szCs w:val="20"/>
          <w:color w:val="auto"/>
        </w:rPr>
      </w:pPr>
    </w:p>
    <w:p>
      <w:pPr>
        <w:ind w:left="840" w:hanging="508"/>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840" w:right="68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Lawrence A. Oberman</w:t>
      </w:r>
    </w:p>
    <w:p>
      <w:pPr>
        <w:spacing w:after="0" w:line="302"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-333375</wp:posOffset>
            </wp:positionV>
            <wp:extent cx="6635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4" w:lineRule="exact"/>
        <w:rPr>
          <w:sz w:val="20"/>
          <w:szCs w:val="20"/>
          <w:color w:val="auto"/>
        </w:rPr>
      </w:pPr>
    </w:p>
    <w:p>
      <w:pPr>
        <w:ind w:left="1420" w:hanging="575"/>
        <w:spacing w:after="0" w:line="207" w:lineRule="exact"/>
        <w:tabs>
          <w:tab w:leader="none" w:pos="1420"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420" w:hanging="575"/>
        <w:spacing w:after="0" w:line="207" w:lineRule="exact"/>
        <w:tabs>
          <w:tab w:leader="none" w:pos="1420"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48"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840" w:right="7760" w:hanging="508"/>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-511175</wp:posOffset>
            </wp:positionV>
            <wp:extent cx="6635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-854075</wp:posOffset>
            </wp:positionV>
            <wp:extent cx="6266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-1025525</wp:posOffset>
            </wp:positionV>
            <wp:extent cx="6266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533,783 shares of common stock</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840" w:hanging="496"/>
        <w:spacing w:after="0"/>
        <w:tabs>
          <w:tab w:leader="none" w:pos="18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572,779 shares of common stock</w:t>
      </w:r>
    </w:p>
    <w:p>
      <w:pPr>
        <w:spacing w:after="0" w:line="274" w:lineRule="exact"/>
        <w:rPr>
          <w:rFonts w:ascii="Times New Roman" w:cs="Times New Roman" w:eastAsia="Times New Roman" w:hAnsi="Times New Roman"/>
          <w:sz w:val="18"/>
          <w:szCs w:val="18"/>
          <w:color w:val="auto"/>
        </w:rPr>
      </w:pPr>
    </w:p>
    <w:p>
      <w:pPr>
        <w:ind w:left="840" w:right="5600" w:hanging="508"/>
        <w:spacing w:after="0" w:line="282"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572,779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-476885</wp:posOffset>
            </wp:positionV>
            <wp:extent cx="6000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63" w:lineRule="exact"/>
        <w:rPr>
          <w:sz w:val="20"/>
          <w:szCs w:val="20"/>
          <w:color w:val="auto"/>
        </w:rPr>
      </w:pPr>
    </w:p>
    <w:p>
      <w:pPr>
        <w:ind w:left="840" w:hanging="553"/>
        <w:spacing w:after="0"/>
        <w:tabs>
          <w:tab w:leader="none" w:pos="8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840" w:hanging="550"/>
        <w:spacing w:after="0"/>
        <w:tabs>
          <w:tab w:leader="none" w:pos="8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84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 (based on 34,270,494 shares of common stock issued and outstanding as of November 1, 2022 pursuant to the CECO Environmental Corp. Form 10-Q filed with the SEC on November 7, 2022)</w:t>
      </w:r>
    </w:p>
    <w:p>
      <w:pPr>
        <w:spacing w:after="0" w:line="302" w:lineRule="exact"/>
        <w:rPr>
          <w:rFonts w:ascii="Times New Roman" w:cs="Times New Roman" w:eastAsia="Times New Roman" w:hAnsi="Times New Roman"/>
          <w:sz w:val="18"/>
          <w:szCs w:val="18"/>
          <w:color w:val="auto"/>
        </w:rPr>
      </w:pPr>
    </w:p>
    <w:p>
      <w:pPr>
        <w:ind w:left="840" w:right="8540" w:hanging="553"/>
        <w:spacing w:after="0" w:line="282" w:lineRule="auto"/>
        <w:tabs>
          <w:tab w:leader="none" w:pos="8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-264795</wp:posOffset>
            </wp:positionV>
            <wp:extent cx="6635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-753745</wp:posOffset>
            </wp:positionV>
            <wp:extent cx="66351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-1379220</wp:posOffset>
            </wp:positionV>
            <wp:extent cx="66351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5100" w:val="left"/>
          <w:tab w:leader="none" w:pos="1032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5 of 12</w:t>
      </w:r>
    </w:p>
    <w:p>
      <w:pPr>
        <w:spacing w:after="0" w:line="279" w:lineRule="exact"/>
        <w:rPr>
          <w:sz w:val="20"/>
          <w:szCs w:val="20"/>
          <w:color w:val="auto"/>
        </w:rPr>
      </w:pPr>
    </w:p>
    <w:p>
      <w:pPr>
        <w:ind w:left="840" w:hanging="508"/>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840" w:right="68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Steven G. Simon</w:t>
      </w:r>
    </w:p>
    <w:p>
      <w:pPr>
        <w:spacing w:after="0" w:line="302"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-333375</wp:posOffset>
            </wp:positionV>
            <wp:extent cx="6635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4" w:lineRule="exact"/>
        <w:rPr>
          <w:sz w:val="20"/>
          <w:szCs w:val="20"/>
          <w:color w:val="auto"/>
        </w:rPr>
      </w:pPr>
    </w:p>
    <w:p>
      <w:pPr>
        <w:ind w:left="1420" w:hanging="575"/>
        <w:spacing w:after="0" w:line="207" w:lineRule="exact"/>
        <w:tabs>
          <w:tab w:leader="none" w:pos="1420"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420" w:hanging="575"/>
        <w:spacing w:after="0" w:line="207" w:lineRule="exact"/>
        <w:tabs>
          <w:tab w:leader="none" w:pos="1420"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48"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840" w:right="7760" w:hanging="508"/>
        <w:spacing w:after="0" w:line="282"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-511175</wp:posOffset>
            </wp:positionV>
            <wp:extent cx="6635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-854075</wp:posOffset>
            </wp:positionV>
            <wp:extent cx="6266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-1025525</wp:posOffset>
            </wp:positionV>
            <wp:extent cx="6266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533,783 shares of common stock</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840" w:hanging="496"/>
        <w:spacing w:after="0"/>
        <w:tabs>
          <w:tab w:leader="none" w:pos="18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572,779 shares of common stock</w:t>
      </w:r>
    </w:p>
    <w:p>
      <w:pPr>
        <w:spacing w:after="0" w:line="274" w:lineRule="exact"/>
        <w:rPr>
          <w:rFonts w:ascii="Times New Roman" w:cs="Times New Roman" w:eastAsia="Times New Roman" w:hAnsi="Times New Roman"/>
          <w:sz w:val="18"/>
          <w:szCs w:val="18"/>
          <w:color w:val="auto"/>
        </w:rPr>
      </w:pPr>
    </w:p>
    <w:p>
      <w:pPr>
        <w:ind w:left="840" w:right="5600" w:hanging="508"/>
        <w:spacing w:after="0" w:line="282"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572,779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-476885</wp:posOffset>
            </wp:positionV>
            <wp:extent cx="60007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63" w:lineRule="exact"/>
        <w:rPr>
          <w:sz w:val="20"/>
          <w:szCs w:val="20"/>
          <w:color w:val="auto"/>
        </w:rPr>
      </w:pPr>
    </w:p>
    <w:p>
      <w:pPr>
        <w:ind w:left="840" w:hanging="553"/>
        <w:spacing w:after="0"/>
        <w:tabs>
          <w:tab w:leader="none" w:pos="8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840" w:hanging="550"/>
        <w:spacing w:after="0"/>
        <w:tabs>
          <w:tab w:leader="none" w:pos="8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84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 (based on 34,270,494 shares of common stock issued and outstanding as of November 1, 2022 pursuant to the CECO Environmental Corp. Form 10-Q filed with the SEC on November 7, 2022)</w:t>
      </w:r>
    </w:p>
    <w:p>
      <w:pPr>
        <w:spacing w:after="0" w:line="302" w:lineRule="exact"/>
        <w:rPr>
          <w:rFonts w:ascii="Times New Roman" w:cs="Times New Roman" w:eastAsia="Times New Roman" w:hAnsi="Times New Roman"/>
          <w:sz w:val="18"/>
          <w:szCs w:val="18"/>
          <w:color w:val="auto"/>
        </w:rPr>
      </w:pPr>
    </w:p>
    <w:p>
      <w:pPr>
        <w:ind w:left="840" w:right="8540" w:hanging="553"/>
        <w:spacing w:after="0" w:line="282" w:lineRule="auto"/>
        <w:tabs>
          <w:tab w:leader="none" w:pos="8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-264795</wp:posOffset>
            </wp:positionV>
            <wp:extent cx="6635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-753745</wp:posOffset>
            </wp:positionV>
            <wp:extent cx="6635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-1379220</wp:posOffset>
            </wp:positionV>
            <wp:extent cx="66351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5100" w:val="left"/>
          <w:tab w:leader="none" w:pos="1032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6 of 12</w:t>
      </w:r>
    </w:p>
    <w:p>
      <w:pPr>
        <w:spacing w:after="0" w:line="279" w:lineRule="exact"/>
        <w:rPr>
          <w:sz w:val="20"/>
          <w:szCs w:val="20"/>
          <w:color w:val="auto"/>
        </w:rPr>
      </w:pPr>
    </w:p>
    <w:p>
      <w:pPr>
        <w:ind w:left="840" w:hanging="508"/>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840" w:right="68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Bradley F. Simon</w:t>
      </w:r>
    </w:p>
    <w:p>
      <w:pPr>
        <w:spacing w:after="0" w:line="302"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-333375</wp:posOffset>
            </wp:positionV>
            <wp:extent cx="6635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4" w:lineRule="exact"/>
        <w:rPr>
          <w:sz w:val="20"/>
          <w:szCs w:val="20"/>
          <w:color w:val="auto"/>
        </w:rPr>
      </w:pPr>
    </w:p>
    <w:p>
      <w:pPr>
        <w:ind w:left="1420" w:hanging="575"/>
        <w:spacing w:after="0" w:line="207" w:lineRule="exact"/>
        <w:tabs>
          <w:tab w:leader="none" w:pos="14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420" w:hanging="575"/>
        <w:spacing w:after="0" w:line="207" w:lineRule="exact"/>
        <w:tabs>
          <w:tab w:leader="none" w:pos="14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48"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840" w:right="7760" w:hanging="508"/>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-511175</wp:posOffset>
            </wp:positionV>
            <wp:extent cx="6635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-854075</wp:posOffset>
            </wp:positionV>
            <wp:extent cx="6266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-1025525</wp:posOffset>
            </wp:positionV>
            <wp:extent cx="6266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533,783 shares of common stock</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840" w:hanging="496"/>
        <w:spacing w:after="0"/>
        <w:tabs>
          <w:tab w:leader="none" w:pos="18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572,779 shares of common stock</w:t>
      </w:r>
    </w:p>
    <w:p>
      <w:pPr>
        <w:spacing w:after="0" w:line="274" w:lineRule="exact"/>
        <w:rPr>
          <w:rFonts w:ascii="Times New Roman" w:cs="Times New Roman" w:eastAsia="Times New Roman" w:hAnsi="Times New Roman"/>
          <w:sz w:val="18"/>
          <w:szCs w:val="18"/>
          <w:color w:val="auto"/>
        </w:rPr>
      </w:pPr>
    </w:p>
    <w:p>
      <w:pPr>
        <w:ind w:left="840" w:right="5600" w:hanging="508"/>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572,779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-476885</wp:posOffset>
            </wp:positionV>
            <wp:extent cx="60007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63" w:lineRule="exact"/>
        <w:rPr>
          <w:sz w:val="20"/>
          <w:szCs w:val="20"/>
          <w:color w:val="auto"/>
        </w:rPr>
      </w:pPr>
    </w:p>
    <w:p>
      <w:pPr>
        <w:ind w:left="840" w:hanging="553"/>
        <w:spacing w:after="0"/>
        <w:tabs>
          <w:tab w:leader="none" w:pos="8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840" w:hanging="550"/>
        <w:spacing w:after="0"/>
        <w:tabs>
          <w:tab w:leader="none" w:pos="8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84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 (based on 34,270,494 shares of common stock issued and outstanding as of November 1, 2022 pursuant to the CECO Environmental Corp. Form 10-Q filed with the SEC on November 7, 2022)</w:t>
      </w:r>
    </w:p>
    <w:p>
      <w:pPr>
        <w:spacing w:after="0" w:line="302" w:lineRule="exact"/>
        <w:rPr>
          <w:rFonts w:ascii="Times New Roman" w:cs="Times New Roman" w:eastAsia="Times New Roman" w:hAnsi="Times New Roman"/>
          <w:sz w:val="18"/>
          <w:szCs w:val="18"/>
          <w:color w:val="auto"/>
        </w:rPr>
      </w:pPr>
    </w:p>
    <w:p>
      <w:pPr>
        <w:ind w:left="840" w:right="8540" w:hanging="553"/>
        <w:spacing w:after="0" w:line="282" w:lineRule="auto"/>
        <w:tabs>
          <w:tab w:leader="none" w:pos="8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-264795</wp:posOffset>
            </wp:positionV>
            <wp:extent cx="6635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-753745</wp:posOffset>
            </wp:positionV>
            <wp:extent cx="6635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-1379220</wp:posOffset>
            </wp:positionV>
            <wp:extent cx="66351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5100" w:val="left"/>
          <w:tab w:leader="none" w:pos="1032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7 of 12</w:t>
      </w:r>
    </w:p>
    <w:p>
      <w:pPr>
        <w:spacing w:after="0" w:line="279" w:lineRule="exact"/>
        <w:rPr>
          <w:sz w:val="20"/>
          <w:szCs w:val="20"/>
          <w:color w:val="auto"/>
        </w:rPr>
      </w:pPr>
    </w:p>
    <w:p>
      <w:pPr>
        <w:ind w:left="840" w:hanging="508"/>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840" w:right="68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Steven R. Monieson</w:t>
      </w:r>
    </w:p>
    <w:p>
      <w:pPr>
        <w:spacing w:after="0" w:line="302"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-333375</wp:posOffset>
            </wp:positionV>
            <wp:extent cx="6635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4" w:lineRule="exact"/>
        <w:rPr>
          <w:sz w:val="20"/>
          <w:szCs w:val="20"/>
          <w:color w:val="auto"/>
        </w:rPr>
      </w:pPr>
    </w:p>
    <w:p>
      <w:pPr>
        <w:ind w:left="1420" w:hanging="575"/>
        <w:spacing w:after="0" w:line="207" w:lineRule="exact"/>
        <w:tabs>
          <w:tab w:leader="none" w:pos="1420" w:val="left"/>
        </w:tabs>
        <w:numPr>
          <w:ilvl w:val="1"/>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420" w:hanging="575"/>
        <w:spacing w:after="0" w:line="207" w:lineRule="exact"/>
        <w:tabs>
          <w:tab w:leader="none" w:pos="1420" w:val="left"/>
        </w:tabs>
        <w:numPr>
          <w:ilvl w:val="1"/>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48"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840" w:right="7760" w:hanging="508"/>
        <w:spacing w:after="0" w:line="282" w:lineRule="auto"/>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-511175</wp:posOffset>
            </wp:positionV>
            <wp:extent cx="6635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-854075</wp:posOffset>
            </wp:positionV>
            <wp:extent cx="6266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-1025525</wp:posOffset>
            </wp:positionV>
            <wp:extent cx="6266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533,783 shares of common stock</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840" w:hanging="496"/>
        <w:spacing w:after="0"/>
        <w:tabs>
          <w:tab w:leader="none" w:pos="18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572,779 shares of common stock</w:t>
      </w:r>
    </w:p>
    <w:p>
      <w:pPr>
        <w:spacing w:after="0" w:line="274" w:lineRule="exact"/>
        <w:rPr>
          <w:rFonts w:ascii="Times New Roman" w:cs="Times New Roman" w:eastAsia="Times New Roman" w:hAnsi="Times New Roman"/>
          <w:sz w:val="18"/>
          <w:szCs w:val="18"/>
          <w:color w:val="auto"/>
        </w:rPr>
      </w:pPr>
    </w:p>
    <w:p>
      <w:pPr>
        <w:ind w:left="840" w:right="5600" w:hanging="508"/>
        <w:spacing w:after="0" w:line="282" w:lineRule="auto"/>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572,779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-476885</wp:posOffset>
            </wp:positionV>
            <wp:extent cx="60007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-22225</wp:posOffset>
            </wp:positionV>
            <wp:extent cx="6635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63" w:lineRule="exact"/>
        <w:rPr>
          <w:sz w:val="20"/>
          <w:szCs w:val="20"/>
          <w:color w:val="auto"/>
        </w:rPr>
      </w:pPr>
    </w:p>
    <w:p>
      <w:pPr>
        <w:ind w:left="840" w:hanging="553"/>
        <w:spacing w:after="0"/>
        <w:tabs>
          <w:tab w:leader="none" w:pos="8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840" w:hanging="550"/>
        <w:spacing w:after="0"/>
        <w:tabs>
          <w:tab w:leader="none" w:pos="8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84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 (based on 34,270,494 shares of common stock issued and outstanding as of November 1, 2022 pursuant to the CECO Environmental Corp. Form 10-Q filed with the SEC on November 7, 2022)</w:t>
      </w:r>
    </w:p>
    <w:p>
      <w:pPr>
        <w:spacing w:after="0" w:line="302" w:lineRule="exact"/>
        <w:rPr>
          <w:rFonts w:ascii="Times New Roman" w:cs="Times New Roman" w:eastAsia="Times New Roman" w:hAnsi="Times New Roman"/>
          <w:sz w:val="18"/>
          <w:szCs w:val="18"/>
          <w:color w:val="auto"/>
        </w:rPr>
      </w:pPr>
    </w:p>
    <w:p>
      <w:pPr>
        <w:ind w:left="840" w:right="8540" w:hanging="553"/>
        <w:spacing w:after="0" w:line="282" w:lineRule="auto"/>
        <w:tabs>
          <w:tab w:leader="none" w:pos="8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-264795</wp:posOffset>
            </wp:positionV>
            <wp:extent cx="6635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-753745</wp:posOffset>
            </wp:positionV>
            <wp:extent cx="66351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-1379220</wp:posOffset>
            </wp:positionV>
            <wp:extent cx="66351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5100" w:val="left"/>
          <w:tab w:leader="none" w:pos="1032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8 of 12</w:t>
      </w:r>
    </w:p>
    <w:p>
      <w:pPr>
        <w:sectPr>
          <w:pgSz w:w="11900" w:h="16838" w:orient="portrait"/>
          <w:cols w:equalWidth="0" w:num="1">
            <w:col w:w="11240"/>
          </w:cols>
          <w:pgMar w:left="320" w:top="904" w:right="339" w:bottom="1440" w:gutter="0" w:footer="0" w:header="0"/>
        </w:sect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of Issuer:</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CECO Environmental Corp.</w:t>
            </w:r>
          </w:p>
        </w:tc>
        <w:tc>
          <w:tcPr>
            <w:tcW w:w="0" w:type="dxa"/>
            <w:vAlign w:val="bottom"/>
          </w:tcPr>
          <w:p>
            <w:pPr>
              <w:spacing w:after="0"/>
              <w:rPr>
                <w:sz w:val="1"/>
                <w:szCs w:val="1"/>
                <w:color w:val="auto"/>
              </w:rPr>
            </w:pPr>
          </w:p>
        </w:tc>
      </w:tr>
      <w:tr>
        <w:trPr>
          <w:trHeight w:val="54"/>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20" w:type="dxa"/>
            <w:vAlign w:val="bottom"/>
            <w:vMerge w:val="continue"/>
          </w:tcPr>
          <w:p>
            <w:pPr>
              <w:spacing w:after="0"/>
              <w:rPr>
                <w:sz w:val="21"/>
                <w:szCs w:val="21"/>
                <w:color w:val="auto"/>
              </w:rPr>
            </w:pP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14651 North Dallas Parkway</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Dallas, Texas 75254</w:t>
            </w:r>
          </w:p>
        </w:tc>
        <w:tc>
          <w:tcPr>
            <w:tcW w:w="0" w:type="dxa"/>
            <w:vAlign w:val="bottom"/>
          </w:tcPr>
          <w:p>
            <w:pPr>
              <w:spacing w:after="0"/>
              <w:rPr>
                <w:sz w:val="1"/>
                <w:szCs w:val="1"/>
                <w:color w:val="auto"/>
              </w:rPr>
            </w:pPr>
          </w:p>
        </w:tc>
      </w:tr>
      <w:tr>
        <w:trPr>
          <w:trHeight w:val="54"/>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9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8"/>
        </w:trPr>
        <w:tc>
          <w:tcPr>
            <w:tcW w:w="1320" w:type="dxa"/>
            <w:vAlign w:val="bottom"/>
            <w:vMerge w:val="continue"/>
          </w:tcPr>
          <w:p>
            <w:pPr>
              <w:spacing w:after="0"/>
              <w:rPr>
                <w:sz w:val="24"/>
                <w:szCs w:val="24"/>
                <w:color w:val="auto"/>
              </w:rPr>
            </w:pP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of Person Filing</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Item 2(c)</w:t>
            </w:r>
          </w:p>
        </w:tc>
        <w:tc>
          <w:tcPr>
            <w:tcW w:w="0" w:type="dxa"/>
            <w:vAlign w:val="bottom"/>
          </w:tcPr>
          <w:p>
            <w:pPr>
              <w:spacing w:after="0"/>
              <w:rPr>
                <w:sz w:val="1"/>
                <w:szCs w:val="1"/>
                <w:color w:val="auto"/>
              </w:rPr>
            </w:pPr>
          </w:p>
        </w:tc>
      </w:tr>
      <w:tr>
        <w:trPr>
          <w:trHeight w:val="54"/>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20" w:type="dxa"/>
            <w:vAlign w:val="bottom"/>
            <w:vMerge w:val="continue"/>
          </w:tcPr>
          <w:p>
            <w:pPr>
              <w:spacing w:after="0"/>
              <w:rPr>
                <w:sz w:val="21"/>
                <w:szCs w:val="21"/>
                <w:color w:val="auto"/>
              </w:rPr>
            </w:pP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Address of Principal Business Office</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Item 2(c)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34290</wp:posOffset>
            </wp:positionV>
            <wp:extent cx="6266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Trigran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Illinois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Granat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A. Oberman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G. Simon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F. Simon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R. Monieson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40005</wp:posOffset>
            </wp:positionV>
            <wp:extent cx="6266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47625</wp:posOffset>
            </wp:positionV>
            <wp:extent cx="6266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780" w:space="640"/>
            <w:col w:w="9820"/>
          </w:cols>
          <w:pgMar w:left="320" w:top="904" w:right="339" w:bottom="1440" w:gutter="0" w:footer="0" w:header="0"/>
          <w:type w:val="continuous"/>
        </w:sectPr>
      </w:pPr>
    </w:p>
    <w:tbl>
      <w:tblPr>
        <w:tblLayout w:type="fixed"/>
        <w:tblInd w:w="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CUSIP Number:</w:t>
            </w:r>
          </w:p>
        </w:tc>
      </w:tr>
      <w:tr>
        <w:trPr>
          <w:trHeight w:val="234"/>
        </w:trPr>
        <w:tc>
          <w:tcPr>
            <w:tcW w:w="1320" w:type="dxa"/>
            <w:vAlign w:val="bottom"/>
          </w:tcPr>
          <w:p>
            <w:pPr>
              <w:spacing w:after="0"/>
              <w:rPr>
                <w:sz w:val="20"/>
                <w:szCs w:val="20"/>
                <w:color w:val="auto"/>
              </w:rPr>
            </w:pPr>
          </w:p>
        </w:tc>
        <w:tc>
          <w:tcPr>
            <w:tcW w:w="9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125141101</w:t>
            </w:r>
          </w:p>
        </w:tc>
      </w:tr>
      <w:tr>
        <w:trPr>
          <w:trHeight w:val="54"/>
        </w:trPr>
        <w:tc>
          <w:tcPr>
            <w:tcW w:w="1320" w:type="dxa"/>
            <w:vAlign w:val="bottom"/>
          </w:tcPr>
          <w:p>
            <w:pPr>
              <w:spacing w:after="0"/>
              <w:rPr>
                <w:sz w:val="4"/>
                <w:szCs w:val="4"/>
                <w:color w:val="auto"/>
              </w:rPr>
            </w:pPr>
          </w:p>
        </w:tc>
        <w:tc>
          <w:tcPr>
            <w:tcW w:w="9860" w:type="dxa"/>
            <w:vAlign w:val="bottom"/>
            <w:tcBorders>
              <w:bottom w:val="single" w:sz="8" w:color="auto"/>
            </w:tcBorders>
          </w:tcPr>
          <w:p>
            <w:pPr>
              <w:spacing w:after="0"/>
              <w:rPr>
                <w:sz w:val="4"/>
                <w:szCs w:val="4"/>
                <w:color w:val="auto"/>
              </w:rPr>
            </w:pPr>
          </w:p>
        </w:tc>
      </w:tr>
    </w:tbl>
    <w:p>
      <w:pPr>
        <w:spacing w:after="0" w:line="234"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121" w:lineRule="exact"/>
        <w:rPr>
          <w:sz w:val="20"/>
          <w:szCs w:val="20"/>
          <w:color w:val="auto"/>
        </w:rPr>
      </w:pPr>
    </w:p>
    <w:p>
      <w:pPr>
        <w:ind w:left="1380" w:hanging="468"/>
        <w:spacing w:after="0"/>
        <w:tabs>
          <w:tab w:leader="none" w:pos="1380" w:val="left"/>
        </w:tabs>
        <w:numPr>
          <w:ilvl w:val="0"/>
          <w:numId w:val="4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Exchange Act;</w:t>
      </w:r>
    </w:p>
    <w:p>
      <w:pPr>
        <w:spacing w:after="0" w:line="117" w:lineRule="exact"/>
        <w:rPr>
          <w:rFonts w:ascii="Times New Roman" w:cs="Times New Roman" w:eastAsia="Times New Roman" w:hAnsi="Times New Roman"/>
          <w:sz w:val="18"/>
          <w:szCs w:val="18"/>
          <w:color w:val="auto"/>
        </w:rPr>
      </w:pPr>
    </w:p>
    <w:p>
      <w:pPr>
        <w:ind w:left="1380" w:hanging="468"/>
        <w:spacing w:after="0"/>
        <w:tabs>
          <w:tab w:leader="none" w:pos="1380" w:val="left"/>
        </w:tabs>
        <w:numPr>
          <w:ilvl w:val="0"/>
          <w:numId w:val="4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 w:name="page9"/>
    <w:bookmarkEnd w:id="8"/>
    <w:p>
      <w:pPr>
        <w:spacing w:after="0"/>
        <w:tabs>
          <w:tab w:leader="none" w:pos="5100" w:val="left"/>
          <w:tab w:leader="none" w:pos="1032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9 of 12</w:t>
      </w:r>
    </w:p>
    <w:p>
      <w:pPr>
        <w:sectPr>
          <w:pgSz w:w="11900" w:h="16838" w:orient="portrait"/>
          <w:cols w:equalWidth="0" w:num="1">
            <w:col w:w="11240"/>
          </w:cols>
          <w:pgMar w:left="320" w:top="904" w:right="339" w:bottom="1440" w:gutter="0" w:footer="0" w:header="0"/>
        </w:sectPr>
      </w:pPr>
    </w:p>
    <w:p>
      <w:pPr>
        <w:spacing w:after="0" w:line="279" w:lineRule="exact"/>
        <w:rPr>
          <w:sz w:val="20"/>
          <w:szCs w:val="20"/>
          <w:color w:val="auto"/>
        </w:rPr>
      </w:pPr>
    </w:p>
    <w:p>
      <w:pPr>
        <w:ind w:left="1380" w:hanging="468"/>
        <w:spacing w:after="0"/>
        <w:tabs>
          <w:tab w:leader="none" w:pos="1380" w:val="left"/>
        </w:tabs>
        <w:numPr>
          <w:ilvl w:val="0"/>
          <w:numId w:val="4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Exchange Act;</w:t>
      </w:r>
    </w:p>
    <w:p>
      <w:pPr>
        <w:spacing w:after="0" w:line="117" w:lineRule="exact"/>
        <w:rPr>
          <w:rFonts w:ascii="Times New Roman" w:cs="Times New Roman" w:eastAsia="Times New Roman" w:hAnsi="Times New Roman"/>
          <w:sz w:val="18"/>
          <w:szCs w:val="18"/>
          <w:color w:val="auto"/>
        </w:rPr>
      </w:pPr>
    </w:p>
    <w:p>
      <w:pPr>
        <w:ind w:left="1380" w:hanging="468"/>
        <w:spacing w:after="0"/>
        <w:tabs>
          <w:tab w:leader="none" w:pos="1380" w:val="left"/>
        </w:tabs>
        <w:numPr>
          <w:ilvl w:val="0"/>
          <w:numId w:val="4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w:t>
      </w:r>
    </w:p>
    <w:p>
      <w:pPr>
        <w:spacing w:after="0" w:line="117" w:lineRule="exact"/>
        <w:rPr>
          <w:rFonts w:ascii="Times New Roman" w:cs="Times New Roman" w:eastAsia="Times New Roman" w:hAnsi="Times New Roman"/>
          <w:sz w:val="18"/>
          <w:szCs w:val="18"/>
          <w:color w:val="auto"/>
        </w:rPr>
      </w:pPr>
    </w:p>
    <w:p>
      <w:pPr>
        <w:ind w:left="1380" w:hanging="468"/>
        <w:spacing w:after="0"/>
        <w:tabs>
          <w:tab w:leader="none" w:pos="1380" w:val="left"/>
        </w:tabs>
        <w:numPr>
          <w:ilvl w:val="0"/>
          <w:numId w:val="4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 investment adviser in accordance with Rule 13d-1(b)(1)(ii)(E);</w:t>
      </w:r>
    </w:p>
    <w:p>
      <w:pPr>
        <w:spacing w:after="0" w:line="117" w:lineRule="exact"/>
        <w:rPr>
          <w:rFonts w:ascii="Times New Roman" w:cs="Times New Roman" w:eastAsia="Times New Roman" w:hAnsi="Times New Roman"/>
          <w:sz w:val="18"/>
          <w:szCs w:val="18"/>
          <w:color w:val="auto"/>
        </w:rPr>
      </w:pPr>
    </w:p>
    <w:p>
      <w:pPr>
        <w:ind w:left="1380" w:hanging="468"/>
        <w:spacing w:after="0"/>
        <w:tabs>
          <w:tab w:leader="none" w:pos="1380" w:val="left"/>
        </w:tabs>
        <w:numPr>
          <w:ilvl w:val="0"/>
          <w:numId w:val="4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Rule 13d-1(b)(1)(ii)(F);</w:t>
      </w:r>
    </w:p>
    <w:p>
      <w:pPr>
        <w:spacing w:after="0" w:line="117" w:lineRule="exact"/>
        <w:rPr>
          <w:rFonts w:ascii="Times New Roman" w:cs="Times New Roman" w:eastAsia="Times New Roman" w:hAnsi="Times New Roman"/>
          <w:sz w:val="18"/>
          <w:szCs w:val="18"/>
          <w:color w:val="auto"/>
        </w:rPr>
      </w:pPr>
    </w:p>
    <w:p>
      <w:pPr>
        <w:ind w:left="1380" w:hanging="468"/>
        <w:spacing w:after="0"/>
        <w:tabs>
          <w:tab w:leader="none" w:pos="1380" w:val="left"/>
        </w:tabs>
        <w:numPr>
          <w:ilvl w:val="0"/>
          <w:numId w:val="4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Rule 13d-1(b)(1)(ii)(G);</w:t>
      </w:r>
    </w:p>
    <w:p>
      <w:pPr>
        <w:spacing w:after="0" w:line="117" w:lineRule="exact"/>
        <w:rPr>
          <w:rFonts w:ascii="Times New Roman" w:cs="Times New Roman" w:eastAsia="Times New Roman" w:hAnsi="Times New Roman"/>
          <w:sz w:val="18"/>
          <w:szCs w:val="18"/>
          <w:color w:val="auto"/>
        </w:rPr>
      </w:pPr>
    </w:p>
    <w:p>
      <w:pPr>
        <w:ind w:left="1380" w:hanging="468"/>
        <w:spacing w:after="0"/>
        <w:tabs>
          <w:tab w:leader="none" w:pos="1380" w:val="left"/>
        </w:tabs>
        <w:numPr>
          <w:ilvl w:val="0"/>
          <w:numId w:val="4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w:t>
      </w:r>
    </w:p>
    <w:p>
      <w:pPr>
        <w:spacing w:after="0" w:line="117" w:lineRule="exact"/>
        <w:rPr>
          <w:rFonts w:ascii="Times New Roman" w:cs="Times New Roman" w:eastAsia="Times New Roman" w:hAnsi="Times New Roman"/>
          <w:sz w:val="18"/>
          <w:szCs w:val="18"/>
          <w:color w:val="auto"/>
        </w:rPr>
      </w:pPr>
    </w:p>
    <w:p>
      <w:pPr>
        <w:ind w:left="1820" w:right="180" w:hanging="908"/>
        <w:spacing w:after="0" w:line="282" w:lineRule="auto"/>
        <w:tabs>
          <w:tab w:leader="none" w:pos="1374" w:val="left"/>
        </w:tabs>
        <w:numPr>
          <w:ilvl w:val="0"/>
          <w:numId w:val="4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w:t>
      </w:r>
    </w:p>
    <w:p>
      <w:pPr>
        <w:spacing w:after="0" w:line="53" w:lineRule="exact"/>
        <w:rPr>
          <w:rFonts w:ascii="Times New Roman" w:cs="Times New Roman" w:eastAsia="Times New Roman" w:hAnsi="Times New Roman"/>
          <w:sz w:val="18"/>
          <w:szCs w:val="18"/>
          <w:color w:val="auto"/>
        </w:rPr>
      </w:pPr>
    </w:p>
    <w:p>
      <w:pPr>
        <w:ind w:left="1380" w:hanging="468"/>
        <w:spacing w:after="0"/>
        <w:tabs>
          <w:tab w:leader="none" w:pos="1380" w:val="left"/>
        </w:tabs>
        <w:numPr>
          <w:ilvl w:val="0"/>
          <w:numId w:val="4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Rule 13d–1(b)(1)(ii)(J);</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(k)   </w:t>
            </w:r>
            <w:r>
              <w:rPr>
                <w:rFonts w:ascii="Wingdings" w:cs="Wingdings" w:eastAsia="Wingdings" w:hAnsi="Wingdings"/>
                <w:sz w:val="18"/>
                <w:szCs w:val="18"/>
                <w:b w:val="1"/>
                <w:bCs w:val="1"/>
                <w:color w:val="auto"/>
              </w:rPr>
              <w:t>o</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Group, in accordance with Rule 13d-1(b)(1)(ii)(K). If filing as a non-U.S. institution in accordance with Rule 13d–1(b)(1)(ii)(J),</w:t>
            </w:r>
          </w:p>
        </w:tc>
        <w:tc>
          <w:tcPr>
            <w:tcW w:w="0" w:type="dxa"/>
            <w:vAlign w:val="bottom"/>
          </w:tcPr>
          <w:p>
            <w:pPr>
              <w:spacing w:after="0"/>
              <w:rPr>
                <w:sz w:val="1"/>
                <w:szCs w:val="1"/>
                <w:color w:val="auto"/>
              </w:rPr>
            </w:pPr>
          </w:p>
        </w:tc>
      </w:tr>
      <w:tr>
        <w:trPr>
          <w:trHeight w:val="234"/>
        </w:trPr>
        <w:tc>
          <w:tcPr>
            <w:tcW w:w="760" w:type="dxa"/>
            <w:vAlign w:val="bottom"/>
            <w:vMerge w:val="continue"/>
          </w:tcPr>
          <w:p>
            <w:pPr>
              <w:spacing w:after="0"/>
              <w:rPr>
                <w:sz w:val="20"/>
                <w:szCs w:val="20"/>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please specify the type of institution:______________</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If this statement is filed pursuant to Rule 13d-1(c), check this box. </w:t>
      </w:r>
      <w:r>
        <w:rPr>
          <w:rFonts w:ascii="Wingdings" w:cs="Wingdings" w:eastAsia="Wingdings" w:hAnsi="Wingdings"/>
          <w:sz w:val="18"/>
          <w:szCs w:val="18"/>
          <w:b w:val="1"/>
          <w:bCs w:val="1"/>
          <w:color w:val="auto"/>
        </w:rPr>
        <w:t>o</w:t>
      </w:r>
    </w:p>
    <w:p>
      <w:pPr>
        <w:spacing w:after="0" w:line="329"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Ownership:(2)</w:t>
      </w:r>
    </w:p>
    <w:p>
      <w:pPr>
        <w:spacing w:after="0" w:line="121" w:lineRule="exact"/>
        <w:rPr>
          <w:sz w:val="20"/>
          <w:szCs w:val="20"/>
          <w:color w:val="auto"/>
        </w:rPr>
      </w:pPr>
    </w:p>
    <w:p>
      <w:pPr>
        <w:ind w:left="1420" w:hanging="378"/>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9 of the cover page pertaining to each reporting person.</w:t>
      </w:r>
    </w:p>
    <w:p>
      <w:pPr>
        <w:spacing w:after="0" w:line="112" w:lineRule="exact"/>
        <w:rPr>
          <w:rFonts w:ascii="Times New Roman" w:cs="Times New Roman" w:eastAsia="Times New Roman" w:hAnsi="Times New Roman"/>
          <w:sz w:val="18"/>
          <w:szCs w:val="18"/>
          <w:color w:val="auto"/>
        </w:rPr>
      </w:pPr>
    </w:p>
    <w:p>
      <w:pPr>
        <w:ind w:left="1420" w:hanging="383"/>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11 of the cover page pertaining to each reporting person.</w:t>
      </w:r>
    </w:p>
    <w:p>
      <w:pPr>
        <w:spacing w:after="0" w:line="112" w:lineRule="exact"/>
        <w:rPr>
          <w:rFonts w:ascii="Times New Roman" w:cs="Times New Roman" w:eastAsia="Times New Roman" w:hAnsi="Times New Roman"/>
          <w:sz w:val="18"/>
          <w:szCs w:val="18"/>
          <w:color w:val="auto"/>
        </w:rPr>
      </w:pPr>
    </w:p>
    <w:p>
      <w:pPr>
        <w:ind w:left="1420" w:hanging="378"/>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188595</wp:posOffset>
            </wp:positionV>
            <wp:extent cx="6266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-161925</wp:posOffset>
            </wp:positionV>
            <wp:extent cx="6266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-513715</wp:posOffset>
            </wp:positionV>
            <wp:extent cx="6266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327" w:lineRule="exact"/>
        <w:rPr>
          <w:sz w:val="20"/>
          <w:szCs w:val="20"/>
          <w:color w:val="auto"/>
        </w:rPr>
      </w:pPr>
    </w:p>
    <w:p>
      <w:pPr>
        <w:ind w:left="1880" w:hanging="371"/>
        <w:spacing w:after="0"/>
        <w:tabs>
          <w:tab w:leader="none" w:pos="1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40005</wp:posOffset>
            </wp:positionV>
            <wp:extent cx="59836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92" w:lineRule="exact"/>
        <w:rPr>
          <w:sz w:val="20"/>
          <w:szCs w:val="20"/>
          <w:color w:val="auto"/>
        </w:rPr>
      </w:pPr>
    </w:p>
    <w:p>
      <w:pPr>
        <w:ind w:left="1880" w:hanging="396"/>
        <w:spacing w:after="0"/>
        <w:tabs>
          <w:tab w:leader="none" w:pos="1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40005</wp:posOffset>
            </wp:positionV>
            <wp:extent cx="59836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92" w:lineRule="exact"/>
        <w:rPr>
          <w:sz w:val="20"/>
          <w:szCs w:val="20"/>
          <w:color w:val="auto"/>
        </w:rPr>
      </w:pPr>
    </w:p>
    <w:p>
      <w:pPr>
        <w:ind w:left="1880" w:hanging="421"/>
        <w:spacing w:after="0"/>
        <w:tabs>
          <w:tab w:leader="none" w:pos="18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7"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7 of the cover page pertaining to each reporting person.</w:t>
      </w:r>
    </w:p>
    <w:p>
      <w:pPr>
        <w:spacing w:after="0" w:line="112" w:lineRule="exact"/>
        <w:rPr>
          <w:rFonts w:ascii="Times New Roman" w:cs="Times New Roman" w:eastAsia="Times New Roman" w:hAnsi="Times New Roman"/>
          <w:sz w:val="18"/>
          <w:szCs w:val="18"/>
          <w:color w:val="auto"/>
        </w:rPr>
      </w:pPr>
    </w:p>
    <w:p>
      <w:pPr>
        <w:ind w:left="1880" w:hanging="416"/>
        <w:spacing w:after="0"/>
        <w:tabs>
          <w:tab w:leader="none" w:pos="18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7"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8 of the cover page pertaining to each reporting person.</w:t>
      </w:r>
    </w:p>
    <w:p>
      <w:pPr>
        <w:spacing w:after="0" w:line="260" w:lineRule="exact"/>
        <w:rPr>
          <w:rFonts w:ascii="Times New Roman" w:cs="Times New Roman" w:eastAsia="Times New Roman" w:hAnsi="Times New Roman"/>
          <w:sz w:val="18"/>
          <w:szCs w:val="18"/>
          <w:color w:val="auto"/>
        </w:rPr>
      </w:pPr>
    </w:p>
    <w:p>
      <w:pPr>
        <w:ind w:left="60" w:right="80" w:firstLine="2"/>
        <w:spacing w:after="0" w:line="282"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Granat, Lawrence A. Oberman, Steven G. Simon, Bradley F. Simon, and Steven R. Monieson are the controlling shareholders and officers of Trigran Investments, Inc. and thus may be considered the beneficial owners of shares beneficially owned by Trigran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-433705</wp:posOffset>
            </wp:positionV>
            <wp:extent cx="59836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-785495</wp:posOffset>
            </wp:positionV>
            <wp:extent cx="59836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 w:name="page10"/>
    <w:bookmarkEnd w:id="9"/>
    <w:p>
      <w:pPr>
        <w:spacing w:after="0"/>
        <w:tabs>
          <w:tab w:leader="none" w:pos="5100" w:val="left"/>
          <w:tab w:leader="none" w:pos="1022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10 of 12</w:t>
      </w:r>
    </w:p>
    <w:p>
      <w:pPr>
        <w:sectPr>
          <w:pgSz w:w="11900" w:h="16838" w:orient="portrait"/>
          <w:cols w:equalWidth="0" w:num="1">
            <w:col w:w="11240"/>
          </w:cols>
          <w:pgMar w:left="320" w:top="904" w:right="339" w:bottom="1440" w:gutter="0" w:footer="0" w:header="0"/>
        </w:sectPr>
      </w:pPr>
    </w:p>
    <w:p>
      <w:pPr>
        <w:spacing w:after="0" w:line="275"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1080" w:right="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jc w:val="both"/>
        <w:ind w:left="60" w:right="60"/>
        <w:spacing w:after="0" w:line="266" w:lineRule="auto"/>
        <w:rPr>
          <w:sz w:val="20"/>
          <w:szCs w:val="20"/>
          <w:color w:val="auto"/>
        </w:rPr>
      </w:pPr>
      <w:r>
        <w:rPr>
          <w:rFonts w:ascii="Times New Roman" w:cs="Times New Roman" w:eastAsia="Times New Roman" w:hAnsi="Times New Roman"/>
          <w:sz w:val="18"/>
          <w:szCs w:val="18"/>
          <w:color w:val="auto"/>
        </w:rPr>
        <w:t>Owners of accounts managed by Trigran Investments, Inc. have or may have the right to receive or the power to direct the receipt of dividends from, or the proceeds from the sale of, securities held in their accounts. No such account has such power with respect to more than five percent of the class of securities to which this Schedule 13G relates.</w:t>
      </w:r>
    </w:p>
    <w:p>
      <w:pPr>
        <w:spacing w:after="0" w:line="280" w:lineRule="exact"/>
        <w:rPr>
          <w:sz w:val="20"/>
          <w:szCs w:val="20"/>
          <w:color w:val="auto"/>
        </w:rPr>
      </w:pPr>
    </w:p>
    <w:p>
      <w:pPr>
        <w:ind w:left="1080" w:right="820" w:hanging="1011"/>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jc w:val="both"/>
        <w:ind w:left="60" w:right="60" w:firstLine="1307"/>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 w:name="page11"/>
    <w:bookmarkEnd w:id="10"/>
    <w:p>
      <w:pPr>
        <w:spacing w:after="0"/>
        <w:tabs>
          <w:tab w:leader="none" w:pos="5100" w:val="left"/>
          <w:tab w:leader="none" w:pos="1024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11 of 12</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Reporting Persons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A. Oberman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A. Oberman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Granat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A. Oberman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G. Simon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F. Simon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125141101</w:t>
            </w:r>
          </w:p>
        </w:tc>
        <w:tc>
          <w:tcPr>
            <w:tcW w:w="38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Schedule 13G</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 12 of 12</w:t>
            </w:r>
          </w:p>
        </w:tc>
      </w:tr>
      <w:tr>
        <w:trPr>
          <w:trHeight w:val="39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3"/>
        </w:trPr>
        <w:tc>
          <w:tcPr>
            <w:tcW w:w="18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1: Agreement to Make a Joint Filing</w:t>
            </w:r>
          </w:p>
        </w:tc>
        <w:tc>
          <w:tcPr>
            <w:tcW w:w="3840" w:type="dxa"/>
            <w:vAlign w:val="bottom"/>
          </w:tcPr>
          <w:p>
            <w:pPr>
              <w:spacing w:after="0"/>
              <w:rPr>
                <w:sz w:val="24"/>
                <w:szCs w:val="24"/>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1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color w:val="auto"/>
        </w:rPr>
        <w:t>CUSIP No. 125141101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1 of 1</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 TO SCHEDULE 13G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10,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TRIGRAN INVESTMENTS, INC., DOUGLAS GRANAT, LAWRENCE A. OBERMAN, STEVEN G. SIMON, BRADLEY F. SIMON and STEVEN R. MONIESON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multiple counterparts, each of which shall constitute an original, one and the same instrument.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A. Oberman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A. Oberman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Granat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A. Oberman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G. Simon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F. Simon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lvl w:ilvl="1">
      <w:lvlJc w:val="left"/>
      <w:lvlText w:val="(%2)"/>
      <w:numFmt w:val="lowerLetter"/>
      <w:start w:val="1"/>
    </w:lvl>
  </w:abstractNum>
  <w:abstractNum w:abstractNumId="4">
    <w:nsid w:val="2CA88611"/>
    <w:multiLevelType w:val="hybridMultilevel"/>
    <w:lvl w:ilvl="0">
      <w:lvlJc w:val="left"/>
      <w:lvlText w:val="%1."/>
      <w:numFmt w:val="decimal"/>
      <w:start w:val="3"/>
    </w:lvl>
    <w:lvl w:ilvl="1">
      <w:lvlJc w:val="left"/>
      <w:lvlText w:val="%2"/>
      <w:numFmt w:val="lowerLetter"/>
      <w:start w:val="1"/>
    </w:lvl>
  </w:abstractNum>
  <w:abstractNum w:abstractNumId="5">
    <w:nsid w:val="836C40E"/>
    <w:multiLevelType w:val="hybridMultilevel"/>
    <w:lvl w:ilvl="0">
      <w:lvlJc w:val="left"/>
      <w:lvlText w:val="%1"/>
      <w:numFmt w:val="decimal"/>
      <w:start w:val="1"/>
    </w:lvl>
    <w:lvl w:ilvl="1">
      <w:lvlJc w:val="left"/>
      <w:lvlText w:val="%2."/>
      <w:numFmt w:val="decimal"/>
      <w:start w:val="8"/>
    </w:lvl>
  </w:abstractNum>
  <w:abstractNum w:abstractNumId="6">
    <w:nsid w:val="2901D82"/>
    <w:multiLevelType w:val="hybridMultilevel"/>
    <w:lvl w:ilvl="0">
      <w:lvlJc w:val="left"/>
      <w:lvlText w:val="%1."/>
      <w:numFmt w:val="decimal"/>
      <w:start w:val="9"/>
    </w:lvl>
    <w:lvl w:ilvl="1">
      <w:lvlJc w:val="left"/>
      <w:lvlText w:val="%2"/>
      <w:numFmt w:val="decimal"/>
      <w:start w:val="1"/>
    </w:lvl>
  </w:abstractNum>
  <w:abstractNum w:abstractNumId="7">
    <w:nsid w:val="3A95F874"/>
    <w:multiLevelType w:val="hybridMultilevel"/>
    <w:lvl w:ilvl="0">
      <w:lvlJc w:val="left"/>
      <w:lvlText w:val="%1"/>
      <w:numFmt w:val="decimal"/>
      <w:start w:val="1"/>
    </w:lvl>
    <w:lvl w:ilvl="1">
      <w:lvlJc w:val="left"/>
      <w:lvlText w:val="%2."/>
      <w:numFmt w:val="decimal"/>
      <w:start w:val="10"/>
    </w:lvl>
  </w:abstractNum>
  <w:abstractNum w:abstractNumId="8">
    <w:nsid w:val="8138641"/>
    <w:multiLevelType w:val="hybridMultilevel"/>
    <w:lvl w:ilvl="0">
      <w:lvlJc w:val="left"/>
      <w:lvlText w:val="(%1)"/>
      <w:numFmt w:val="decimal"/>
      <w:start w:val="1"/>
    </w:lvl>
    <w:lvl w:ilvl="1">
      <w:lvlJc w:val="left"/>
      <w:lvlText w:val="%2"/>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lvl w:ilvl="1">
      <w:lvlJc w:val="left"/>
      <w:lvlText w:val="(%2)"/>
      <w:numFmt w:val="lowerLetter"/>
      <w:start w:val="1"/>
    </w:lvl>
  </w:abstractNum>
  <w:abstractNum w:abstractNumId="11">
    <w:nsid w:val="737B8DDC"/>
    <w:multiLevelType w:val="hybridMultilevel"/>
    <w:lvl w:ilvl="0">
      <w:lvlJc w:val="left"/>
      <w:lvlText w:val="%1."/>
      <w:numFmt w:val="decimal"/>
      <w:start w:val="3"/>
    </w:lvl>
    <w:lvl w:ilvl="1">
      <w:lvlJc w:val="left"/>
      <w:lvlText w:val="%2"/>
      <w:numFmt w:val="lowerLetter"/>
      <w:start w:val="1"/>
    </w:lvl>
  </w:abstractNum>
  <w:abstractNum w:abstractNumId="12">
    <w:nsid w:val="6CEAF087"/>
    <w:multiLevelType w:val="hybridMultilevel"/>
    <w:lvl w:ilvl="0">
      <w:lvlJc w:val="left"/>
      <w:lvlText w:val="%1"/>
      <w:numFmt w:val="decimal"/>
      <w:start w:val="1"/>
    </w:lvl>
    <w:lvl w:ilvl="1">
      <w:lvlJc w:val="left"/>
      <w:lvlText w:val="%2."/>
      <w:numFmt w:val="decimal"/>
      <w:start w:val="8"/>
    </w:lvl>
  </w:abstractNum>
  <w:abstractNum w:abstractNumId="13">
    <w:nsid w:val="22221A70"/>
    <w:multiLevelType w:val="hybridMultilevel"/>
    <w:lvl w:ilvl="0">
      <w:lvlJc w:val="left"/>
      <w:lvlText w:val="%1."/>
      <w:numFmt w:val="decimal"/>
      <w:start w:val="9"/>
    </w:lvl>
    <w:lvl w:ilvl="1">
      <w:lvlJc w:val="left"/>
      <w:lvlText w:val="%2"/>
      <w:numFmt w:val="decimal"/>
      <w:start w:val="1"/>
    </w:lvl>
  </w:abstractNum>
  <w:abstractNum w:abstractNumId="14">
    <w:nsid w:val="4516DDE9"/>
    <w:multiLevelType w:val="hybridMultilevel"/>
    <w:lvl w:ilvl="0">
      <w:lvlJc w:val="left"/>
      <w:lvlText w:val="%1"/>
      <w:numFmt w:val="decimal"/>
      <w:start w:val="1"/>
    </w:lvl>
    <w:lvl w:ilvl="1">
      <w:lvlJc w:val="left"/>
      <w:lvlText w:val="%2."/>
      <w:numFmt w:val="decimal"/>
      <w:start w:val="10"/>
    </w:lvl>
  </w:abstractNum>
  <w:abstractNum w:abstractNumId="15">
    <w:nsid w:val="3006C83E"/>
    <w:multiLevelType w:val="hybridMultilevel"/>
    <w:lvl w:ilvl="0">
      <w:lvlJc w:val="left"/>
      <w:lvlText w:val="(%1)"/>
      <w:numFmt w:val="decimal"/>
      <w:start w:val="1"/>
    </w:lvl>
    <w:lvl w:ilvl="1">
      <w:lvlJc w:val="left"/>
      <w:lvlText w:val="%2"/>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lvl w:ilvl="1">
      <w:lvlJc w:val="left"/>
      <w:lvlText w:val="(%2)"/>
      <w:numFmt w:val="lowerLetter"/>
      <w:start w:val="1"/>
    </w:lvl>
  </w:abstractNum>
  <w:abstractNum w:abstractNumId="18">
    <w:nsid w:val="5577F8E1"/>
    <w:multiLevelType w:val="hybridMultilevel"/>
    <w:lvl w:ilvl="0">
      <w:lvlJc w:val="left"/>
      <w:lvlText w:val="%1."/>
      <w:numFmt w:val="decimal"/>
      <w:start w:val="3"/>
    </w:lvl>
    <w:lvl w:ilvl="1">
      <w:lvlJc w:val="left"/>
      <w:lvlText w:val="%2"/>
      <w:numFmt w:val="lowerLetter"/>
      <w:start w:val="1"/>
    </w:lvl>
  </w:abstractNum>
  <w:abstractNum w:abstractNumId="19">
    <w:nsid w:val="440BADFC"/>
    <w:multiLevelType w:val="hybridMultilevel"/>
    <w:lvl w:ilvl="0">
      <w:lvlJc w:val="left"/>
      <w:lvlText w:val="%1"/>
      <w:numFmt w:val="decimal"/>
      <w:start w:val="1"/>
    </w:lvl>
    <w:lvl w:ilvl="1">
      <w:lvlJc w:val="left"/>
      <w:lvlText w:val="%2."/>
      <w:numFmt w:val="decimal"/>
      <w:start w:val="8"/>
    </w:lvl>
  </w:abstractNum>
  <w:abstractNum w:abstractNumId="20">
    <w:nsid w:val="5072367"/>
    <w:multiLevelType w:val="hybridMultilevel"/>
    <w:lvl w:ilvl="0">
      <w:lvlJc w:val="left"/>
      <w:lvlText w:val="%1."/>
      <w:numFmt w:val="decimal"/>
      <w:start w:val="9"/>
    </w:lvl>
    <w:lvl w:ilvl="1">
      <w:lvlJc w:val="left"/>
      <w:lvlText w:val="%2"/>
      <w:numFmt w:val="decimal"/>
      <w:start w:val="1"/>
    </w:lvl>
  </w:abstractNum>
  <w:abstractNum w:abstractNumId="21">
    <w:nsid w:val="3804823E"/>
    <w:multiLevelType w:val="hybridMultilevel"/>
    <w:lvl w:ilvl="0">
      <w:lvlJc w:val="left"/>
      <w:lvlText w:val="%1"/>
      <w:numFmt w:val="decimal"/>
      <w:start w:val="1"/>
    </w:lvl>
    <w:lvl w:ilvl="1">
      <w:lvlJc w:val="left"/>
      <w:lvlText w:val="%2."/>
      <w:numFmt w:val="decimal"/>
      <w:start w:val="10"/>
    </w:lvl>
  </w:abstractNum>
  <w:abstractNum w:abstractNumId="22">
    <w:nsid w:val="77465F01"/>
    <w:multiLevelType w:val="hybridMultilevel"/>
    <w:lvl w:ilvl="0">
      <w:lvlJc w:val="left"/>
      <w:lvlText w:val="(%1)"/>
      <w:numFmt w:val="decimal"/>
      <w:start w:val="1"/>
    </w:lvl>
    <w:lvl w:ilvl="1">
      <w:lvlJc w:val="left"/>
      <w:lvlText w:val="%2"/>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lvl w:ilvl="1">
      <w:lvlJc w:val="left"/>
      <w:lvlText w:val="(%2)"/>
      <w:numFmt w:val="lowerLetter"/>
      <w:start w:val="1"/>
    </w:lvl>
  </w:abstractNum>
  <w:abstractNum w:abstractNumId="25">
    <w:nsid w:val="2463B9EA"/>
    <w:multiLevelType w:val="hybridMultilevel"/>
    <w:lvl w:ilvl="0">
      <w:lvlJc w:val="left"/>
      <w:lvlText w:val="%1."/>
      <w:numFmt w:val="decimal"/>
      <w:start w:val="3"/>
    </w:lvl>
    <w:lvl w:ilvl="1">
      <w:lvlJc w:val="left"/>
      <w:lvlText w:val="%2"/>
      <w:numFmt w:val="lowerLetter"/>
      <w:start w:val="1"/>
    </w:lvl>
  </w:abstractNum>
  <w:abstractNum w:abstractNumId="26">
    <w:nsid w:val="5E884ADC"/>
    <w:multiLevelType w:val="hybridMultilevel"/>
    <w:lvl w:ilvl="0">
      <w:lvlJc w:val="left"/>
      <w:lvlText w:val="%1"/>
      <w:numFmt w:val="decimal"/>
      <w:start w:val="1"/>
    </w:lvl>
    <w:lvl w:ilvl="1">
      <w:lvlJc w:val="left"/>
      <w:lvlText w:val="%2."/>
      <w:numFmt w:val="decimal"/>
      <w:start w:val="8"/>
    </w:lvl>
  </w:abstractNum>
  <w:abstractNum w:abstractNumId="27">
    <w:nsid w:val="51EAD36B"/>
    <w:multiLevelType w:val="hybridMultilevel"/>
    <w:lvl w:ilvl="0">
      <w:lvlJc w:val="left"/>
      <w:lvlText w:val="%1."/>
      <w:numFmt w:val="decimal"/>
      <w:start w:val="9"/>
    </w:lvl>
    <w:lvl w:ilvl="1">
      <w:lvlJc w:val="left"/>
      <w:lvlText w:val="%2"/>
      <w:numFmt w:val="decimal"/>
      <w:start w:val="1"/>
    </w:lvl>
  </w:abstractNum>
  <w:abstractNum w:abstractNumId="28">
    <w:nsid w:val="2D517796"/>
    <w:multiLevelType w:val="hybridMultilevel"/>
    <w:lvl w:ilvl="0">
      <w:lvlJc w:val="left"/>
      <w:lvlText w:val="%1"/>
      <w:numFmt w:val="decimal"/>
      <w:start w:val="1"/>
    </w:lvl>
    <w:lvl w:ilvl="1">
      <w:lvlJc w:val="left"/>
      <w:lvlText w:val="%2."/>
      <w:numFmt w:val="decimal"/>
      <w:start w:val="10"/>
    </w:lvl>
  </w:abstractNum>
  <w:abstractNum w:abstractNumId="29">
    <w:nsid w:val="580BD78F"/>
    <w:multiLevelType w:val="hybridMultilevel"/>
    <w:lvl w:ilvl="0">
      <w:lvlJc w:val="left"/>
      <w:lvlText w:val="(%1)"/>
      <w:numFmt w:val="decimal"/>
      <w:start w:val="1"/>
    </w:lvl>
    <w:lvl w:ilvl="1">
      <w:lvlJc w:val="left"/>
      <w:lvlText w:val="%2"/>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lvl w:ilvl="1">
      <w:lvlJc w:val="left"/>
      <w:lvlText w:val="(%2)"/>
      <w:numFmt w:val="lowerLetter"/>
      <w:start w:val="1"/>
    </w:lvl>
  </w:abstractNum>
  <w:abstractNum w:abstractNumId="32">
    <w:nsid w:val="70A64E2A"/>
    <w:multiLevelType w:val="hybridMultilevel"/>
    <w:lvl w:ilvl="0">
      <w:lvlJc w:val="left"/>
      <w:lvlText w:val="%1."/>
      <w:numFmt w:val="decimal"/>
      <w:start w:val="3"/>
    </w:lvl>
    <w:lvl w:ilvl="1">
      <w:lvlJc w:val="left"/>
      <w:lvlText w:val="%2"/>
      <w:numFmt w:val="lowerLetter"/>
      <w:start w:val="1"/>
    </w:lvl>
  </w:abstractNum>
  <w:abstractNum w:abstractNumId="33">
    <w:nsid w:val="6A2342EC"/>
    <w:multiLevelType w:val="hybridMultilevel"/>
    <w:lvl w:ilvl="0">
      <w:lvlJc w:val="left"/>
      <w:lvlText w:val="%1"/>
      <w:numFmt w:val="decimal"/>
      <w:start w:val="1"/>
    </w:lvl>
    <w:lvl w:ilvl="1">
      <w:lvlJc w:val="left"/>
      <w:lvlText w:val="%2."/>
      <w:numFmt w:val="decimal"/>
      <w:start w:val="8"/>
    </w:lvl>
  </w:abstractNum>
  <w:abstractNum w:abstractNumId="34">
    <w:nsid w:val="2A487CB0"/>
    <w:multiLevelType w:val="hybridMultilevel"/>
    <w:lvl w:ilvl="0">
      <w:lvlJc w:val="left"/>
      <w:lvlText w:val="%1."/>
      <w:numFmt w:val="decimal"/>
      <w:start w:val="9"/>
    </w:lvl>
    <w:lvl w:ilvl="1">
      <w:lvlJc w:val="left"/>
      <w:lvlText w:val="%2"/>
      <w:numFmt w:val="decimal"/>
      <w:start w:val="1"/>
    </w:lvl>
  </w:abstractNum>
  <w:abstractNum w:abstractNumId="35">
    <w:nsid w:val="1D4ED43B"/>
    <w:multiLevelType w:val="hybridMultilevel"/>
    <w:lvl w:ilvl="0">
      <w:lvlJc w:val="left"/>
      <w:lvlText w:val="%1"/>
      <w:numFmt w:val="decimal"/>
      <w:start w:val="1"/>
    </w:lvl>
    <w:lvl w:ilvl="1">
      <w:lvlJc w:val="left"/>
      <w:lvlText w:val="%2."/>
      <w:numFmt w:val="decimal"/>
      <w:start w:val="10"/>
    </w:lvl>
  </w:abstractNum>
  <w:abstractNum w:abstractNumId="36">
    <w:nsid w:val="725A06FB"/>
    <w:multiLevelType w:val="hybridMultilevel"/>
    <w:lvl w:ilvl="0">
      <w:lvlJc w:val="left"/>
      <w:lvlText w:val="(%1)"/>
      <w:numFmt w:val="decimal"/>
      <w:start w:val="1"/>
    </w:lvl>
    <w:lvl w:ilvl="1">
      <w:lvlJc w:val="left"/>
      <w:lvlText w:val="%2"/>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lvl w:ilvl="1">
      <w:lvlJc w:val="left"/>
      <w:lvlText w:val="(%2)"/>
      <w:numFmt w:val="lowerLetter"/>
      <w:start w:val="1"/>
    </w:lvl>
  </w:abstractNum>
  <w:abstractNum w:abstractNumId="39">
    <w:nsid w:val="7A6D8D3C"/>
    <w:multiLevelType w:val="hybridMultilevel"/>
    <w:lvl w:ilvl="0">
      <w:lvlJc w:val="left"/>
      <w:lvlText w:val="%1."/>
      <w:numFmt w:val="decimal"/>
      <w:start w:val="3"/>
    </w:lvl>
    <w:lvl w:ilvl="1">
      <w:lvlJc w:val="left"/>
      <w:lvlText w:val="%2"/>
      <w:numFmt w:val="lowerLetter"/>
      <w:start w:val="1"/>
    </w:lvl>
  </w:abstractNum>
  <w:abstractNum w:abstractNumId="40">
    <w:nsid w:val="4B588F54"/>
    <w:multiLevelType w:val="hybridMultilevel"/>
    <w:lvl w:ilvl="0">
      <w:lvlJc w:val="left"/>
      <w:lvlText w:val="%1"/>
      <w:numFmt w:val="decimal"/>
      <w:start w:val="1"/>
    </w:lvl>
    <w:lvl w:ilvl="1">
      <w:lvlJc w:val="left"/>
      <w:lvlText w:val="%2."/>
      <w:numFmt w:val="decimal"/>
      <w:start w:val="8"/>
    </w:lvl>
  </w:abstractNum>
  <w:abstractNum w:abstractNumId="41">
    <w:nsid w:val="542289EC"/>
    <w:multiLevelType w:val="hybridMultilevel"/>
    <w:lvl w:ilvl="0">
      <w:lvlJc w:val="left"/>
      <w:lvlText w:val="%1."/>
      <w:numFmt w:val="decimal"/>
      <w:start w:val="9"/>
    </w:lvl>
    <w:lvl w:ilvl="1">
      <w:lvlJc w:val="left"/>
      <w:lvlText w:val="%2"/>
      <w:numFmt w:val="decimal"/>
      <w:start w:val="1"/>
    </w:lvl>
  </w:abstractNum>
  <w:abstractNum w:abstractNumId="42">
    <w:nsid w:val="6DE91B18"/>
    <w:multiLevelType w:val="hybridMultilevel"/>
    <w:lvl w:ilvl="0">
      <w:lvlJc w:val="left"/>
      <w:lvlText w:val="%1"/>
      <w:numFmt w:val="decimal"/>
      <w:start w:val="1"/>
    </w:lvl>
    <w:lvl w:ilvl="1">
      <w:lvlJc w:val="left"/>
      <w:lvlText w:val="%2."/>
      <w:numFmt w:val="decimal"/>
      <w:start w:val="10"/>
    </w:lvl>
  </w:abstractNum>
  <w:abstractNum w:abstractNumId="43">
    <w:nsid w:val="38437FDB"/>
    <w:multiLevelType w:val="hybridMultilevel"/>
    <w:lvl w:ilvl="0">
      <w:lvlJc w:val="left"/>
      <w:lvlText w:val="(%1)"/>
      <w:numFmt w:val="decimal"/>
      <w:start w:val="1"/>
    </w:lvl>
    <w:lvl w:ilvl="1">
      <w:lvlJc w:val="left"/>
      <w:lvlText w:val="%2"/>
      <w:numFmt w:val="decimal"/>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3"/>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Roman"/>
      <w:start w:val="1"/>
    </w:lvl>
  </w:abstractNum>
  <w:abstractNum w:abstractNumId="48">
    <w:nsid w:val="749ABB43"/>
    <w:multiLevelType w:val="hybridMultilevel"/>
    <w:lvl w:ilvl="0">
      <w:lvlJc w:val="left"/>
      <w:lvlText w:val="(%1)"/>
      <w:numFmt w:val="lowerRoman"/>
      <w:start w:val="2"/>
    </w:lvl>
  </w:abstractNum>
  <w:abstractNum w:abstractNumId="49">
    <w:nsid w:val="3DC240FB"/>
    <w:multiLevelType w:val="hybridMultilevel"/>
    <w:lvl w:ilvl="0">
      <w:lvlJc w:val="left"/>
      <w:lvlText w:val="%1"/>
      <w:numFmt w:val="decimal"/>
      <w:start w:val="1"/>
    </w:lvl>
    <w:lvl w:ilvl="1">
      <w:lvlJc w:val="left"/>
      <w:lvlText w:val="(%2)"/>
      <w:numFmt w:val="lowerRoman"/>
      <w:start w:val="3"/>
    </w:lvl>
  </w:abstractNum>
  <w:abstractNum w:abstractNumId="50">
    <w:nsid w:val="1BA026FA"/>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2023-02-10T12:25:20Z</dcterms:created>
  <dcterms:modified xsi:type="dcterms:W3CDTF">2023-02-10T12:25:20Z</dcterms:modified>
</cp:coreProperties>
</file>