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jc w:val="center"/>
        <w:rPr>
          <w:rFonts w:ascii="Times New Roman" w:hAnsi="Times New Roman"/>
          <w:b/>
          <w:sz w:val="20"/>
        </w:rPr>
      </w:pPr>
      <w:bookmarkStart w:id="0" w:name="ds3.htm"/>
      <w:bookmarkStart w:id="1" w:name="ksds3"/>
      <w:bookmarkEnd w:id="0"/>
      <w:bookmarkEnd w:id="1"/>
      <w:r>
        <w:rPr>
          <w:rFonts w:ascii="Times New Roman" w:hAnsi="Times New Roman"/>
          <w:b/>
          <w:sz w:val="20"/>
        </w:rPr>
        <w:t xml:space="preserve">FORM S-3 </w:t>
      </w:r>
    </w:p>
    <w:p>
      <w:pPr>
        <w:pStyle w:val="TextBody"/>
        <w:spacing w:before="0" w:after="0"/>
        <w:jc w:val="center"/>
        <w:rPr>
          <w:rFonts w:ascii="Times New Roman" w:hAnsi="Times New Roman"/>
          <w:b/>
          <w:sz w:val="20"/>
        </w:rPr>
      </w:pPr>
      <w:r>
        <w:rPr>
          <w:rFonts w:ascii="Times New Roman" w:hAnsi="Times New Roman"/>
          <w:b/>
          <w:sz w:val="20"/>
        </w:rPr>
        <w:t xml:space="preserve">REGISTRATION STATEMENT </w:t>
      </w:r>
    </w:p>
    <w:p>
      <w:pPr>
        <w:pStyle w:val="TextBody"/>
        <w:spacing w:before="0" w:after="0"/>
        <w:jc w:val="center"/>
        <w:rPr>
          <w:rFonts w:ascii="Times New Roman" w:hAnsi="Times New Roman"/>
          <w:b/>
          <w:sz w:val="20"/>
        </w:rPr>
      </w:pPr>
      <w:r>
        <w:rPr>
          <w:rFonts w:ascii="Times New Roman" w:hAnsi="Times New Roman"/>
          <w:b/>
          <w:sz w:val="20"/>
        </w:rPr>
        <w:t xml:space="preserve">UNDER </w:t>
      </w:r>
    </w:p>
    <w:p>
      <w:pPr>
        <w:pStyle w:val="TextBody"/>
        <w:spacing w:before="0" w:after="0"/>
        <w:jc w:val="center"/>
        <w:rPr>
          <w:rFonts w:ascii="Times New Roman" w:hAnsi="Times New Roman"/>
          <w:b/>
          <w:sz w:val="20"/>
        </w:rPr>
      </w:pPr>
      <w:r>
        <w:rPr>
          <w:rFonts w:ascii="Times New Roman" w:hAnsi="Times New Roman"/>
          <w:b/>
          <w:sz w:val="20"/>
        </w:rPr>
        <w:t xml:space="preserve">THE SECURITIES ACT OF 1933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CECO ENVIRONMENTAL CORP. </w:t>
      </w:r>
    </w:p>
    <w:p>
      <w:pPr>
        <w:pStyle w:val="TextBody"/>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spacing w:before="0" w:after="0"/>
        <w:jc w:val="center"/>
        <w:rPr>
          <w:rFonts w:ascii="Times New Roman" w:hAnsi="Times New Roman"/>
          <w:b/>
          <w:sz w:val="20"/>
        </w:rPr>
      </w:pPr>
      <w:r>
        <w:rPr>
          <w:rFonts w:ascii="Times New Roman" w:hAnsi="Times New Roman"/>
          <w:b/>
          <w:sz w:val="20"/>
        </w:rPr>
        <w:t xml:space="preserve">DELAWARE </w:t>
      </w:r>
    </w:p>
    <w:p>
      <w:pPr>
        <w:pStyle w:val="TextBody"/>
        <w:spacing w:before="0" w:after="0"/>
        <w:jc w:val="center"/>
        <w:rPr>
          <w:rFonts w:ascii="Times New Roman" w:hAnsi="Times New Roman"/>
          <w:b/>
          <w:sz w:val="20"/>
        </w:rPr>
      </w:pPr>
      <w:r>
        <w:rPr>
          <w:rFonts w:ascii="Times New Roman" w:hAnsi="Times New Roman"/>
          <w:b/>
          <w:sz w:val="20"/>
        </w:rPr>
        <w:t xml:space="preserve">(State or Other Jurisdiction of Incorporation or Organization)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13-2566064 </w:t>
      </w:r>
    </w:p>
    <w:p>
      <w:pPr>
        <w:pStyle w:val="TextBody"/>
        <w:spacing w:before="0" w:after="0"/>
        <w:jc w:val="center"/>
        <w:rPr>
          <w:rFonts w:ascii="Times New Roman" w:hAnsi="Times New Roman"/>
          <w:sz w:val="20"/>
        </w:rPr>
      </w:pPr>
      <w:r>
        <w:rPr>
          <w:rFonts w:ascii="Times New Roman" w:hAnsi="Times New Roman"/>
          <w:sz w:val="20"/>
        </w:rPr>
        <w:t xml:space="preserve">(I.R.S. Employer Identification No.)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3120 Forrer Street </w:t>
      </w:r>
    </w:p>
    <w:p>
      <w:pPr>
        <w:pStyle w:val="TextBody"/>
        <w:spacing w:before="0" w:after="0"/>
        <w:jc w:val="center"/>
        <w:rPr>
          <w:rFonts w:ascii="Times New Roman" w:hAnsi="Times New Roman"/>
          <w:sz w:val="20"/>
        </w:rPr>
      </w:pPr>
      <w:r>
        <w:rPr>
          <w:rFonts w:ascii="Times New Roman" w:hAnsi="Times New Roman"/>
          <w:sz w:val="20"/>
        </w:rPr>
        <w:t xml:space="preserve">Cincinnati, Ohio 45209 </w:t>
      </w:r>
    </w:p>
    <w:p>
      <w:pPr>
        <w:pStyle w:val="TextBody"/>
        <w:spacing w:before="0" w:after="0"/>
        <w:jc w:val="center"/>
        <w:rPr>
          <w:rFonts w:ascii="Times New Roman" w:hAnsi="Times New Roman"/>
          <w:sz w:val="20"/>
        </w:rPr>
      </w:pPr>
      <w:r>
        <w:rPr>
          <w:rFonts w:ascii="Times New Roman" w:hAnsi="Times New Roman"/>
          <w:sz w:val="20"/>
        </w:rPr>
        <w:t xml:space="preserve">(513) 458-2600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Registrants Principal Executive Offices </w:t>
      </w:r>
    </w:p>
    <w:p>
      <w:pPr>
        <w:pStyle w:val="TextBody"/>
        <w:spacing w:before="0" w:after="0"/>
        <w:jc w:val="center"/>
        <w:rPr>
          <w:rFonts w:ascii="Times New Roman" w:hAnsi="Times New Roman"/>
          <w:sz w:val="20"/>
        </w:rPr>
      </w:pPr>
      <w:r>
        <w:rPr>
          <w:rFonts w:ascii="Times New Roman" w:hAnsi="Times New Roman"/>
          <w:sz w:val="20"/>
        </w:rPr>
        <w:t xml:space="preserve">(Address, Including Zip Code, and Telephone Number, Including Area Code)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Phillip DeZwirek, CEO </w:t>
      </w:r>
    </w:p>
    <w:p>
      <w:pPr>
        <w:pStyle w:val="TextBody"/>
        <w:spacing w:before="0" w:after="0"/>
        <w:jc w:val="center"/>
        <w:rPr>
          <w:rFonts w:ascii="Times New Roman" w:hAnsi="Times New Roman"/>
          <w:sz w:val="20"/>
        </w:rPr>
      </w:pPr>
      <w:r>
        <w:rPr>
          <w:rFonts w:ascii="Times New Roman" w:hAnsi="Times New Roman"/>
          <w:sz w:val="20"/>
        </w:rPr>
        <w:t xml:space="preserve">CECO Environmental Corp. </w:t>
      </w:r>
    </w:p>
    <w:p>
      <w:pPr>
        <w:pStyle w:val="TextBody"/>
        <w:spacing w:before="0" w:after="0"/>
        <w:jc w:val="center"/>
        <w:rPr>
          <w:rFonts w:ascii="Times New Roman" w:hAnsi="Times New Roman"/>
          <w:sz w:val="20"/>
        </w:rPr>
      </w:pPr>
      <w:r>
        <w:rPr>
          <w:rFonts w:ascii="Times New Roman" w:hAnsi="Times New Roman"/>
          <w:sz w:val="20"/>
        </w:rPr>
        <w:t xml:space="preserve">3120 Forrer Street </w:t>
      </w:r>
    </w:p>
    <w:p>
      <w:pPr>
        <w:pStyle w:val="TextBody"/>
        <w:spacing w:before="0" w:after="0"/>
        <w:jc w:val="center"/>
        <w:rPr>
          <w:rFonts w:ascii="Times New Roman" w:hAnsi="Times New Roman"/>
          <w:sz w:val="20"/>
        </w:rPr>
      </w:pPr>
      <w:r>
        <w:rPr>
          <w:rFonts w:ascii="Times New Roman" w:hAnsi="Times New Roman"/>
          <w:sz w:val="20"/>
        </w:rPr>
        <w:t xml:space="preserve">Cincinnati, Ohio 45209 </w:t>
      </w:r>
    </w:p>
    <w:p>
      <w:pPr>
        <w:pStyle w:val="TextBody"/>
        <w:spacing w:before="0" w:after="0"/>
        <w:jc w:val="center"/>
        <w:rPr>
          <w:rFonts w:ascii="Times New Roman" w:hAnsi="Times New Roman"/>
          <w:sz w:val="20"/>
        </w:rPr>
      </w:pPr>
      <w:r>
        <w:rPr>
          <w:rFonts w:ascii="Times New Roman" w:hAnsi="Times New Roman"/>
          <w:sz w:val="20"/>
        </w:rPr>
        <w:t xml:space="preserve">(513) 458-2600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(Name, Address, Including Zip Code, and Telephone Number, Including Area Code, </w:t>
      </w:r>
    </w:p>
    <w:p>
      <w:pPr>
        <w:pStyle w:val="TextBody"/>
        <w:spacing w:before="0" w:after="0"/>
        <w:jc w:val="center"/>
        <w:rPr>
          <w:rFonts w:ascii="Times New Roman" w:hAnsi="Times New Roman"/>
          <w:sz w:val="20"/>
        </w:rPr>
      </w:pPr>
      <w:r>
        <w:rPr>
          <w:rFonts w:ascii="Times New Roman" w:hAnsi="Times New Roman"/>
          <w:sz w:val="20"/>
        </w:rPr>
        <w:t xml:space="preserve">of Agent for Service)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Copy to: </w:t>
      </w:r>
    </w:p>
    <w:p>
      <w:pPr>
        <w:pStyle w:val="TextBody"/>
        <w:spacing w:before="0" w:after="0"/>
        <w:jc w:val="center"/>
        <w:rPr>
          <w:rFonts w:ascii="Times New Roman" w:hAnsi="Times New Roman"/>
          <w:sz w:val="20"/>
        </w:rPr>
      </w:pPr>
      <w:r>
        <w:rPr>
          <w:rFonts w:ascii="Times New Roman" w:hAnsi="Times New Roman"/>
          <w:sz w:val="20"/>
        </w:rPr>
        <w:t xml:space="preserve">Leslie J. Weiss </w:t>
      </w:r>
    </w:p>
    <w:p>
      <w:pPr>
        <w:pStyle w:val="TextBody"/>
        <w:spacing w:before="0" w:after="0"/>
        <w:jc w:val="center"/>
        <w:rPr>
          <w:rFonts w:ascii="Times New Roman" w:hAnsi="Times New Roman"/>
          <w:sz w:val="20"/>
        </w:rPr>
      </w:pPr>
      <w:r>
        <w:rPr>
          <w:rFonts w:ascii="Times New Roman" w:hAnsi="Times New Roman"/>
          <w:sz w:val="20"/>
        </w:rPr>
        <w:t xml:space="preserve">Sugar, Friedberg &amp; Felsenthal </w:t>
      </w:r>
    </w:p>
    <w:p>
      <w:pPr>
        <w:pStyle w:val="TextBody"/>
        <w:spacing w:before="0" w:after="0"/>
        <w:jc w:val="center"/>
        <w:rPr>
          <w:rFonts w:ascii="Times New Roman" w:hAnsi="Times New Roman"/>
          <w:sz w:val="20"/>
        </w:rPr>
      </w:pPr>
      <w:r>
        <w:rPr>
          <w:rFonts w:ascii="Times New Roman" w:hAnsi="Times New Roman"/>
          <w:sz w:val="20"/>
        </w:rPr>
        <w:t xml:space="preserve">30 North LaSalle Street, Suite 3000 </w:t>
      </w:r>
    </w:p>
    <w:p>
      <w:pPr>
        <w:pStyle w:val="TextBody"/>
        <w:spacing w:before="0" w:after="0"/>
        <w:jc w:val="center"/>
        <w:rPr>
          <w:rFonts w:ascii="Times New Roman" w:hAnsi="Times New Roman"/>
          <w:sz w:val="20"/>
        </w:rPr>
      </w:pPr>
      <w:r>
        <w:rPr>
          <w:rFonts w:ascii="Times New Roman" w:hAnsi="Times New Roman"/>
          <w:sz w:val="20"/>
        </w:rPr>
        <w:t xml:space="preserve">Chicago, Illinois 60602 </w:t>
      </w:r>
    </w:p>
    <w:p>
      <w:pPr>
        <w:pStyle w:val="TextBody"/>
        <w:spacing w:before="0" w:after="0"/>
        <w:jc w:val="center"/>
        <w:rPr>
          <w:rFonts w:ascii="Times New Roman" w:hAnsi="Times New Roman"/>
          <w:sz w:val="20"/>
        </w:rPr>
      </w:pPr>
      <w:r>
        <w:rPr>
          <w:rFonts w:ascii="Times New Roman" w:hAnsi="Times New Roman"/>
          <w:sz w:val="20"/>
        </w:rPr>
        <w:t xml:space="preserve">(312) 704-9400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Approximate Date of Commencement of Proposed Sale to the Public: From time to time after the effective date of this Registration Statement as determined by the Selling Stockholders. </w:t>
      </w:r>
    </w:p>
    <w:p>
      <w:pPr>
        <w:pStyle w:val="TextBody"/>
        <w:spacing w:before="0" w:after="0"/>
        <w:rPr/>
      </w:pPr>
      <w:r>
        <w:rPr/>
        <w:t> </w:t>
      </w:r>
    </w:p>
    <w:p>
      <w:pPr>
        <w:pStyle w:val="TextBody"/>
        <w:spacing w:before="0" w:after="0"/>
        <w:rPr/>
      </w:pPr>
      <w:r>
        <w:rPr>
          <w:rFonts w:ascii="Times New Roman" w:hAnsi="Times New Roman"/>
          <w:sz w:val="20"/>
        </w:rPr>
        <w:t>If the only securities being registered on this Form are being offered pursuant to dividend or interest reinvestment plans, please check the following box.  </w:t>
      </w:r>
      <w:r>
        <w:rPr>
          <w:color w:val="000000"/>
        </w:rPr>
        <w:t>☐</w:t>
      </w:r>
      <w:r>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If any of the securities being registered on this Form are to be offered on a delayed or continuous basis pursuant to Rule 415 under the Securities Act of 1933, as amended (the Securities Act) other than securities offered only in connection with dividend or interest reinvestment plans, check the following box.  ☒ </w:t>
      </w:r>
    </w:p>
    <w:p>
      <w:pPr>
        <w:pStyle w:val="TextBody"/>
        <w:spacing w:before="0" w:after="0"/>
        <w:rPr/>
      </w:pPr>
      <w:r>
        <w:rPr/>
        <w:t> </w:t>
      </w:r>
    </w:p>
    <w:p>
      <w:pPr>
        <w:pStyle w:val="TextBody"/>
        <w:spacing w:before="0" w:after="0"/>
        <w:rPr/>
      </w:pPr>
      <w:r>
        <w:rPr>
          <w:rFonts w:ascii="Times New Roman" w:hAnsi="Times New Roman"/>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color w:val="000000"/>
        </w:rPr>
        <w:t>☐</w:t>
      </w:r>
      <w:r>
        <w:rPr/>
        <w:t xml:space="preserve"> </w:t>
      </w:r>
    </w:p>
    <w:p>
      <w:pPr>
        <w:pStyle w:val="TextBody"/>
        <w:spacing w:before="0" w:after="0"/>
        <w:rPr/>
      </w:pPr>
      <w:r>
        <w:rPr/>
        <w:t> </w:t>
      </w:r>
    </w:p>
    <w:p>
      <w:pPr>
        <w:pStyle w:val="TextBody"/>
        <w:spacing w:before="0" w:after="0"/>
        <w:rPr/>
      </w:pPr>
      <w:r>
        <w:rPr>
          <w:rFonts w:ascii="Times New Roman" w:hAnsi="Times New Roman"/>
          <w:sz w:val="20"/>
        </w:rPr>
        <w:t>If this Form is a post-effective amendment filed pursuant to Rule 462(c) under the Securities Act, check the following box and list the Securities Act registration statement number of the earlier effective registration statement for the same offering.  </w:t>
      </w:r>
      <w:r>
        <w:rPr>
          <w:color w:val="000000"/>
        </w:rPr>
        <w:t>☐</w:t>
      </w:r>
      <w:r>
        <w:rPr/>
        <w:t xml:space="preserve"> </w:t>
      </w:r>
    </w:p>
    <w:p>
      <w:pPr>
        <w:pStyle w:val="TextBody"/>
        <w:spacing w:before="0" w:after="0"/>
        <w:rPr/>
      </w:pPr>
      <w:r>
        <w:rPr/>
        <w:t> </w:t>
      </w:r>
    </w:p>
    <w:p>
      <w:pPr>
        <w:pStyle w:val="TextBody"/>
        <w:spacing w:before="0" w:after="0"/>
        <w:rPr/>
      </w:pPr>
      <w:r>
        <w:rPr>
          <w:rFonts w:ascii="Times New Roman" w:hAnsi="Times New Roman"/>
          <w:sz w:val="20"/>
        </w:rPr>
        <w:t>If delivery of the prospectus is expected to be made pursuant to Rule 434, please check the following box.  </w:t>
      </w:r>
      <w:r>
        <w:rPr>
          <w:color w:val="000000"/>
        </w:rPr>
        <w:t>☐</w:t>
      </w:r>
      <w:r>
        <w:rPr/>
        <w:t xml:space="preserve">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CALCULATION OF REGISTRATION FEE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769"/>
        <w:gridCol w:w="442"/>
        <w:gridCol w:w="915"/>
        <w:gridCol w:w="442"/>
        <w:gridCol w:w="298"/>
        <w:gridCol w:w="1023"/>
        <w:gridCol w:w="442"/>
        <w:gridCol w:w="125"/>
        <w:gridCol w:w="1237"/>
        <w:gridCol w:w="442"/>
        <w:gridCol w:w="143"/>
        <w:gridCol w:w="927"/>
      </w:tblGrid>
      <w:tr>
        <w:trPr/>
        <w:tc>
          <w:tcPr>
            <w:tcW w:w="3769"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bottom"/>
          </w:tcPr>
          <w:p>
            <w:pPr>
              <w:pStyle w:val="TableContents"/>
              <w:spacing w:before="0" w:after="283"/>
              <w:rPr>
                <w:sz w:val="4"/>
                <w:szCs w:val="4"/>
              </w:rPr>
            </w:pPr>
            <w:r>
              <w:rPr>
                <w:sz w:val="4"/>
                <w:szCs w:val="4"/>
              </w:rPr>
            </w:r>
          </w:p>
        </w:tc>
        <w:tc>
          <w:tcPr>
            <w:tcW w:w="915"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bottom"/>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1023"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37"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bottom"/>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927" w:type="dxa"/>
            <w:tcBorders/>
            <w:shd w:fill="auto" w:val="clear"/>
            <w:vAlign w:val="center"/>
          </w:tcPr>
          <w:p>
            <w:pPr>
              <w:pStyle w:val="TableContents"/>
              <w:spacing w:before="0" w:after="283"/>
              <w:rPr>
                <w:sz w:val="4"/>
                <w:szCs w:val="4"/>
              </w:rPr>
            </w:pPr>
            <w:r>
              <w:rPr>
                <w:sz w:val="4"/>
                <w:szCs w:val="4"/>
              </w:rPr>
            </w:r>
          </w:p>
        </w:tc>
      </w:tr>
      <w:tr>
        <w:trPr/>
        <w:tc>
          <w:tcPr>
            <w:tcW w:w="3769"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Title of Each Class of Securities</w:t>
            </w:r>
          </w:p>
          <w:p>
            <w:pPr>
              <w:pStyle w:val="TableContents"/>
              <w:spacing w:before="0" w:after="0"/>
              <w:jc w:val="center"/>
              <w:rPr>
                <w:rFonts w:ascii="Times New Roman" w:hAnsi="Times New Roman"/>
                <w:b/>
                <w:sz w:val="14"/>
              </w:rPr>
            </w:pPr>
            <w:r>
              <w:rPr>
                <w:rFonts w:ascii="Times New Roman" w:hAnsi="Times New Roman"/>
                <w:b/>
                <w:sz w:val="14"/>
              </w:rPr>
              <w:t>to be Registered</w:t>
            </w:r>
          </w:p>
          <w:p>
            <w:pPr>
              <w:pStyle w:val="HorizontalLine"/>
              <w:pBdr>
                <w:bottom w:val="single" w:sz="6" w:space="0" w:color="000000"/>
              </w:pBdr>
              <w:spacing w:before="0" w:after="283"/>
              <w:rPr/>
            </w:pPr>
            <w:r>
              <w:rPr/>
            </w:r>
          </w:p>
        </w:tc>
        <w:tc>
          <w:tcPr>
            <w:tcW w:w="442" w:type="dxa"/>
            <w:tcBorders/>
            <w:shd w:fill="auto" w:val="clear"/>
            <w:vAlign w:val="bottom"/>
          </w:tcPr>
          <w:p>
            <w:pPr>
              <w:pStyle w:val="TableContents"/>
              <w:spacing w:before="0" w:after="283"/>
              <w:rPr/>
            </w:pPr>
            <w:r>
              <w:rPr/>
              <w:t>  </w:t>
            </w:r>
          </w:p>
        </w:tc>
        <w:tc>
          <w:tcPr>
            <w:tcW w:w="915"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Amount to be</w:t>
              <w:br/>
              <w:t>Registered (1)</w:t>
            </w:r>
          </w:p>
          <w:p>
            <w:pPr>
              <w:pStyle w:val="HorizontalLine"/>
              <w:pBdr>
                <w:bottom w:val="single" w:sz="6" w:space="0" w:color="000000"/>
              </w:pBdr>
              <w:spacing w:before="0" w:after="283"/>
              <w:rPr/>
            </w:pPr>
            <w:r>
              <w:rPr/>
            </w:r>
          </w:p>
        </w:tc>
        <w:tc>
          <w:tcPr>
            <w:tcW w:w="442" w:type="dxa"/>
            <w:tcBorders/>
            <w:shd w:fill="auto" w:val="clear"/>
            <w:vAlign w:val="bottom"/>
          </w:tcPr>
          <w:p>
            <w:pPr>
              <w:pStyle w:val="TableContents"/>
              <w:spacing w:before="0" w:after="283"/>
              <w:rPr/>
            </w:pPr>
            <w:r>
              <w:rPr/>
              <w:t>  </w:t>
            </w:r>
          </w:p>
        </w:tc>
        <w:tc>
          <w:tcPr>
            <w:tcW w:w="1321"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Proposed Maximum</w:t>
              <w:br/>
              <w:t>Offering Price Per</w:t>
              <w:br/>
              <w:t>Share (2)</w:t>
            </w:r>
          </w:p>
          <w:p>
            <w:pPr>
              <w:pStyle w:val="HorizontalLine"/>
              <w:pBdr>
                <w:bottom w:val="single" w:sz="6" w:space="0" w:color="000000"/>
              </w:pBdr>
              <w:spacing w:before="0" w:after="283"/>
              <w:rPr/>
            </w:pPr>
            <w:r>
              <w:rPr/>
            </w:r>
          </w:p>
        </w:tc>
        <w:tc>
          <w:tcPr>
            <w:tcW w:w="442" w:type="dxa"/>
            <w:tcBorders/>
            <w:shd w:fill="auto" w:val="clear"/>
            <w:vAlign w:val="bottom"/>
          </w:tcPr>
          <w:p>
            <w:pPr>
              <w:pStyle w:val="TableContents"/>
              <w:spacing w:before="0" w:after="283"/>
              <w:rPr/>
            </w:pPr>
            <w:r>
              <w:rPr/>
              <w:t>  </w:t>
            </w:r>
          </w:p>
        </w:tc>
        <w:tc>
          <w:tcPr>
            <w:tcW w:w="1362"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Proposed Maximum</w:t>
              <w:br/>
              <w:t>Aggregate Offering</w:t>
              <w:br/>
              <w:t>Price (2)</w:t>
            </w:r>
          </w:p>
          <w:p>
            <w:pPr>
              <w:pStyle w:val="HorizontalLine"/>
              <w:pBdr>
                <w:bottom w:val="single" w:sz="6" w:space="0" w:color="000000"/>
              </w:pBdr>
              <w:spacing w:before="0" w:after="283"/>
              <w:rPr/>
            </w:pPr>
            <w:r>
              <w:rPr/>
            </w:r>
          </w:p>
        </w:tc>
        <w:tc>
          <w:tcPr>
            <w:tcW w:w="442" w:type="dxa"/>
            <w:tcBorders/>
            <w:shd w:fill="auto" w:val="clear"/>
            <w:vAlign w:val="bottom"/>
          </w:tcPr>
          <w:p>
            <w:pPr>
              <w:pStyle w:val="TableContents"/>
              <w:spacing w:before="0" w:after="283"/>
              <w:rPr/>
            </w:pPr>
            <w:r>
              <w:rPr/>
              <w:t>  </w:t>
            </w:r>
          </w:p>
        </w:tc>
        <w:tc>
          <w:tcPr>
            <w:tcW w:w="1070"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Amount of</w:t>
              <w:br/>
              <w:t>Registration Fee</w:t>
            </w:r>
          </w:p>
          <w:p>
            <w:pPr>
              <w:pStyle w:val="HorizontalLine"/>
              <w:pBdr>
                <w:bottom w:val="single" w:sz="6" w:space="0" w:color="000000"/>
              </w:pBdr>
              <w:spacing w:before="0" w:after="283"/>
              <w:rPr/>
            </w:pPr>
            <w:r>
              <w:rPr/>
            </w:r>
          </w:p>
        </w:tc>
      </w:tr>
      <w:tr>
        <w:trPr/>
        <w:tc>
          <w:tcPr>
            <w:tcW w:w="3769" w:type="dxa"/>
            <w:tcBorders/>
            <w:shd w:fill="CCEEFF" w:val="clear"/>
          </w:tcPr>
          <w:p>
            <w:pPr>
              <w:pStyle w:val="TableContents"/>
              <w:spacing w:before="0" w:after="283"/>
              <w:rPr>
                <w:rFonts w:ascii="Times New Roman" w:hAnsi="Times New Roman"/>
                <w:sz w:val="20"/>
              </w:rPr>
            </w:pPr>
            <w:r>
              <w:rPr>
                <w:rFonts w:ascii="Times New Roman" w:hAnsi="Times New Roman"/>
                <w:sz w:val="20"/>
              </w:rPr>
              <w:t>Common Stock, $.01 par value 25,000</w:t>
            </w:r>
          </w:p>
        </w:tc>
        <w:tc>
          <w:tcPr>
            <w:tcW w:w="442" w:type="dxa"/>
            <w:tcBorders/>
            <w:shd w:fill="CCEEFF" w:val="clear"/>
            <w:vAlign w:val="bottom"/>
          </w:tcPr>
          <w:p>
            <w:pPr>
              <w:pStyle w:val="TableContents"/>
              <w:spacing w:before="0" w:after="283"/>
              <w:rPr/>
            </w:pPr>
            <w:r>
              <w:rPr/>
              <w:t>  </w:t>
            </w:r>
          </w:p>
        </w:tc>
        <w:tc>
          <w:tcPr>
            <w:tcW w:w="9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1,000,000</w:t>
            </w:r>
          </w:p>
        </w:tc>
        <w:tc>
          <w:tcPr>
            <w:tcW w:w="442"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6.79</w:t>
            </w:r>
          </w:p>
        </w:tc>
        <w:tc>
          <w:tcPr>
            <w:tcW w:w="44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2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6,790,000.00</w:t>
            </w:r>
          </w:p>
        </w:tc>
        <w:tc>
          <w:tcPr>
            <w:tcW w:w="442"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726.53</w:t>
            </w:r>
          </w:p>
        </w:tc>
      </w:tr>
      <w:tr>
        <w:trPr/>
        <w:tc>
          <w:tcPr>
            <w:tcW w:w="3769" w:type="dxa"/>
            <w:tcBorders/>
            <w:shd w:fill="auto" w:val="clear"/>
          </w:tcPr>
          <w:p>
            <w:pPr>
              <w:pStyle w:val="TableContents"/>
              <w:spacing w:before="0" w:after="283"/>
              <w:rPr>
                <w:rFonts w:ascii="Times New Roman" w:hAnsi="Times New Roman"/>
                <w:sz w:val="20"/>
              </w:rPr>
            </w:pPr>
            <w:r>
              <w:rPr>
                <w:rFonts w:ascii="Times New Roman" w:hAnsi="Times New Roman"/>
                <w:sz w:val="20"/>
              </w:rPr>
              <w:t>Common Stock issuable upon exercise of warrants</w:t>
            </w:r>
          </w:p>
        </w:tc>
        <w:tc>
          <w:tcPr>
            <w:tcW w:w="442" w:type="dxa"/>
            <w:tcBorders/>
            <w:shd w:fill="auto" w:val="clear"/>
            <w:vAlign w:val="bottom"/>
          </w:tcPr>
          <w:p>
            <w:pPr>
              <w:pStyle w:val="TableContents"/>
              <w:spacing w:before="0" w:after="283"/>
              <w:rPr/>
            </w:pPr>
            <w:r>
              <w:rPr/>
              <w:t>  </w:t>
            </w:r>
          </w:p>
        </w:tc>
        <w:tc>
          <w:tcPr>
            <w:tcW w:w="9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1,367,334</w:t>
            </w:r>
          </w:p>
        </w:tc>
        <w:tc>
          <w:tcPr>
            <w:tcW w:w="442"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6.79</w:t>
            </w:r>
          </w:p>
        </w:tc>
        <w:tc>
          <w:tcPr>
            <w:tcW w:w="44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23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9,284,197.86</w:t>
            </w:r>
          </w:p>
        </w:tc>
        <w:tc>
          <w:tcPr>
            <w:tcW w:w="442"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993.41</w:t>
            </w:r>
          </w:p>
        </w:tc>
      </w:tr>
      <w:tr>
        <w:trPr/>
        <w:tc>
          <w:tcPr>
            <w:tcW w:w="3769" w:type="dxa"/>
            <w:tcBorders/>
            <w:shd w:fill="CCEEFF" w:val="clear"/>
          </w:tcPr>
          <w:p>
            <w:pPr>
              <w:pStyle w:val="TableContents"/>
              <w:spacing w:before="0" w:after="283"/>
              <w:rPr>
                <w:rFonts w:ascii="Times New Roman" w:hAnsi="Times New Roman"/>
                <w:sz w:val="20"/>
              </w:rPr>
            </w:pPr>
            <w:r>
              <w:rPr>
                <w:rFonts w:ascii="Times New Roman" w:hAnsi="Times New Roman"/>
                <w:sz w:val="20"/>
              </w:rPr>
              <w:t>Common Stock issuable upon exercise of options</w:t>
            </w:r>
          </w:p>
        </w:tc>
        <w:tc>
          <w:tcPr>
            <w:tcW w:w="442" w:type="dxa"/>
            <w:tcBorders/>
            <w:shd w:fill="CCEEFF" w:val="clear"/>
            <w:vAlign w:val="bottom"/>
          </w:tcPr>
          <w:p>
            <w:pPr>
              <w:pStyle w:val="TableContents"/>
              <w:spacing w:before="0" w:after="283"/>
              <w:rPr/>
            </w:pPr>
            <w:r>
              <w:rPr/>
              <w:t>  </w:t>
            </w:r>
          </w:p>
        </w:tc>
        <w:tc>
          <w:tcPr>
            <w:tcW w:w="9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25,000</w:t>
            </w:r>
          </w:p>
        </w:tc>
        <w:tc>
          <w:tcPr>
            <w:tcW w:w="442"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6.79</w:t>
            </w:r>
          </w:p>
        </w:tc>
        <w:tc>
          <w:tcPr>
            <w:tcW w:w="44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2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169,750.00</w:t>
            </w:r>
          </w:p>
        </w:tc>
        <w:tc>
          <w:tcPr>
            <w:tcW w:w="442"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18.16</w:t>
            </w:r>
          </w:p>
        </w:tc>
      </w:tr>
      <w:tr>
        <w:trPr/>
        <w:tc>
          <w:tcPr>
            <w:tcW w:w="3769" w:type="dxa"/>
            <w:tcBorders/>
            <w:shd w:fill="auto" w:val="clear"/>
          </w:tcPr>
          <w:p>
            <w:pPr>
              <w:pStyle w:val="TableContents"/>
              <w:spacing w:before="0" w:after="283"/>
              <w:rPr>
                <w:rFonts w:ascii="Times New Roman" w:hAnsi="Times New Roman"/>
                <w:sz w:val="20"/>
              </w:rPr>
            </w:pPr>
            <w:r>
              <w:rPr>
                <w:rFonts w:ascii="Times New Roman" w:hAnsi="Times New Roman"/>
                <w:sz w:val="20"/>
              </w:rPr>
              <w:t>Total Registration Fee</w:t>
            </w:r>
          </w:p>
        </w:tc>
        <w:tc>
          <w:tcPr>
            <w:tcW w:w="442" w:type="dxa"/>
            <w:tcBorders/>
            <w:shd w:fill="auto" w:val="clear"/>
            <w:vAlign w:val="bottom"/>
          </w:tcPr>
          <w:p>
            <w:pPr>
              <w:pStyle w:val="TableContents"/>
              <w:spacing w:before="0" w:after="283"/>
              <w:rPr/>
            </w:pPr>
            <w:r>
              <w:rPr/>
              <w:t>  </w:t>
            </w:r>
          </w:p>
        </w:tc>
        <w:tc>
          <w:tcPr>
            <w:tcW w:w="915" w:type="dxa"/>
            <w:tcBorders/>
            <w:shd w:fill="auto" w:val="clear"/>
            <w:vAlign w:val="bottom"/>
          </w:tcPr>
          <w:p>
            <w:pPr>
              <w:pStyle w:val="TableContents"/>
              <w:spacing w:before="0" w:after="283"/>
              <w:rPr/>
            </w:pPr>
            <w:r>
              <w:rPr/>
              <w:t> </w:t>
            </w:r>
          </w:p>
        </w:tc>
        <w:tc>
          <w:tcPr>
            <w:tcW w:w="442"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023" w:type="dxa"/>
            <w:tcBorders/>
            <w:shd w:fill="auto" w:val="clear"/>
            <w:vAlign w:val="bottom"/>
          </w:tcPr>
          <w:p>
            <w:pPr>
              <w:pStyle w:val="TableContents"/>
              <w:spacing w:before="0" w:after="283"/>
              <w:rPr/>
            </w:pPr>
            <w:r>
              <w:rPr/>
              <w:t> </w:t>
            </w:r>
          </w:p>
        </w:tc>
        <w:tc>
          <w:tcPr>
            <w:tcW w:w="44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237" w:type="dxa"/>
            <w:tcBorders/>
            <w:shd w:fill="auto" w:val="clear"/>
            <w:vAlign w:val="bottom"/>
          </w:tcPr>
          <w:p>
            <w:pPr>
              <w:pStyle w:val="TableContents"/>
              <w:spacing w:before="0" w:after="283"/>
              <w:rPr/>
            </w:pPr>
            <w:r>
              <w:rPr/>
              <w:t> </w:t>
            </w:r>
          </w:p>
        </w:tc>
        <w:tc>
          <w:tcPr>
            <w:tcW w:w="442"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1,738.10</w:t>
            </w:r>
          </w:p>
        </w:tc>
      </w:tr>
    </w:tbl>
    <w:p>
      <w:pPr>
        <w:pStyle w:val="HorizontalLine"/>
        <w:pBdr>
          <w:bottom w:val="single" w:sz="6" w:space="0" w:color="000000"/>
        </w:pBdr>
        <w:ind w:left="0" w:right="9389" w:hanging="0"/>
        <w:rPr/>
      </w:pPr>
      <w:r>
        <w:rPr/>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Pursuant to Rule 416 under the Securities Act, such number of common stock registered hereby shall include an indeterminate number of shares of common stock that may be issued in connection with a stock split, stock dividend, recapitalization or similar event.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Estimated solely for purposes of calculating the registration fee pursuant to Rule 457(c) under the Securities Act, by taking the average of the high and low prices of the registrants common stock as reported on December 8, 2005 on the Nasdaq Capital Market.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This Prospectus is not an offer to sell these securities and is not soliciting an offer to buy these securities in any state where the offer or sale is not permitted. </w:t>
      </w:r>
      <w:r>
        <w:br w:type="page"/>
      </w:r>
    </w:p>
    <w:p>
      <w:pPr>
        <w:pStyle w:val="HorizontalLine"/>
        <w:pBdr>
          <w:bottom w:val="double" w:sz="6" w:space="0" w:color="999999"/>
        </w:pBdr>
        <w:rPr/>
      </w:pPr>
      <w:r>
        <w:rPr/>
      </w:r>
    </w:p>
    <w:p>
      <w:pPr>
        <w:pStyle w:val="TextBody"/>
        <w:spacing w:before="0" w:after="0"/>
        <w:jc w:val="center"/>
        <w:rPr>
          <w:rFonts w:ascii="Times New Roman" w:hAnsi="Times New Roman"/>
          <w:sz w:val="20"/>
        </w:rPr>
      </w:pPr>
      <w:r>
        <w:rPr>
          <w:rFonts w:ascii="Times New Roman" w:hAnsi="Times New Roman"/>
          <w:sz w:val="20"/>
        </w:rPr>
        <w:t xml:space="preserve">SUBJECT TO COMPLETION, DATED DECEMBER 13, 2005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Common Stock </w:t>
      </w:r>
    </w:p>
    <w:p>
      <w:pPr>
        <w:pStyle w:val="TextBody"/>
        <w:spacing w:before="0" w:after="0"/>
        <w:jc w:val="center"/>
        <w:rPr>
          <w:rFonts w:ascii="Times New Roman" w:hAnsi="Times New Roman"/>
          <w:sz w:val="20"/>
        </w:rPr>
      </w:pPr>
      <w:r>
        <w:rPr>
          <w:rFonts w:ascii="Times New Roman" w:hAnsi="Times New Roman"/>
          <w:sz w:val="20"/>
        </w:rPr>
        <w:t xml:space="preserve">2,392,334 Shares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CECO ENVIRONMENTAL CORP.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This Prospectus relates to the sale of up to 2,392,334 shares of our common stock that may be offered for sale or otherwise transferred from time to time by one or more of the selling shareholders identified in this Prospectus. We are registering 1,000,000 shares of common stock and 1,392,334 shares of common stock issuable upon exercise of warrants or options of CECO Environmental Corp. (CECO or the Company). The prices at which the stockholders may sell the shares will be determined by the prevailing market price for the shares or in negotiated transactions. We will not receive any of the proceeds from the sale of shares by the selling stockholders. Our common stock is traded on the Nasdaq SmallCap Market under the symbol CECE. The closing sale price of the common stock on November 30, 2005 on the Nasdaq was $5.21 per share.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Information contained in this prospectus is not complete and may be changed. The selling shareholders cannot sell their common stock until the registration statement filed with the Securities and Exchange Commission becomes effective. This prospectus is not an offer to sell the securities and it is not soliciting an offer to buy the securities in any State where the offer or sale is not permitted. </w:t>
      </w:r>
    </w:p>
    <w:p>
      <w:pPr>
        <w:pStyle w:val="TextBody"/>
        <w:spacing w:before="0" w:after="0"/>
        <w:rPr/>
      </w:pPr>
      <w:r>
        <w:rPr/>
        <w:t> </w:t>
      </w:r>
    </w:p>
    <w:p>
      <w:pPr>
        <w:pStyle w:val="HorizontalLine"/>
        <w:pBdr>
          <w:bottom w:val="single" w:sz="6" w:space="0" w:color="000000"/>
        </w:pBdr>
        <w:ind w:left="4235" w:right="4235" w:hanging="0"/>
        <w:rPr/>
      </w:pPr>
      <w:r>
        <w:rPr/>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THIS INVESTMENT INVOLVES A HIGH DEGREE OF RISK. THE SHARES SHOULD ONLY BE PURCHASED BY PERSONS WHO CAN AFFORD A COMPLETE LOSS. SEE RISK FACTORS, BEGINNING ON PAGE 3.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The date of this Prospectus is December 13, 2005.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OVERVIEW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CECO was incorporated in New York State in 1966 and reincorporated in Delaware in January 2002. We operate as a provider of air pollution control products and services. We market our products and services under the following trade names: Kirk &amp; Blum, kbd/Technic, CECO Filters, Busch International, CECO Abatement Systems, and K&amp;B Duct. </w:t>
      </w:r>
    </w:p>
    <w:p>
      <w:pPr>
        <w:pStyle w:val="TextBody"/>
        <w:spacing w:before="0" w:after="0"/>
        <w:rPr/>
      </w:pPr>
      <w:r>
        <w:rPr/>
        <w:t> </w:t>
      </w:r>
    </w:p>
    <w:p>
      <w:pPr>
        <w:pStyle w:val="TextBody"/>
        <w:spacing w:before="0" w:after="0"/>
        <w:rPr>
          <w:rFonts w:ascii="Times New Roman" w:hAnsi="Times New Roman"/>
          <w:sz w:val="20"/>
          <w:u w:val="single"/>
        </w:rPr>
      </w:pPr>
      <w:r>
        <w:rPr>
          <w:rFonts w:ascii="Times New Roman" w:hAnsi="Times New Roman"/>
          <w:sz w:val="20"/>
          <w:u w:val="single"/>
        </w:rPr>
        <w:t xml:space="preserve">The Offering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issued 1,000,000 of the shares of common stock described in this Prospectus to certain of the selling stockholders upon the exercise of warrants. These warrants had been acquired from us on December 7, 1999 in a private transaction and are considered restricted securities under the Securities Act of 1933 (the Securities Act). In December 2001, we received gross proceeds of $2,250,000 from the exercise of these warrants.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On November 7, 1996, we issued warrants (the 750,000 Warrants) to purchase 750,000 shares of common stock to our CEO, Phillip DeZwirek. These 750,000 Warrants have an exercise price of $1.75 per share. We also issued to Mr. Phillip DeZwirek on September 14, 1998, warrants to purchase 250,000 shares of our common stock, at a purchase price of $1.625 per share (the 250,000 Warrants, and together with the 750,000 Warrants, the DeZwirek Warrants). All of the shares underlying the DeZwirek Warrants are included in this Prospectus.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On December 31, 2001, we completed the sale of 706,668 shares of our common stock, at a price of $3.00 per share, and the issuance of warrants (Investor Warrants) to purchase 353,334 shares of our common stock at an initial exercise price of $3.60 per share, to a group of accredited investors led by Crestview Capital Fund L.P., a Chicago-based private investment fund (the Investors). As a finders fee pursuant to an agreement with The Shemano Group, we also issued warrants to purchase 14,000 shares of our common stock at an initial exercise price of $3.60 (such warrants collectively with the Investor Warrants, the Warrants) to five of the selling shareholders. All of the shares underlying the Warrants are included in this Prospectus. More information on the selling stockholders is provided in the section entitled Selling Stockholders.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issued options (the Options) to purchase 25,000 shares of our common stock to Jason DeZwirek, at a price of $2.01 per share, on April 5, 2002. All of the shares underlying the Options are included in this Prospectus. The Options were issued to Mr. Jason DeZwirek as compensation for his services to the Company.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offering price of the shares will be determined at the time of sale by the selling shareholders. As of November 30, 2005, there were 9,993,260 shares outstanding, excluding the 1,392,334 shares that may be purchased by exercise of the Warrants, Options and DeZwirek Warrants. We will not receive any of the proceeds from the shares offered by the selling shareholders. We intend to use the proceeds from the exercise of the Warrants and DeZwirek Warrants, if exercised, held by certain selling shareholders for working capital purposes.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The selling stockholders may sell the shares in public or private transactions, on or off the Nasdaq market, at prevailing market prices, or at privately negotiated prices. The selling stockholders may sell shares directly to purchasers or through brokers or dealers. Brokers or dealers may receive compensation in the form of discounts, concessions or commissions from the selling stockholders. The selling stockholders may be deemed to be underwriters within the meaning of the Securities Act. Any commissions received by a broker or dealer in connection with resales of the shares may be deemed to be underwriting commissions or discounts under the Securities Act. More information is provided in the section entitled Plan of Distribution.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This Prospectus registers the shares of common stock under the Securities Act and allows for future sales by the selling stockholders to the public without restriction. We have agreed to pay for the preparation and filing of the registration statement and this Prospectus.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principal office of CECO is 3120 Forrer Street, Cincinnati, Ohio 45209, telephone number (513) 458-2600.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RISK FACTORS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An investment in the shares being offered hereby involves a high degree of risk. In deciding whether to purchase shares of our common stock, you should carefully consider the following risk factors. INVESTING IN THESE SHARES IS SPECULATIVE AND INVOLVES A HIGH DEGREE OF RISK. THE SHARES SHOULD NOT BE PURCHASED BY ANYONE WHO CANNOT AFFORD THE LOSS OF THEIR ENTIRE INVESTMENT.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addition to the other information on this Prospectus, the factors listed below should be considered in evaluating our business and prospects. This Prospectus contains a number of forward-looking statements that reflect our current views with respect to future events and financial performance. These forward-looking statements are subject to certain risks and uncertainties, including those discussed below and elsewhere herein, that could cause actual results to differ materially from historical results or those anticipated. In this report, the words anticipates, believes, expects, intends, future and similar expressions identify forward-looking statements. Readers are cautioned to consider the specific factors described below and not to place undue reliance on the forward-looking statements contained herein, which speak only as of the date of this Prospectus. We assume no obligation to publicly update any forward-looking statements. </w:t>
      </w:r>
    </w:p>
    <w:p>
      <w:pPr>
        <w:pStyle w:val="TextBody"/>
        <w:spacing w:before="0" w:after="0"/>
        <w:rPr/>
      </w:pPr>
      <w:r>
        <w:rPr/>
        <w:t> </w:t>
      </w:r>
    </w:p>
    <w:p>
      <w:pPr>
        <w:pStyle w:val="TextBody"/>
        <w:spacing w:before="0" w:after="0"/>
        <w:rPr>
          <w:rFonts w:ascii="Times New Roman" w:hAnsi="Times New Roman"/>
          <w:sz w:val="20"/>
          <w:u w:val="single"/>
        </w:rPr>
      </w:pPr>
      <w:r>
        <w:rPr>
          <w:rFonts w:ascii="Times New Roman" w:hAnsi="Times New Roman"/>
          <w:sz w:val="20"/>
          <w:u w:val="single"/>
        </w:rPr>
        <w:t xml:space="preserve">Operating at a Loss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have incurred net losses for our past 3 fiscal years. There are no assurances that we will achieve or sustain profitability.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u w:val="single"/>
        </w:rPr>
        <w:t>Competition</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industries in which we compete are all highly competitive. We compete against a number of local, regional and national contractors and manufacturers in each of our product lines, many of which have been in existence longer than us and some of which have substantially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greater financial resources than we do. We believe that any competition from new entrants that are large corporations may be able to compete with the Company on the basis of price and as a result may have a material adverse affect on the results of our operations. In addition, there can be no assurance that other companies will not develop new or enhanced products that are either more effective than ours or would render our products non-competitive or obsolete. </w:t>
      </w:r>
    </w:p>
    <w:p>
      <w:pPr>
        <w:pStyle w:val="TextBody"/>
        <w:spacing w:before="0" w:after="0"/>
        <w:rPr/>
      </w:pPr>
      <w:r>
        <w:rPr/>
        <w:t> </w:t>
      </w:r>
    </w:p>
    <w:p>
      <w:pPr>
        <w:pStyle w:val="TextBody"/>
        <w:spacing w:before="0" w:after="0"/>
        <w:rPr>
          <w:rFonts w:ascii="Times New Roman" w:hAnsi="Times New Roman"/>
          <w:sz w:val="20"/>
          <w:u w:val="single"/>
        </w:rPr>
      </w:pPr>
      <w:r>
        <w:rPr>
          <w:rFonts w:ascii="Times New Roman" w:hAnsi="Times New Roman"/>
          <w:sz w:val="20"/>
          <w:u w:val="single"/>
        </w:rPr>
        <w:t xml:space="preserve">Dependence On Key Personnel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are highly dependent on the experience of our management in the continuing development of our operations. The loss of the services of certain of these individuals, particularly Richard J. Blum, President of CECO, would have a material adverse effect on our business. Our future success will depend in part on our ability to attract and retain qualified personnel to manage our development and future growth. There can be no assurance that it will be successful in attracting and retaining such personnel. The failure to recruit additional key personnel could have a material adverse effect on our business, financial condition and results of operations.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u w:val="single"/>
        </w:rPr>
        <w:t>Continued Control By Management</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As of the date of this Prospectus, management of CECO beneficially owns approximately 56% of the Companys outstanding common stock, assuming the exercise of currently exercisable warrants and options held by management. CECOs stockholders do not have the right to cumulative voting in the election of directors. Accordingly, present stockholders will be in a position to exert control over our business and operations, including the election of directors of CECO. </w:t>
      </w:r>
    </w:p>
    <w:p>
      <w:pPr>
        <w:pStyle w:val="TextBody"/>
        <w:spacing w:before="0" w:after="0"/>
        <w:rPr/>
      </w:pPr>
      <w:r>
        <w:rPr/>
        <w:t> </w:t>
      </w:r>
    </w:p>
    <w:p>
      <w:pPr>
        <w:pStyle w:val="TextBody"/>
        <w:spacing w:before="0" w:after="0"/>
        <w:rPr>
          <w:rFonts w:ascii="Times New Roman" w:hAnsi="Times New Roman"/>
          <w:sz w:val="20"/>
          <w:u w:val="single"/>
        </w:rPr>
      </w:pPr>
      <w:r>
        <w:rPr>
          <w:rFonts w:ascii="Times New Roman" w:hAnsi="Times New Roman"/>
          <w:sz w:val="20"/>
          <w:u w:val="single"/>
        </w:rPr>
        <w:t xml:space="preserve">Dependence Upon Third-Party Suppliers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Although we are not dependent on any one supplier, we are dependent on the ability of our third-party suppliers to supply our raw materials, as well as certain specific component parts. We purchase all of our chemical grade fiberglass from one domestic supplier, which we believe is the only domestic supplier of such fiberglass, and certain specialty items from only two domestic suppliers. These items also can be purchased from foreign suppliers. Failure by our third-party suppliers to meet our requirements could have a material adverse effect on us. There can be no assurance that our third-party suppliers will dedicate sufficient resources to meet our scheduled delivery requirements or that our suppliers will have sufficient resources to satisfy our requirements during any period of sustained demand. Failure of manufacturers or suppliers to supply, or delays in supplying, our raw materials or certain components, or allocations in the supply of certain high demand raw components could materially adversely affect our operations and ability to meet our own delivery schedules on a timely and competitive basis. </w:t>
      </w:r>
    </w:p>
    <w:p>
      <w:pPr>
        <w:pStyle w:val="TextBody"/>
        <w:spacing w:before="0" w:after="0"/>
        <w:rPr/>
      </w:pPr>
      <w:r>
        <w:rPr/>
        <w:t> </w:t>
      </w:r>
    </w:p>
    <w:p>
      <w:pPr>
        <w:pStyle w:val="TextBody"/>
        <w:spacing w:before="0" w:after="0"/>
        <w:rPr>
          <w:rFonts w:ascii="Times New Roman" w:hAnsi="Times New Roman"/>
          <w:sz w:val="20"/>
          <w:u w:val="single"/>
        </w:rPr>
      </w:pPr>
      <w:r>
        <w:rPr>
          <w:rFonts w:ascii="Times New Roman" w:hAnsi="Times New Roman"/>
          <w:sz w:val="20"/>
          <w:u w:val="single"/>
        </w:rPr>
        <w:t xml:space="preserve">Patents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hold various patents and licenses relating to certain of our products. There can be no assurance as to the breadth or degree of protection that existing or future patents, if any, may afford us, that our patents will be upheld, if challenged, or that competitors will not develop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similar or superior methods or products outside the protection of any patent issued to us. Although we believe that our products do not and will not infringe patents or violate the proprietary rights of others, it is possible that our existing patent rights may not be valid or that infringement of existing or future patents or proprietary rights may occur. In the event our products infringe patents or proprietary rights of others, we may be required to modify the design of our products or obtain a license for certain technology. There can be no assurance that we will be able to do so in a timely manner, upon acceptable terms and conditions, or at all. Failure to do any of the foregoing could have a material adverse effect upon our business. In addition, there can be no assurance that we will have the financial or other resources necessary to enforce or defend a patent infringement or proprietary rights violations action which may be brought against us. Moreover, if our products infringe patents or proprietary rights of others, we could, under certain circumstances, become liable for damages, which also could have a material adverse effect on our operations and cash flow. </w:t>
      </w:r>
    </w:p>
    <w:p>
      <w:pPr>
        <w:pStyle w:val="TextBody"/>
        <w:spacing w:before="0" w:after="0"/>
        <w:rPr/>
      </w:pPr>
      <w:r>
        <w:rPr/>
        <w:t> </w:t>
      </w:r>
    </w:p>
    <w:p>
      <w:pPr>
        <w:pStyle w:val="TextBody"/>
        <w:spacing w:before="0" w:after="0"/>
        <w:rPr>
          <w:rFonts w:ascii="Times New Roman" w:hAnsi="Times New Roman"/>
          <w:sz w:val="20"/>
          <w:u w:val="single"/>
        </w:rPr>
      </w:pPr>
      <w:r>
        <w:rPr>
          <w:rFonts w:ascii="Times New Roman" w:hAnsi="Times New Roman"/>
          <w:sz w:val="20"/>
          <w:u w:val="single"/>
        </w:rPr>
        <w:t xml:space="preserve">New Product Development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air pollution control and filtration industry is characterized by ongoing technological developments and changing customer requirements. As a result, our success and continued growth depend, in part, on our ability in a timely manner to develop or acquire rights to, and successfully introduce into the marketplace, enhancements of existing products or new products that incorporate technological advances, meet customer requirements and respond to products developed by our competition. There can be no assurance that we will be successful in developing or acquiring such rights to products on a timely basis or that such products will adequately address the changing needs of the marketplace. </w:t>
      </w:r>
    </w:p>
    <w:p>
      <w:pPr>
        <w:pStyle w:val="TextBody"/>
        <w:spacing w:before="0" w:after="0"/>
        <w:rPr/>
      </w:pPr>
      <w:r>
        <w:rPr/>
        <w:t> </w:t>
      </w:r>
    </w:p>
    <w:p>
      <w:pPr>
        <w:pStyle w:val="TextBody"/>
        <w:spacing w:before="0" w:after="0"/>
        <w:rPr>
          <w:rFonts w:ascii="Times New Roman" w:hAnsi="Times New Roman"/>
          <w:sz w:val="20"/>
          <w:u w:val="single"/>
        </w:rPr>
      </w:pPr>
      <w:r>
        <w:rPr>
          <w:rFonts w:ascii="Times New Roman" w:hAnsi="Times New Roman"/>
          <w:sz w:val="20"/>
          <w:u w:val="single"/>
        </w:rPr>
        <w:t xml:space="preserve">Technological And Regulatory Change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air pollution control and filtration industry is characterized by changing technology, competitively imposed process standards and regulatory requirements, each of which influences the demand for our products and services. Changes in legislative, regulatory or industrial requirements may render certain of our filtration products and processes obsolete. Acceptance of new products may also be affected by the adoption of new government regulations requiring stricter standards. Our ability to anticipate changes in technology and regulatory standards and to develop and introduce new and enhanced products successfully on a timely basis will be a significant factor in our ability to grow and to remain competitive. There can be no assurance that we will be able to achieve the technological advances that may be necessary for us to remain competitive or that certain of our products will not become obsolete. </w:t>
      </w:r>
    </w:p>
    <w:p>
      <w:pPr>
        <w:pStyle w:val="TextBody"/>
        <w:spacing w:before="0" w:after="0"/>
        <w:rPr/>
      </w:pPr>
      <w:r>
        <w:rPr/>
        <w:t> </w:t>
      </w:r>
    </w:p>
    <w:p>
      <w:pPr>
        <w:pStyle w:val="TextBody"/>
        <w:spacing w:before="0" w:after="0"/>
        <w:rPr>
          <w:rFonts w:ascii="Times New Roman" w:hAnsi="Times New Roman"/>
          <w:sz w:val="20"/>
          <w:u w:val="single"/>
        </w:rPr>
      </w:pPr>
      <w:r>
        <w:rPr>
          <w:rFonts w:ascii="Times New Roman" w:hAnsi="Times New Roman"/>
          <w:sz w:val="20"/>
          <w:u w:val="single"/>
        </w:rPr>
        <w:t xml:space="preserve">Leverage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are highly leveraged. CECO currently has loan facilities, including a term loan and line of credit, with Fifth Third Bank. The terms of such loan facilities have been revised through fifteen separate amendments in order to alter some of the financial covenants made by us to prevent CECO from being in default of such covenants.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Our cash interest costs relate primarily to our revolving credit line and term loans; interest payments on the subordinated debt are not permitted under the credit agreement. Our loans are secured by substantially all of our assets and our ability to borrow additional amounts on a secured basis would be limited. On December 31, 2004, the principal balance of the notes owed to Green Diamond was increased for the unpaid accrued interest. The principal balance for the $4,000,000 subordinated note was increased by the accrued interest of $1,441,000 to $5,441,000 and the principal balance for the $1,200,000 subordinated note was increased by $90,000 to $1,290,000 and the maturity date was extended to January 1, 2007. The remaining interest accrued on these subordinated notes was $372,352 at December 31, 2004 and $1,218,000 at December 31, 2003. Such interest will be paid in the future upon agreement with the financial institution. Interest is charged on the revolving credit line at the banks prime rate plus 5 percentage points. A 1% increase in the average interest rate would increase cash interest cost by approximately $60,000 if borrowings remain constant in 2005. There are no scheduled increases in the fixed or variable rates on the credit facility, however; an increase or decrease in the prime rate would cause the Companys future interest expense and cash flows to increase or decrease proportionately. </w:t>
      </w:r>
    </w:p>
    <w:p>
      <w:pPr>
        <w:pStyle w:val="TextBody"/>
        <w:spacing w:before="0" w:after="0"/>
        <w:rPr/>
      </w:pPr>
      <w:r>
        <w:rPr/>
        <w:t> </w:t>
      </w:r>
    </w:p>
    <w:p>
      <w:pPr>
        <w:pStyle w:val="TextBody"/>
        <w:spacing w:before="0" w:after="0"/>
        <w:rPr>
          <w:rFonts w:ascii="Times New Roman" w:hAnsi="Times New Roman"/>
          <w:sz w:val="20"/>
          <w:u w:val="single"/>
        </w:rPr>
      </w:pPr>
      <w:r>
        <w:rPr>
          <w:rFonts w:ascii="Times New Roman" w:hAnsi="Times New Roman"/>
          <w:sz w:val="20"/>
          <w:u w:val="single"/>
        </w:rPr>
        <w:t xml:space="preserve">Our Financial Performance Is Sensitive To Changes In Overall Economic Conditions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 general slowdown in the United States economy may adversely affect the spending of our customers, which would likely result in lower net sales than expected on a quarterly or annual basis. Future economic conditions, such as business conditions, fuel and energy costs, interest rates, and tax rates, could also adversely affect our business by reducing customer spending. </w:t>
      </w:r>
    </w:p>
    <w:p>
      <w:pPr>
        <w:pStyle w:val="TextBody"/>
        <w:spacing w:before="0" w:after="0"/>
        <w:rPr/>
      </w:pPr>
      <w:r>
        <w:rPr/>
        <w:t> </w:t>
      </w:r>
    </w:p>
    <w:p>
      <w:pPr>
        <w:pStyle w:val="TextBody"/>
        <w:spacing w:before="0" w:after="0"/>
        <w:rPr>
          <w:rFonts w:ascii="Times New Roman" w:hAnsi="Times New Roman"/>
          <w:sz w:val="20"/>
          <w:u w:val="single"/>
        </w:rPr>
      </w:pPr>
      <w:r>
        <w:rPr>
          <w:rFonts w:ascii="Times New Roman" w:hAnsi="Times New Roman"/>
          <w:sz w:val="20"/>
          <w:u w:val="single"/>
        </w:rPr>
        <w:t xml:space="preserve">We May Need To Obtain Additional Financing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Management believes that with cash on hand and proceeds from expected sales that it has sufficient proceeds to meet cash requirements for the next twelve months.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However, we may need to raise additional funds to: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Finance unanticipated working capital requirements;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204"/>
        <w:gridCol w:w="101"/>
        <w:gridCol w:w="9492"/>
      </w:tblGrid>
      <w:tr>
        <w:trPr/>
        <w:tc>
          <w:tcPr>
            <w:tcW w:w="40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Pay for increased operating expenses or shortfalls in anticipated revenues;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204"/>
        <w:gridCol w:w="102"/>
        <w:gridCol w:w="9491"/>
      </w:tblGrid>
      <w:tr>
        <w:trPr/>
        <w:tc>
          <w:tcPr>
            <w:tcW w:w="40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Fund increases in research and related expenditures;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Develop new technology, products or services;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203"/>
        <w:gridCol w:w="102"/>
        <w:gridCol w:w="9492"/>
      </w:tblGrid>
      <w:tr>
        <w:trPr/>
        <w:tc>
          <w:tcPr>
            <w:tcW w:w="4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Acquire rights to new products;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Respond to competitive pressures;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Support strategic and industry relationships.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There is no assurance that additional financing will be available on terms acceptable to us, or at all. If adequate funds are not available to us then we may not be able to continue operations or take advantage of opportunities, or we may have to downsize our operations. If CECO raises additional equity funds, the percentage ownership of our stockholders will be reduced. </w:t>
      </w:r>
    </w:p>
    <w:p>
      <w:pPr>
        <w:pStyle w:val="TextBody"/>
        <w:spacing w:before="0" w:after="0"/>
        <w:rPr/>
      </w:pPr>
      <w:r>
        <w:rPr/>
        <w:t> </w:t>
      </w:r>
    </w:p>
    <w:p>
      <w:pPr>
        <w:pStyle w:val="TextBody"/>
        <w:spacing w:before="0" w:after="0"/>
        <w:rPr>
          <w:rFonts w:ascii="Times New Roman" w:hAnsi="Times New Roman"/>
          <w:sz w:val="20"/>
          <w:u w:val="single"/>
        </w:rPr>
      </w:pPr>
      <w:r>
        <w:rPr>
          <w:rFonts w:ascii="Times New Roman" w:hAnsi="Times New Roman"/>
          <w:sz w:val="20"/>
          <w:u w:val="single"/>
        </w:rPr>
        <w:t xml:space="preserve">Future Sales By Our Stockholders May Adversely Affect Our Stock Price And Our Ability To Raise Funds In New Stock Offerings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selling stockholders intend to sell in the public market the shares of common stock being registered in this offering. Such sales may cause our stock price to decline. Sales may also make it more difficult for us to sell equity securities or equity-related securities in the future at a time and price that our management deems acceptable or at all. In addition to the DeZwirek Warrants, Phillip DeZwirek has warrants to purchase 1,250,000 shares of CECO common stock, which shares we are obligated to register upon demand. Should Mr. DeZwirek elect to sell such shares, such sales may cause our stock price to decline. </w:t>
      </w:r>
    </w:p>
    <w:p>
      <w:pPr>
        <w:pStyle w:val="TextBody"/>
        <w:spacing w:before="0" w:after="0"/>
        <w:rPr/>
      </w:pPr>
      <w:r>
        <w:rPr/>
        <w:t> </w:t>
      </w:r>
    </w:p>
    <w:p>
      <w:pPr>
        <w:pStyle w:val="TextBody"/>
        <w:spacing w:before="0" w:after="0"/>
        <w:rPr>
          <w:rFonts w:ascii="Times New Roman" w:hAnsi="Times New Roman"/>
          <w:sz w:val="20"/>
          <w:u w:val="single"/>
        </w:rPr>
      </w:pPr>
      <w:r>
        <w:rPr>
          <w:rFonts w:ascii="Times New Roman" w:hAnsi="Times New Roman"/>
          <w:sz w:val="20"/>
          <w:u w:val="single"/>
        </w:rPr>
        <w:t xml:space="preserve">Our Financial Performance Is Sensitive to Changes in Overall Economic Conditions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 general slowdown in the United States economy may adversely affect the spending of our customers, which would likely result in lower net sales than expected on a quarterly or annual basis. Future economic conditions, such as business conditions, fuel and energy costs, interest rates, and tax rates, could also adversely affect our business by reducing customer spending. </w:t>
      </w:r>
    </w:p>
    <w:p>
      <w:pPr>
        <w:pStyle w:val="TextBody"/>
        <w:spacing w:before="0" w:after="0"/>
        <w:rPr/>
      </w:pPr>
      <w:r>
        <w:rPr/>
        <w:t> </w:t>
      </w:r>
    </w:p>
    <w:p>
      <w:pPr>
        <w:pStyle w:val="TextBody"/>
        <w:spacing w:before="0" w:after="0"/>
        <w:rPr>
          <w:rFonts w:ascii="Times New Roman" w:hAnsi="Times New Roman"/>
          <w:sz w:val="20"/>
          <w:u w:val="single"/>
        </w:rPr>
      </w:pPr>
      <w:r>
        <w:rPr>
          <w:rFonts w:ascii="Times New Roman" w:hAnsi="Times New Roman"/>
          <w:sz w:val="20"/>
          <w:u w:val="single"/>
        </w:rPr>
        <w:t xml:space="preserve">International War and Possibility of Acts of Terrorism Could Adversely Impact Us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involvement of the United States in the conflict in the Middle East or elsewhere or a significant act of terrorism on U.S. soil or elsewhere could have an adverse impact on us by, among other things, disrupting our information or distribution systems, causing dramatic increases in fuel prices thereby increasing the costs of doing business, or impeding the flow of imports or domestic products to us. </w:t>
      </w:r>
    </w:p>
    <w:p>
      <w:pPr>
        <w:pStyle w:val="TextBody"/>
        <w:spacing w:before="0" w:after="0"/>
        <w:rPr/>
      </w:pPr>
      <w:r>
        <w:rPr/>
        <w:t> </w:t>
      </w:r>
    </w:p>
    <w:p>
      <w:pPr>
        <w:pStyle w:val="TextBody"/>
        <w:spacing w:before="0" w:after="0"/>
        <w:rPr>
          <w:rFonts w:ascii="Times New Roman" w:hAnsi="Times New Roman"/>
          <w:sz w:val="20"/>
          <w:u w:val="single"/>
        </w:rPr>
      </w:pPr>
      <w:r>
        <w:rPr>
          <w:rFonts w:ascii="Times New Roman" w:hAnsi="Times New Roman"/>
          <w:sz w:val="20"/>
          <w:u w:val="single"/>
        </w:rPr>
        <w:t xml:space="preserve">Risks Related to This Offering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 large number of shares of our common stock will become available for sale in the future, which may adversely affect the market price of our common stock.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market price of our common stock could decline as a result of sales of a large number of shares in the market after this offering or the perception that these sales could occur. These factors also could make it more difficult for us to raise funds through future offerings of our common stock.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As of the date of this Prospectus, there are 9,993,260 shares of common stock outstanding, all of which will be freely transferable without restriction or further registration under the Securities Act.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Phillip DeZwirek, holder of warrants to purchase 1,250,000 shares of common stock, in addition to the 1,000,000 shares being registered hereunder with respect to the DeZwirek Warrants, has registration rights with respect to all of such 1,250,000 shares. If those registration rights are exercised, shares covered by a registration statement can be sold in the public market. Additionally, shares issued upon exercise of stock options issued under our stock option plan will be eligible for resale in the public market without restriction, which could adversely affect our stock price. Shares issued upon the exercise of other options and warrants could also occur, subject to limitations under Rule 144 of the Securities Act.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market price of our common stock is highly volatile and may decline. Factors that could cause fluctuation in our stock price may include, among other things: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204"/>
        <w:gridCol w:w="101"/>
        <w:gridCol w:w="9492"/>
      </w:tblGrid>
      <w:tr>
        <w:trPr/>
        <w:tc>
          <w:tcPr>
            <w:tcW w:w="40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actual or anticipated variations in quarterly operating results;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 economic downturn in the manufacturing sector;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announcements or cancellations of orders;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changes in financial estimates by securities analysts;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203"/>
        <w:gridCol w:w="101"/>
        <w:gridCol w:w="9493"/>
      </w:tblGrid>
      <w:tr>
        <w:trPr/>
        <w:tc>
          <w:tcPr>
            <w:tcW w:w="4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conditions or trends in our industry;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203"/>
        <w:gridCol w:w="101"/>
        <w:gridCol w:w="9493"/>
      </w:tblGrid>
      <w:tr>
        <w:trPr/>
        <w:tc>
          <w:tcPr>
            <w:tcW w:w="4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changes in the market valuations of other companies in our industry;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204"/>
        <w:gridCol w:w="102"/>
        <w:gridCol w:w="9491"/>
      </w:tblGrid>
      <w:tr>
        <w:trPr/>
        <w:tc>
          <w:tcPr>
            <w:tcW w:w="40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effectiveness and commercial viability of products offered by us or our competitors;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results of our research and development;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announcements by us or our competitors of technological innovations, new products, significant acquisitions, strategic partnerships, divestitures, joint ventures or other strategic initiatives;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additions or departures of key personnel;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203"/>
        <w:gridCol w:w="102"/>
        <w:gridCol w:w="9492"/>
      </w:tblGrid>
      <w:tr>
        <w:trPr/>
        <w:tc>
          <w:tcPr>
            <w:tcW w:w="4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sales of our common stock.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Many of these factors are beyond our control. These factors may cause the market price of our common stock to decline, regardless of our operating performance. In addition, stock markets have experienced extreme price volatility in recent years. This volatility has had a substantial effect on the market prices of securities issued by many companies for reasons that may be unrelated to the operating performance of the specific companies. These broad market fluctuations may adversely affect the market price of our common stock.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USE OF PROCEEDS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This Prospectus is part of a registration statement that permits selling shareholders to sell their shares. Because this Prospectus is solely for the purpose of selling shareholders, we will not receive any proceeds from the sale of stock being offered. If Warrant, DeZwirek Warrant and Option holders exercise their right to acquire common shares, we could receive proceeds of $3,091,402.40, which would be used for working capital purposes.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SELLING STOCKHOLDERS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following table sets forth the selling stockholders, and the number of shares of common stock owned beneficially by them as of November 30, 2005, which may be offered pursuant to this Prospectus. This information is based upon information provided to us by either the named selling stockholder, our transfer agent or our review of Section 16(a) Reports. Because the selling stockholders may offer all, some or none of their respective shares of common stock, no definitive estimate as to the number of shares thereof that will be held by the selling stockholders after such offering can be provided. The term selling stockholder includes the stockholders listed below and their transferees, pledges, donees or other successors. Except as set forth in the table below, none of the selling stockholders is currently an affiliate of CECO, and none of them has had a material relationship with us during the past three years.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Percentage beneficial ownership is based on 9,993,260 shares of common stock outstanding as of November 30, 2005. Beneficial ownership is calculated based on SEC requirements. All shares of the common stock subject to options and warrants, including the Warrants, DeZwirek Warrants and Options, are deemed to be outstanding for the purpose of computing the percentage of ownership of the person holding such options or warrants, but are not deemed to be outstanding for computing the percentage of ownership of any other person.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999999"/>
        </w:pBdr>
        <w:rPr/>
      </w:pPr>
      <w:r>
        <w:rPr/>
      </w:r>
    </w:p>
    <w:tbl>
      <w:tblPr>
        <w:tblW w:w="5000" w:type="pct"/>
        <w:jc w:val="center"/>
        <w:tblInd w:w="0" w:type="dxa"/>
        <w:tblCellMar>
          <w:top w:w="0" w:type="dxa"/>
          <w:left w:w="0" w:type="dxa"/>
          <w:bottom w:w="0" w:type="dxa"/>
          <w:right w:w="0" w:type="dxa"/>
        </w:tblCellMar>
      </w:tblPr>
      <w:tblGrid>
        <w:gridCol w:w="5029"/>
        <w:gridCol w:w="217"/>
        <w:gridCol w:w="937"/>
        <w:gridCol w:w="217"/>
        <w:gridCol w:w="459"/>
        <w:gridCol w:w="198"/>
        <w:gridCol w:w="174"/>
        <w:gridCol w:w="980"/>
        <w:gridCol w:w="174"/>
        <w:gridCol w:w="937"/>
        <w:gridCol w:w="217"/>
        <w:gridCol w:w="459"/>
        <w:gridCol w:w="207"/>
      </w:tblGrid>
      <w:tr>
        <w:trPr/>
        <w:tc>
          <w:tcPr>
            <w:tcW w:w="5029"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bottom"/>
          </w:tcPr>
          <w:p>
            <w:pPr>
              <w:pStyle w:val="TableContents"/>
              <w:spacing w:before="0" w:after="283"/>
              <w:rPr>
                <w:sz w:val="4"/>
                <w:szCs w:val="4"/>
              </w:rPr>
            </w:pPr>
            <w:r>
              <w:rPr>
                <w:sz w:val="4"/>
                <w:szCs w:val="4"/>
              </w:rPr>
            </w:r>
          </w:p>
        </w:tc>
        <w:tc>
          <w:tcPr>
            <w:tcW w:w="937"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bottom"/>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bottom"/>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bottom"/>
          </w:tcPr>
          <w:p>
            <w:pPr>
              <w:pStyle w:val="TableContents"/>
              <w:spacing w:before="0" w:after="283"/>
              <w:rPr>
                <w:sz w:val="4"/>
                <w:szCs w:val="4"/>
              </w:rPr>
            </w:pPr>
            <w:r>
              <w:rPr>
                <w:sz w:val="4"/>
                <w:szCs w:val="4"/>
              </w:rPr>
            </w:r>
          </w:p>
        </w:tc>
        <w:tc>
          <w:tcPr>
            <w:tcW w:w="937"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bottom"/>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r>
      <w:tr>
        <w:trPr/>
        <w:tc>
          <w:tcPr>
            <w:tcW w:w="5029"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613" w:type="dxa"/>
            <w:gridSpan w:val="3"/>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Shares Beneficially</w:t>
            </w:r>
          </w:p>
          <w:p>
            <w:pPr>
              <w:pStyle w:val="TableContents"/>
              <w:spacing w:before="0" w:after="15"/>
              <w:jc w:val="center"/>
              <w:rPr>
                <w:rFonts w:ascii="Times New Roman" w:hAnsi="Times New Roman"/>
                <w:b/>
                <w:sz w:val="14"/>
              </w:rPr>
            </w:pPr>
            <w:r>
              <w:rPr>
                <w:rFonts w:ascii="Times New Roman" w:hAnsi="Times New Roman"/>
                <w:b/>
                <w:sz w:val="14"/>
              </w:rPr>
              <w:t>Owned Before Offering</w:t>
            </w:r>
          </w:p>
        </w:tc>
        <w:tc>
          <w:tcPr>
            <w:tcW w:w="198"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980" w:type="dxa"/>
            <w:vMerge w:val="restart"/>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Number of</w:t>
              <w:br/>
              <w:t>Shares</w:t>
              <w:br/>
              <w:t>Being Offered</w:t>
            </w:r>
          </w:p>
          <w:p>
            <w:pPr>
              <w:pStyle w:val="HorizontalLine"/>
              <w:pBdr>
                <w:bottom w:val="single" w:sz="6" w:space="0" w:color="000000"/>
              </w:pBdr>
              <w:spacing w:before="0" w:after="283"/>
              <w:rPr/>
            </w:pPr>
            <w:r>
              <w:rPr/>
            </w:r>
          </w:p>
        </w:tc>
        <w:tc>
          <w:tcPr>
            <w:tcW w:w="174" w:type="dxa"/>
            <w:tcBorders/>
            <w:shd w:fill="auto" w:val="clear"/>
            <w:vAlign w:val="bottom"/>
          </w:tcPr>
          <w:p>
            <w:pPr>
              <w:pStyle w:val="TableContents"/>
              <w:spacing w:before="0" w:after="283"/>
              <w:rPr/>
            </w:pPr>
            <w:r>
              <w:rPr/>
              <w:t> </w:t>
            </w:r>
          </w:p>
        </w:tc>
        <w:tc>
          <w:tcPr>
            <w:tcW w:w="1613" w:type="dxa"/>
            <w:gridSpan w:val="3"/>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Shares Beneficially</w:t>
            </w:r>
          </w:p>
          <w:p>
            <w:pPr>
              <w:pStyle w:val="TableContents"/>
              <w:spacing w:before="0" w:after="15"/>
              <w:jc w:val="center"/>
              <w:rPr>
                <w:rFonts w:ascii="Times New Roman" w:hAnsi="Times New Roman"/>
                <w:b/>
                <w:sz w:val="14"/>
              </w:rPr>
            </w:pPr>
            <w:r>
              <w:rPr>
                <w:rFonts w:ascii="Times New Roman" w:hAnsi="Times New Roman"/>
                <w:b/>
                <w:sz w:val="14"/>
              </w:rPr>
              <w:t>Owned After Offering</w:t>
            </w:r>
          </w:p>
        </w:tc>
        <w:tc>
          <w:tcPr>
            <w:tcW w:w="207" w:type="dxa"/>
            <w:tcBorders/>
            <w:shd w:fill="auto" w:val="clear"/>
            <w:vAlign w:val="bottom"/>
          </w:tcPr>
          <w:p>
            <w:pPr>
              <w:pStyle w:val="TableContents"/>
              <w:spacing w:before="0" w:after="283"/>
              <w:rPr/>
            </w:pPr>
            <w:r>
              <w:rPr/>
              <w:t> </w:t>
            </w:r>
          </w:p>
        </w:tc>
      </w:tr>
      <w:tr>
        <w:trPr/>
        <w:tc>
          <w:tcPr>
            <w:tcW w:w="5029" w:type="dxa"/>
            <w:tcBorders/>
            <w:shd w:fill="auto" w:val="clear"/>
            <w:vAlign w:val="bottom"/>
          </w:tcPr>
          <w:p>
            <w:pPr>
              <w:pStyle w:val="TableContents"/>
              <w:spacing w:before="0" w:after="0"/>
              <w:rPr>
                <w:rFonts w:ascii="Times New Roman" w:hAnsi="Times New Roman"/>
                <w:b/>
                <w:sz w:val="14"/>
              </w:rPr>
            </w:pPr>
            <w:r>
              <w:rPr>
                <w:rFonts w:ascii="Times New Roman" w:hAnsi="Times New Roman"/>
                <w:b/>
                <w:sz w:val="14"/>
              </w:rPr>
              <w:t>Selling Stockholders</w:t>
            </w:r>
            <w:r>
              <w:rPr>
                <w:rFonts w:ascii="Times New Roman" w:hAnsi="Times New Roman"/>
                <w:b/>
                <w:position w:val="5"/>
                <w:sz w:val="11"/>
                <w:sz w:val="14"/>
              </w:rPr>
              <w:t>1</w:t>
            </w:r>
          </w:p>
          <w:p>
            <w:pPr>
              <w:pStyle w:val="HorizontalLine"/>
              <w:pBdr>
                <w:bottom w:val="single" w:sz="6" w:space="0" w:color="000000"/>
              </w:pBdr>
              <w:spacing w:before="0" w:after="283"/>
              <w:rPr/>
            </w:pPr>
            <w:r>
              <w:rPr/>
            </w:r>
          </w:p>
        </w:tc>
        <w:tc>
          <w:tcPr>
            <w:tcW w:w="217" w:type="dxa"/>
            <w:tcBorders/>
            <w:shd w:fill="auto" w:val="clear"/>
            <w:vAlign w:val="bottom"/>
          </w:tcPr>
          <w:p>
            <w:pPr>
              <w:pStyle w:val="TableContents"/>
              <w:spacing w:before="0" w:after="283"/>
              <w:rPr/>
            </w:pPr>
            <w:r>
              <w:rPr/>
              <w:t>  </w:t>
            </w:r>
          </w:p>
        </w:tc>
        <w:tc>
          <w:tcPr>
            <w:tcW w:w="937"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Number</w:t>
            </w:r>
          </w:p>
          <w:p>
            <w:pPr>
              <w:pStyle w:val="HorizontalLine"/>
              <w:pBdr>
                <w:bottom w:val="single" w:sz="6" w:space="0" w:color="000000"/>
              </w:pBdr>
              <w:spacing w:before="0" w:after="283"/>
              <w:rPr/>
            </w:pPr>
            <w:r>
              <w:rPr/>
            </w:r>
          </w:p>
        </w:tc>
        <w:tc>
          <w:tcPr>
            <w:tcW w:w="217" w:type="dxa"/>
            <w:tcBorders/>
            <w:shd w:fill="auto" w:val="clear"/>
            <w:vAlign w:val="bottom"/>
          </w:tcPr>
          <w:p>
            <w:pPr>
              <w:pStyle w:val="TableContents"/>
              <w:spacing w:before="0" w:after="283"/>
              <w:rPr/>
            </w:pPr>
            <w:r>
              <w:rPr/>
              <w:t>  </w:t>
            </w:r>
          </w:p>
        </w:tc>
        <w:tc>
          <w:tcPr>
            <w:tcW w:w="459"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Percent</w:t>
            </w:r>
          </w:p>
          <w:p>
            <w:pPr>
              <w:pStyle w:val="HorizontalLine"/>
              <w:pBdr>
                <w:bottom w:val="single" w:sz="6" w:space="0" w:color="000000"/>
              </w:pBdr>
              <w:spacing w:before="0" w:after="283"/>
              <w:rPr/>
            </w:pPr>
            <w:r>
              <w:rPr/>
            </w:r>
          </w:p>
        </w:tc>
        <w:tc>
          <w:tcPr>
            <w:tcW w:w="198"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980" w:type="dxa"/>
            <w:vMerge w:val="continue"/>
            <w:tcBorders/>
            <w:shd w:fill="auto" w:val="clear"/>
            <w:vAlign w:val="bottom"/>
          </w:tcPr>
          <w:p>
            <w:pPr>
              <w:pStyle w:val="Normal"/>
              <w:rPr/>
            </w:pPr>
            <w:r>
              <w:rPr/>
            </w:r>
          </w:p>
        </w:tc>
        <w:tc>
          <w:tcPr>
            <w:tcW w:w="174" w:type="dxa"/>
            <w:tcBorders/>
            <w:shd w:fill="auto" w:val="clear"/>
            <w:vAlign w:val="bottom"/>
          </w:tcPr>
          <w:p>
            <w:pPr>
              <w:pStyle w:val="TableContents"/>
              <w:spacing w:before="0" w:after="283"/>
              <w:rPr/>
            </w:pPr>
            <w:r>
              <w:rPr/>
              <w:t> </w:t>
            </w:r>
          </w:p>
        </w:tc>
        <w:tc>
          <w:tcPr>
            <w:tcW w:w="937"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Number</w:t>
            </w:r>
            <w:r>
              <w:rPr>
                <w:rFonts w:ascii="Times New Roman" w:hAnsi="Times New Roman"/>
                <w:b/>
                <w:position w:val="5"/>
                <w:sz w:val="11"/>
                <w:sz w:val="14"/>
              </w:rPr>
              <w:t>2</w:t>
            </w:r>
          </w:p>
          <w:p>
            <w:pPr>
              <w:pStyle w:val="HorizontalLine"/>
              <w:pBdr>
                <w:bottom w:val="single" w:sz="6" w:space="0" w:color="000000"/>
              </w:pBdr>
              <w:spacing w:before="0" w:after="283"/>
              <w:rPr/>
            </w:pPr>
            <w:r>
              <w:rPr/>
            </w:r>
          </w:p>
        </w:tc>
        <w:tc>
          <w:tcPr>
            <w:tcW w:w="217" w:type="dxa"/>
            <w:tcBorders/>
            <w:shd w:fill="auto" w:val="clear"/>
            <w:vAlign w:val="bottom"/>
          </w:tcPr>
          <w:p>
            <w:pPr>
              <w:pStyle w:val="TableContents"/>
              <w:spacing w:before="0" w:after="283"/>
              <w:rPr/>
            </w:pPr>
            <w:r>
              <w:rPr/>
              <w:t>  </w:t>
            </w:r>
          </w:p>
        </w:tc>
        <w:tc>
          <w:tcPr>
            <w:tcW w:w="459"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Percent</w:t>
            </w:r>
          </w:p>
          <w:p>
            <w:pPr>
              <w:pStyle w:val="HorizontalLine"/>
              <w:pBdr>
                <w:bottom w:val="single" w:sz="6" w:space="0" w:color="000000"/>
              </w:pBdr>
              <w:spacing w:before="0" w:after="283"/>
              <w:rPr/>
            </w:pPr>
            <w:r>
              <w:rPr/>
            </w:r>
          </w:p>
        </w:tc>
        <w:tc>
          <w:tcPr>
            <w:tcW w:w="207" w:type="dxa"/>
            <w:tcBorders/>
            <w:shd w:fill="auto" w:val="clear"/>
            <w:vAlign w:val="bottom"/>
          </w:tcPr>
          <w:p>
            <w:pPr>
              <w:pStyle w:val="TableContents"/>
              <w:spacing w:before="0" w:after="283"/>
              <w:rPr/>
            </w:pPr>
            <w:r>
              <w:rPr/>
              <w:t> </w:t>
            </w:r>
          </w:p>
        </w:tc>
      </w:tr>
      <w:tr>
        <w:trPr/>
        <w:tc>
          <w:tcPr>
            <w:tcW w:w="5029" w:type="dxa"/>
            <w:tcBorders/>
            <w:shd w:fill="auto" w:val="clear"/>
          </w:tcPr>
          <w:p>
            <w:pPr>
              <w:pStyle w:val="TableContents"/>
              <w:spacing w:before="0" w:after="0"/>
              <w:rPr/>
            </w:pPr>
            <w:r>
              <w:rPr>
                <w:rFonts w:ascii="Times New Roman" w:hAnsi="Times New Roman"/>
                <w:sz w:val="20"/>
              </w:rPr>
              <w:t>Phillip DeZwirek</w:t>
            </w:r>
            <w:r>
              <w:rPr>
                <w:rFonts w:ascii="Times New Roman" w:hAnsi="Times New Roman"/>
                <w:color w:val="000000"/>
                <w:position w:val="5"/>
                <w:sz w:val="11"/>
                <w:sz w:val="14"/>
              </w:rPr>
              <w:t>3</w:t>
            </w:r>
          </w:p>
          <w:p>
            <w:pPr>
              <w:pStyle w:val="TableContents"/>
              <w:spacing w:before="0" w:after="0"/>
              <w:rPr>
                <w:rFonts w:ascii="Times New Roman" w:hAnsi="Times New Roman"/>
                <w:sz w:val="20"/>
              </w:rPr>
            </w:pPr>
            <w:r>
              <w:rPr>
                <w:rFonts w:ascii="Times New Roman" w:hAnsi="Times New Roman"/>
                <w:sz w:val="20"/>
              </w:rPr>
              <w:t>505 University Avenue,</w:t>
            </w:r>
          </w:p>
          <w:p>
            <w:pPr>
              <w:pStyle w:val="TableContents"/>
              <w:spacing w:before="0" w:after="0"/>
              <w:rPr>
                <w:rFonts w:ascii="Times New Roman" w:hAnsi="Times New Roman"/>
                <w:sz w:val="20"/>
              </w:rPr>
            </w:pPr>
            <w:r>
              <w:rPr>
                <w:rFonts w:ascii="Times New Roman" w:hAnsi="Times New Roman"/>
                <w:sz w:val="20"/>
              </w:rPr>
              <w:t>Suite 1400</w:t>
            </w:r>
          </w:p>
          <w:p>
            <w:pPr>
              <w:pStyle w:val="TableContents"/>
              <w:spacing w:before="0" w:after="15"/>
              <w:rPr>
                <w:rFonts w:ascii="Times New Roman" w:hAnsi="Times New Roman"/>
                <w:sz w:val="20"/>
              </w:rPr>
            </w:pPr>
            <w:r>
              <w:rPr>
                <w:rFonts w:ascii="Times New Roman" w:hAnsi="Times New Roman"/>
                <w:sz w:val="20"/>
              </w:rPr>
              <w:t>Toronto, Ontario M56 1X3</w:t>
            </w:r>
          </w:p>
        </w:tc>
        <w:tc>
          <w:tcPr>
            <w:tcW w:w="217" w:type="dxa"/>
            <w:tcBorders/>
            <w:shd w:fill="auto" w:val="clear"/>
            <w:vAlign w:val="bottom"/>
          </w:tcPr>
          <w:p>
            <w:pPr>
              <w:pStyle w:val="TableContents"/>
              <w:spacing w:before="0" w:after="283"/>
              <w:rPr/>
            </w:pPr>
            <w:r>
              <w:rPr/>
              <w:t>  </w:t>
            </w:r>
          </w:p>
        </w:tc>
        <w:tc>
          <w:tcPr>
            <w:tcW w:w="93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4,868,390</w:t>
            </w:r>
          </w:p>
        </w:tc>
        <w:tc>
          <w:tcPr>
            <w:tcW w:w="217" w:type="dxa"/>
            <w:tcBorders/>
            <w:shd w:fill="auto" w:val="clear"/>
            <w:vAlign w:val="bottom"/>
          </w:tcPr>
          <w:p>
            <w:pPr>
              <w:pStyle w:val="TableContents"/>
              <w:spacing w:before="0" w:after="283"/>
              <w:rPr/>
            </w:pPr>
            <w:r>
              <w:rPr/>
              <w:t>  </w:t>
            </w:r>
          </w:p>
        </w:tc>
        <w:tc>
          <w:tcPr>
            <w:tcW w:w="45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39.8</w:t>
            </w:r>
          </w:p>
        </w:tc>
        <w:tc>
          <w:tcPr>
            <w:tcW w:w="1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74"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rFonts w:ascii="Times New Roman" w:hAnsi="Times New Roman"/>
                <w:sz w:val="20"/>
              </w:rPr>
              <w:t>1,800,000</w:t>
            </w:r>
            <w:r>
              <w:rPr>
                <w:rFonts w:ascii="Times New Roman" w:hAnsi="Times New Roman"/>
                <w:color w:val="000000"/>
                <w:position w:val="5"/>
                <w:sz w:val="11"/>
                <w:sz w:val="14"/>
              </w:rPr>
              <w:t>3</w:t>
            </w:r>
          </w:p>
        </w:tc>
        <w:tc>
          <w:tcPr>
            <w:tcW w:w="174" w:type="dxa"/>
            <w:tcBorders/>
            <w:shd w:fill="auto" w:val="clear"/>
            <w:vAlign w:val="bottom"/>
          </w:tcPr>
          <w:p>
            <w:pPr>
              <w:pStyle w:val="TableContents"/>
              <w:spacing w:before="0" w:after="283"/>
              <w:rPr/>
            </w:pPr>
            <w:r>
              <w:rPr/>
              <w:t> </w:t>
            </w:r>
          </w:p>
        </w:tc>
        <w:tc>
          <w:tcPr>
            <w:tcW w:w="93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3,068,390</w:t>
            </w:r>
          </w:p>
        </w:tc>
        <w:tc>
          <w:tcPr>
            <w:tcW w:w="217" w:type="dxa"/>
            <w:tcBorders/>
            <w:shd w:fill="auto" w:val="clear"/>
            <w:vAlign w:val="bottom"/>
          </w:tcPr>
          <w:p>
            <w:pPr>
              <w:pStyle w:val="TableContents"/>
              <w:spacing w:before="0" w:after="283"/>
              <w:rPr/>
            </w:pPr>
            <w:r>
              <w:rPr/>
              <w:t>  </w:t>
            </w:r>
          </w:p>
        </w:tc>
        <w:tc>
          <w:tcPr>
            <w:tcW w:w="45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25.1</w:t>
            </w:r>
          </w:p>
        </w:tc>
        <w:tc>
          <w:tcPr>
            <w:tcW w:w="20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rHeight w:val="120" w:hRule="atLeast"/>
        </w:trPr>
        <w:tc>
          <w:tcPr>
            <w:tcW w:w="5029" w:type="dxa"/>
            <w:tcBorders/>
            <w:shd w:fill="auto" w:val="clear"/>
            <w:vAlign w:val="center"/>
          </w:tcPr>
          <w:p>
            <w:pPr>
              <w:pStyle w:val="TableContents"/>
              <w:spacing w:before="0" w:after="283"/>
              <w:rPr>
                <w:sz w:val="4"/>
                <w:szCs w:val="4"/>
              </w:rPr>
            </w:pPr>
            <w:r>
              <w:rPr>
                <w:sz w:val="4"/>
                <w:szCs w:val="4"/>
              </w:rPr>
            </w:r>
          </w:p>
        </w:tc>
        <w:tc>
          <w:tcPr>
            <w:tcW w:w="1154" w:type="dxa"/>
            <w:gridSpan w:val="2"/>
            <w:tcBorders/>
            <w:shd w:fill="auto" w:val="clear"/>
            <w:vAlign w:val="center"/>
          </w:tcPr>
          <w:p>
            <w:pPr>
              <w:pStyle w:val="TableContents"/>
              <w:spacing w:before="0" w:after="283"/>
              <w:rPr>
                <w:sz w:val="4"/>
                <w:szCs w:val="4"/>
              </w:rPr>
            </w:pPr>
            <w:r>
              <w:rPr>
                <w:sz w:val="4"/>
                <w:szCs w:val="4"/>
              </w:rPr>
            </w:r>
          </w:p>
        </w:tc>
        <w:tc>
          <w:tcPr>
            <w:tcW w:w="874" w:type="dxa"/>
            <w:gridSpan w:val="3"/>
            <w:tcBorders/>
            <w:shd w:fill="auto" w:val="clear"/>
            <w:vAlign w:val="center"/>
          </w:tcPr>
          <w:p>
            <w:pPr>
              <w:pStyle w:val="TableContents"/>
              <w:spacing w:before="0" w:after="283"/>
              <w:rPr>
                <w:sz w:val="4"/>
                <w:szCs w:val="4"/>
              </w:rPr>
            </w:pPr>
            <w:r>
              <w:rPr>
                <w:sz w:val="4"/>
                <w:szCs w:val="4"/>
              </w:rPr>
            </w:r>
          </w:p>
        </w:tc>
        <w:tc>
          <w:tcPr>
            <w:tcW w:w="1154" w:type="dxa"/>
            <w:gridSpan w:val="2"/>
            <w:tcBorders/>
            <w:shd w:fill="auto" w:val="clear"/>
            <w:vAlign w:val="center"/>
          </w:tcPr>
          <w:p>
            <w:pPr>
              <w:pStyle w:val="TableContents"/>
              <w:spacing w:before="0" w:after="283"/>
              <w:rPr>
                <w:sz w:val="4"/>
                <w:szCs w:val="4"/>
              </w:rPr>
            </w:pPr>
            <w:r>
              <w:rPr>
                <w:sz w:val="4"/>
                <w:szCs w:val="4"/>
              </w:rPr>
            </w:r>
          </w:p>
        </w:tc>
        <w:tc>
          <w:tcPr>
            <w:tcW w:w="1111" w:type="dxa"/>
            <w:gridSpan w:val="2"/>
            <w:tcBorders/>
            <w:shd w:fill="auto" w:val="clear"/>
            <w:vAlign w:val="center"/>
          </w:tcPr>
          <w:p>
            <w:pPr>
              <w:pStyle w:val="TableContents"/>
              <w:spacing w:before="0" w:after="283"/>
              <w:rPr>
                <w:sz w:val="4"/>
                <w:szCs w:val="4"/>
              </w:rPr>
            </w:pPr>
            <w:r>
              <w:rPr>
                <w:sz w:val="4"/>
                <w:szCs w:val="4"/>
              </w:rPr>
            </w:r>
          </w:p>
        </w:tc>
        <w:tc>
          <w:tcPr>
            <w:tcW w:w="883" w:type="dxa"/>
            <w:gridSpan w:val="3"/>
            <w:tcBorders/>
            <w:shd w:fill="auto" w:val="clear"/>
            <w:vAlign w:val="center"/>
          </w:tcPr>
          <w:p>
            <w:pPr>
              <w:pStyle w:val="TableContents"/>
              <w:spacing w:before="0" w:after="283"/>
              <w:rPr>
                <w:sz w:val="4"/>
                <w:szCs w:val="4"/>
              </w:rPr>
            </w:pPr>
            <w:r>
              <w:rPr>
                <w:sz w:val="4"/>
                <w:szCs w:val="4"/>
              </w:rPr>
            </w:r>
          </w:p>
        </w:tc>
      </w:tr>
      <w:tr>
        <w:trPr/>
        <w:tc>
          <w:tcPr>
            <w:tcW w:w="5029" w:type="dxa"/>
            <w:tcBorders/>
            <w:shd w:fill="auto" w:val="clear"/>
          </w:tcPr>
          <w:p>
            <w:pPr>
              <w:pStyle w:val="TableContents"/>
              <w:spacing w:before="0" w:after="0"/>
              <w:rPr/>
            </w:pPr>
            <w:r>
              <w:rPr>
                <w:rFonts w:ascii="Times New Roman" w:hAnsi="Times New Roman"/>
                <w:sz w:val="20"/>
              </w:rPr>
              <w:t>Jason DeZwirek</w:t>
            </w:r>
            <w:r>
              <w:rPr>
                <w:rFonts w:ascii="Times New Roman" w:hAnsi="Times New Roman"/>
                <w:color w:val="000000"/>
                <w:position w:val="5"/>
                <w:sz w:val="11"/>
                <w:sz w:val="14"/>
              </w:rPr>
              <w:t>4</w:t>
            </w:r>
          </w:p>
          <w:p>
            <w:pPr>
              <w:pStyle w:val="TableContents"/>
              <w:spacing w:before="0" w:after="0"/>
              <w:rPr>
                <w:rFonts w:ascii="Times New Roman" w:hAnsi="Times New Roman"/>
                <w:sz w:val="20"/>
              </w:rPr>
            </w:pPr>
            <w:r>
              <w:rPr>
                <w:rFonts w:ascii="Times New Roman" w:hAnsi="Times New Roman"/>
                <w:sz w:val="20"/>
              </w:rPr>
              <w:t>505 University Avenue,</w:t>
            </w:r>
          </w:p>
          <w:p>
            <w:pPr>
              <w:pStyle w:val="TableContents"/>
              <w:spacing w:before="0" w:after="0"/>
              <w:rPr>
                <w:rFonts w:ascii="Times New Roman" w:hAnsi="Times New Roman"/>
                <w:sz w:val="20"/>
              </w:rPr>
            </w:pPr>
            <w:r>
              <w:rPr>
                <w:rFonts w:ascii="Times New Roman" w:hAnsi="Times New Roman"/>
                <w:sz w:val="20"/>
              </w:rPr>
              <w:t>Suite 1400</w:t>
            </w:r>
          </w:p>
          <w:p>
            <w:pPr>
              <w:pStyle w:val="TableContents"/>
              <w:spacing w:before="0" w:after="15"/>
              <w:rPr>
                <w:rFonts w:ascii="Times New Roman" w:hAnsi="Times New Roman"/>
                <w:sz w:val="20"/>
              </w:rPr>
            </w:pPr>
            <w:r>
              <w:rPr>
                <w:rFonts w:ascii="Times New Roman" w:hAnsi="Times New Roman"/>
                <w:sz w:val="20"/>
              </w:rPr>
              <w:t>Toronto, Ontario M56 1X3</w:t>
            </w:r>
          </w:p>
        </w:tc>
        <w:tc>
          <w:tcPr>
            <w:tcW w:w="217" w:type="dxa"/>
            <w:tcBorders/>
            <w:shd w:fill="auto" w:val="clear"/>
            <w:vAlign w:val="bottom"/>
          </w:tcPr>
          <w:p>
            <w:pPr>
              <w:pStyle w:val="TableContents"/>
              <w:spacing w:before="0" w:after="283"/>
              <w:rPr/>
            </w:pPr>
            <w:r>
              <w:rPr/>
              <w:t>  </w:t>
            </w:r>
          </w:p>
        </w:tc>
        <w:tc>
          <w:tcPr>
            <w:tcW w:w="93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3,931,359</w:t>
            </w:r>
          </w:p>
        </w:tc>
        <w:tc>
          <w:tcPr>
            <w:tcW w:w="217" w:type="dxa"/>
            <w:tcBorders/>
            <w:shd w:fill="auto" w:val="clear"/>
            <w:vAlign w:val="bottom"/>
          </w:tcPr>
          <w:p>
            <w:pPr>
              <w:pStyle w:val="TableContents"/>
              <w:spacing w:before="0" w:after="283"/>
              <w:rPr/>
            </w:pPr>
            <w:r>
              <w:rPr/>
              <w:t>  </w:t>
            </w:r>
          </w:p>
        </w:tc>
        <w:tc>
          <w:tcPr>
            <w:tcW w:w="45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39.2</w:t>
            </w:r>
          </w:p>
        </w:tc>
        <w:tc>
          <w:tcPr>
            <w:tcW w:w="1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74"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25,000</w:t>
            </w:r>
          </w:p>
        </w:tc>
        <w:tc>
          <w:tcPr>
            <w:tcW w:w="174" w:type="dxa"/>
            <w:tcBorders/>
            <w:shd w:fill="auto" w:val="clear"/>
            <w:vAlign w:val="bottom"/>
          </w:tcPr>
          <w:p>
            <w:pPr>
              <w:pStyle w:val="TableContents"/>
              <w:spacing w:before="0" w:after="283"/>
              <w:rPr/>
            </w:pPr>
            <w:r>
              <w:rPr/>
              <w:t> </w:t>
            </w:r>
          </w:p>
        </w:tc>
        <w:tc>
          <w:tcPr>
            <w:tcW w:w="93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3,906,359</w:t>
            </w:r>
          </w:p>
        </w:tc>
        <w:tc>
          <w:tcPr>
            <w:tcW w:w="217" w:type="dxa"/>
            <w:tcBorders/>
            <w:shd w:fill="auto" w:val="clear"/>
            <w:vAlign w:val="bottom"/>
          </w:tcPr>
          <w:p>
            <w:pPr>
              <w:pStyle w:val="TableContents"/>
              <w:spacing w:before="0" w:after="283"/>
              <w:rPr/>
            </w:pPr>
            <w:r>
              <w:rPr/>
              <w:t>  </w:t>
            </w:r>
          </w:p>
        </w:tc>
        <w:tc>
          <w:tcPr>
            <w:tcW w:w="45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39.0</w:t>
            </w:r>
          </w:p>
        </w:tc>
        <w:tc>
          <w:tcPr>
            <w:tcW w:w="20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rHeight w:val="120" w:hRule="atLeast"/>
        </w:trPr>
        <w:tc>
          <w:tcPr>
            <w:tcW w:w="5029" w:type="dxa"/>
            <w:tcBorders/>
            <w:shd w:fill="auto" w:val="clear"/>
            <w:vAlign w:val="center"/>
          </w:tcPr>
          <w:p>
            <w:pPr>
              <w:pStyle w:val="TableContents"/>
              <w:spacing w:before="0" w:after="283"/>
              <w:rPr>
                <w:sz w:val="4"/>
                <w:szCs w:val="4"/>
              </w:rPr>
            </w:pPr>
            <w:r>
              <w:rPr>
                <w:sz w:val="4"/>
                <w:szCs w:val="4"/>
              </w:rPr>
            </w:r>
          </w:p>
        </w:tc>
        <w:tc>
          <w:tcPr>
            <w:tcW w:w="1154" w:type="dxa"/>
            <w:gridSpan w:val="2"/>
            <w:tcBorders/>
            <w:shd w:fill="auto" w:val="clear"/>
            <w:vAlign w:val="center"/>
          </w:tcPr>
          <w:p>
            <w:pPr>
              <w:pStyle w:val="TableContents"/>
              <w:spacing w:before="0" w:after="283"/>
              <w:rPr>
                <w:sz w:val="4"/>
                <w:szCs w:val="4"/>
              </w:rPr>
            </w:pPr>
            <w:r>
              <w:rPr>
                <w:sz w:val="4"/>
                <w:szCs w:val="4"/>
              </w:rPr>
            </w:r>
          </w:p>
        </w:tc>
        <w:tc>
          <w:tcPr>
            <w:tcW w:w="874" w:type="dxa"/>
            <w:gridSpan w:val="3"/>
            <w:tcBorders/>
            <w:shd w:fill="auto" w:val="clear"/>
            <w:vAlign w:val="center"/>
          </w:tcPr>
          <w:p>
            <w:pPr>
              <w:pStyle w:val="TableContents"/>
              <w:spacing w:before="0" w:after="283"/>
              <w:rPr>
                <w:sz w:val="4"/>
                <w:szCs w:val="4"/>
              </w:rPr>
            </w:pPr>
            <w:r>
              <w:rPr>
                <w:sz w:val="4"/>
                <w:szCs w:val="4"/>
              </w:rPr>
            </w:r>
          </w:p>
        </w:tc>
        <w:tc>
          <w:tcPr>
            <w:tcW w:w="1154" w:type="dxa"/>
            <w:gridSpan w:val="2"/>
            <w:tcBorders/>
            <w:shd w:fill="auto" w:val="clear"/>
            <w:vAlign w:val="center"/>
          </w:tcPr>
          <w:p>
            <w:pPr>
              <w:pStyle w:val="TableContents"/>
              <w:spacing w:before="0" w:after="283"/>
              <w:rPr>
                <w:sz w:val="4"/>
                <w:szCs w:val="4"/>
              </w:rPr>
            </w:pPr>
            <w:r>
              <w:rPr>
                <w:sz w:val="4"/>
                <w:szCs w:val="4"/>
              </w:rPr>
            </w:r>
          </w:p>
        </w:tc>
        <w:tc>
          <w:tcPr>
            <w:tcW w:w="1111" w:type="dxa"/>
            <w:gridSpan w:val="2"/>
            <w:tcBorders/>
            <w:shd w:fill="auto" w:val="clear"/>
            <w:vAlign w:val="center"/>
          </w:tcPr>
          <w:p>
            <w:pPr>
              <w:pStyle w:val="TableContents"/>
              <w:spacing w:before="0" w:after="283"/>
              <w:rPr>
                <w:sz w:val="4"/>
                <w:szCs w:val="4"/>
              </w:rPr>
            </w:pPr>
            <w:r>
              <w:rPr>
                <w:sz w:val="4"/>
                <w:szCs w:val="4"/>
              </w:rPr>
            </w:r>
          </w:p>
        </w:tc>
        <w:tc>
          <w:tcPr>
            <w:tcW w:w="883" w:type="dxa"/>
            <w:gridSpan w:val="3"/>
            <w:tcBorders/>
            <w:shd w:fill="auto" w:val="clear"/>
            <w:vAlign w:val="center"/>
          </w:tcPr>
          <w:p>
            <w:pPr>
              <w:pStyle w:val="TableContents"/>
              <w:spacing w:before="0" w:after="283"/>
              <w:rPr>
                <w:sz w:val="4"/>
                <w:szCs w:val="4"/>
              </w:rPr>
            </w:pPr>
            <w:r>
              <w:rPr>
                <w:sz w:val="4"/>
                <w:szCs w:val="4"/>
              </w:rPr>
            </w:r>
          </w:p>
        </w:tc>
      </w:tr>
      <w:tr>
        <w:trPr/>
        <w:tc>
          <w:tcPr>
            <w:tcW w:w="5029" w:type="dxa"/>
            <w:tcBorders/>
            <w:shd w:fill="auto" w:val="clear"/>
          </w:tcPr>
          <w:p>
            <w:pPr>
              <w:pStyle w:val="TableContents"/>
              <w:spacing w:before="0" w:after="0"/>
              <w:rPr/>
            </w:pPr>
            <w:r>
              <w:rPr>
                <w:rFonts w:ascii="Times New Roman" w:hAnsi="Times New Roman"/>
                <w:sz w:val="20"/>
              </w:rPr>
              <w:t>Harvey Sandler</w:t>
            </w:r>
            <w:r>
              <w:rPr>
                <w:rFonts w:ascii="Times New Roman" w:hAnsi="Times New Roman"/>
                <w:color w:val="000000"/>
                <w:position w:val="5"/>
                <w:sz w:val="11"/>
                <w:sz w:val="14"/>
              </w:rPr>
              <w:t>5</w:t>
            </w:r>
          </w:p>
          <w:p>
            <w:pPr>
              <w:pStyle w:val="TableContents"/>
              <w:spacing w:before="0" w:after="0"/>
              <w:rPr>
                <w:rFonts w:ascii="Times New Roman" w:hAnsi="Times New Roman"/>
                <w:sz w:val="20"/>
              </w:rPr>
            </w:pPr>
            <w:r>
              <w:rPr>
                <w:rFonts w:ascii="Times New Roman" w:hAnsi="Times New Roman"/>
                <w:sz w:val="20"/>
              </w:rPr>
              <w:t>Revocable Trust</w:t>
            </w:r>
          </w:p>
          <w:p>
            <w:pPr>
              <w:pStyle w:val="TableContents"/>
              <w:spacing w:before="0" w:after="0"/>
              <w:rPr/>
            </w:pPr>
            <w:r>
              <w:rPr>
                <w:rFonts w:ascii="Times New Roman" w:hAnsi="Times New Roman"/>
                <w:sz w:val="20"/>
              </w:rPr>
              <w:t>21170 N.E. 22</w:t>
            </w:r>
            <w:r>
              <w:rPr>
                <w:rFonts w:ascii="Times New Roman" w:hAnsi="Times New Roman"/>
                <w:color w:val="000000"/>
                <w:position w:val="5"/>
                <w:sz w:val="11"/>
                <w:sz w:val="14"/>
              </w:rPr>
              <w:t>nd</w:t>
            </w:r>
            <w:r>
              <w:rPr>
                <w:color w:val="000000"/>
              </w:rPr>
              <w:t xml:space="preserve"> </w:t>
            </w:r>
            <w:r>
              <w:rPr>
                <w:rFonts w:ascii="Times New Roman" w:hAnsi="Times New Roman"/>
                <w:color w:val="000000"/>
                <w:sz w:val="20"/>
              </w:rPr>
              <w:t>Court</w:t>
            </w:r>
          </w:p>
          <w:p>
            <w:pPr>
              <w:pStyle w:val="TableContents"/>
              <w:spacing w:before="0" w:after="15"/>
              <w:rPr>
                <w:rFonts w:ascii="Times New Roman" w:hAnsi="Times New Roman"/>
                <w:sz w:val="20"/>
              </w:rPr>
            </w:pPr>
            <w:r>
              <w:rPr>
                <w:rFonts w:ascii="Times New Roman" w:hAnsi="Times New Roman"/>
                <w:sz w:val="20"/>
              </w:rPr>
              <w:t>North Miami Beach, FL. 33180</w:t>
            </w:r>
          </w:p>
        </w:tc>
        <w:tc>
          <w:tcPr>
            <w:tcW w:w="217" w:type="dxa"/>
            <w:tcBorders/>
            <w:shd w:fill="auto" w:val="clear"/>
            <w:vAlign w:val="bottom"/>
          </w:tcPr>
          <w:p>
            <w:pPr>
              <w:pStyle w:val="TableContents"/>
              <w:spacing w:before="0" w:after="283"/>
              <w:rPr/>
            </w:pPr>
            <w:r>
              <w:rPr/>
              <w:t>  </w:t>
            </w:r>
          </w:p>
        </w:tc>
        <w:tc>
          <w:tcPr>
            <w:tcW w:w="93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1,382,643</w:t>
            </w:r>
          </w:p>
        </w:tc>
        <w:tc>
          <w:tcPr>
            <w:tcW w:w="217" w:type="dxa"/>
            <w:tcBorders/>
            <w:shd w:fill="auto" w:val="clear"/>
            <w:vAlign w:val="bottom"/>
          </w:tcPr>
          <w:p>
            <w:pPr>
              <w:pStyle w:val="TableContents"/>
              <w:spacing w:before="0" w:after="283"/>
              <w:rPr/>
            </w:pPr>
            <w:r>
              <w:rPr/>
              <w:t>  </w:t>
            </w:r>
          </w:p>
        </w:tc>
        <w:tc>
          <w:tcPr>
            <w:tcW w:w="45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13.8</w:t>
            </w:r>
          </w:p>
        </w:tc>
        <w:tc>
          <w:tcPr>
            <w:tcW w:w="1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74"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100,000</w:t>
            </w:r>
          </w:p>
        </w:tc>
        <w:tc>
          <w:tcPr>
            <w:tcW w:w="174" w:type="dxa"/>
            <w:tcBorders/>
            <w:shd w:fill="auto" w:val="clear"/>
            <w:vAlign w:val="bottom"/>
          </w:tcPr>
          <w:p>
            <w:pPr>
              <w:pStyle w:val="TableContents"/>
              <w:spacing w:before="0" w:after="283"/>
              <w:rPr/>
            </w:pPr>
            <w:r>
              <w:rPr/>
              <w:t> </w:t>
            </w:r>
          </w:p>
        </w:tc>
        <w:tc>
          <w:tcPr>
            <w:tcW w:w="93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1,282,643</w:t>
            </w:r>
          </w:p>
        </w:tc>
        <w:tc>
          <w:tcPr>
            <w:tcW w:w="217" w:type="dxa"/>
            <w:tcBorders/>
            <w:shd w:fill="auto" w:val="clear"/>
            <w:vAlign w:val="bottom"/>
          </w:tcPr>
          <w:p>
            <w:pPr>
              <w:pStyle w:val="TableContents"/>
              <w:spacing w:before="0" w:after="283"/>
              <w:rPr/>
            </w:pPr>
            <w:r>
              <w:rPr/>
              <w:t>  </w:t>
            </w:r>
          </w:p>
        </w:tc>
        <w:tc>
          <w:tcPr>
            <w:tcW w:w="45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12.8</w:t>
            </w:r>
          </w:p>
        </w:tc>
        <w:tc>
          <w:tcPr>
            <w:tcW w:w="20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rHeight w:val="120" w:hRule="atLeast"/>
        </w:trPr>
        <w:tc>
          <w:tcPr>
            <w:tcW w:w="5029" w:type="dxa"/>
            <w:tcBorders/>
            <w:shd w:fill="auto" w:val="clear"/>
            <w:vAlign w:val="center"/>
          </w:tcPr>
          <w:p>
            <w:pPr>
              <w:pStyle w:val="TableContents"/>
              <w:spacing w:before="0" w:after="283"/>
              <w:rPr>
                <w:sz w:val="4"/>
                <w:szCs w:val="4"/>
              </w:rPr>
            </w:pPr>
            <w:r>
              <w:rPr>
                <w:sz w:val="4"/>
                <w:szCs w:val="4"/>
              </w:rPr>
            </w:r>
          </w:p>
        </w:tc>
        <w:tc>
          <w:tcPr>
            <w:tcW w:w="1154" w:type="dxa"/>
            <w:gridSpan w:val="2"/>
            <w:tcBorders/>
            <w:shd w:fill="auto" w:val="clear"/>
            <w:vAlign w:val="center"/>
          </w:tcPr>
          <w:p>
            <w:pPr>
              <w:pStyle w:val="TableContents"/>
              <w:spacing w:before="0" w:after="283"/>
              <w:rPr>
                <w:sz w:val="4"/>
                <w:szCs w:val="4"/>
              </w:rPr>
            </w:pPr>
            <w:r>
              <w:rPr>
                <w:sz w:val="4"/>
                <w:szCs w:val="4"/>
              </w:rPr>
            </w:r>
          </w:p>
        </w:tc>
        <w:tc>
          <w:tcPr>
            <w:tcW w:w="874" w:type="dxa"/>
            <w:gridSpan w:val="3"/>
            <w:tcBorders/>
            <w:shd w:fill="auto" w:val="clear"/>
            <w:vAlign w:val="center"/>
          </w:tcPr>
          <w:p>
            <w:pPr>
              <w:pStyle w:val="TableContents"/>
              <w:spacing w:before="0" w:after="283"/>
              <w:rPr>
                <w:sz w:val="4"/>
                <w:szCs w:val="4"/>
              </w:rPr>
            </w:pPr>
            <w:r>
              <w:rPr>
                <w:sz w:val="4"/>
                <w:szCs w:val="4"/>
              </w:rPr>
            </w:r>
          </w:p>
        </w:tc>
        <w:tc>
          <w:tcPr>
            <w:tcW w:w="1154" w:type="dxa"/>
            <w:gridSpan w:val="2"/>
            <w:tcBorders/>
            <w:shd w:fill="auto" w:val="clear"/>
            <w:vAlign w:val="center"/>
          </w:tcPr>
          <w:p>
            <w:pPr>
              <w:pStyle w:val="TableContents"/>
              <w:spacing w:before="0" w:after="283"/>
              <w:rPr>
                <w:sz w:val="4"/>
                <w:szCs w:val="4"/>
              </w:rPr>
            </w:pPr>
            <w:r>
              <w:rPr>
                <w:sz w:val="4"/>
                <w:szCs w:val="4"/>
              </w:rPr>
            </w:r>
          </w:p>
        </w:tc>
        <w:tc>
          <w:tcPr>
            <w:tcW w:w="1111" w:type="dxa"/>
            <w:gridSpan w:val="2"/>
            <w:tcBorders/>
            <w:shd w:fill="auto" w:val="clear"/>
            <w:vAlign w:val="center"/>
          </w:tcPr>
          <w:p>
            <w:pPr>
              <w:pStyle w:val="TableContents"/>
              <w:spacing w:before="0" w:after="283"/>
              <w:rPr>
                <w:sz w:val="4"/>
                <w:szCs w:val="4"/>
              </w:rPr>
            </w:pPr>
            <w:r>
              <w:rPr>
                <w:sz w:val="4"/>
                <w:szCs w:val="4"/>
              </w:rPr>
            </w:r>
          </w:p>
        </w:tc>
        <w:tc>
          <w:tcPr>
            <w:tcW w:w="883" w:type="dxa"/>
            <w:gridSpan w:val="3"/>
            <w:tcBorders/>
            <w:shd w:fill="auto" w:val="clear"/>
            <w:vAlign w:val="center"/>
          </w:tcPr>
          <w:p>
            <w:pPr>
              <w:pStyle w:val="TableContents"/>
              <w:spacing w:before="0" w:after="283"/>
              <w:rPr>
                <w:sz w:val="4"/>
                <w:szCs w:val="4"/>
              </w:rPr>
            </w:pPr>
            <w:r>
              <w:rPr>
                <w:sz w:val="4"/>
                <w:szCs w:val="4"/>
              </w:rPr>
            </w:r>
          </w:p>
        </w:tc>
      </w:tr>
      <w:tr>
        <w:trPr/>
        <w:tc>
          <w:tcPr>
            <w:tcW w:w="5029" w:type="dxa"/>
            <w:tcBorders/>
            <w:shd w:fill="auto" w:val="clear"/>
          </w:tcPr>
          <w:p>
            <w:pPr>
              <w:pStyle w:val="TableContents"/>
              <w:spacing w:before="0" w:after="0"/>
              <w:rPr/>
            </w:pPr>
            <w:r>
              <w:rPr>
                <w:rFonts w:ascii="Times New Roman" w:hAnsi="Times New Roman"/>
                <w:sz w:val="20"/>
              </w:rPr>
              <w:t>Can-Med Technology, Inc.</w:t>
            </w:r>
            <w:r>
              <w:rPr>
                <w:rFonts w:ascii="Times New Roman" w:hAnsi="Times New Roman"/>
                <w:color w:val="000000"/>
                <w:position w:val="5"/>
                <w:sz w:val="11"/>
                <w:sz w:val="14"/>
              </w:rPr>
              <w:t>6</w:t>
            </w:r>
          </w:p>
          <w:p>
            <w:pPr>
              <w:pStyle w:val="TableContents"/>
              <w:spacing w:before="0" w:after="0"/>
              <w:rPr>
                <w:rFonts w:ascii="Times New Roman" w:hAnsi="Times New Roman"/>
                <w:sz w:val="20"/>
              </w:rPr>
            </w:pPr>
            <w:r>
              <w:rPr>
                <w:rFonts w:ascii="Times New Roman" w:hAnsi="Times New Roman"/>
                <w:sz w:val="20"/>
              </w:rPr>
              <w:t>d/b/a Green Diamond Oil Corp.</w:t>
            </w:r>
          </w:p>
          <w:p>
            <w:pPr>
              <w:pStyle w:val="TableContents"/>
              <w:spacing w:before="0" w:after="0"/>
              <w:rPr>
                <w:rFonts w:ascii="Times New Roman" w:hAnsi="Times New Roman"/>
                <w:sz w:val="20"/>
              </w:rPr>
            </w:pPr>
            <w:r>
              <w:rPr>
                <w:rFonts w:ascii="Times New Roman" w:hAnsi="Times New Roman"/>
                <w:sz w:val="20"/>
              </w:rPr>
              <w:t>505 University Avenue, Suite 1400</w:t>
            </w:r>
          </w:p>
          <w:p>
            <w:pPr>
              <w:pStyle w:val="TableContents"/>
              <w:spacing w:before="0" w:after="15"/>
              <w:rPr>
                <w:rFonts w:ascii="Times New Roman" w:hAnsi="Times New Roman"/>
                <w:sz w:val="20"/>
              </w:rPr>
            </w:pPr>
            <w:r>
              <w:rPr>
                <w:rFonts w:ascii="Times New Roman" w:hAnsi="Times New Roman"/>
                <w:sz w:val="20"/>
              </w:rPr>
              <w:t>Toronto, Ontario M5G 1X3</w:t>
            </w:r>
          </w:p>
        </w:tc>
        <w:tc>
          <w:tcPr>
            <w:tcW w:w="217" w:type="dxa"/>
            <w:tcBorders/>
            <w:shd w:fill="auto" w:val="clear"/>
            <w:vAlign w:val="bottom"/>
          </w:tcPr>
          <w:p>
            <w:pPr>
              <w:pStyle w:val="TableContents"/>
              <w:spacing w:before="0" w:after="283"/>
              <w:rPr/>
            </w:pPr>
            <w:r>
              <w:rPr/>
              <w:t>  </w:t>
            </w:r>
          </w:p>
        </w:tc>
        <w:tc>
          <w:tcPr>
            <w:tcW w:w="93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973,333</w:t>
            </w:r>
          </w:p>
        </w:tc>
        <w:tc>
          <w:tcPr>
            <w:tcW w:w="217" w:type="dxa"/>
            <w:tcBorders/>
            <w:shd w:fill="auto" w:val="clear"/>
            <w:vAlign w:val="bottom"/>
          </w:tcPr>
          <w:p>
            <w:pPr>
              <w:pStyle w:val="TableContents"/>
              <w:spacing w:before="0" w:after="283"/>
              <w:rPr/>
            </w:pPr>
            <w:r>
              <w:rPr/>
              <w:t>  </w:t>
            </w:r>
          </w:p>
        </w:tc>
        <w:tc>
          <w:tcPr>
            <w:tcW w:w="45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9.7</w:t>
            </w:r>
          </w:p>
        </w:tc>
        <w:tc>
          <w:tcPr>
            <w:tcW w:w="1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74"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800,000</w:t>
            </w:r>
          </w:p>
        </w:tc>
        <w:tc>
          <w:tcPr>
            <w:tcW w:w="174" w:type="dxa"/>
            <w:tcBorders/>
            <w:shd w:fill="auto" w:val="clear"/>
            <w:vAlign w:val="bottom"/>
          </w:tcPr>
          <w:p>
            <w:pPr>
              <w:pStyle w:val="TableContents"/>
              <w:spacing w:before="0" w:after="283"/>
              <w:rPr/>
            </w:pPr>
            <w:r>
              <w:rPr/>
              <w:t> </w:t>
            </w:r>
          </w:p>
        </w:tc>
        <w:tc>
          <w:tcPr>
            <w:tcW w:w="93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173,333</w:t>
            </w:r>
          </w:p>
        </w:tc>
        <w:tc>
          <w:tcPr>
            <w:tcW w:w="217" w:type="dxa"/>
            <w:tcBorders/>
            <w:shd w:fill="auto" w:val="clear"/>
            <w:vAlign w:val="bottom"/>
          </w:tcPr>
          <w:p>
            <w:pPr>
              <w:pStyle w:val="TableContents"/>
              <w:spacing w:before="0" w:after="283"/>
              <w:rPr/>
            </w:pPr>
            <w:r>
              <w:rPr/>
              <w:t>  </w:t>
            </w:r>
          </w:p>
        </w:tc>
        <w:tc>
          <w:tcPr>
            <w:tcW w:w="45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w:t>
            </w:r>
          </w:p>
        </w:tc>
        <w:tc>
          <w:tcPr>
            <w:tcW w:w="20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rHeight w:val="120" w:hRule="atLeast"/>
        </w:trPr>
        <w:tc>
          <w:tcPr>
            <w:tcW w:w="5029" w:type="dxa"/>
            <w:tcBorders/>
            <w:shd w:fill="auto" w:val="clear"/>
            <w:vAlign w:val="center"/>
          </w:tcPr>
          <w:p>
            <w:pPr>
              <w:pStyle w:val="TableContents"/>
              <w:spacing w:before="0" w:after="283"/>
              <w:rPr>
                <w:sz w:val="4"/>
                <w:szCs w:val="4"/>
              </w:rPr>
            </w:pPr>
            <w:r>
              <w:rPr>
                <w:sz w:val="4"/>
                <w:szCs w:val="4"/>
              </w:rPr>
            </w:r>
          </w:p>
        </w:tc>
        <w:tc>
          <w:tcPr>
            <w:tcW w:w="1154" w:type="dxa"/>
            <w:gridSpan w:val="2"/>
            <w:tcBorders/>
            <w:shd w:fill="auto" w:val="clear"/>
            <w:vAlign w:val="center"/>
          </w:tcPr>
          <w:p>
            <w:pPr>
              <w:pStyle w:val="TableContents"/>
              <w:spacing w:before="0" w:after="283"/>
              <w:rPr>
                <w:sz w:val="4"/>
                <w:szCs w:val="4"/>
              </w:rPr>
            </w:pPr>
            <w:r>
              <w:rPr>
                <w:sz w:val="4"/>
                <w:szCs w:val="4"/>
              </w:rPr>
            </w:r>
          </w:p>
        </w:tc>
        <w:tc>
          <w:tcPr>
            <w:tcW w:w="874" w:type="dxa"/>
            <w:gridSpan w:val="3"/>
            <w:tcBorders/>
            <w:shd w:fill="auto" w:val="clear"/>
            <w:vAlign w:val="center"/>
          </w:tcPr>
          <w:p>
            <w:pPr>
              <w:pStyle w:val="TableContents"/>
              <w:spacing w:before="0" w:after="283"/>
              <w:rPr>
                <w:sz w:val="4"/>
                <w:szCs w:val="4"/>
              </w:rPr>
            </w:pPr>
            <w:r>
              <w:rPr>
                <w:sz w:val="4"/>
                <w:szCs w:val="4"/>
              </w:rPr>
            </w:r>
          </w:p>
        </w:tc>
        <w:tc>
          <w:tcPr>
            <w:tcW w:w="1154" w:type="dxa"/>
            <w:gridSpan w:val="2"/>
            <w:tcBorders/>
            <w:shd w:fill="auto" w:val="clear"/>
            <w:vAlign w:val="center"/>
          </w:tcPr>
          <w:p>
            <w:pPr>
              <w:pStyle w:val="TableContents"/>
              <w:spacing w:before="0" w:after="283"/>
              <w:rPr>
                <w:sz w:val="4"/>
                <w:szCs w:val="4"/>
              </w:rPr>
            </w:pPr>
            <w:r>
              <w:rPr>
                <w:sz w:val="4"/>
                <w:szCs w:val="4"/>
              </w:rPr>
            </w:r>
          </w:p>
        </w:tc>
        <w:tc>
          <w:tcPr>
            <w:tcW w:w="1111" w:type="dxa"/>
            <w:gridSpan w:val="2"/>
            <w:tcBorders/>
            <w:shd w:fill="auto" w:val="clear"/>
            <w:vAlign w:val="center"/>
          </w:tcPr>
          <w:p>
            <w:pPr>
              <w:pStyle w:val="TableContents"/>
              <w:spacing w:before="0" w:after="283"/>
              <w:rPr>
                <w:sz w:val="4"/>
                <w:szCs w:val="4"/>
              </w:rPr>
            </w:pPr>
            <w:r>
              <w:rPr>
                <w:sz w:val="4"/>
                <w:szCs w:val="4"/>
              </w:rPr>
            </w:r>
          </w:p>
        </w:tc>
        <w:tc>
          <w:tcPr>
            <w:tcW w:w="883" w:type="dxa"/>
            <w:gridSpan w:val="3"/>
            <w:tcBorders/>
            <w:shd w:fill="auto" w:val="clear"/>
            <w:vAlign w:val="center"/>
          </w:tcPr>
          <w:p>
            <w:pPr>
              <w:pStyle w:val="TableContents"/>
              <w:spacing w:before="0" w:after="283"/>
              <w:rPr>
                <w:sz w:val="4"/>
                <w:szCs w:val="4"/>
              </w:rPr>
            </w:pPr>
            <w:r>
              <w:rPr>
                <w:sz w:val="4"/>
                <w:szCs w:val="4"/>
              </w:rPr>
            </w:r>
          </w:p>
        </w:tc>
      </w:tr>
      <w:tr>
        <w:trPr/>
        <w:tc>
          <w:tcPr>
            <w:tcW w:w="5029" w:type="dxa"/>
            <w:tcBorders/>
            <w:shd w:fill="auto" w:val="clear"/>
          </w:tcPr>
          <w:p>
            <w:pPr>
              <w:pStyle w:val="TableContents"/>
              <w:spacing w:before="0" w:after="0"/>
              <w:rPr/>
            </w:pPr>
            <w:r>
              <w:rPr>
                <w:rFonts w:ascii="Times New Roman" w:hAnsi="Times New Roman"/>
                <w:sz w:val="20"/>
              </w:rPr>
              <w:t>Crestview Capital Fund, L.P.</w:t>
            </w:r>
            <w:r>
              <w:rPr>
                <w:rFonts w:ascii="Times New Roman" w:hAnsi="Times New Roman"/>
                <w:color w:val="000000"/>
                <w:position w:val="5"/>
                <w:sz w:val="11"/>
                <w:sz w:val="14"/>
              </w:rPr>
              <w:t>7</w:t>
            </w:r>
          </w:p>
          <w:p>
            <w:pPr>
              <w:pStyle w:val="TableContents"/>
              <w:spacing w:before="0" w:after="0"/>
              <w:rPr>
                <w:rFonts w:ascii="Times New Roman" w:hAnsi="Times New Roman"/>
                <w:sz w:val="20"/>
              </w:rPr>
            </w:pPr>
            <w:r>
              <w:rPr>
                <w:rFonts w:ascii="Times New Roman" w:hAnsi="Times New Roman"/>
                <w:sz w:val="20"/>
              </w:rPr>
              <w:t>95 Revere Drive, Suite F</w:t>
            </w:r>
          </w:p>
          <w:p>
            <w:pPr>
              <w:pStyle w:val="TableContents"/>
              <w:spacing w:before="0" w:after="15"/>
              <w:rPr>
                <w:rFonts w:ascii="Times New Roman" w:hAnsi="Times New Roman"/>
                <w:sz w:val="20"/>
              </w:rPr>
            </w:pPr>
            <w:r>
              <w:rPr>
                <w:rFonts w:ascii="Times New Roman" w:hAnsi="Times New Roman"/>
                <w:sz w:val="20"/>
              </w:rPr>
              <w:t>Northbrook, IL 60062</w:t>
            </w:r>
          </w:p>
        </w:tc>
        <w:tc>
          <w:tcPr>
            <w:tcW w:w="217" w:type="dxa"/>
            <w:tcBorders/>
            <w:shd w:fill="auto" w:val="clear"/>
            <w:vAlign w:val="bottom"/>
          </w:tcPr>
          <w:p>
            <w:pPr>
              <w:pStyle w:val="TableContents"/>
              <w:spacing w:before="0" w:after="283"/>
              <w:rPr/>
            </w:pPr>
            <w:r>
              <w:rPr/>
              <w:t>  </w:t>
            </w:r>
          </w:p>
        </w:tc>
        <w:tc>
          <w:tcPr>
            <w:tcW w:w="93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216,667</w:t>
            </w:r>
          </w:p>
        </w:tc>
        <w:tc>
          <w:tcPr>
            <w:tcW w:w="217" w:type="dxa"/>
            <w:tcBorders/>
            <w:shd w:fill="auto" w:val="clear"/>
            <w:vAlign w:val="bottom"/>
          </w:tcPr>
          <w:p>
            <w:pPr>
              <w:pStyle w:val="TableContents"/>
              <w:spacing w:before="0" w:after="283"/>
              <w:rPr/>
            </w:pPr>
            <w:r>
              <w:rPr/>
              <w:t>  </w:t>
            </w:r>
          </w:p>
        </w:tc>
        <w:tc>
          <w:tcPr>
            <w:tcW w:w="45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w:t>
            </w:r>
          </w:p>
        </w:tc>
        <w:tc>
          <w:tcPr>
            <w:tcW w:w="1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74"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216,667</w:t>
            </w:r>
          </w:p>
        </w:tc>
        <w:tc>
          <w:tcPr>
            <w:tcW w:w="174" w:type="dxa"/>
            <w:tcBorders/>
            <w:shd w:fill="auto" w:val="clear"/>
            <w:vAlign w:val="bottom"/>
          </w:tcPr>
          <w:p>
            <w:pPr>
              <w:pStyle w:val="TableContents"/>
              <w:spacing w:before="0" w:after="283"/>
              <w:rPr/>
            </w:pPr>
            <w:r>
              <w:rPr/>
              <w:t> </w:t>
            </w:r>
          </w:p>
        </w:tc>
        <w:tc>
          <w:tcPr>
            <w:tcW w:w="937"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0</w:t>
            </w:r>
          </w:p>
        </w:tc>
        <w:tc>
          <w:tcPr>
            <w:tcW w:w="217" w:type="dxa"/>
            <w:tcBorders/>
            <w:shd w:fill="auto" w:val="clear"/>
            <w:vAlign w:val="bottom"/>
          </w:tcPr>
          <w:p>
            <w:pPr>
              <w:pStyle w:val="TableContents"/>
              <w:spacing w:before="0" w:after="283"/>
              <w:rPr/>
            </w:pPr>
            <w:r>
              <w:rPr/>
              <w:t>  </w:t>
            </w:r>
          </w:p>
        </w:tc>
        <w:tc>
          <w:tcPr>
            <w:tcW w:w="459"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207" w:type="dxa"/>
            <w:tcBorders/>
            <w:shd w:fill="auto" w:val="clear"/>
            <w:vAlign w:val="bottom"/>
          </w:tcPr>
          <w:p>
            <w:pPr>
              <w:pStyle w:val="TableContents"/>
              <w:spacing w:before="0" w:after="283"/>
              <w:rPr/>
            </w:pPr>
            <w:r>
              <w:rPr/>
              <w:t> </w:t>
            </w:r>
          </w:p>
        </w:tc>
      </w:tr>
      <w:tr>
        <w:trPr>
          <w:trHeight w:val="120" w:hRule="atLeast"/>
        </w:trPr>
        <w:tc>
          <w:tcPr>
            <w:tcW w:w="5029" w:type="dxa"/>
            <w:tcBorders/>
            <w:shd w:fill="auto" w:val="clear"/>
            <w:vAlign w:val="center"/>
          </w:tcPr>
          <w:p>
            <w:pPr>
              <w:pStyle w:val="TableContents"/>
              <w:spacing w:before="0" w:after="283"/>
              <w:rPr>
                <w:sz w:val="4"/>
                <w:szCs w:val="4"/>
              </w:rPr>
            </w:pPr>
            <w:r>
              <w:rPr>
                <w:sz w:val="4"/>
                <w:szCs w:val="4"/>
              </w:rPr>
            </w:r>
          </w:p>
        </w:tc>
        <w:tc>
          <w:tcPr>
            <w:tcW w:w="1154" w:type="dxa"/>
            <w:gridSpan w:val="2"/>
            <w:tcBorders/>
            <w:shd w:fill="auto" w:val="clear"/>
            <w:vAlign w:val="center"/>
          </w:tcPr>
          <w:p>
            <w:pPr>
              <w:pStyle w:val="TableContents"/>
              <w:spacing w:before="0" w:after="283"/>
              <w:rPr>
                <w:sz w:val="4"/>
                <w:szCs w:val="4"/>
              </w:rPr>
            </w:pPr>
            <w:r>
              <w:rPr>
                <w:sz w:val="4"/>
                <w:szCs w:val="4"/>
              </w:rPr>
            </w:r>
          </w:p>
        </w:tc>
        <w:tc>
          <w:tcPr>
            <w:tcW w:w="874" w:type="dxa"/>
            <w:gridSpan w:val="3"/>
            <w:tcBorders/>
            <w:shd w:fill="auto" w:val="clear"/>
            <w:vAlign w:val="center"/>
          </w:tcPr>
          <w:p>
            <w:pPr>
              <w:pStyle w:val="TableContents"/>
              <w:spacing w:before="0" w:after="283"/>
              <w:rPr>
                <w:sz w:val="4"/>
                <w:szCs w:val="4"/>
              </w:rPr>
            </w:pPr>
            <w:r>
              <w:rPr>
                <w:sz w:val="4"/>
                <w:szCs w:val="4"/>
              </w:rPr>
            </w:r>
          </w:p>
        </w:tc>
        <w:tc>
          <w:tcPr>
            <w:tcW w:w="1154" w:type="dxa"/>
            <w:gridSpan w:val="2"/>
            <w:tcBorders/>
            <w:shd w:fill="auto" w:val="clear"/>
            <w:vAlign w:val="center"/>
          </w:tcPr>
          <w:p>
            <w:pPr>
              <w:pStyle w:val="TableContents"/>
              <w:spacing w:before="0" w:after="283"/>
              <w:rPr>
                <w:sz w:val="4"/>
                <w:szCs w:val="4"/>
              </w:rPr>
            </w:pPr>
            <w:r>
              <w:rPr>
                <w:sz w:val="4"/>
                <w:szCs w:val="4"/>
              </w:rPr>
            </w:r>
          </w:p>
        </w:tc>
        <w:tc>
          <w:tcPr>
            <w:tcW w:w="1111" w:type="dxa"/>
            <w:gridSpan w:val="2"/>
            <w:tcBorders/>
            <w:shd w:fill="auto" w:val="clear"/>
            <w:vAlign w:val="center"/>
          </w:tcPr>
          <w:p>
            <w:pPr>
              <w:pStyle w:val="TableContents"/>
              <w:spacing w:before="0" w:after="283"/>
              <w:rPr>
                <w:sz w:val="4"/>
                <w:szCs w:val="4"/>
              </w:rPr>
            </w:pPr>
            <w:r>
              <w:rPr>
                <w:sz w:val="4"/>
                <w:szCs w:val="4"/>
              </w:rPr>
            </w:r>
          </w:p>
        </w:tc>
        <w:tc>
          <w:tcPr>
            <w:tcW w:w="883" w:type="dxa"/>
            <w:gridSpan w:val="3"/>
            <w:tcBorders/>
            <w:shd w:fill="auto" w:val="clear"/>
            <w:vAlign w:val="center"/>
          </w:tcPr>
          <w:p>
            <w:pPr>
              <w:pStyle w:val="TableContents"/>
              <w:spacing w:before="0" w:after="283"/>
              <w:rPr>
                <w:sz w:val="4"/>
                <w:szCs w:val="4"/>
              </w:rPr>
            </w:pPr>
            <w:r>
              <w:rPr>
                <w:sz w:val="4"/>
                <w:szCs w:val="4"/>
              </w:rPr>
            </w:r>
          </w:p>
        </w:tc>
      </w:tr>
      <w:tr>
        <w:trPr/>
        <w:tc>
          <w:tcPr>
            <w:tcW w:w="5029" w:type="dxa"/>
            <w:tcBorders/>
            <w:shd w:fill="auto" w:val="clear"/>
          </w:tcPr>
          <w:p>
            <w:pPr>
              <w:pStyle w:val="TableContents"/>
              <w:spacing w:before="0" w:after="0"/>
              <w:rPr>
                <w:rFonts w:ascii="Times New Roman" w:hAnsi="Times New Roman"/>
                <w:sz w:val="20"/>
              </w:rPr>
            </w:pPr>
            <w:r>
              <w:rPr>
                <w:rFonts w:ascii="Times New Roman" w:hAnsi="Times New Roman"/>
                <w:sz w:val="20"/>
              </w:rPr>
              <w:t>ICS Trustee Services, Ltd.</w:t>
            </w:r>
          </w:p>
          <w:p>
            <w:pPr>
              <w:pStyle w:val="TableContents"/>
              <w:spacing w:before="0" w:after="0"/>
              <w:rPr>
                <w:rFonts w:ascii="Times New Roman" w:hAnsi="Times New Roman"/>
                <w:sz w:val="20"/>
              </w:rPr>
            </w:pPr>
            <w:r>
              <w:rPr>
                <w:rFonts w:ascii="Times New Roman" w:hAnsi="Times New Roman"/>
                <w:sz w:val="20"/>
              </w:rPr>
              <w:t>Nine Queens Road, Suite 605-6</w:t>
            </w:r>
          </w:p>
          <w:p>
            <w:pPr>
              <w:pStyle w:val="TableContents"/>
              <w:spacing w:before="0" w:after="15"/>
              <w:rPr>
                <w:rFonts w:ascii="Times New Roman" w:hAnsi="Times New Roman"/>
                <w:sz w:val="20"/>
              </w:rPr>
            </w:pPr>
            <w:r>
              <w:rPr>
                <w:rFonts w:ascii="Times New Roman" w:hAnsi="Times New Roman"/>
                <w:sz w:val="20"/>
              </w:rPr>
              <w:t>Central, Hong Kong</w:t>
            </w:r>
          </w:p>
        </w:tc>
        <w:tc>
          <w:tcPr>
            <w:tcW w:w="217" w:type="dxa"/>
            <w:tcBorders/>
            <w:shd w:fill="auto" w:val="clear"/>
            <w:vAlign w:val="bottom"/>
          </w:tcPr>
          <w:p>
            <w:pPr>
              <w:pStyle w:val="TableContents"/>
              <w:spacing w:before="0" w:after="283"/>
              <w:rPr/>
            </w:pPr>
            <w:r>
              <w:rPr/>
              <w:t>  </w:t>
            </w:r>
          </w:p>
        </w:tc>
        <w:tc>
          <w:tcPr>
            <w:tcW w:w="93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100,000</w:t>
            </w:r>
          </w:p>
        </w:tc>
        <w:tc>
          <w:tcPr>
            <w:tcW w:w="217" w:type="dxa"/>
            <w:tcBorders/>
            <w:shd w:fill="auto" w:val="clear"/>
            <w:vAlign w:val="bottom"/>
          </w:tcPr>
          <w:p>
            <w:pPr>
              <w:pStyle w:val="TableContents"/>
              <w:spacing w:before="0" w:after="283"/>
              <w:rPr/>
            </w:pPr>
            <w:r>
              <w:rPr/>
              <w:t>  </w:t>
            </w:r>
          </w:p>
        </w:tc>
        <w:tc>
          <w:tcPr>
            <w:tcW w:w="45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w:t>
            </w:r>
          </w:p>
        </w:tc>
        <w:tc>
          <w:tcPr>
            <w:tcW w:w="1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74"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100,000</w:t>
            </w:r>
          </w:p>
        </w:tc>
        <w:tc>
          <w:tcPr>
            <w:tcW w:w="174" w:type="dxa"/>
            <w:tcBorders/>
            <w:shd w:fill="auto" w:val="clear"/>
            <w:vAlign w:val="bottom"/>
          </w:tcPr>
          <w:p>
            <w:pPr>
              <w:pStyle w:val="TableContents"/>
              <w:spacing w:before="0" w:after="283"/>
              <w:rPr/>
            </w:pPr>
            <w:r>
              <w:rPr/>
              <w:t> </w:t>
            </w:r>
          </w:p>
        </w:tc>
        <w:tc>
          <w:tcPr>
            <w:tcW w:w="937"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0</w:t>
            </w:r>
          </w:p>
        </w:tc>
        <w:tc>
          <w:tcPr>
            <w:tcW w:w="217" w:type="dxa"/>
            <w:tcBorders/>
            <w:shd w:fill="auto" w:val="clear"/>
            <w:vAlign w:val="bottom"/>
          </w:tcPr>
          <w:p>
            <w:pPr>
              <w:pStyle w:val="TableContents"/>
              <w:spacing w:before="0" w:after="283"/>
              <w:rPr/>
            </w:pPr>
            <w:r>
              <w:rPr/>
              <w:t>  </w:t>
            </w:r>
          </w:p>
        </w:tc>
        <w:tc>
          <w:tcPr>
            <w:tcW w:w="459"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207" w:type="dxa"/>
            <w:tcBorders/>
            <w:shd w:fill="auto" w:val="clear"/>
            <w:vAlign w:val="bottom"/>
          </w:tcPr>
          <w:p>
            <w:pPr>
              <w:pStyle w:val="TableContents"/>
              <w:spacing w:before="0" w:after="283"/>
              <w:rPr/>
            </w:pPr>
            <w:r>
              <w:rPr/>
              <w:t> </w:t>
            </w:r>
          </w:p>
        </w:tc>
      </w:tr>
      <w:tr>
        <w:trPr>
          <w:trHeight w:val="120" w:hRule="atLeast"/>
        </w:trPr>
        <w:tc>
          <w:tcPr>
            <w:tcW w:w="5029" w:type="dxa"/>
            <w:tcBorders/>
            <w:shd w:fill="auto" w:val="clear"/>
            <w:vAlign w:val="center"/>
          </w:tcPr>
          <w:p>
            <w:pPr>
              <w:pStyle w:val="TableContents"/>
              <w:spacing w:before="0" w:after="283"/>
              <w:rPr>
                <w:sz w:val="4"/>
                <w:szCs w:val="4"/>
              </w:rPr>
            </w:pPr>
            <w:r>
              <w:rPr>
                <w:sz w:val="4"/>
                <w:szCs w:val="4"/>
              </w:rPr>
            </w:r>
          </w:p>
        </w:tc>
        <w:tc>
          <w:tcPr>
            <w:tcW w:w="1154" w:type="dxa"/>
            <w:gridSpan w:val="2"/>
            <w:tcBorders/>
            <w:shd w:fill="auto" w:val="clear"/>
            <w:vAlign w:val="center"/>
          </w:tcPr>
          <w:p>
            <w:pPr>
              <w:pStyle w:val="TableContents"/>
              <w:spacing w:before="0" w:after="283"/>
              <w:rPr>
                <w:sz w:val="4"/>
                <w:szCs w:val="4"/>
              </w:rPr>
            </w:pPr>
            <w:r>
              <w:rPr>
                <w:sz w:val="4"/>
                <w:szCs w:val="4"/>
              </w:rPr>
            </w:r>
          </w:p>
        </w:tc>
        <w:tc>
          <w:tcPr>
            <w:tcW w:w="874" w:type="dxa"/>
            <w:gridSpan w:val="3"/>
            <w:tcBorders/>
            <w:shd w:fill="auto" w:val="clear"/>
            <w:vAlign w:val="center"/>
          </w:tcPr>
          <w:p>
            <w:pPr>
              <w:pStyle w:val="TableContents"/>
              <w:spacing w:before="0" w:after="283"/>
              <w:rPr>
                <w:sz w:val="4"/>
                <w:szCs w:val="4"/>
              </w:rPr>
            </w:pPr>
            <w:r>
              <w:rPr>
                <w:sz w:val="4"/>
                <w:szCs w:val="4"/>
              </w:rPr>
            </w:r>
          </w:p>
        </w:tc>
        <w:tc>
          <w:tcPr>
            <w:tcW w:w="1154" w:type="dxa"/>
            <w:gridSpan w:val="2"/>
            <w:tcBorders/>
            <w:shd w:fill="auto" w:val="clear"/>
            <w:vAlign w:val="center"/>
          </w:tcPr>
          <w:p>
            <w:pPr>
              <w:pStyle w:val="TableContents"/>
              <w:spacing w:before="0" w:after="283"/>
              <w:rPr>
                <w:sz w:val="4"/>
                <w:szCs w:val="4"/>
              </w:rPr>
            </w:pPr>
            <w:r>
              <w:rPr>
                <w:sz w:val="4"/>
                <w:szCs w:val="4"/>
              </w:rPr>
            </w:r>
          </w:p>
        </w:tc>
        <w:tc>
          <w:tcPr>
            <w:tcW w:w="1111" w:type="dxa"/>
            <w:gridSpan w:val="2"/>
            <w:tcBorders/>
            <w:shd w:fill="auto" w:val="clear"/>
            <w:vAlign w:val="center"/>
          </w:tcPr>
          <w:p>
            <w:pPr>
              <w:pStyle w:val="TableContents"/>
              <w:spacing w:before="0" w:after="283"/>
              <w:rPr>
                <w:sz w:val="4"/>
                <w:szCs w:val="4"/>
              </w:rPr>
            </w:pPr>
            <w:r>
              <w:rPr>
                <w:sz w:val="4"/>
                <w:szCs w:val="4"/>
              </w:rPr>
            </w:r>
          </w:p>
        </w:tc>
        <w:tc>
          <w:tcPr>
            <w:tcW w:w="883" w:type="dxa"/>
            <w:gridSpan w:val="3"/>
            <w:tcBorders/>
            <w:shd w:fill="auto" w:val="clear"/>
            <w:vAlign w:val="center"/>
          </w:tcPr>
          <w:p>
            <w:pPr>
              <w:pStyle w:val="TableContents"/>
              <w:spacing w:before="0" w:after="283"/>
              <w:rPr>
                <w:sz w:val="4"/>
                <w:szCs w:val="4"/>
              </w:rPr>
            </w:pPr>
            <w:r>
              <w:rPr>
                <w:sz w:val="4"/>
                <w:szCs w:val="4"/>
              </w:rPr>
            </w:r>
          </w:p>
        </w:tc>
      </w:tr>
      <w:tr>
        <w:trPr/>
        <w:tc>
          <w:tcPr>
            <w:tcW w:w="5029" w:type="dxa"/>
            <w:tcBorders/>
            <w:shd w:fill="auto" w:val="clear"/>
          </w:tcPr>
          <w:p>
            <w:pPr>
              <w:pStyle w:val="TableContents"/>
              <w:spacing w:before="0" w:after="0"/>
              <w:rPr/>
            </w:pPr>
            <w:r>
              <w:rPr>
                <w:rFonts w:ascii="Times New Roman" w:hAnsi="Times New Roman"/>
                <w:sz w:val="20"/>
              </w:rPr>
              <w:t>Robert Geras</w:t>
            </w:r>
            <w:r>
              <w:rPr>
                <w:rFonts w:ascii="Times New Roman" w:hAnsi="Times New Roman"/>
                <w:color w:val="000000"/>
                <w:position w:val="5"/>
                <w:sz w:val="11"/>
                <w:sz w:val="14"/>
              </w:rPr>
              <w:t>7</w:t>
            </w:r>
          </w:p>
          <w:p>
            <w:pPr>
              <w:pStyle w:val="TableContents"/>
              <w:spacing w:before="0" w:after="0"/>
              <w:rPr>
                <w:rFonts w:ascii="Times New Roman" w:hAnsi="Times New Roman"/>
                <w:sz w:val="20"/>
              </w:rPr>
            </w:pPr>
            <w:r>
              <w:rPr>
                <w:rFonts w:ascii="Times New Roman" w:hAnsi="Times New Roman"/>
                <w:sz w:val="20"/>
              </w:rPr>
              <w:t>2125 Valley Road</w:t>
            </w:r>
          </w:p>
          <w:p>
            <w:pPr>
              <w:pStyle w:val="TableContents"/>
              <w:spacing w:before="0" w:after="15"/>
              <w:rPr>
                <w:rFonts w:ascii="Times New Roman" w:hAnsi="Times New Roman"/>
                <w:sz w:val="20"/>
              </w:rPr>
            </w:pPr>
            <w:r>
              <w:rPr>
                <w:rFonts w:ascii="Times New Roman" w:hAnsi="Times New Roman"/>
                <w:sz w:val="20"/>
              </w:rPr>
              <w:t>Northbrook, IL 60062</w:t>
            </w:r>
          </w:p>
        </w:tc>
        <w:tc>
          <w:tcPr>
            <w:tcW w:w="217" w:type="dxa"/>
            <w:tcBorders/>
            <w:shd w:fill="auto" w:val="clear"/>
            <w:vAlign w:val="bottom"/>
          </w:tcPr>
          <w:p>
            <w:pPr>
              <w:pStyle w:val="TableContents"/>
              <w:spacing w:before="0" w:after="283"/>
              <w:rPr/>
            </w:pPr>
            <w:r>
              <w:rPr/>
              <w:t>  </w:t>
            </w:r>
          </w:p>
        </w:tc>
        <w:tc>
          <w:tcPr>
            <w:tcW w:w="93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70,000</w:t>
            </w:r>
          </w:p>
        </w:tc>
        <w:tc>
          <w:tcPr>
            <w:tcW w:w="217" w:type="dxa"/>
            <w:tcBorders/>
            <w:shd w:fill="auto" w:val="clear"/>
            <w:vAlign w:val="bottom"/>
          </w:tcPr>
          <w:p>
            <w:pPr>
              <w:pStyle w:val="TableContents"/>
              <w:spacing w:before="0" w:after="283"/>
              <w:rPr/>
            </w:pPr>
            <w:r>
              <w:rPr/>
              <w:t>  </w:t>
            </w:r>
          </w:p>
        </w:tc>
        <w:tc>
          <w:tcPr>
            <w:tcW w:w="45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0.7</w:t>
            </w:r>
          </w:p>
        </w:tc>
        <w:tc>
          <w:tcPr>
            <w:tcW w:w="1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74"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70,000</w:t>
            </w:r>
          </w:p>
        </w:tc>
        <w:tc>
          <w:tcPr>
            <w:tcW w:w="174" w:type="dxa"/>
            <w:tcBorders/>
            <w:shd w:fill="auto" w:val="clear"/>
            <w:vAlign w:val="bottom"/>
          </w:tcPr>
          <w:p>
            <w:pPr>
              <w:pStyle w:val="TableContents"/>
              <w:spacing w:before="0" w:after="283"/>
              <w:rPr/>
            </w:pPr>
            <w:r>
              <w:rPr/>
              <w:t> </w:t>
            </w:r>
          </w:p>
        </w:tc>
        <w:tc>
          <w:tcPr>
            <w:tcW w:w="937"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0</w:t>
            </w:r>
          </w:p>
        </w:tc>
        <w:tc>
          <w:tcPr>
            <w:tcW w:w="217" w:type="dxa"/>
            <w:tcBorders/>
            <w:shd w:fill="auto" w:val="clear"/>
            <w:vAlign w:val="bottom"/>
          </w:tcPr>
          <w:p>
            <w:pPr>
              <w:pStyle w:val="TableContents"/>
              <w:spacing w:before="0" w:after="283"/>
              <w:rPr/>
            </w:pPr>
            <w:r>
              <w:rPr/>
              <w:t>  </w:t>
            </w:r>
          </w:p>
        </w:tc>
        <w:tc>
          <w:tcPr>
            <w:tcW w:w="459"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207" w:type="dxa"/>
            <w:tcBorders/>
            <w:shd w:fill="auto" w:val="clear"/>
            <w:vAlign w:val="bottom"/>
          </w:tcPr>
          <w:p>
            <w:pPr>
              <w:pStyle w:val="TableContents"/>
              <w:spacing w:before="0" w:after="283"/>
              <w:rPr/>
            </w:pPr>
            <w:r>
              <w:rPr/>
              <w:t> </w:t>
            </w:r>
          </w:p>
        </w:tc>
      </w:tr>
      <w:tr>
        <w:trPr>
          <w:trHeight w:val="120" w:hRule="atLeast"/>
        </w:trPr>
        <w:tc>
          <w:tcPr>
            <w:tcW w:w="5029" w:type="dxa"/>
            <w:tcBorders/>
            <w:shd w:fill="auto" w:val="clear"/>
            <w:vAlign w:val="center"/>
          </w:tcPr>
          <w:p>
            <w:pPr>
              <w:pStyle w:val="TableContents"/>
              <w:spacing w:before="0" w:after="283"/>
              <w:rPr>
                <w:sz w:val="4"/>
                <w:szCs w:val="4"/>
              </w:rPr>
            </w:pPr>
            <w:r>
              <w:rPr>
                <w:sz w:val="4"/>
                <w:szCs w:val="4"/>
              </w:rPr>
            </w:r>
          </w:p>
        </w:tc>
        <w:tc>
          <w:tcPr>
            <w:tcW w:w="1154" w:type="dxa"/>
            <w:gridSpan w:val="2"/>
            <w:tcBorders/>
            <w:shd w:fill="auto" w:val="clear"/>
            <w:vAlign w:val="center"/>
          </w:tcPr>
          <w:p>
            <w:pPr>
              <w:pStyle w:val="TableContents"/>
              <w:spacing w:before="0" w:after="283"/>
              <w:rPr>
                <w:sz w:val="4"/>
                <w:szCs w:val="4"/>
              </w:rPr>
            </w:pPr>
            <w:r>
              <w:rPr>
                <w:sz w:val="4"/>
                <w:szCs w:val="4"/>
              </w:rPr>
            </w:r>
          </w:p>
        </w:tc>
        <w:tc>
          <w:tcPr>
            <w:tcW w:w="874" w:type="dxa"/>
            <w:gridSpan w:val="3"/>
            <w:tcBorders/>
            <w:shd w:fill="auto" w:val="clear"/>
            <w:vAlign w:val="center"/>
          </w:tcPr>
          <w:p>
            <w:pPr>
              <w:pStyle w:val="TableContents"/>
              <w:spacing w:before="0" w:after="283"/>
              <w:rPr>
                <w:sz w:val="4"/>
                <w:szCs w:val="4"/>
              </w:rPr>
            </w:pPr>
            <w:r>
              <w:rPr>
                <w:sz w:val="4"/>
                <w:szCs w:val="4"/>
              </w:rPr>
            </w:r>
          </w:p>
        </w:tc>
        <w:tc>
          <w:tcPr>
            <w:tcW w:w="1154" w:type="dxa"/>
            <w:gridSpan w:val="2"/>
            <w:tcBorders/>
            <w:shd w:fill="auto" w:val="clear"/>
            <w:vAlign w:val="center"/>
          </w:tcPr>
          <w:p>
            <w:pPr>
              <w:pStyle w:val="TableContents"/>
              <w:spacing w:before="0" w:after="283"/>
              <w:rPr>
                <w:sz w:val="4"/>
                <w:szCs w:val="4"/>
              </w:rPr>
            </w:pPr>
            <w:r>
              <w:rPr>
                <w:sz w:val="4"/>
                <w:szCs w:val="4"/>
              </w:rPr>
            </w:r>
          </w:p>
        </w:tc>
        <w:tc>
          <w:tcPr>
            <w:tcW w:w="1111" w:type="dxa"/>
            <w:gridSpan w:val="2"/>
            <w:tcBorders/>
            <w:shd w:fill="auto" w:val="clear"/>
            <w:vAlign w:val="center"/>
          </w:tcPr>
          <w:p>
            <w:pPr>
              <w:pStyle w:val="TableContents"/>
              <w:spacing w:before="0" w:after="283"/>
              <w:rPr>
                <w:sz w:val="4"/>
                <w:szCs w:val="4"/>
              </w:rPr>
            </w:pPr>
            <w:r>
              <w:rPr>
                <w:sz w:val="4"/>
                <w:szCs w:val="4"/>
              </w:rPr>
            </w:r>
          </w:p>
        </w:tc>
        <w:tc>
          <w:tcPr>
            <w:tcW w:w="883" w:type="dxa"/>
            <w:gridSpan w:val="3"/>
            <w:tcBorders/>
            <w:shd w:fill="auto" w:val="clear"/>
            <w:vAlign w:val="center"/>
          </w:tcPr>
          <w:p>
            <w:pPr>
              <w:pStyle w:val="TableContents"/>
              <w:spacing w:before="0" w:after="283"/>
              <w:rPr>
                <w:sz w:val="4"/>
                <w:szCs w:val="4"/>
              </w:rPr>
            </w:pPr>
            <w:r>
              <w:rPr>
                <w:sz w:val="4"/>
                <w:szCs w:val="4"/>
              </w:rPr>
            </w:r>
          </w:p>
        </w:tc>
      </w:tr>
      <w:tr>
        <w:trPr/>
        <w:tc>
          <w:tcPr>
            <w:tcW w:w="5029" w:type="dxa"/>
            <w:tcBorders/>
            <w:shd w:fill="auto" w:val="clear"/>
          </w:tcPr>
          <w:p>
            <w:pPr>
              <w:pStyle w:val="TableContents"/>
              <w:spacing w:before="0" w:after="0"/>
              <w:rPr/>
            </w:pPr>
            <w:r>
              <w:rPr>
                <w:rFonts w:ascii="Times New Roman" w:hAnsi="Times New Roman"/>
                <w:sz w:val="20"/>
              </w:rPr>
              <w:t>Steven Erlbaum</w:t>
            </w:r>
            <w:r>
              <w:rPr>
                <w:rFonts w:ascii="Times New Roman" w:hAnsi="Times New Roman"/>
                <w:color w:val="000000"/>
                <w:position w:val="5"/>
                <w:sz w:val="11"/>
                <w:sz w:val="14"/>
              </w:rPr>
              <w:t>7</w:t>
            </w:r>
          </w:p>
          <w:p>
            <w:pPr>
              <w:pStyle w:val="TableContents"/>
              <w:spacing w:before="0" w:after="0"/>
              <w:rPr/>
            </w:pPr>
            <w:r>
              <w:rPr>
                <w:rFonts w:ascii="Times New Roman" w:hAnsi="Times New Roman"/>
                <w:sz w:val="20"/>
              </w:rPr>
              <w:t>42 W. Lancaster, 2</w:t>
            </w:r>
            <w:r>
              <w:rPr>
                <w:rFonts w:ascii="Times New Roman" w:hAnsi="Times New Roman"/>
                <w:color w:val="000000"/>
                <w:position w:val="5"/>
                <w:sz w:val="11"/>
                <w:sz w:val="14"/>
              </w:rPr>
              <w:t>nd</w:t>
            </w:r>
            <w:r>
              <w:rPr>
                <w:color w:val="000000"/>
              </w:rPr>
              <w:t xml:space="preserve"> </w:t>
            </w:r>
            <w:r>
              <w:rPr>
                <w:rFonts w:ascii="Times New Roman" w:hAnsi="Times New Roman"/>
                <w:color w:val="000000"/>
                <w:sz w:val="20"/>
              </w:rPr>
              <w:t>Floor</w:t>
            </w:r>
          </w:p>
          <w:p>
            <w:pPr>
              <w:pStyle w:val="TableContents"/>
              <w:spacing w:before="0" w:after="15"/>
              <w:rPr>
                <w:rFonts w:ascii="Times New Roman" w:hAnsi="Times New Roman"/>
                <w:sz w:val="20"/>
              </w:rPr>
            </w:pPr>
            <w:r>
              <w:rPr>
                <w:rFonts w:ascii="Times New Roman" w:hAnsi="Times New Roman"/>
                <w:sz w:val="20"/>
              </w:rPr>
              <w:t>Ardmore, PA 19003</w:t>
            </w:r>
          </w:p>
        </w:tc>
        <w:tc>
          <w:tcPr>
            <w:tcW w:w="217" w:type="dxa"/>
            <w:tcBorders/>
            <w:shd w:fill="auto" w:val="clear"/>
            <w:vAlign w:val="bottom"/>
          </w:tcPr>
          <w:p>
            <w:pPr>
              <w:pStyle w:val="TableContents"/>
              <w:spacing w:before="0" w:after="283"/>
              <w:rPr/>
            </w:pPr>
            <w:r>
              <w:rPr/>
              <w:t>  </w:t>
            </w:r>
          </w:p>
        </w:tc>
        <w:tc>
          <w:tcPr>
            <w:tcW w:w="93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25,000</w:t>
            </w:r>
          </w:p>
        </w:tc>
        <w:tc>
          <w:tcPr>
            <w:tcW w:w="217" w:type="dxa"/>
            <w:tcBorders/>
            <w:shd w:fill="auto" w:val="clear"/>
            <w:vAlign w:val="bottom"/>
          </w:tcPr>
          <w:p>
            <w:pPr>
              <w:pStyle w:val="TableContents"/>
              <w:spacing w:before="0" w:after="283"/>
              <w:rPr/>
            </w:pPr>
            <w:r>
              <w:rPr/>
              <w:t>  </w:t>
            </w:r>
          </w:p>
        </w:tc>
        <w:tc>
          <w:tcPr>
            <w:tcW w:w="45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0.2</w:t>
            </w:r>
          </w:p>
        </w:tc>
        <w:tc>
          <w:tcPr>
            <w:tcW w:w="1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74"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25,000</w:t>
            </w:r>
          </w:p>
        </w:tc>
        <w:tc>
          <w:tcPr>
            <w:tcW w:w="174" w:type="dxa"/>
            <w:tcBorders/>
            <w:shd w:fill="auto" w:val="clear"/>
            <w:vAlign w:val="bottom"/>
          </w:tcPr>
          <w:p>
            <w:pPr>
              <w:pStyle w:val="TableContents"/>
              <w:spacing w:before="0" w:after="283"/>
              <w:rPr/>
            </w:pPr>
            <w:r>
              <w:rPr/>
              <w:t> </w:t>
            </w:r>
          </w:p>
        </w:tc>
        <w:tc>
          <w:tcPr>
            <w:tcW w:w="937"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0</w:t>
            </w:r>
          </w:p>
        </w:tc>
        <w:tc>
          <w:tcPr>
            <w:tcW w:w="217" w:type="dxa"/>
            <w:tcBorders/>
            <w:shd w:fill="auto" w:val="clear"/>
            <w:vAlign w:val="bottom"/>
          </w:tcPr>
          <w:p>
            <w:pPr>
              <w:pStyle w:val="TableContents"/>
              <w:spacing w:before="0" w:after="283"/>
              <w:rPr/>
            </w:pPr>
            <w:r>
              <w:rPr/>
              <w:t>  </w:t>
            </w:r>
          </w:p>
        </w:tc>
        <w:tc>
          <w:tcPr>
            <w:tcW w:w="459"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207" w:type="dxa"/>
            <w:tcBorders/>
            <w:shd w:fill="auto" w:val="clear"/>
            <w:vAlign w:val="bottom"/>
          </w:tcPr>
          <w:p>
            <w:pPr>
              <w:pStyle w:val="TableContents"/>
              <w:spacing w:before="0" w:after="283"/>
              <w:rPr/>
            </w:pPr>
            <w:r>
              <w:rPr/>
              <w:t> </w:t>
            </w:r>
          </w:p>
        </w:tc>
      </w:tr>
      <w:tr>
        <w:trPr>
          <w:trHeight w:val="120" w:hRule="atLeast"/>
        </w:trPr>
        <w:tc>
          <w:tcPr>
            <w:tcW w:w="5029" w:type="dxa"/>
            <w:tcBorders/>
            <w:shd w:fill="auto" w:val="clear"/>
            <w:vAlign w:val="center"/>
          </w:tcPr>
          <w:p>
            <w:pPr>
              <w:pStyle w:val="TableContents"/>
              <w:spacing w:before="0" w:after="283"/>
              <w:rPr>
                <w:sz w:val="4"/>
                <w:szCs w:val="4"/>
              </w:rPr>
            </w:pPr>
            <w:r>
              <w:rPr>
                <w:sz w:val="4"/>
                <w:szCs w:val="4"/>
              </w:rPr>
            </w:r>
          </w:p>
        </w:tc>
        <w:tc>
          <w:tcPr>
            <w:tcW w:w="1154" w:type="dxa"/>
            <w:gridSpan w:val="2"/>
            <w:tcBorders/>
            <w:shd w:fill="auto" w:val="clear"/>
            <w:vAlign w:val="center"/>
          </w:tcPr>
          <w:p>
            <w:pPr>
              <w:pStyle w:val="TableContents"/>
              <w:spacing w:before="0" w:after="283"/>
              <w:rPr>
                <w:sz w:val="4"/>
                <w:szCs w:val="4"/>
              </w:rPr>
            </w:pPr>
            <w:r>
              <w:rPr>
                <w:sz w:val="4"/>
                <w:szCs w:val="4"/>
              </w:rPr>
            </w:r>
          </w:p>
        </w:tc>
        <w:tc>
          <w:tcPr>
            <w:tcW w:w="874" w:type="dxa"/>
            <w:gridSpan w:val="3"/>
            <w:tcBorders/>
            <w:shd w:fill="auto" w:val="clear"/>
            <w:vAlign w:val="center"/>
          </w:tcPr>
          <w:p>
            <w:pPr>
              <w:pStyle w:val="TableContents"/>
              <w:spacing w:before="0" w:after="283"/>
              <w:rPr>
                <w:sz w:val="4"/>
                <w:szCs w:val="4"/>
              </w:rPr>
            </w:pPr>
            <w:r>
              <w:rPr>
                <w:sz w:val="4"/>
                <w:szCs w:val="4"/>
              </w:rPr>
            </w:r>
          </w:p>
        </w:tc>
        <w:tc>
          <w:tcPr>
            <w:tcW w:w="1154" w:type="dxa"/>
            <w:gridSpan w:val="2"/>
            <w:tcBorders/>
            <w:shd w:fill="auto" w:val="clear"/>
            <w:vAlign w:val="center"/>
          </w:tcPr>
          <w:p>
            <w:pPr>
              <w:pStyle w:val="TableContents"/>
              <w:spacing w:before="0" w:after="283"/>
              <w:rPr>
                <w:sz w:val="4"/>
                <w:szCs w:val="4"/>
              </w:rPr>
            </w:pPr>
            <w:r>
              <w:rPr>
                <w:sz w:val="4"/>
                <w:szCs w:val="4"/>
              </w:rPr>
            </w:r>
          </w:p>
        </w:tc>
        <w:tc>
          <w:tcPr>
            <w:tcW w:w="1111" w:type="dxa"/>
            <w:gridSpan w:val="2"/>
            <w:tcBorders/>
            <w:shd w:fill="auto" w:val="clear"/>
            <w:vAlign w:val="center"/>
          </w:tcPr>
          <w:p>
            <w:pPr>
              <w:pStyle w:val="TableContents"/>
              <w:spacing w:before="0" w:after="283"/>
              <w:rPr>
                <w:sz w:val="4"/>
                <w:szCs w:val="4"/>
              </w:rPr>
            </w:pPr>
            <w:r>
              <w:rPr>
                <w:sz w:val="4"/>
                <w:szCs w:val="4"/>
              </w:rPr>
            </w:r>
          </w:p>
        </w:tc>
        <w:tc>
          <w:tcPr>
            <w:tcW w:w="883" w:type="dxa"/>
            <w:gridSpan w:val="3"/>
            <w:tcBorders/>
            <w:shd w:fill="auto" w:val="clear"/>
            <w:vAlign w:val="center"/>
          </w:tcPr>
          <w:p>
            <w:pPr>
              <w:pStyle w:val="TableContents"/>
              <w:spacing w:before="0" w:after="283"/>
              <w:rPr>
                <w:sz w:val="4"/>
                <w:szCs w:val="4"/>
              </w:rPr>
            </w:pPr>
            <w:r>
              <w:rPr>
                <w:sz w:val="4"/>
                <w:szCs w:val="4"/>
              </w:rPr>
            </w:r>
          </w:p>
        </w:tc>
      </w:tr>
      <w:tr>
        <w:trPr/>
        <w:tc>
          <w:tcPr>
            <w:tcW w:w="5029" w:type="dxa"/>
            <w:tcBorders/>
            <w:shd w:fill="auto" w:val="clear"/>
          </w:tcPr>
          <w:p>
            <w:pPr>
              <w:pStyle w:val="TableContents"/>
              <w:spacing w:before="0" w:after="0"/>
              <w:rPr/>
            </w:pPr>
            <w:r>
              <w:rPr>
                <w:rFonts w:ascii="Times New Roman" w:hAnsi="Times New Roman"/>
                <w:sz w:val="20"/>
              </w:rPr>
              <w:t>Erlbaum Family L.P.</w:t>
            </w:r>
            <w:r>
              <w:rPr>
                <w:rFonts w:ascii="Times New Roman" w:hAnsi="Times New Roman"/>
                <w:color w:val="000000"/>
                <w:position w:val="5"/>
                <w:sz w:val="11"/>
                <w:sz w:val="14"/>
              </w:rPr>
              <w:t>7</w:t>
            </w:r>
          </w:p>
          <w:p>
            <w:pPr>
              <w:pStyle w:val="TableContents"/>
              <w:spacing w:before="0" w:after="0"/>
              <w:rPr/>
            </w:pPr>
            <w:r>
              <w:rPr>
                <w:rFonts w:ascii="Times New Roman" w:hAnsi="Times New Roman"/>
                <w:sz w:val="20"/>
              </w:rPr>
              <w:t>42 W. Lancaster, 2</w:t>
            </w:r>
            <w:r>
              <w:rPr>
                <w:rFonts w:ascii="Times New Roman" w:hAnsi="Times New Roman"/>
                <w:color w:val="000000"/>
                <w:position w:val="5"/>
                <w:sz w:val="11"/>
                <w:sz w:val="14"/>
              </w:rPr>
              <w:t>nd</w:t>
            </w:r>
            <w:r>
              <w:rPr>
                <w:color w:val="000000"/>
              </w:rPr>
              <w:t xml:space="preserve"> </w:t>
            </w:r>
            <w:r>
              <w:rPr>
                <w:rFonts w:ascii="Times New Roman" w:hAnsi="Times New Roman"/>
                <w:color w:val="000000"/>
                <w:sz w:val="20"/>
              </w:rPr>
              <w:t>Floor</w:t>
            </w:r>
          </w:p>
          <w:p>
            <w:pPr>
              <w:pStyle w:val="TableContents"/>
              <w:spacing w:before="0" w:after="15"/>
              <w:rPr>
                <w:rFonts w:ascii="Times New Roman" w:hAnsi="Times New Roman"/>
                <w:sz w:val="20"/>
              </w:rPr>
            </w:pPr>
            <w:r>
              <w:rPr>
                <w:rFonts w:ascii="Times New Roman" w:hAnsi="Times New Roman"/>
                <w:sz w:val="20"/>
              </w:rPr>
              <w:t>Ardmore, PA 19003</w:t>
            </w:r>
          </w:p>
        </w:tc>
        <w:tc>
          <w:tcPr>
            <w:tcW w:w="217" w:type="dxa"/>
            <w:tcBorders/>
            <w:shd w:fill="auto" w:val="clear"/>
            <w:vAlign w:val="bottom"/>
          </w:tcPr>
          <w:p>
            <w:pPr>
              <w:pStyle w:val="TableContents"/>
              <w:spacing w:before="0" w:after="283"/>
              <w:rPr/>
            </w:pPr>
            <w:r>
              <w:rPr/>
              <w:t>  </w:t>
            </w:r>
          </w:p>
        </w:tc>
        <w:tc>
          <w:tcPr>
            <w:tcW w:w="93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25,000</w:t>
            </w:r>
          </w:p>
        </w:tc>
        <w:tc>
          <w:tcPr>
            <w:tcW w:w="217" w:type="dxa"/>
            <w:tcBorders/>
            <w:shd w:fill="auto" w:val="clear"/>
            <w:vAlign w:val="bottom"/>
          </w:tcPr>
          <w:p>
            <w:pPr>
              <w:pStyle w:val="TableContents"/>
              <w:spacing w:before="0" w:after="283"/>
              <w:rPr/>
            </w:pPr>
            <w:r>
              <w:rPr/>
              <w:t>  </w:t>
            </w:r>
          </w:p>
        </w:tc>
        <w:tc>
          <w:tcPr>
            <w:tcW w:w="45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0.2</w:t>
            </w:r>
          </w:p>
        </w:tc>
        <w:tc>
          <w:tcPr>
            <w:tcW w:w="1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74"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25,000</w:t>
            </w:r>
          </w:p>
        </w:tc>
        <w:tc>
          <w:tcPr>
            <w:tcW w:w="174" w:type="dxa"/>
            <w:tcBorders/>
            <w:shd w:fill="auto" w:val="clear"/>
            <w:vAlign w:val="bottom"/>
          </w:tcPr>
          <w:p>
            <w:pPr>
              <w:pStyle w:val="TableContents"/>
              <w:spacing w:before="0" w:after="283"/>
              <w:rPr/>
            </w:pPr>
            <w:r>
              <w:rPr/>
              <w:t> </w:t>
            </w:r>
          </w:p>
        </w:tc>
        <w:tc>
          <w:tcPr>
            <w:tcW w:w="937"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0</w:t>
            </w:r>
          </w:p>
        </w:tc>
        <w:tc>
          <w:tcPr>
            <w:tcW w:w="217" w:type="dxa"/>
            <w:tcBorders/>
            <w:shd w:fill="auto" w:val="clear"/>
            <w:vAlign w:val="bottom"/>
          </w:tcPr>
          <w:p>
            <w:pPr>
              <w:pStyle w:val="TableContents"/>
              <w:spacing w:before="0" w:after="283"/>
              <w:rPr/>
            </w:pPr>
            <w:r>
              <w:rPr/>
              <w:t>  </w:t>
            </w:r>
          </w:p>
        </w:tc>
        <w:tc>
          <w:tcPr>
            <w:tcW w:w="459"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207" w:type="dxa"/>
            <w:tcBorders/>
            <w:shd w:fill="auto" w:val="clear"/>
            <w:vAlign w:val="bottom"/>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999999"/>
        </w:pBdr>
        <w:rPr/>
      </w:pPr>
      <w:r>
        <w:rPr/>
      </w:r>
    </w:p>
    <w:tbl>
      <w:tblPr>
        <w:tblW w:w="5000" w:type="pct"/>
        <w:jc w:val="center"/>
        <w:tblInd w:w="0" w:type="dxa"/>
        <w:tblCellMar>
          <w:top w:w="0" w:type="dxa"/>
          <w:left w:w="0" w:type="dxa"/>
          <w:bottom w:w="0" w:type="dxa"/>
          <w:right w:w="0" w:type="dxa"/>
        </w:tblCellMar>
      </w:tblPr>
      <w:tblGrid>
        <w:gridCol w:w="5818"/>
        <w:gridCol w:w="475"/>
        <w:gridCol w:w="657"/>
        <w:gridCol w:w="475"/>
        <w:gridCol w:w="275"/>
        <w:gridCol w:w="210"/>
        <w:gridCol w:w="432"/>
        <w:gridCol w:w="657"/>
        <w:gridCol w:w="475"/>
        <w:gridCol w:w="125"/>
        <w:gridCol w:w="475"/>
        <w:gridCol w:w="131"/>
      </w:tblGrid>
      <w:tr>
        <w:trPr/>
        <w:tc>
          <w:tcPr>
            <w:tcW w:w="5818"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bottom"/>
          </w:tcPr>
          <w:p>
            <w:pPr>
              <w:pStyle w:val="TableContents"/>
              <w:spacing w:before="0" w:after="283"/>
              <w:rPr>
                <w:sz w:val="4"/>
                <w:szCs w:val="4"/>
              </w:rPr>
            </w:pPr>
            <w:r>
              <w:rPr>
                <w:sz w:val="4"/>
                <w:szCs w:val="4"/>
              </w:rPr>
            </w:r>
          </w:p>
        </w:tc>
        <w:tc>
          <w:tcPr>
            <w:tcW w:w="657"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bottom"/>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432" w:type="dxa"/>
            <w:tcBorders/>
            <w:shd w:fill="auto" w:val="clear"/>
            <w:vAlign w:val="bottom"/>
          </w:tcPr>
          <w:p>
            <w:pPr>
              <w:pStyle w:val="TableContents"/>
              <w:spacing w:before="0" w:after="283"/>
              <w:rPr>
                <w:sz w:val="4"/>
                <w:szCs w:val="4"/>
              </w:rPr>
            </w:pPr>
            <w:r>
              <w:rPr>
                <w:sz w:val="4"/>
                <w:szCs w:val="4"/>
              </w:rPr>
            </w:r>
          </w:p>
        </w:tc>
        <w:tc>
          <w:tcPr>
            <w:tcW w:w="657"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bottom"/>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r>
      <w:tr>
        <w:trPr/>
        <w:tc>
          <w:tcPr>
            <w:tcW w:w="5818" w:type="dxa"/>
            <w:tcBorders/>
            <w:shd w:fill="auto" w:val="clear"/>
          </w:tcPr>
          <w:p>
            <w:pPr>
              <w:pStyle w:val="TableContents"/>
              <w:spacing w:before="0" w:after="0"/>
              <w:rPr/>
            </w:pPr>
            <w:r>
              <w:rPr>
                <w:rFonts w:ascii="Times New Roman" w:hAnsi="Times New Roman"/>
                <w:sz w:val="20"/>
              </w:rPr>
              <w:t>Friedman Investment Group, LLC</w:t>
            </w:r>
            <w:r>
              <w:rPr>
                <w:rFonts w:ascii="Times New Roman" w:hAnsi="Times New Roman"/>
                <w:color w:val="000000"/>
                <w:position w:val="5"/>
                <w:sz w:val="11"/>
                <w:sz w:val="14"/>
              </w:rPr>
              <w:t>7</w:t>
            </w:r>
          </w:p>
          <w:p>
            <w:pPr>
              <w:pStyle w:val="TableContents"/>
              <w:spacing w:before="0" w:after="0"/>
              <w:rPr>
                <w:rFonts w:ascii="Times New Roman" w:hAnsi="Times New Roman"/>
                <w:sz w:val="20"/>
              </w:rPr>
            </w:pPr>
            <w:r>
              <w:rPr>
                <w:rFonts w:ascii="Times New Roman" w:hAnsi="Times New Roman"/>
                <w:sz w:val="20"/>
              </w:rPr>
              <w:t>4250 W. Chase Avenue</w:t>
            </w:r>
          </w:p>
          <w:p>
            <w:pPr>
              <w:pStyle w:val="TableContents"/>
              <w:spacing w:before="0" w:after="15"/>
              <w:rPr>
                <w:rFonts w:ascii="Times New Roman" w:hAnsi="Times New Roman"/>
                <w:sz w:val="20"/>
              </w:rPr>
            </w:pPr>
            <w:r>
              <w:rPr>
                <w:rFonts w:ascii="Times New Roman" w:hAnsi="Times New Roman"/>
                <w:sz w:val="20"/>
              </w:rPr>
              <w:t>Lincolnwood, IL 60712</w:t>
            </w:r>
          </w:p>
        </w:tc>
        <w:tc>
          <w:tcPr>
            <w:tcW w:w="475" w:type="dxa"/>
            <w:tcBorders/>
            <w:shd w:fill="auto" w:val="clear"/>
            <w:vAlign w:val="bottom"/>
          </w:tcPr>
          <w:p>
            <w:pPr>
              <w:pStyle w:val="TableContents"/>
              <w:spacing w:before="0" w:after="283"/>
              <w:rPr/>
            </w:pPr>
            <w:r>
              <w:rPr/>
              <w:t>  </w:t>
            </w:r>
          </w:p>
        </w:tc>
        <w:tc>
          <w:tcPr>
            <w:tcW w:w="6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16,667</w:t>
            </w:r>
          </w:p>
        </w:tc>
        <w:tc>
          <w:tcPr>
            <w:tcW w:w="475"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0.2</w:t>
            </w:r>
          </w:p>
        </w:tc>
        <w:tc>
          <w:tcPr>
            <w:tcW w:w="21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32" w:type="dxa"/>
            <w:tcBorders/>
            <w:shd w:fill="auto" w:val="clear"/>
            <w:vAlign w:val="bottom"/>
          </w:tcPr>
          <w:p>
            <w:pPr>
              <w:pStyle w:val="TableContents"/>
              <w:spacing w:before="0" w:after="283"/>
              <w:rPr/>
            </w:pPr>
            <w:r>
              <w:rPr/>
              <w:t> </w:t>
            </w:r>
          </w:p>
        </w:tc>
        <w:tc>
          <w:tcPr>
            <w:tcW w:w="6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16,667</w:t>
            </w:r>
          </w:p>
        </w:tc>
        <w:tc>
          <w:tcPr>
            <w:tcW w:w="47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0</w:t>
            </w:r>
          </w:p>
        </w:tc>
        <w:tc>
          <w:tcPr>
            <w:tcW w:w="475"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r>
      <w:tr>
        <w:trPr>
          <w:trHeight w:val="120" w:hRule="atLeast"/>
        </w:trPr>
        <w:tc>
          <w:tcPr>
            <w:tcW w:w="5818" w:type="dxa"/>
            <w:tcBorders/>
            <w:shd w:fill="auto" w:val="clear"/>
            <w:vAlign w:val="center"/>
          </w:tcPr>
          <w:p>
            <w:pPr>
              <w:pStyle w:val="TableContents"/>
              <w:spacing w:before="0" w:after="283"/>
              <w:rPr>
                <w:sz w:val="4"/>
                <w:szCs w:val="4"/>
              </w:rPr>
            </w:pPr>
            <w:r>
              <w:rPr>
                <w:sz w:val="4"/>
                <w:szCs w:val="4"/>
              </w:rPr>
            </w:r>
          </w:p>
        </w:tc>
        <w:tc>
          <w:tcPr>
            <w:tcW w:w="1132" w:type="dxa"/>
            <w:gridSpan w:val="2"/>
            <w:tcBorders/>
            <w:shd w:fill="auto" w:val="clear"/>
            <w:vAlign w:val="center"/>
          </w:tcPr>
          <w:p>
            <w:pPr>
              <w:pStyle w:val="TableContents"/>
              <w:spacing w:before="0" w:after="283"/>
              <w:rPr>
                <w:sz w:val="4"/>
                <w:szCs w:val="4"/>
              </w:rPr>
            </w:pPr>
            <w:r>
              <w:rPr>
                <w:sz w:val="4"/>
                <w:szCs w:val="4"/>
              </w:rPr>
            </w:r>
          </w:p>
        </w:tc>
        <w:tc>
          <w:tcPr>
            <w:tcW w:w="960" w:type="dxa"/>
            <w:gridSpan w:val="3"/>
            <w:tcBorders/>
            <w:shd w:fill="auto" w:val="clear"/>
            <w:vAlign w:val="center"/>
          </w:tcPr>
          <w:p>
            <w:pPr>
              <w:pStyle w:val="TableContents"/>
              <w:spacing w:before="0" w:after="283"/>
              <w:rPr>
                <w:sz w:val="4"/>
                <w:szCs w:val="4"/>
              </w:rPr>
            </w:pPr>
            <w:r>
              <w:rPr>
                <w:sz w:val="4"/>
                <w:szCs w:val="4"/>
              </w:rPr>
            </w:r>
          </w:p>
        </w:tc>
        <w:tc>
          <w:tcPr>
            <w:tcW w:w="1089" w:type="dxa"/>
            <w:gridSpan w:val="2"/>
            <w:tcBorders/>
            <w:shd w:fill="auto" w:val="clear"/>
            <w:vAlign w:val="center"/>
          </w:tcPr>
          <w:p>
            <w:pPr>
              <w:pStyle w:val="TableContents"/>
              <w:spacing w:before="0" w:after="283"/>
              <w:rPr>
                <w:sz w:val="4"/>
                <w:szCs w:val="4"/>
              </w:rPr>
            </w:pPr>
            <w:r>
              <w:rPr>
                <w:sz w:val="4"/>
                <w:szCs w:val="4"/>
              </w:rPr>
            </w:r>
          </w:p>
        </w:tc>
        <w:tc>
          <w:tcPr>
            <w:tcW w:w="600" w:type="dxa"/>
            <w:gridSpan w:val="2"/>
            <w:tcBorders/>
            <w:shd w:fill="auto" w:val="clear"/>
            <w:vAlign w:val="center"/>
          </w:tcPr>
          <w:p>
            <w:pPr>
              <w:pStyle w:val="TableContents"/>
              <w:spacing w:before="0" w:after="283"/>
              <w:rPr>
                <w:sz w:val="4"/>
                <w:szCs w:val="4"/>
              </w:rPr>
            </w:pPr>
            <w:r>
              <w:rPr>
                <w:sz w:val="4"/>
                <w:szCs w:val="4"/>
              </w:rPr>
            </w:r>
          </w:p>
        </w:tc>
        <w:tc>
          <w:tcPr>
            <w:tcW w:w="606" w:type="dxa"/>
            <w:gridSpan w:val="2"/>
            <w:tcBorders/>
            <w:shd w:fill="auto" w:val="clear"/>
            <w:vAlign w:val="center"/>
          </w:tcPr>
          <w:p>
            <w:pPr>
              <w:pStyle w:val="TableContents"/>
              <w:spacing w:before="0" w:after="283"/>
              <w:rPr>
                <w:sz w:val="4"/>
                <w:szCs w:val="4"/>
              </w:rPr>
            </w:pPr>
            <w:r>
              <w:rPr>
                <w:sz w:val="4"/>
                <w:szCs w:val="4"/>
              </w:rPr>
            </w:r>
          </w:p>
        </w:tc>
      </w:tr>
      <w:tr>
        <w:trPr/>
        <w:tc>
          <w:tcPr>
            <w:tcW w:w="5818" w:type="dxa"/>
            <w:tcBorders/>
            <w:shd w:fill="auto" w:val="clear"/>
          </w:tcPr>
          <w:p>
            <w:pPr>
              <w:pStyle w:val="TableContents"/>
              <w:spacing w:before="0" w:after="0"/>
              <w:rPr/>
            </w:pPr>
            <w:r>
              <w:rPr>
                <w:rFonts w:ascii="Times New Roman" w:hAnsi="Times New Roman"/>
                <w:sz w:val="20"/>
              </w:rPr>
              <w:t>Gary J. Shemano</w:t>
            </w:r>
            <w:r>
              <w:rPr>
                <w:rFonts w:ascii="Times New Roman" w:hAnsi="Times New Roman"/>
                <w:color w:val="000000"/>
                <w:position w:val="5"/>
                <w:sz w:val="11"/>
                <w:sz w:val="14"/>
              </w:rPr>
              <w:t>7</w:t>
            </w:r>
          </w:p>
          <w:p>
            <w:pPr>
              <w:pStyle w:val="TableContents"/>
              <w:spacing w:before="0" w:after="0"/>
              <w:rPr>
                <w:rFonts w:ascii="Times New Roman" w:hAnsi="Times New Roman"/>
                <w:sz w:val="20"/>
              </w:rPr>
            </w:pPr>
            <w:r>
              <w:rPr>
                <w:rFonts w:ascii="Times New Roman" w:hAnsi="Times New Roman"/>
                <w:sz w:val="20"/>
              </w:rPr>
              <w:t>c/o The Shemano Group, Inc.</w:t>
            </w:r>
          </w:p>
          <w:p>
            <w:pPr>
              <w:pStyle w:val="TableContents"/>
              <w:spacing w:before="0" w:after="0"/>
              <w:rPr>
                <w:rFonts w:ascii="Times New Roman" w:hAnsi="Times New Roman"/>
                <w:sz w:val="20"/>
              </w:rPr>
            </w:pPr>
            <w:r>
              <w:rPr>
                <w:rFonts w:ascii="Times New Roman" w:hAnsi="Times New Roman"/>
                <w:sz w:val="20"/>
              </w:rPr>
              <w:t>601 California Street, Suite 1150</w:t>
            </w:r>
          </w:p>
          <w:p>
            <w:pPr>
              <w:pStyle w:val="TableContents"/>
              <w:spacing w:before="0" w:after="15"/>
              <w:rPr>
                <w:rFonts w:ascii="Times New Roman" w:hAnsi="Times New Roman"/>
                <w:sz w:val="20"/>
              </w:rPr>
            </w:pPr>
            <w:r>
              <w:rPr>
                <w:rFonts w:ascii="Times New Roman" w:hAnsi="Times New Roman"/>
                <w:sz w:val="20"/>
              </w:rPr>
              <w:t>San Francisco, CA 94108</w:t>
            </w:r>
          </w:p>
        </w:tc>
        <w:tc>
          <w:tcPr>
            <w:tcW w:w="475" w:type="dxa"/>
            <w:tcBorders/>
            <w:shd w:fill="auto" w:val="clear"/>
            <w:vAlign w:val="bottom"/>
          </w:tcPr>
          <w:p>
            <w:pPr>
              <w:pStyle w:val="TableContents"/>
              <w:spacing w:before="0" w:after="283"/>
              <w:rPr/>
            </w:pPr>
            <w:r>
              <w:rPr/>
              <w:t>  </w:t>
            </w:r>
          </w:p>
        </w:tc>
        <w:tc>
          <w:tcPr>
            <w:tcW w:w="6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5,180</w:t>
            </w:r>
          </w:p>
        </w:tc>
        <w:tc>
          <w:tcPr>
            <w:tcW w:w="475"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210" w:type="dxa"/>
            <w:tcBorders/>
            <w:shd w:fill="auto" w:val="clear"/>
            <w:vAlign w:val="bottom"/>
          </w:tcPr>
          <w:p>
            <w:pPr>
              <w:pStyle w:val="TableContents"/>
              <w:spacing w:before="0" w:after="283"/>
              <w:rPr/>
            </w:pPr>
            <w:r>
              <w:rPr/>
              <w:t> </w:t>
            </w:r>
          </w:p>
        </w:tc>
        <w:tc>
          <w:tcPr>
            <w:tcW w:w="432" w:type="dxa"/>
            <w:tcBorders/>
            <w:shd w:fill="auto" w:val="clear"/>
            <w:vAlign w:val="bottom"/>
          </w:tcPr>
          <w:p>
            <w:pPr>
              <w:pStyle w:val="TableContents"/>
              <w:spacing w:before="0" w:after="283"/>
              <w:rPr/>
            </w:pPr>
            <w:r>
              <w:rPr/>
              <w:t> </w:t>
            </w:r>
          </w:p>
        </w:tc>
        <w:tc>
          <w:tcPr>
            <w:tcW w:w="6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5,180</w:t>
            </w:r>
          </w:p>
        </w:tc>
        <w:tc>
          <w:tcPr>
            <w:tcW w:w="47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0</w:t>
            </w:r>
          </w:p>
        </w:tc>
        <w:tc>
          <w:tcPr>
            <w:tcW w:w="475"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r>
      <w:tr>
        <w:trPr>
          <w:trHeight w:val="120" w:hRule="atLeast"/>
        </w:trPr>
        <w:tc>
          <w:tcPr>
            <w:tcW w:w="5818" w:type="dxa"/>
            <w:tcBorders/>
            <w:shd w:fill="auto" w:val="clear"/>
            <w:vAlign w:val="center"/>
          </w:tcPr>
          <w:p>
            <w:pPr>
              <w:pStyle w:val="TableContents"/>
              <w:spacing w:before="0" w:after="283"/>
              <w:rPr>
                <w:sz w:val="4"/>
                <w:szCs w:val="4"/>
              </w:rPr>
            </w:pPr>
            <w:r>
              <w:rPr>
                <w:sz w:val="4"/>
                <w:szCs w:val="4"/>
              </w:rPr>
            </w:r>
          </w:p>
        </w:tc>
        <w:tc>
          <w:tcPr>
            <w:tcW w:w="1132" w:type="dxa"/>
            <w:gridSpan w:val="2"/>
            <w:tcBorders/>
            <w:shd w:fill="auto" w:val="clear"/>
            <w:vAlign w:val="center"/>
          </w:tcPr>
          <w:p>
            <w:pPr>
              <w:pStyle w:val="TableContents"/>
              <w:spacing w:before="0" w:after="283"/>
              <w:rPr>
                <w:sz w:val="4"/>
                <w:szCs w:val="4"/>
              </w:rPr>
            </w:pPr>
            <w:r>
              <w:rPr>
                <w:sz w:val="4"/>
                <w:szCs w:val="4"/>
              </w:rPr>
            </w:r>
          </w:p>
        </w:tc>
        <w:tc>
          <w:tcPr>
            <w:tcW w:w="960" w:type="dxa"/>
            <w:gridSpan w:val="3"/>
            <w:tcBorders/>
            <w:shd w:fill="auto" w:val="clear"/>
            <w:vAlign w:val="center"/>
          </w:tcPr>
          <w:p>
            <w:pPr>
              <w:pStyle w:val="TableContents"/>
              <w:spacing w:before="0" w:after="283"/>
              <w:rPr>
                <w:sz w:val="4"/>
                <w:szCs w:val="4"/>
              </w:rPr>
            </w:pPr>
            <w:r>
              <w:rPr>
                <w:sz w:val="4"/>
                <w:szCs w:val="4"/>
              </w:rPr>
            </w:r>
          </w:p>
        </w:tc>
        <w:tc>
          <w:tcPr>
            <w:tcW w:w="1089" w:type="dxa"/>
            <w:gridSpan w:val="2"/>
            <w:tcBorders/>
            <w:shd w:fill="auto" w:val="clear"/>
            <w:vAlign w:val="center"/>
          </w:tcPr>
          <w:p>
            <w:pPr>
              <w:pStyle w:val="TableContents"/>
              <w:spacing w:before="0" w:after="283"/>
              <w:rPr>
                <w:sz w:val="4"/>
                <w:szCs w:val="4"/>
              </w:rPr>
            </w:pPr>
            <w:r>
              <w:rPr>
                <w:sz w:val="4"/>
                <w:szCs w:val="4"/>
              </w:rPr>
            </w:r>
          </w:p>
        </w:tc>
        <w:tc>
          <w:tcPr>
            <w:tcW w:w="600" w:type="dxa"/>
            <w:gridSpan w:val="2"/>
            <w:tcBorders/>
            <w:shd w:fill="auto" w:val="clear"/>
            <w:vAlign w:val="center"/>
          </w:tcPr>
          <w:p>
            <w:pPr>
              <w:pStyle w:val="TableContents"/>
              <w:spacing w:before="0" w:after="283"/>
              <w:rPr>
                <w:sz w:val="4"/>
                <w:szCs w:val="4"/>
              </w:rPr>
            </w:pPr>
            <w:r>
              <w:rPr>
                <w:sz w:val="4"/>
                <w:szCs w:val="4"/>
              </w:rPr>
            </w:r>
          </w:p>
        </w:tc>
        <w:tc>
          <w:tcPr>
            <w:tcW w:w="606" w:type="dxa"/>
            <w:gridSpan w:val="2"/>
            <w:tcBorders/>
            <w:shd w:fill="auto" w:val="clear"/>
            <w:vAlign w:val="center"/>
          </w:tcPr>
          <w:p>
            <w:pPr>
              <w:pStyle w:val="TableContents"/>
              <w:spacing w:before="0" w:after="283"/>
              <w:rPr>
                <w:sz w:val="4"/>
                <w:szCs w:val="4"/>
              </w:rPr>
            </w:pPr>
            <w:r>
              <w:rPr>
                <w:sz w:val="4"/>
                <w:szCs w:val="4"/>
              </w:rPr>
            </w:r>
          </w:p>
        </w:tc>
      </w:tr>
      <w:tr>
        <w:trPr/>
        <w:tc>
          <w:tcPr>
            <w:tcW w:w="5818" w:type="dxa"/>
            <w:tcBorders/>
            <w:shd w:fill="auto" w:val="clear"/>
          </w:tcPr>
          <w:p>
            <w:pPr>
              <w:pStyle w:val="TableContents"/>
              <w:spacing w:before="0" w:after="0"/>
              <w:rPr/>
            </w:pPr>
            <w:r>
              <w:rPr>
                <w:rFonts w:ascii="Times New Roman" w:hAnsi="Times New Roman"/>
                <w:sz w:val="20"/>
              </w:rPr>
              <w:t>Michael Jacks</w:t>
            </w:r>
            <w:r>
              <w:rPr>
                <w:rFonts w:ascii="Times New Roman" w:hAnsi="Times New Roman"/>
                <w:color w:val="000000"/>
                <w:position w:val="5"/>
                <w:sz w:val="11"/>
                <w:sz w:val="14"/>
              </w:rPr>
              <w:t>7</w:t>
            </w:r>
          </w:p>
          <w:p>
            <w:pPr>
              <w:pStyle w:val="TableContents"/>
              <w:spacing w:before="0" w:after="0"/>
              <w:rPr>
                <w:rFonts w:ascii="Times New Roman" w:hAnsi="Times New Roman"/>
                <w:sz w:val="20"/>
              </w:rPr>
            </w:pPr>
            <w:r>
              <w:rPr>
                <w:rFonts w:ascii="Times New Roman" w:hAnsi="Times New Roman"/>
                <w:sz w:val="20"/>
              </w:rPr>
              <w:t>c/o The Shemano Group, Inc.</w:t>
            </w:r>
          </w:p>
          <w:p>
            <w:pPr>
              <w:pStyle w:val="TableContents"/>
              <w:spacing w:before="0" w:after="0"/>
              <w:rPr>
                <w:rFonts w:ascii="Times New Roman" w:hAnsi="Times New Roman"/>
                <w:sz w:val="20"/>
              </w:rPr>
            </w:pPr>
            <w:r>
              <w:rPr>
                <w:rFonts w:ascii="Times New Roman" w:hAnsi="Times New Roman"/>
                <w:sz w:val="20"/>
              </w:rPr>
              <w:t>601 California Street, Suite 1150</w:t>
            </w:r>
          </w:p>
          <w:p>
            <w:pPr>
              <w:pStyle w:val="TableContents"/>
              <w:spacing w:before="0" w:after="15"/>
              <w:rPr>
                <w:rFonts w:ascii="Times New Roman" w:hAnsi="Times New Roman"/>
                <w:sz w:val="20"/>
              </w:rPr>
            </w:pPr>
            <w:r>
              <w:rPr>
                <w:rFonts w:ascii="Times New Roman" w:hAnsi="Times New Roman"/>
                <w:sz w:val="20"/>
              </w:rPr>
              <w:t>San Francisco, CA 94108</w:t>
            </w:r>
          </w:p>
        </w:tc>
        <w:tc>
          <w:tcPr>
            <w:tcW w:w="475" w:type="dxa"/>
            <w:tcBorders/>
            <w:shd w:fill="auto" w:val="clear"/>
            <w:vAlign w:val="bottom"/>
          </w:tcPr>
          <w:p>
            <w:pPr>
              <w:pStyle w:val="TableContents"/>
              <w:spacing w:before="0" w:after="283"/>
              <w:rPr/>
            </w:pPr>
            <w:r>
              <w:rPr/>
              <w:t>  </w:t>
            </w:r>
          </w:p>
        </w:tc>
        <w:tc>
          <w:tcPr>
            <w:tcW w:w="6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4,200</w:t>
            </w:r>
          </w:p>
        </w:tc>
        <w:tc>
          <w:tcPr>
            <w:tcW w:w="475"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210" w:type="dxa"/>
            <w:tcBorders/>
            <w:shd w:fill="auto" w:val="clear"/>
            <w:vAlign w:val="bottom"/>
          </w:tcPr>
          <w:p>
            <w:pPr>
              <w:pStyle w:val="TableContents"/>
              <w:spacing w:before="0" w:after="283"/>
              <w:rPr/>
            </w:pPr>
            <w:r>
              <w:rPr/>
              <w:t> </w:t>
            </w:r>
          </w:p>
        </w:tc>
        <w:tc>
          <w:tcPr>
            <w:tcW w:w="432" w:type="dxa"/>
            <w:tcBorders/>
            <w:shd w:fill="auto" w:val="clear"/>
            <w:vAlign w:val="bottom"/>
          </w:tcPr>
          <w:p>
            <w:pPr>
              <w:pStyle w:val="TableContents"/>
              <w:spacing w:before="0" w:after="283"/>
              <w:rPr/>
            </w:pPr>
            <w:r>
              <w:rPr/>
              <w:t> </w:t>
            </w:r>
          </w:p>
        </w:tc>
        <w:tc>
          <w:tcPr>
            <w:tcW w:w="6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4,200</w:t>
            </w:r>
          </w:p>
        </w:tc>
        <w:tc>
          <w:tcPr>
            <w:tcW w:w="47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0</w:t>
            </w:r>
          </w:p>
        </w:tc>
        <w:tc>
          <w:tcPr>
            <w:tcW w:w="475"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r>
      <w:tr>
        <w:trPr>
          <w:trHeight w:val="120" w:hRule="atLeast"/>
        </w:trPr>
        <w:tc>
          <w:tcPr>
            <w:tcW w:w="5818" w:type="dxa"/>
            <w:tcBorders/>
            <w:shd w:fill="auto" w:val="clear"/>
            <w:vAlign w:val="center"/>
          </w:tcPr>
          <w:p>
            <w:pPr>
              <w:pStyle w:val="TableContents"/>
              <w:spacing w:before="0" w:after="283"/>
              <w:rPr>
                <w:sz w:val="4"/>
                <w:szCs w:val="4"/>
              </w:rPr>
            </w:pPr>
            <w:r>
              <w:rPr>
                <w:sz w:val="4"/>
                <w:szCs w:val="4"/>
              </w:rPr>
            </w:r>
          </w:p>
        </w:tc>
        <w:tc>
          <w:tcPr>
            <w:tcW w:w="1132" w:type="dxa"/>
            <w:gridSpan w:val="2"/>
            <w:tcBorders/>
            <w:shd w:fill="auto" w:val="clear"/>
            <w:vAlign w:val="center"/>
          </w:tcPr>
          <w:p>
            <w:pPr>
              <w:pStyle w:val="TableContents"/>
              <w:spacing w:before="0" w:after="283"/>
              <w:rPr>
                <w:sz w:val="4"/>
                <w:szCs w:val="4"/>
              </w:rPr>
            </w:pPr>
            <w:r>
              <w:rPr>
                <w:sz w:val="4"/>
                <w:szCs w:val="4"/>
              </w:rPr>
            </w:r>
          </w:p>
        </w:tc>
        <w:tc>
          <w:tcPr>
            <w:tcW w:w="960" w:type="dxa"/>
            <w:gridSpan w:val="3"/>
            <w:tcBorders/>
            <w:shd w:fill="auto" w:val="clear"/>
            <w:vAlign w:val="center"/>
          </w:tcPr>
          <w:p>
            <w:pPr>
              <w:pStyle w:val="TableContents"/>
              <w:spacing w:before="0" w:after="283"/>
              <w:rPr>
                <w:sz w:val="4"/>
                <w:szCs w:val="4"/>
              </w:rPr>
            </w:pPr>
            <w:r>
              <w:rPr>
                <w:sz w:val="4"/>
                <w:szCs w:val="4"/>
              </w:rPr>
            </w:r>
          </w:p>
        </w:tc>
        <w:tc>
          <w:tcPr>
            <w:tcW w:w="1089" w:type="dxa"/>
            <w:gridSpan w:val="2"/>
            <w:tcBorders/>
            <w:shd w:fill="auto" w:val="clear"/>
            <w:vAlign w:val="center"/>
          </w:tcPr>
          <w:p>
            <w:pPr>
              <w:pStyle w:val="TableContents"/>
              <w:spacing w:before="0" w:after="283"/>
              <w:rPr>
                <w:sz w:val="4"/>
                <w:szCs w:val="4"/>
              </w:rPr>
            </w:pPr>
            <w:r>
              <w:rPr>
                <w:sz w:val="4"/>
                <w:szCs w:val="4"/>
              </w:rPr>
            </w:r>
          </w:p>
        </w:tc>
        <w:tc>
          <w:tcPr>
            <w:tcW w:w="600" w:type="dxa"/>
            <w:gridSpan w:val="2"/>
            <w:tcBorders/>
            <w:shd w:fill="auto" w:val="clear"/>
            <w:vAlign w:val="center"/>
          </w:tcPr>
          <w:p>
            <w:pPr>
              <w:pStyle w:val="TableContents"/>
              <w:spacing w:before="0" w:after="283"/>
              <w:rPr>
                <w:sz w:val="4"/>
                <w:szCs w:val="4"/>
              </w:rPr>
            </w:pPr>
            <w:r>
              <w:rPr>
                <w:sz w:val="4"/>
                <w:szCs w:val="4"/>
              </w:rPr>
            </w:r>
          </w:p>
        </w:tc>
        <w:tc>
          <w:tcPr>
            <w:tcW w:w="606" w:type="dxa"/>
            <w:gridSpan w:val="2"/>
            <w:tcBorders/>
            <w:shd w:fill="auto" w:val="clear"/>
            <w:vAlign w:val="center"/>
          </w:tcPr>
          <w:p>
            <w:pPr>
              <w:pStyle w:val="TableContents"/>
              <w:spacing w:before="0" w:after="283"/>
              <w:rPr>
                <w:sz w:val="4"/>
                <w:szCs w:val="4"/>
              </w:rPr>
            </w:pPr>
            <w:r>
              <w:rPr>
                <w:sz w:val="4"/>
                <w:szCs w:val="4"/>
              </w:rPr>
            </w:r>
          </w:p>
        </w:tc>
      </w:tr>
      <w:tr>
        <w:trPr/>
        <w:tc>
          <w:tcPr>
            <w:tcW w:w="5818" w:type="dxa"/>
            <w:tcBorders/>
            <w:shd w:fill="auto" w:val="clear"/>
          </w:tcPr>
          <w:p>
            <w:pPr>
              <w:pStyle w:val="TableContents"/>
              <w:spacing w:before="0" w:after="0"/>
              <w:rPr/>
            </w:pPr>
            <w:r>
              <w:rPr>
                <w:rFonts w:ascii="Times New Roman" w:hAnsi="Times New Roman"/>
                <w:sz w:val="20"/>
              </w:rPr>
              <w:t>Bill and Mary Corbett</w:t>
            </w:r>
            <w:r>
              <w:rPr>
                <w:rFonts w:ascii="Times New Roman" w:hAnsi="Times New Roman"/>
                <w:color w:val="000000"/>
                <w:position w:val="5"/>
                <w:sz w:val="11"/>
                <w:sz w:val="14"/>
              </w:rPr>
              <w:t>7</w:t>
            </w:r>
          </w:p>
          <w:p>
            <w:pPr>
              <w:pStyle w:val="TableContents"/>
              <w:spacing w:before="0" w:after="0"/>
              <w:rPr>
                <w:rFonts w:ascii="Times New Roman" w:hAnsi="Times New Roman"/>
                <w:sz w:val="20"/>
              </w:rPr>
            </w:pPr>
            <w:r>
              <w:rPr>
                <w:rFonts w:ascii="Times New Roman" w:hAnsi="Times New Roman"/>
                <w:sz w:val="20"/>
              </w:rPr>
              <w:t>c/o The Shemano Group, Inc.</w:t>
            </w:r>
          </w:p>
          <w:p>
            <w:pPr>
              <w:pStyle w:val="TableContents"/>
              <w:spacing w:before="0" w:after="0"/>
              <w:rPr>
                <w:rFonts w:ascii="Times New Roman" w:hAnsi="Times New Roman"/>
                <w:sz w:val="20"/>
              </w:rPr>
            </w:pPr>
            <w:r>
              <w:rPr>
                <w:rFonts w:ascii="Times New Roman" w:hAnsi="Times New Roman"/>
                <w:sz w:val="20"/>
              </w:rPr>
              <w:t>601 California Street, Suite 1150</w:t>
            </w:r>
          </w:p>
          <w:p>
            <w:pPr>
              <w:pStyle w:val="TableContents"/>
              <w:spacing w:before="0" w:after="15"/>
              <w:rPr>
                <w:rFonts w:ascii="Times New Roman" w:hAnsi="Times New Roman"/>
                <w:sz w:val="20"/>
              </w:rPr>
            </w:pPr>
            <w:r>
              <w:rPr>
                <w:rFonts w:ascii="Times New Roman" w:hAnsi="Times New Roman"/>
                <w:sz w:val="20"/>
              </w:rPr>
              <w:t>San Francisco, CA 94108</w:t>
            </w:r>
          </w:p>
        </w:tc>
        <w:tc>
          <w:tcPr>
            <w:tcW w:w="475" w:type="dxa"/>
            <w:tcBorders/>
            <w:shd w:fill="auto" w:val="clear"/>
            <w:vAlign w:val="bottom"/>
          </w:tcPr>
          <w:p>
            <w:pPr>
              <w:pStyle w:val="TableContents"/>
              <w:spacing w:before="0" w:after="283"/>
              <w:rPr/>
            </w:pPr>
            <w:r>
              <w:rPr/>
              <w:t>  </w:t>
            </w:r>
          </w:p>
        </w:tc>
        <w:tc>
          <w:tcPr>
            <w:tcW w:w="6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2,100</w:t>
            </w:r>
          </w:p>
        </w:tc>
        <w:tc>
          <w:tcPr>
            <w:tcW w:w="475"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210" w:type="dxa"/>
            <w:tcBorders/>
            <w:shd w:fill="auto" w:val="clear"/>
            <w:vAlign w:val="bottom"/>
          </w:tcPr>
          <w:p>
            <w:pPr>
              <w:pStyle w:val="TableContents"/>
              <w:spacing w:before="0" w:after="283"/>
              <w:rPr/>
            </w:pPr>
            <w:r>
              <w:rPr/>
              <w:t> </w:t>
            </w:r>
          </w:p>
        </w:tc>
        <w:tc>
          <w:tcPr>
            <w:tcW w:w="432" w:type="dxa"/>
            <w:tcBorders/>
            <w:shd w:fill="auto" w:val="clear"/>
            <w:vAlign w:val="bottom"/>
          </w:tcPr>
          <w:p>
            <w:pPr>
              <w:pStyle w:val="TableContents"/>
              <w:spacing w:before="0" w:after="283"/>
              <w:rPr/>
            </w:pPr>
            <w:r>
              <w:rPr/>
              <w:t> </w:t>
            </w:r>
          </w:p>
        </w:tc>
        <w:tc>
          <w:tcPr>
            <w:tcW w:w="6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2,100</w:t>
            </w:r>
          </w:p>
        </w:tc>
        <w:tc>
          <w:tcPr>
            <w:tcW w:w="47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0</w:t>
            </w:r>
          </w:p>
        </w:tc>
        <w:tc>
          <w:tcPr>
            <w:tcW w:w="475"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r>
      <w:tr>
        <w:trPr>
          <w:trHeight w:val="120" w:hRule="atLeast"/>
        </w:trPr>
        <w:tc>
          <w:tcPr>
            <w:tcW w:w="5818" w:type="dxa"/>
            <w:tcBorders/>
            <w:shd w:fill="auto" w:val="clear"/>
            <w:vAlign w:val="center"/>
          </w:tcPr>
          <w:p>
            <w:pPr>
              <w:pStyle w:val="TableContents"/>
              <w:spacing w:before="0" w:after="283"/>
              <w:rPr>
                <w:sz w:val="4"/>
                <w:szCs w:val="4"/>
              </w:rPr>
            </w:pPr>
            <w:r>
              <w:rPr>
                <w:sz w:val="4"/>
                <w:szCs w:val="4"/>
              </w:rPr>
            </w:r>
          </w:p>
        </w:tc>
        <w:tc>
          <w:tcPr>
            <w:tcW w:w="1132" w:type="dxa"/>
            <w:gridSpan w:val="2"/>
            <w:tcBorders/>
            <w:shd w:fill="auto" w:val="clear"/>
            <w:vAlign w:val="center"/>
          </w:tcPr>
          <w:p>
            <w:pPr>
              <w:pStyle w:val="TableContents"/>
              <w:spacing w:before="0" w:after="283"/>
              <w:rPr>
                <w:sz w:val="4"/>
                <w:szCs w:val="4"/>
              </w:rPr>
            </w:pPr>
            <w:r>
              <w:rPr>
                <w:sz w:val="4"/>
                <w:szCs w:val="4"/>
              </w:rPr>
            </w:r>
          </w:p>
        </w:tc>
        <w:tc>
          <w:tcPr>
            <w:tcW w:w="960" w:type="dxa"/>
            <w:gridSpan w:val="3"/>
            <w:tcBorders/>
            <w:shd w:fill="auto" w:val="clear"/>
            <w:vAlign w:val="center"/>
          </w:tcPr>
          <w:p>
            <w:pPr>
              <w:pStyle w:val="TableContents"/>
              <w:spacing w:before="0" w:after="283"/>
              <w:rPr>
                <w:sz w:val="4"/>
                <w:szCs w:val="4"/>
              </w:rPr>
            </w:pPr>
            <w:r>
              <w:rPr>
                <w:sz w:val="4"/>
                <w:szCs w:val="4"/>
              </w:rPr>
            </w:r>
          </w:p>
        </w:tc>
        <w:tc>
          <w:tcPr>
            <w:tcW w:w="1089" w:type="dxa"/>
            <w:gridSpan w:val="2"/>
            <w:tcBorders/>
            <w:shd w:fill="auto" w:val="clear"/>
            <w:vAlign w:val="center"/>
          </w:tcPr>
          <w:p>
            <w:pPr>
              <w:pStyle w:val="TableContents"/>
              <w:spacing w:before="0" w:after="283"/>
              <w:rPr>
                <w:sz w:val="4"/>
                <w:szCs w:val="4"/>
              </w:rPr>
            </w:pPr>
            <w:r>
              <w:rPr>
                <w:sz w:val="4"/>
                <w:szCs w:val="4"/>
              </w:rPr>
            </w:r>
          </w:p>
        </w:tc>
        <w:tc>
          <w:tcPr>
            <w:tcW w:w="600" w:type="dxa"/>
            <w:gridSpan w:val="2"/>
            <w:tcBorders/>
            <w:shd w:fill="auto" w:val="clear"/>
            <w:vAlign w:val="center"/>
          </w:tcPr>
          <w:p>
            <w:pPr>
              <w:pStyle w:val="TableContents"/>
              <w:spacing w:before="0" w:after="283"/>
              <w:rPr>
                <w:sz w:val="4"/>
                <w:szCs w:val="4"/>
              </w:rPr>
            </w:pPr>
            <w:r>
              <w:rPr>
                <w:sz w:val="4"/>
                <w:szCs w:val="4"/>
              </w:rPr>
            </w:r>
          </w:p>
        </w:tc>
        <w:tc>
          <w:tcPr>
            <w:tcW w:w="606" w:type="dxa"/>
            <w:gridSpan w:val="2"/>
            <w:tcBorders/>
            <w:shd w:fill="auto" w:val="clear"/>
            <w:vAlign w:val="center"/>
          </w:tcPr>
          <w:p>
            <w:pPr>
              <w:pStyle w:val="TableContents"/>
              <w:spacing w:before="0" w:after="283"/>
              <w:rPr>
                <w:sz w:val="4"/>
                <w:szCs w:val="4"/>
              </w:rPr>
            </w:pPr>
            <w:r>
              <w:rPr>
                <w:sz w:val="4"/>
                <w:szCs w:val="4"/>
              </w:rPr>
            </w:r>
          </w:p>
        </w:tc>
      </w:tr>
      <w:tr>
        <w:trPr/>
        <w:tc>
          <w:tcPr>
            <w:tcW w:w="5818" w:type="dxa"/>
            <w:tcBorders/>
            <w:shd w:fill="auto" w:val="clear"/>
          </w:tcPr>
          <w:p>
            <w:pPr>
              <w:pStyle w:val="TableContents"/>
              <w:spacing w:before="0" w:after="0"/>
              <w:rPr/>
            </w:pPr>
            <w:r>
              <w:rPr>
                <w:rFonts w:ascii="Times New Roman" w:hAnsi="Times New Roman"/>
                <w:sz w:val="20"/>
              </w:rPr>
              <w:t>Brian Mikes</w:t>
            </w:r>
            <w:r>
              <w:rPr>
                <w:rFonts w:ascii="Times New Roman" w:hAnsi="Times New Roman"/>
                <w:color w:val="000000"/>
                <w:position w:val="5"/>
                <w:sz w:val="11"/>
                <w:sz w:val="14"/>
              </w:rPr>
              <w:t>7</w:t>
            </w:r>
          </w:p>
          <w:p>
            <w:pPr>
              <w:pStyle w:val="TableContents"/>
              <w:spacing w:before="0" w:after="0"/>
              <w:rPr>
                <w:rFonts w:ascii="Times New Roman" w:hAnsi="Times New Roman"/>
                <w:sz w:val="20"/>
              </w:rPr>
            </w:pPr>
            <w:r>
              <w:rPr>
                <w:rFonts w:ascii="Times New Roman" w:hAnsi="Times New Roman"/>
                <w:sz w:val="20"/>
              </w:rPr>
              <w:t>c/o The Shemano Group, Inc.</w:t>
            </w:r>
          </w:p>
          <w:p>
            <w:pPr>
              <w:pStyle w:val="TableContents"/>
              <w:spacing w:before="0" w:after="0"/>
              <w:rPr>
                <w:rFonts w:ascii="Times New Roman" w:hAnsi="Times New Roman"/>
                <w:sz w:val="20"/>
              </w:rPr>
            </w:pPr>
            <w:r>
              <w:rPr>
                <w:rFonts w:ascii="Times New Roman" w:hAnsi="Times New Roman"/>
                <w:sz w:val="20"/>
              </w:rPr>
              <w:t>601 California Street, Suite 1150</w:t>
            </w:r>
          </w:p>
          <w:p>
            <w:pPr>
              <w:pStyle w:val="TableContents"/>
              <w:spacing w:before="0" w:after="15"/>
              <w:rPr>
                <w:rFonts w:ascii="Times New Roman" w:hAnsi="Times New Roman"/>
                <w:sz w:val="20"/>
              </w:rPr>
            </w:pPr>
            <w:r>
              <w:rPr>
                <w:rFonts w:ascii="Times New Roman" w:hAnsi="Times New Roman"/>
                <w:sz w:val="20"/>
              </w:rPr>
              <w:t>San Francisco, CA 94108</w:t>
            </w:r>
          </w:p>
        </w:tc>
        <w:tc>
          <w:tcPr>
            <w:tcW w:w="475" w:type="dxa"/>
            <w:tcBorders/>
            <w:shd w:fill="auto" w:val="clear"/>
            <w:vAlign w:val="bottom"/>
          </w:tcPr>
          <w:p>
            <w:pPr>
              <w:pStyle w:val="TableContents"/>
              <w:spacing w:before="0" w:after="283"/>
              <w:rPr/>
            </w:pPr>
            <w:r>
              <w:rPr/>
              <w:t>  </w:t>
            </w:r>
          </w:p>
        </w:tc>
        <w:tc>
          <w:tcPr>
            <w:tcW w:w="6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2,100</w:t>
            </w:r>
          </w:p>
        </w:tc>
        <w:tc>
          <w:tcPr>
            <w:tcW w:w="475"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210" w:type="dxa"/>
            <w:tcBorders/>
            <w:shd w:fill="auto" w:val="clear"/>
            <w:vAlign w:val="bottom"/>
          </w:tcPr>
          <w:p>
            <w:pPr>
              <w:pStyle w:val="TableContents"/>
              <w:spacing w:before="0" w:after="283"/>
              <w:rPr/>
            </w:pPr>
            <w:r>
              <w:rPr/>
              <w:t> </w:t>
            </w:r>
          </w:p>
        </w:tc>
        <w:tc>
          <w:tcPr>
            <w:tcW w:w="432" w:type="dxa"/>
            <w:tcBorders/>
            <w:shd w:fill="auto" w:val="clear"/>
            <w:vAlign w:val="bottom"/>
          </w:tcPr>
          <w:p>
            <w:pPr>
              <w:pStyle w:val="TableContents"/>
              <w:spacing w:before="0" w:after="283"/>
              <w:rPr/>
            </w:pPr>
            <w:r>
              <w:rPr/>
              <w:t> </w:t>
            </w:r>
          </w:p>
        </w:tc>
        <w:tc>
          <w:tcPr>
            <w:tcW w:w="6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2,100</w:t>
            </w:r>
          </w:p>
        </w:tc>
        <w:tc>
          <w:tcPr>
            <w:tcW w:w="47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0</w:t>
            </w:r>
          </w:p>
        </w:tc>
        <w:tc>
          <w:tcPr>
            <w:tcW w:w="475"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r>
      <w:tr>
        <w:trPr>
          <w:trHeight w:val="120" w:hRule="atLeast"/>
        </w:trPr>
        <w:tc>
          <w:tcPr>
            <w:tcW w:w="5818" w:type="dxa"/>
            <w:tcBorders/>
            <w:shd w:fill="auto" w:val="clear"/>
            <w:vAlign w:val="center"/>
          </w:tcPr>
          <w:p>
            <w:pPr>
              <w:pStyle w:val="TableContents"/>
              <w:spacing w:before="0" w:after="283"/>
              <w:rPr>
                <w:sz w:val="4"/>
                <w:szCs w:val="4"/>
              </w:rPr>
            </w:pPr>
            <w:r>
              <w:rPr>
                <w:sz w:val="4"/>
                <w:szCs w:val="4"/>
              </w:rPr>
            </w:r>
          </w:p>
        </w:tc>
        <w:tc>
          <w:tcPr>
            <w:tcW w:w="1132" w:type="dxa"/>
            <w:gridSpan w:val="2"/>
            <w:tcBorders/>
            <w:shd w:fill="auto" w:val="clear"/>
            <w:vAlign w:val="center"/>
          </w:tcPr>
          <w:p>
            <w:pPr>
              <w:pStyle w:val="TableContents"/>
              <w:spacing w:before="0" w:after="283"/>
              <w:rPr>
                <w:sz w:val="4"/>
                <w:szCs w:val="4"/>
              </w:rPr>
            </w:pPr>
            <w:r>
              <w:rPr>
                <w:sz w:val="4"/>
                <w:szCs w:val="4"/>
              </w:rPr>
            </w:r>
          </w:p>
        </w:tc>
        <w:tc>
          <w:tcPr>
            <w:tcW w:w="960" w:type="dxa"/>
            <w:gridSpan w:val="3"/>
            <w:tcBorders/>
            <w:shd w:fill="auto" w:val="clear"/>
            <w:vAlign w:val="center"/>
          </w:tcPr>
          <w:p>
            <w:pPr>
              <w:pStyle w:val="TableContents"/>
              <w:spacing w:before="0" w:after="283"/>
              <w:rPr>
                <w:sz w:val="4"/>
                <w:szCs w:val="4"/>
              </w:rPr>
            </w:pPr>
            <w:r>
              <w:rPr>
                <w:sz w:val="4"/>
                <w:szCs w:val="4"/>
              </w:rPr>
            </w:r>
          </w:p>
        </w:tc>
        <w:tc>
          <w:tcPr>
            <w:tcW w:w="1089" w:type="dxa"/>
            <w:gridSpan w:val="2"/>
            <w:tcBorders/>
            <w:shd w:fill="auto" w:val="clear"/>
            <w:vAlign w:val="center"/>
          </w:tcPr>
          <w:p>
            <w:pPr>
              <w:pStyle w:val="TableContents"/>
              <w:spacing w:before="0" w:after="283"/>
              <w:rPr>
                <w:sz w:val="4"/>
                <w:szCs w:val="4"/>
              </w:rPr>
            </w:pPr>
            <w:r>
              <w:rPr>
                <w:sz w:val="4"/>
                <w:szCs w:val="4"/>
              </w:rPr>
            </w:r>
          </w:p>
        </w:tc>
        <w:tc>
          <w:tcPr>
            <w:tcW w:w="600" w:type="dxa"/>
            <w:gridSpan w:val="2"/>
            <w:tcBorders/>
            <w:shd w:fill="auto" w:val="clear"/>
            <w:vAlign w:val="center"/>
          </w:tcPr>
          <w:p>
            <w:pPr>
              <w:pStyle w:val="TableContents"/>
              <w:spacing w:before="0" w:after="283"/>
              <w:rPr>
                <w:sz w:val="4"/>
                <w:szCs w:val="4"/>
              </w:rPr>
            </w:pPr>
            <w:r>
              <w:rPr>
                <w:sz w:val="4"/>
                <w:szCs w:val="4"/>
              </w:rPr>
            </w:r>
          </w:p>
        </w:tc>
        <w:tc>
          <w:tcPr>
            <w:tcW w:w="606" w:type="dxa"/>
            <w:gridSpan w:val="2"/>
            <w:tcBorders/>
            <w:shd w:fill="auto" w:val="clear"/>
            <w:vAlign w:val="center"/>
          </w:tcPr>
          <w:p>
            <w:pPr>
              <w:pStyle w:val="TableContents"/>
              <w:spacing w:before="0" w:after="283"/>
              <w:rPr>
                <w:sz w:val="4"/>
                <w:szCs w:val="4"/>
              </w:rPr>
            </w:pPr>
            <w:r>
              <w:rPr>
                <w:sz w:val="4"/>
                <w:szCs w:val="4"/>
              </w:rPr>
            </w:r>
          </w:p>
        </w:tc>
      </w:tr>
      <w:tr>
        <w:trPr/>
        <w:tc>
          <w:tcPr>
            <w:tcW w:w="5818" w:type="dxa"/>
            <w:tcBorders/>
            <w:shd w:fill="auto" w:val="clear"/>
          </w:tcPr>
          <w:p>
            <w:pPr>
              <w:pStyle w:val="TableContents"/>
              <w:spacing w:before="0" w:after="0"/>
              <w:rPr/>
            </w:pPr>
            <w:r>
              <w:rPr>
                <w:rFonts w:ascii="Times New Roman" w:hAnsi="Times New Roman"/>
                <w:sz w:val="20"/>
              </w:rPr>
              <w:t>Jim Keener</w:t>
            </w:r>
            <w:r>
              <w:rPr>
                <w:rFonts w:ascii="Times New Roman" w:hAnsi="Times New Roman"/>
                <w:color w:val="000000"/>
                <w:position w:val="5"/>
                <w:sz w:val="11"/>
                <w:sz w:val="14"/>
              </w:rPr>
              <w:t>7</w:t>
            </w:r>
          </w:p>
          <w:p>
            <w:pPr>
              <w:pStyle w:val="TableContents"/>
              <w:spacing w:before="0" w:after="0"/>
              <w:rPr>
                <w:rFonts w:ascii="Times New Roman" w:hAnsi="Times New Roman"/>
                <w:sz w:val="20"/>
              </w:rPr>
            </w:pPr>
            <w:r>
              <w:rPr>
                <w:rFonts w:ascii="Times New Roman" w:hAnsi="Times New Roman"/>
                <w:sz w:val="20"/>
              </w:rPr>
              <w:t>c/o The Shemano Group, Inc.</w:t>
            </w:r>
          </w:p>
          <w:p>
            <w:pPr>
              <w:pStyle w:val="TableContents"/>
              <w:spacing w:before="0" w:after="0"/>
              <w:rPr>
                <w:rFonts w:ascii="Times New Roman" w:hAnsi="Times New Roman"/>
                <w:sz w:val="20"/>
              </w:rPr>
            </w:pPr>
            <w:r>
              <w:rPr>
                <w:rFonts w:ascii="Times New Roman" w:hAnsi="Times New Roman"/>
                <w:sz w:val="20"/>
              </w:rPr>
              <w:t>601 California Street, Suite 1150</w:t>
            </w:r>
          </w:p>
          <w:p>
            <w:pPr>
              <w:pStyle w:val="TableContents"/>
              <w:spacing w:before="0" w:after="15"/>
              <w:rPr>
                <w:rFonts w:ascii="Times New Roman" w:hAnsi="Times New Roman"/>
                <w:sz w:val="20"/>
              </w:rPr>
            </w:pPr>
            <w:r>
              <w:rPr>
                <w:rFonts w:ascii="Times New Roman" w:hAnsi="Times New Roman"/>
                <w:sz w:val="20"/>
              </w:rPr>
              <w:t>San Francisco, CA 94108</w:t>
            </w:r>
          </w:p>
        </w:tc>
        <w:tc>
          <w:tcPr>
            <w:tcW w:w="475" w:type="dxa"/>
            <w:tcBorders/>
            <w:shd w:fill="auto" w:val="clear"/>
            <w:vAlign w:val="bottom"/>
          </w:tcPr>
          <w:p>
            <w:pPr>
              <w:pStyle w:val="TableContents"/>
              <w:spacing w:before="0" w:after="283"/>
              <w:rPr/>
            </w:pPr>
            <w:r>
              <w:rPr/>
              <w:t>  </w:t>
            </w:r>
          </w:p>
        </w:tc>
        <w:tc>
          <w:tcPr>
            <w:tcW w:w="6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420</w:t>
            </w:r>
          </w:p>
        </w:tc>
        <w:tc>
          <w:tcPr>
            <w:tcW w:w="475"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210" w:type="dxa"/>
            <w:tcBorders/>
            <w:shd w:fill="auto" w:val="clear"/>
            <w:vAlign w:val="bottom"/>
          </w:tcPr>
          <w:p>
            <w:pPr>
              <w:pStyle w:val="TableContents"/>
              <w:spacing w:before="0" w:after="283"/>
              <w:rPr/>
            </w:pPr>
            <w:r>
              <w:rPr/>
              <w:t> </w:t>
            </w:r>
          </w:p>
        </w:tc>
        <w:tc>
          <w:tcPr>
            <w:tcW w:w="432" w:type="dxa"/>
            <w:tcBorders/>
            <w:shd w:fill="auto" w:val="clear"/>
            <w:vAlign w:val="bottom"/>
          </w:tcPr>
          <w:p>
            <w:pPr>
              <w:pStyle w:val="TableContents"/>
              <w:spacing w:before="0" w:after="283"/>
              <w:rPr/>
            </w:pPr>
            <w:r>
              <w:rPr/>
              <w:t> </w:t>
            </w:r>
          </w:p>
        </w:tc>
        <w:tc>
          <w:tcPr>
            <w:tcW w:w="6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420</w:t>
            </w:r>
          </w:p>
        </w:tc>
        <w:tc>
          <w:tcPr>
            <w:tcW w:w="47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0</w:t>
            </w:r>
          </w:p>
        </w:tc>
        <w:tc>
          <w:tcPr>
            <w:tcW w:w="475"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Less than 1% </w:t>
            </w:r>
          </w:p>
        </w:tc>
      </w:tr>
    </w:tbl>
    <w:p>
      <w:pPr>
        <w:pStyle w:val="HorizontalLine"/>
        <w:pBdr>
          <w:bottom w:val="single" w:sz="6" w:space="0" w:color="000000"/>
        </w:pBdr>
        <w:ind w:left="0" w:right="9389" w:hanging="0"/>
        <w:rPr/>
      </w:pPr>
      <w:r>
        <w:rPr/>
      </w:r>
    </w:p>
    <w:tbl>
      <w:tblPr>
        <w:tblW w:w="5000" w:type="pct"/>
        <w:jc w:val="left"/>
        <w:tblInd w:w="0" w:type="dxa"/>
        <w:tblCellMar>
          <w:top w:w="0" w:type="dxa"/>
          <w:left w:w="0" w:type="dxa"/>
          <w:bottom w:w="0" w:type="dxa"/>
          <w:right w:w="0" w:type="dxa"/>
        </w:tblCellMar>
      </w:tblPr>
      <w:tblGrid>
        <w:gridCol w:w="203"/>
        <w:gridCol w:w="10002"/>
      </w:tblGrid>
      <w:tr>
        <w:trPr/>
        <w:tc>
          <w:tcPr>
            <w:tcW w:w="203" w:type="dxa"/>
            <w:tcBorders/>
            <w:shd w:fill="auto" w:val="clear"/>
          </w:tcPr>
          <w:p>
            <w:pPr>
              <w:pStyle w:val="TableContents"/>
              <w:spacing w:before="0" w:after="283"/>
              <w:jc w:val="left"/>
              <w:rPr>
                <w:rFonts w:ascii="Times New Roman" w:hAnsi="Times New Roman"/>
                <w:color w:val="000000"/>
                <w:position w:val="5"/>
                <w:sz w:val="11"/>
                <w:sz w:val="14"/>
              </w:rPr>
            </w:pPr>
            <w:r>
              <w:rPr>
                <w:rFonts w:ascii="Times New Roman" w:hAnsi="Times New Roman"/>
                <w:color w:val="000000"/>
                <w:position w:val="5"/>
                <w:sz w:val="11"/>
                <w:sz w:val="14"/>
              </w:rPr>
              <w:t>1</w:t>
            </w:r>
          </w:p>
        </w:tc>
        <w:tc>
          <w:tcPr>
            <w:tcW w:w="10002" w:type="dxa"/>
            <w:tcBorders/>
            <w:shd w:fill="auto" w:val="clear"/>
          </w:tcPr>
          <w:p>
            <w:pPr>
              <w:pStyle w:val="TableContents"/>
              <w:spacing w:before="0" w:after="283"/>
              <w:jc w:val="left"/>
              <w:rPr>
                <w:rFonts w:ascii="Times New Roman" w:hAnsi="Times New Roman"/>
                <w:color w:val="000000"/>
                <w:sz w:val="20"/>
              </w:rPr>
            </w:pPr>
            <w:r>
              <w:rPr>
                <w:rFonts w:ascii="Times New Roman" w:hAnsi="Times New Roman"/>
                <w:color w:val="000000"/>
                <w:sz w:val="20"/>
              </w:rPr>
              <w:t xml:space="preserve">To our knowledge and except as otherwise set forth herein, the selling stockholders have sole voting and investment power with respect to all common stock shown as beneficially owned by them, subject to community property laws where applicable. Except as otherwise set forth herein, the table includes shares of common stock that the selling stockholders have the right to acquire pursuant to the exercise of warrants and options exercisable within 60 days. </w:t>
            </w:r>
          </w:p>
        </w:tc>
      </w:tr>
    </w:tbl>
    <w:tbl>
      <w:tblPr>
        <w:tblW w:w="5000" w:type="pct"/>
        <w:jc w:val="left"/>
        <w:tblInd w:w="0" w:type="dxa"/>
        <w:tblCellMar>
          <w:top w:w="0" w:type="dxa"/>
          <w:left w:w="0" w:type="dxa"/>
          <w:bottom w:w="0" w:type="dxa"/>
          <w:right w:w="0" w:type="dxa"/>
        </w:tblCellMar>
      </w:tblPr>
      <w:tblGrid>
        <w:gridCol w:w="203"/>
        <w:gridCol w:w="10002"/>
      </w:tblGrid>
      <w:tr>
        <w:trPr/>
        <w:tc>
          <w:tcPr>
            <w:tcW w:w="203" w:type="dxa"/>
            <w:tcBorders/>
            <w:shd w:fill="auto" w:val="clear"/>
          </w:tcPr>
          <w:p>
            <w:pPr>
              <w:pStyle w:val="TableContents"/>
              <w:spacing w:before="0" w:after="283"/>
              <w:jc w:val="left"/>
              <w:rPr>
                <w:rFonts w:ascii="Times New Roman" w:hAnsi="Times New Roman"/>
                <w:color w:val="000000"/>
                <w:position w:val="5"/>
                <w:sz w:val="11"/>
                <w:sz w:val="14"/>
              </w:rPr>
            </w:pPr>
            <w:r>
              <w:rPr>
                <w:rFonts w:ascii="Times New Roman" w:hAnsi="Times New Roman"/>
                <w:color w:val="000000"/>
                <w:position w:val="5"/>
                <w:sz w:val="11"/>
                <w:sz w:val="14"/>
              </w:rPr>
              <w:t>2</w:t>
            </w:r>
          </w:p>
        </w:tc>
        <w:tc>
          <w:tcPr>
            <w:tcW w:w="10002" w:type="dxa"/>
            <w:tcBorders/>
            <w:shd w:fill="auto" w:val="clear"/>
          </w:tcPr>
          <w:p>
            <w:pPr>
              <w:pStyle w:val="TableContents"/>
              <w:spacing w:before="0" w:after="283"/>
              <w:jc w:val="left"/>
              <w:rPr>
                <w:rFonts w:ascii="Times New Roman" w:hAnsi="Times New Roman"/>
                <w:color w:val="000000"/>
                <w:sz w:val="20"/>
              </w:rPr>
            </w:pPr>
            <w:r>
              <w:rPr>
                <w:rFonts w:ascii="Times New Roman" w:hAnsi="Times New Roman"/>
                <w:color w:val="000000"/>
                <w:sz w:val="20"/>
              </w:rPr>
              <w:t xml:space="preserve">Percentage ownership is based on 9,993,260 shares of common stock outstanding as of November 30, 2005 and, except as otherwise set forth herein, in each case assumes exercise of warrants and options. </w:t>
            </w:r>
          </w:p>
        </w:tc>
      </w:tr>
    </w:tbl>
    <w:tbl>
      <w:tblPr>
        <w:tblW w:w="5000" w:type="pct"/>
        <w:jc w:val="left"/>
        <w:tblInd w:w="0" w:type="dxa"/>
        <w:tblCellMar>
          <w:top w:w="0" w:type="dxa"/>
          <w:left w:w="0" w:type="dxa"/>
          <w:bottom w:w="0" w:type="dxa"/>
          <w:right w:w="0" w:type="dxa"/>
        </w:tblCellMar>
      </w:tblPr>
      <w:tblGrid>
        <w:gridCol w:w="202"/>
        <w:gridCol w:w="10003"/>
      </w:tblGrid>
      <w:tr>
        <w:trPr/>
        <w:tc>
          <w:tcPr>
            <w:tcW w:w="202" w:type="dxa"/>
            <w:tcBorders/>
            <w:shd w:fill="auto" w:val="clear"/>
          </w:tcPr>
          <w:p>
            <w:pPr>
              <w:pStyle w:val="TableContents"/>
              <w:spacing w:before="0" w:after="283"/>
              <w:jc w:val="left"/>
              <w:rPr>
                <w:rFonts w:ascii="Times New Roman" w:hAnsi="Times New Roman"/>
                <w:color w:val="000000"/>
                <w:position w:val="5"/>
                <w:sz w:val="11"/>
                <w:sz w:val="14"/>
              </w:rPr>
            </w:pPr>
            <w:r>
              <w:rPr>
                <w:rFonts w:ascii="Times New Roman" w:hAnsi="Times New Roman"/>
                <w:color w:val="000000"/>
                <w:position w:val="5"/>
                <w:sz w:val="11"/>
                <w:sz w:val="14"/>
              </w:rPr>
              <w:t>3</w:t>
            </w:r>
          </w:p>
        </w:tc>
        <w:tc>
          <w:tcPr>
            <w:tcW w:w="10003" w:type="dxa"/>
            <w:tcBorders/>
            <w:shd w:fill="auto" w:val="clear"/>
          </w:tcPr>
          <w:p>
            <w:pPr>
              <w:pStyle w:val="TableContents"/>
              <w:spacing w:before="0" w:after="283"/>
              <w:jc w:val="left"/>
              <w:rPr>
                <w:rFonts w:ascii="Times New Roman" w:hAnsi="Times New Roman"/>
                <w:color w:val="000000"/>
                <w:sz w:val="20"/>
              </w:rPr>
            </w:pPr>
            <w:r>
              <w:rPr>
                <w:rFonts w:ascii="Times New Roman" w:hAnsi="Times New Roman"/>
                <w:color w:val="000000"/>
                <w:sz w:val="20"/>
              </w:rPr>
              <w:t xml:space="preserve">Phillip DeZwirek is the Chief Executive Officer and Chairman of the Board of CECO. The number of shares listed includes (i) the 1,000,000 shares of common stock issuable upon exercise of the DeZwirek Warrants, which shares are included in this Prospectus and (ii) 1,250,000 shares of common stock issuable upon the exercise of warrants held by Mr. Phillip DeZwirek, which shares are not included in this Prospectus. The number of shares listed as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999999"/>
        </w:pBdr>
        <w:rPr/>
      </w:pPr>
      <w:r>
        <w:rPr/>
      </w:r>
    </w:p>
    <w:tbl>
      <w:tblPr>
        <w:tblW w:w="5000" w:type="pct"/>
        <w:jc w:val="left"/>
        <w:tblInd w:w="0" w:type="dxa"/>
        <w:tblCellMar>
          <w:top w:w="0" w:type="dxa"/>
          <w:left w:w="0" w:type="dxa"/>
          <w:bottom w:w="0" w:type="dxa"/>
          <w:right w:w="0" w:type="dxa"/>
        </w:tblCellMar>
      </w:tblPr>
      <w:tblGrid>
        <w:gridCol w:w="203"/>
        <w:gridCol w:w="10002"/>
      </w:tblGrid>
      <w:tr>
        <w:trPr/>
        <w:tc>
          <w:tcPr>
            <w:tcW w:w="203" w:type="dxa"/>
            <w:tcBorders/>
            <w:shd w:fill="auto" w:val="clear"/>
            <w:vAlign w:val="center"/>
          </w:tcPr>
          <w:p>
            <w:pPr>
              <w:pStyle w:val="TableContents"/>
              <w:spacing w:before="0" w:after="283"/>
              <w:rPr/>
            </w:pPr>
            <w:r>
              <w:rPr/>
              <w:t> </w:t>
            </w:r>
          </w:p>
        </w:tc>
        <w:tc>
          <w:tcPr>
            <w:tcW w:w="1000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being offered includes shares held by Can-Med Technologies. Mr. Phillip DeZwirek is the father of Mr. Jason DeZwirek. </w:t>
            </w:r>
          </w:p>
        </w:tc>
      </w:tr>
    </w:tbl>
    <w:tbl>
      <w:tblPr>
        <w:tblW w:w="5000" w:type="pct"/>
        <w:jc w:val="left"/>
        <w:tblInd w:w="0" w:type="dxa"/>
        <w:tblCellMar>
          <w:top w:w="0" w:type="dxa"/>
          <w:left w:w="0" w:type="dxa"/>
          <w:bottom w:w="0" w:type="dxa"/>
          <w:right w:w="0" w:type="dxa"/>
        </w:tblCellMar>
      </w:tblPr>
      <w:tblGrid>
        <w:gridCol w:w="203"/>
        <w:gridCol w:w="10002"/>
      </w:tblGrid>
      <w:tr>
        <w:trPr/>
        <w:tc>
          <w:tcPr>
            <w:tcW w:w="203" w:type="dxa"/>
            <w:tcBorders/>
            <w:shd w:fill="auto" w:val="clear"/>
          </w:tcPr>
          <w:p>
            <w:pPr>
              <w:pStyle w:val="TableContents"/>
              <w:spacing w:before="0" w:after="283"/>
              <w:jc w:val="left"/>
              <w:rPr>
                <w:rFonts w:ascii="Times New Roman" w:hAnsi="Times New Roman"/>
                <w:color w:val="000000"/>
                <w:position w:val="5"/>
                <w:sz w:val="11"/>
                <w:sz w:val="14"/>
              </w:rPr>
            </w:pPr>
            <w:r>
              <w:rPr>
                <w:rFonts w:ascii="Times New Roman" w:hAnsi="Times New Roman"/>
                <w:color w:val="000000"/>
                <w:position w:val="5"/>
                <w:sz w:val="11"/>
                <w:sz w:val="14"/>
              </w:rPr>
              <w:t>4</w:t>
            </w:r>
          </w:p>
        </w:tc>
        <w:tc>
          <w:tcPr>
            <w:tcW w:w="10002" w:type="dxa"/>
            <w:tcBorders/>
            <w:shd w:fill="auto" w:val="clear"/>
          </w:tcPr>
          <w:p>
            <w:pPr>
              <w:pStyle w:val="TableContents"/>
              <w:spacing w:before="0" w:after="283"/>
              <w:jc w:val="left"/>
              <w:rPr>
                <w:rFonts w:ascii="Times New Roman" w:hAnsi="Times New Roman"/>
                <w:color w:val="000000"/>
                <w:sz w:val="20"/>
              </w:rPr>
            </w:pPr>
            <w:r>
              <w:rPr>
                <w:rFonts w:ascii="Times New Roman" w:hAnsi="Times New Roman"/>
                <w:color w:val="000000"/>
                <w:sz w:val="20"/>
              </w:rPr>
              <w:t xml:space="preserve">Jason DeZwirek is a director and the Secretary of CECO. The number of shares listed includes the 25,000 shares of common stock issuable upon exercise of the Options, which shares are included in this Prospectus. Mr. Jason DeZwirek is the son of Mr. Phillip DeZwirek. </w:t>
            </w:r>
          </w:p>
        </w:tc>
      </w:tr>
    </w:tbl>
    <w:tbl>
      <w:tblPr>
        <w:tblW w:w="5000" w:type="pct"/>
        <w:jc w:val="left"/>
        <w:tblInd w:w="0" w:type="dxa"/>
        <w:tblCellMar>
          <w:top w:w="0" w:type="dxa"/>
          <w:left w:w="0" w:type="dxa"/>
          <w:bottom w:w="0" w:type="dxa"/>
          <w:right w:w="0" w:type="dxa"/>
        </w:tblCellMar>
      </w:tblPr>
      <w:tblGrid>
        <w:gridCol w:w="203"/>
        <w:gridCol w:w="10002"/>
      </w:tblGrid>
      <w:tr>
        <w:trPr/>
        <w:tc>
          <w:tcPr>
            <w:tcW w:w="203" w:type="dxa"/>
            <w:tcBorders/>
            <w:shd w:fill="auto" w:val="clear"/>
          </w:tcPr>
          <w:p>
            <w:pPr>
              <w:pStyle w:val="TableContents"/>
              <w:spacing w:before="0" w:after="283"/>
              <w:jc w:val="left"/>
              <w:rPr>
                <w:rFonts w:ascii="Times New Roman" w:hAnsi="Times New Roman"/>
                <w:color w:val="000000"/>
                <w:position w:val="5"/>
                <w:sz w:val="11"/>
                <w:sz w:val="14"/>
              </w:rPr>
            </w:pPr>
            <w:r>
              <w:rPr>
                <w:rFonts w:ascii="Times New Roman" w:hAnsi="Times New Roman"/>
                <w:color w:val="000000"/>
                <w:position w:val="5"/>
                <w:sz w:val="11"/>
                <w:sz w:val="14"/>
              </w:rPr>
              <w:t>5</w:t>
            </w:r>
          </w:p>
        </w:tc>
        <w:tc>
          <w:tcPr>
            <w:tcW w:w="10002" w:type="dxa"/>
            <w:tcBorders/>
            <w:shd w:fill="auto" w:val="clear"/>
          </w:tcPr>
          <w:p>
            <w:pPr>
              <w:pStyle w:val="TableContents"/>
              <w:spacing w:before="0" w:after="283"/>
              <w:jc w:val="left"/>
              <w:rPr>
                <w:rFonts w:ascii="Times New Roman" w:hAnsi="Times New Roman"/>
                <w:color w:val="000000"/>
                <w:sz w:val="20"/>
              </w:rPr>
            </w:pPr>
            <w:r>
              <w:rPr>
                <w:rFonts w:ascii="Times New Roman" w:hAnsi="Times New Roman"/>
                <w:color w:val="000000"/>
                <w:sz w:val="20"/>
              </w:rPr>
              <w:t xml:space="preserve">Includes 20,000 shares held in the name of Phyllis Sandler, the spouse of Mr. Harvey Sandler, the trustee of the Harvey Sandler Revocable Trust. </w:t>
            </w:r>
          </w:p>
        </w:tc>
      </w:tr>
    </w:tbl>
    <w:tbl>
      <w:tblPr>
        <w:tblW w:w="5000" w:type="pct"/>
        <w:jc w:val="left"/>
        <w:tblInd w:w="0" w:type="dxa"/>
        <w:tblCellMar>
          <w:top w:w="0" w:type="dxa"/>
          <w:left w:w="0" w:type="dxa"/>
          <w:bottom w:w="0" w:type="dxa"/>
          <w:right w:w="0" w:type="dxa"/>
        </w:tblCellMar>
      </w:tblPr>
      <w:tblGrid>
        <w:gridCol w:w="203"/>
        <w:gridCol w:w="10002"/>
      </w:tblGrid>
      <w:tr>
        <w:trPr/>
        <w:tc>
          <w:tcPr>
            <w:tcW w:w="203" w:type="dxa"/>
            <w:tcBorders/>
            <w:shd w:fill="auto" w:val="clear"/>
          </w:tcPr>
          <w:p>
            <w:pPr>
              <w:pStyle w:val="TableContents"/>
              <w:spacing w:before="0" w:after="283"/>
              <w:jc w:val="left"/>
              <w:rPr>
                <w:rFonts w:ascii="Times New Roman" w:hAnsi="Times New Roman"/>
                <w:color w:val="000000"/>
                <w:position w:val="5"/>
                <w:sz w:val="11"/>
                <w:sz w:val="14"/>
              </w:rPr>
            </w:pPr>
            <w:r>
              <w:rPr>
                <w:rFonts w:ascii="Times New Roman" w:hAnsi="Times New Roman"/>
                <w:color w:val="000000"/>
                <w:position w:val="5"/>
                <w:sz w:val="11"/>
                <w:sz w:val="14"/>
              </w:rPr>
              <w:t>6</w:t>
            </w:r>
          </w:p>
        </w:tc>
        <w:tc>
          <w:tcPr>
            <w:tcW w:w="10002" w:type="dxa"/>
            <w:tcBorders/>
            <w:shd w:fill="auto" w:val="clear"/>
          </w:tcPr>
          <w:p>
            <w:pPr>
              <w:pStyle w:val="TableContents"/>
              <w:spacing w:before="0" w:after="283"/>
              <w:jc w:val="left"/>
              <w:rPr>
                <w:rFonts w:ascii="Times New Roman" w:hAnsi="Times New Roman"/>
                <w:color w:val="000000"/>
                <w:sz w:val="20"/>
              </w:rPr>
            </w:pPr>
            <w:r>
              <w:rPr>
                <w:rFonts w:ascii="Times New Roman" w:hAnsi="Times New Roman"/>
                <w:color w:val="000000"/>
                <w:sz w:val="20"/>
              </w:rPr>
              <w:t xml:space="preserve">50.1% of the shares of Green Diamond are owned by Icarus Investment Corp. (Icarus). Icarus is owned 50% by Phillip DeZwirek and 50% by Jason Louis DeZwirek. Phillip DeZwirek is Chief Executive Officer and Chairman of the Board of CECO, and Jason Louis DeZwirek is Secretary of CECO. Icarus has voting and dispositive power, with respect to such shares, which is shared with the other shareholders of Green Diamond. Jason Louis DeZwirek is the son of Phillip DeZwirek. </w:t>
            </w:r>
          </w:p>
        </w:tc>
      </w:tr>
    </w:tbl>
    <w:tbl>
      <w:tblPr>
        <w:tblW w:w="5000" w:type="pct"/>
        <w:jc w:val="left"/>
        <w:tblInd w:w="0" w:type="dxa"/>
        <w:tblCellMar>
          <w:top w:w="0" w:type="dxa"/>
          <w:left w:w="0" w:type="dxa"/>
          <w:bottom w:w="0" w:type="dxa"/>
          <w:right w:w="0" w:type="dxa"/>
        </w:tblCellMar>
      </w:tblPr>
      <w:tblGrid>
        <w:gridCol w:w="203"/>
        <w:gridCol w:w="10002"/>
      </w:tblGrid>
      <w:tr>
        <w:trPr/>
        <w:tc>
          <w:tcPr>
            <w:tcW w:w="203" w:type="dxa"/>
            <w:tcBorders/>
            <w:shd w:fill="auto" w:val="clear"/>
          </w:tcPr>
          <w:p>
            <w:pPr>
              <w:pStyle w:val="TableContents"/>
              <w:spacing w:before="0" w:after="283"/>
              <w:jc w:val="left"/>
              <w:rPr>
                <w:rFonts w:ascii="Times New Roman" w:hAnsi="Times New Roman"/>
                <w:color w:val="000000"/>
                <w:position w:val="5"/>
                <w:sz w:val="11"/>
                <w:sz w:val="14"/>
              </w:rPr>
            </w:pPr>
            <w:r>
              <w:rPr>
                <w:rFonts w:ascii="Times New Roman" w:hAnsi="Times New Roman"/>
                <w:color w:val="000000"/>
                <w:position w:val="5"/>
                <w:sz w:val="11"/>
                <w:sz w:val="14"/>
              </w:rPr>
              <w:t>7</w:t>
            </w:r>
          </w:p>
        </w:tc>
        <w:tc>
          <w:tcPr>
            <w:tcW w:w="10002" w:type="dxa"/>
            <w:tcBorders/>
            <w:shd w:fill="auto" w:val="clear"/>
          </w:tcPr>
          <w:p>
            <w:pPr>
              <w:pStyle w:val="TableContents"/>
              <w:spacing w:before="0" w:after="283"/>
              <w:jc w:val="left"/>
              <w:rPr>
                <w:rFonts w:ascii="Times New Roman" w:hAnsi="Times New Roman"/>
                <w:color w:val="000000"/>
                <w:sz w:val="20"/>
              </w:rPr>
            </w:pPr>
            <w:r>
              <w:rPr>
                <w:rFonts w:ascii="Times New Roman" w:hAnsi="Times New Roman"/>
                <w:color w:val="000000"/>
                <w:sz w:val="20"/>
              </w:rPr>
              <w:t xml:space="preserve">All of the number of shares of common stock listed are shares of common stock issuable upon exercise of Warrants held by such party. </w:t>
            </w:r>
          </w:p>
        </w:tc>
      </w:tr>
    </w:tbl>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PLAN OF DISTRIBUTION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selling stockholders and any of their pledges, assignees and successors-in-interest may, from time to time, sell any or all of their shares of common stock on any stock exchange, market or trading facility on which the shares are traded or in private transactions. These sales may be at fixed or negotiated prices. Subject to contractual limitations, the selling stockholders may use any one or more of the following methods when selling shares: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ordinary brokerage transactions in which the broker-dealer solicits purchasers;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block trades in which the broker-dealer will attempt to sell the shares as agent but may position and resell a portion of the block as principal to facilitate the transaction;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purchases by a broker-dealer as principal and resale by the broker-dealer for its account;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 exchange distribution in accordance with the rules of the applicable exchange;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privately negotiated transactions;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4"/>
        <w:gridCol w:w="405"/>
        <w:gridCol w:w="9396"/>
      </w:tblGrid>
      <w:tr>
        <w:trPr/>
        <w:tc>
          <w:tcPr>
            <w:tcW w:w="404" w:type="dxa"/>
            <w:tcBorders/>
            <w:shd w:fill="auto" w:val="clear"/>
            <w:vAlign w:val="center"/>
          </w:tcPr>
          <w:p>
            <w:pPr>
              <w:pStyle w:val="TableContents"/>
              <w:spacing w:before="0" w:after="283"/>
              <w:rPr/>
            </w:pPr>
            <w:r>
              <w:rPr/>
              <w:t> </w:t>
            </w:r>
          </w:p>
        </w:tc>
        <w:tc>
          <w:tcPr>
            <w:tcW w:w="4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39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short sales;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3"/>
        <w:gridCol w:w="404"/>
        <w:gridCol w:w="9398"/>
      </w:tblGrid>
      <w:tr>
        <w:trPr/>
        <w:tc>
          <w:tcPr>
            <w:tcW w:w="403" w:type="dxa"/>
            <w:tcBorders/>
            <w:shd w:fill="auto" w:val="clear"/>
            <w:vAlign w:val="center"/>
          </w:tcPr>
          <w:p>
            <w:pPr>
              <w:pStyle w:val="TableContents"/>
              <w:spacing w:before="0" w:after="283"/>
              <w:rPr/>
            </w:pPr>
            <w:r>
              <w:rPr/>
              <w:t> </w:t>
            </w:r>
          </w:p>
        </w:tc>
        <w:tc>
          <w:tcPr>
            <w:tcW w:w="4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3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broker-dealers may agree with the selling stockholders to sell a specified number of such shares at a stipulated price per share;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combination of any such methods of sale;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other method permitted pursuant to applicable law.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The selling stockholders also may sell shares under Rule 144 of the Securities Act of 1933, as amended (the Securities Act) if available, rather than under this prospectus.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selling stockholders may pledge their shares to their brokers under the margin provisions of customer agreements. If a selling stockholder defaults on a margin loan, the broker may, from time to time, offer and sell the pledged shares.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order to comply with the securities laws of certain states, if applicable, the shares may be sold only through registered or licensed brokers or dealers. In addition, in certain states, the shares may not be sold unless they have been registered or qualified for sale in the state or an exemption from the registration or qualification requirement is available and complied with.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sale or distribution of common stock under this Prospectus will be made in compliance with the applicable provisions of NASD Conduct Rule 2720. Brokers, dealers, underwriters, or agents participating in the distribution of the shares as agents may receive compensation in the form of commissions, discounts, or concessions from the selling stockholders and/or purchasers of the common stock for whom the broker-dealers may act as agent, or to whom they may sell as principal, or both. The compensation paid to a particular broker-dealer may be less than or in excess of customary commissions, however, the maximum commission or discount to be received by any NASD member or independent broker-dealer will not be greater than eight (8) percent for the sale of any securities being registered hereunder pursuant to Rule 415 of the Securities Act.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Crestview Capital Fund L.P. is an affiliate of, by virtue of being under common control with, Dillon Capital, Inc., a registered broker-dealer. Crestview Capital Fund L.P. purchased its Warrants in the ordinary course of business, and at the time of the purchase of such Warrants had no agreements or understandings, directly or indirectly, with any person to distribute the Warrants. Gary J. Shemano, Michael Jacks, and Bill Corbett are affiliates of The Shemano Group, a registered broker-dealer and Brain Mikes is an affiliate of Adams Harkness, Inc., a registered broker-dealer. Each such person purchased its Warrants in the ordinary course of business, and at the time of the purchase of such Warrants had no agreements or understandings, directly or indirectly, with any person to distribute the Warrants.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Green Diamond is an underwriter within the meaning of Section 2(11) of the Securities Act. A majority of the shares of Green Diamond (50.1%) are owned by Icarus Investment Corp., which is owned 50% by Phillip DeZwirek and 50% by Jason DeZwirek. Green Diamond is not directly or indirectly affiliated or associated with an NASD member. Phillip DeZwirek is a director and the Chairman of the Board and the Chief Executive Officer of CECO. Mr. Jason DeZwirek is a director and the Secretary of CECO. Neither Mr. Phillip DeZwirek nor Mr. Jason DeZwirek is directly or indirectly affiliated or associated with an NASD member. The Harvey Sandler Revocable Trust (HSRT) is an affiliate of ours by virtue of owning in excess of 10% of our common stock. HSRT is not directly or indirectly affiliated or associated with an NASD member.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addition, the other selling shareholders and any broker, dealer, or agent that assists in the sale of the common stock may be deemed to be underwriters within the meaning of Section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2(a)(11) of the Securities Act. Accordingly, any profit on the sale of common stock by them and any discounts, concessions or commissions received by any of the underwriters, brokers, dealers or agents may be deemed to be underwriting discounts and commissions under the Securities Act.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Neither we nor the selling stockholders can presently estimate the amount of compensation that any agent will receive. We know of no existing arrangements between any selling stockholders, any other stockholders, broker, dealer, underwriter, or agent relating to the sale or distribution of the shares. At the time a particular offer of shares is made, a prospectus supplement, if required, will be distributed that will set forth the names of any agents, underwriters, or dealers and any compensation from the selling stockholders and any other required information.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will pay all of the expenses incident to the registration, offering, and sale of the shares for the public other than commissions or discounts of underwriters, broker-dealers, or agents. We have also agreed to indemnify the selling shareholders against specified liabilities, including liabilities under the Securities Act.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Insofar as indemnification for liabilities arising under the Securities Act, as amended, may be permitted to our directors, officers, and controlling persons, we have been informed that in the opinion of the SEC this indemnification is against public policy as expressed in the Securities Act and, therefore, is unenforceable.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LEGAL MATTERS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validity of the common stock offered will be passed upon for CECO by Sugar, Friedberg &amp; Felsenthal, 30 N. LaSalle Street, Suite 3000, Chicago, Illinois 60602.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EXPERTS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financial statements incorporated in this prospectus by reference from the CECO Environmental Corp. Annual Report on Form 10-K for the year ended December 31, 2004 have been audited by Deloitte &amp; Touche LLP, an independent registered public accounting firm, as stated in their report, which is incorporated herein by reference, and has been so incorporated in reliance upon the report of such firm given upon their authority as experts in accounting and auditing.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WHERE YOU CAN GET MORE INFORMATION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have filed with the Securities and Exchange Commission a Registration Statement under the Securities Act, with respect to the shares offered hereby. This prospectus is part of the registration statement. This prospectus does not contain all the information set forth in the registration statement and the exhibits and schedules thereto, to which reference is hereby made for further information. This prospectus does not contain all the information included in a registration statement because we have omitted parts of the registration statement as permitted by the SECs rules and regulations. For further information about us, you should refer to the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registration statement. Statements contained in this prospectus as to any contract, agreement or other document referred to are not necessarily complete. Where the contract or other document is an exhibit to the registration statement, each statement is qualified by the provisions of that exhibit.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are a reporting company and also file annual, quarterly and current reports, proxy statements and other information with the Securities and Exchange Commission. You may inspect and copy all or any portion of the registration statement or any reports, proxy statements, or other information at the Securities and Exchange Commissions Public Reference Room at 100 F Street, N.E., Washington, D.C. 20549. You can request copies of these documents by writing to the Securities and Exchange Commission and paying a fee for the copying cost. Please call the Securities and Exchange Commission at 1-800-SEC-0330 for more information about the operation of the public reference rooms. In addition, such information may be accessed electronically at the Securities and Exchange Commissions web site on the Internet at </w:t>
      </w:r>
      <w:r>
        <w:rPr>
          <w:rFonts w:ascii="Times New Roman" w:hAnsi="Times New Roman"/>
          <w:sz w:val="20"/>
          <w:u w:val="single"/>
        </w:rPr>
        <w:t>www.sec.gov</w:t>
      </w:r>
      <w:r>
        <w:rPr>
          <w:rFonts w:ascii="Times New Roman" w:hAnsi="Times New Roman"/>
          <w:sz w:val="20"/>
        </w:rPr>
        <w:t xml:space="preserve"> and on our website </w:t>
      </w:r>
      <w:r>
        <w:rPr>
          <w:rFonts w:ascii="Times New Roman" w:hAnsi="Times New Roman"/>
          <w:sz w:val="20"/>
          <w:u w:val="single"/>
        </w:rPr>
        <w:t>www.cecoenviro.com</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Our common stock is traded on the Nasdaq SmallCap Market under the symbol CECE.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Securities and Exchange Commission allows us to incorporate by reference information that we file with them, which means that we can disclose important information to you by referring you to those documents. The information incorporated by reference is an important part of this prospectus, and information that we file later with the Securities and Exchange Commission, (SEC) will automatically update and supersede this information. We incorporate by reference the documents listed below and any future filings we will make with the Securities and Exchange Commission under Sections 13(a), 13(c), 14 or 15(d) of the Securities Exchange Act of 1934 until our offering is completed: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405"/>
        <w:gridCol w:w="9395"/>
      </w:tblGrid>
      <w:tr>
        <w:trPr/>
        <w:tc>
          <w:tcPr>
            <w:tcW w:w="405" w:type="dxa"/>
            <w:tcBorders/>
            <w:shd w:fill="auto" w:val="clear"/>
            <w:vAlign w:val="center"/>
          </w:tcPr>
          <w:p>
            <w:pPr>
              <w:pStyle w:val="TableContents"/>
              <w:spacing w:before="0" w:after="283"/>
              <w:rPr/>
            </w:pPr>
            <w:r>
              <w:rPr/>
              <w:t> </w:t>
            </w:r>
          </w:p>
        </w:tc>
        <w:tc>
          <w:tcPr>
            <w:tcW w:w="4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39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Annual Report on Form 10-K for the year ended December 31, 2004;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3"/>
        <w:gridCol w:w="404"/>
        <w:gridCol w:w="9398"/>
      </w:tblGrid>
      <w:tr>
        <w:trPr/>
        <w:tc>
          <w:tcPr>
            <w:tcW w:w="403" w:type="dxa"/>
            <w:tcBorders/>
            <w:shd w:fill="auto" w:val="clear"/>
            <w:vAlign w:val="center"/>
          </w:tcPr>
          <w:p>
            <w:pPr>
              <w:pStyle w:val="TableContents"/>
              <w:spacing w:before="0" w:after="283"/>
              <w:rPr/>
            </w:pPr>
            <w:r>
              <w:rPr/>
              <w:t> </w:t>
            </w:r>
          </w:p>
        </w:tc>
        <w:tc>
          <w:tcPr>
            <w:tcW w:w="4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3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Quarterly Reports on Form 10-Q for the quarters ended March 31, 2005, June 30, 2005, and September 30, 2005;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current report on 8-K/A filed with the SEC November 21, 2005;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current report on 8-K filed with the SEC November 15, 2005;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6"/>
        <w:gridCol w:w="9393"/>
      </w:tblGrid>
      <w:tr>
        <w:trPr/>
        <w:tc>
          <w:tcPr>
            <w:tcW w:w="406"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3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current report on 8-K filed with the SEC October 26, 2005;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3"/>
        <w:gridCol w:w="404"/>
        <w:gridCol w:w="9398"/>
      </w:tblGrid>
      <w:tr>
        <w:trPr/>
        <w:tc>
          <w:tcPr>
            <w:tcW w:w="403" w:type="dxa"/>
            <w:tcBorders/>
            <w:shd w:fill="auto" w:val="clear"/>
            <w:vAlign w:val="center"/>
          </w:tcPr>
          <w:p>
            <w:pPr>
              <w:pStyle w:val="TableContents"/>
              <w:spacing w:before="0" w:after="283"/>
              <w:rPr/>
            </w:pPr>
            <w:r>
              <w:rPr/>
              <w:t> </w:t>
            </w:r>
          </w:p>
        </w:tc>
        <w:tc>
          <w:tcPr>
            <w:tcW w:w="4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3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current report on 8-K filed with the SEC September 12, 2005;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406"/>
        <w:gridCol w:w="9394"/>
      </w:tblGrid>
      <w:tr>
        <w:trPr/>
        <w:tc>
          <w:tcPr>
            <w:tcW w:w="405"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3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current report on 8-K filed with the SEC July 12, 2005;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6"/>
        <w:gridCol w:w="9393"/>
      </w:tblGrid>
      <w:tr>
        <w:trPr/>
        <w:tc>
          <w:tcPr>
            <w:tcW w:w="406"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3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current report on 8-K filed with the SEC June 22, 2005;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6"/>
        <w:gridCol w:w="9393"/>
      </w:tblGrid>
      <w:tr>
        <w:trPr/>
        <w:tc>
          <w:tcPr>
            <w:tcW w:w="406"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3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current report on 8-K filed with the SEC May 27, 2005;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999999"/>
        </w:pBdr>
        <w:rPr/>
      </w:pPr>
      <w:r>
        <w:rPr/>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current report on 8-K filed with the SEC April 22, 2005;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6"/>
        <w:gridCol w:w="9393"/>
      </w:tblGrid>
      <w:tr>
        <w:trPr/>
        <w:tc>
          <w:tcPr>
            <w:tcW w:w="406"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3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current report on 8-K filed with the SEC March 10, 2005;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current report on 8-K filed with the SEC February 8, 2005;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proxy statement on Schedule 14A for our 2005 annual meeting, filed with the SEC April 25, 2005;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405"/>
        <w:gridCol w:w="9395"/>
      </w:tblGrid>
      <w:tr>
        <w:trPr/>
        <w:tc>
          <w:tcPr>
            <w:tcW w:w="405" w:type="dxa"/>
            <w:tcBorders/>
            <w:shd w:fill="auto" w:val="clear"/>
            <w:vAlign w:val="center"/>
          </w:tcPr>
          <w:p>
            <w:pPr>
              <w:pStyle w:val="TableContents"/>
              <w:spacing w:before="0" w:after="283"/>
              <w:rPr/>
            </w:pPr>
            <w:r>
              <w:rPr/>
              <w:t> </w:t>
            </w:r>
          </w:p>
        </w:tc>
        <w:tc>
          <w:tcPr>
            <w:tcW w:w="4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39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description of our common stock contained in the registration statement on Form 10 filed with the Securities and Exchange Commission on December 13, 1992 pursuant to Section 12(g) of the Securities Exchange Act of 1934, together with all amendments or reports filed for the purpose of updating such description.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will provide to each person to whom a Prospectus is delivered, including any beneficial owner, a copy of these filings at no cost, upon written or oral request at the following address or telephone number: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CECO Environmental Corp. </w:t>
      </w:r>
    </w:p>
    <w:p>
      <w:pPr>
        <w:pStyle w:val="TextBody"/>
        <w:spacing w:before="0" w:after="0"/>
        <w:rPr>
          <w:rFonts w:ascii="Times New Roman" w:hAnsi="Times New Roman"/>
          <w:sz w:val="20"/>
        </w:rPr>
      </w:pPr>
      <w:r>
        <w:rPr>
          <w:rFonts w:ascii="Times New Roman" w:hAnsi="Times New Roman"/>
          <w:sz w:val="20"/>
        </w:rPr>
        <w:t xml:space="preserve">Attn: Dennis W. Blazer </w:t>
      </w:r>
    </w:p>
    <w:p>
      <w:pPr>
        <w:pStyle w:val="TextBody"/>
        <w:spacing w:before="0" w:after="0"/>
        <w:rPr>
          <w:rFonts w:ascii="Times New Roman" w:hAnsi="Times New Roman"/>
          <w:sz w:val="20"/>
        </w:rPr>
      </w:pPr>
      <w:r>
        <w:rPr>
          <w:rFonts w:ascii="Times New Roman" w:hAnsi="Times New Roman"/>
          <w:sz w:val="20"/>
        </w:rPr>
        <w:t xml:space="preserve">3120 Forrer Street </w:t>
      </w:r>
    </w:p>
    <w:p>
      <w:pPr>
        <w:pStyle w:val="TextBody"/>
        <w:spacing w:before="0" w:after="0"/>
        <w:rPr>
          <w:rFonts w:ascii="Times New Roman" w:hAnsi="Times New Roman"/>
          <w:sz w:val="20"/>
        </w:rPr>
      </w:pPr>
      <w:r>
        <w:rPr>
          <w:rFonts w:ascii="Times New Roman" w:hAnsi="Times New Roman"/>
          <w:sz w:val="20"/>
        </w:rPr>
        <w:t xml:space="preserve">Cincinnati, Ohio 45209 </w:t>
      </w:r>
    </w:p>
    <w:p>
      <w:pPr>
        <w:pStyle w:val="TextBody"/>
        <w:spacing w:before="0" w:after="0"/>
        <w:rPr>
          <w:rFonts w:ascii="Times New Roman" w:hAnsi="Times New Roman"/>
          <w:sz w:val="20"/>
        </w:rPr>
      </w:pPr>
      <w:r>
        <w:rPr>
          <w:rFonts w:ascii="Times New Roman" w:hAnsi="Times New Roman"/>
          <w:sz w:val="20"/>
        </w:rPr>
        <w:t xml:space="preserve">(513) 458-2600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THIS PROSPECTUS IS PART OF A LARGER REGISTRATION STATEMENT WE FILED WITH THE SECURITIES AND EXCHANGE COMMISSION. YOU SHOULD RELY ONLY ON THE INFORMATION INCORPORATED BY REFERENCE OR PROVIDED IN THIS PROSPECTUS. WE HAVE NOT AUTHORIZED ANYONE ELSE TO PROVIDE YOU WITH DIFFERENT INFORMATION. WE ARE NOT MAKING AN OFFER OF THESE SECURITIES IN ANY STATE WHERE THE OFFER IS NOT PERMITTED. YOU SHOULD NOT ASSUME THAT THE INFORMATION IN THIS PROSPECTUS IS ACCURATE AS OF ANY OTHER DATE OTHER THAN THE DATE ON THE FRONT OF THE DOCUMENT.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204"/>
        <w:gridCol w:w="204"/>
        <w:gridCol w:w="4797"/>
      </w:tblGrid>
      <w:tr>
        <w:trPr/>
        <w:tc>
          <w:tcPr>
            <w:tcW w:w="5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No dealer, sales representative or any other person has been authorized to give any information or to make any representations in connection with this offering other than those contained in this prospectus, and, if given or made, such information or representations must not be relied upon as having been authorized by the Company or any of the Selling Stockholders. This prospectus does not constitute an offer to sell, or a solicitation of an offer to buy, any securities to which it relates or an offer to, or a solicitation of, any person in any jurisdiction where such offer or solicitation would be unlawful. Neither the delivery of this prospectus nor any sale made hereunder shall, under any circumstances, create any implication that there has been no change in the affairs of the Company since the date hereof or that the information contained herein is correct as of any time subsequent to the date hereof.</w:t>
            </w:r>
          </w:p>
        </w:tc>
        <w:tc>
          <w:tcPr>
            <w:tcW w:w="204"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0"/>
              <w:rPr>
                <w:rFonts w:ascii="Times New Roman" w:hAnsi="Times New Roman"/>
                <w:sz w:val="20"/>
              </w:rPr>
            </w:pPr>
            <w:r>
              <w:rPr>
                <w:rFonts w:ascii="Times New Roman" w:hAnsi="Times New Roman"/>
                <w:sz w:val="20"/>
              </w:rPr>
              <w:t>2,392,334 Shares</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CECO Environmental Corp.</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Common Stock</w:t>
            </w:r>
          </w:p>
          <w:p>
            <w:pPr>
              <w:pStyle w:val="TableContents"/>
              <w:spacing w:before="0" w:after="0"/>
              <w:rPr/>
            </w:pPr>
            <w:r>
              <w:rPr/>
              <w:t> </w:t>
            </w:r>
          </w:p>
          <w:p>
            <w:pPr>
              <w:pStyle w:val="TableContents"/>
              <w:spacing w:before="0" w:after="0"/>
              <w:rPr/>
            </w:pPr>
            <w:r>
              <w:rPr/>
              <w:t> </w:t>
            </w:r>
          </w:p>
          <w:p>
            <w:pPr>
              <w:pStyle w:val="TableContents"/>
              <w:spacing w:before="0" w:after="0"/>
              <w:rPr/>
            </w:pPr>
            <w:r>
              <w:rPr/>
              <w:t> </w:t>
            </w:r>
          </w:p>
          <w:p>
            <w:pPr>
              <w:pStyle w:val="TableContents"/>
              <w:spacing w:before="0" w:after="0"/>
              <w:rPr/>
            </w:pPr>
            <w:r>
              <w:rPr/>
              <w:t> </w:t>
            </w:r>
          </w:p>
          <w:p>
            <w:pPr>
              <w:pStyle w:val="HorizontalLine"/>
              <w:pBdr>
                <w:bottom w:val="single" w:sz="6" w:space="0" w:color="000000"/>
              </w:pBdr>
              <w:rPr/>
            </w:pPr>
            <w:r>
              <w:rPr/>
            </w:r>
          </w:p>
          <w:p>
            <w:pPr>
              <w:pStyle w:val="TableContents"/>
              <w:spacing w:before="0" w:after="15"/>
              <w:rPr>
                <w:rFonts w:ascii="Times New Roman" w:hAnsi="Times New Roman"/>
                <w:sz w:val="20"/>
              </w:rPr>
            </w:pPr>
            <w:r>
              <w:rPr>
                <w:rFonts w:ascii="Times New Roman" w:hAnsi="Times New Roman"/>
                <w:sz w:val="20"/>
              </w:rPr>
              <w:t>Prospectus</w:t>
            </w:r>
          </w:p>
        </w:tc>
      </w:tr>
      <w:tr>
        <w:trPr/>
        <w:tc>
          <w:tcPr>
            <w:tcW w:w="5204" w:type="dxa"/>
            <w:tcBorders/>
            <w:shd w:fill="auto" w:val="clear"/>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December 13, 2005</w:t>
            </w:r>
          </w:p>
        </w:tc>
      </w:tr>
      <w:tr>
        <w:trPr>
          <w:trHeight w:val="24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TABLE OF CONTENTS</w:t>
            </w:r>
          </w:p>
        </w:tc>
        <w:tc>
          <w:tcPr>
            <w:tcW w:w="204"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rPr/>
            </w:pPr>
            <w:r>
              <w:rPr/>
              <w:t> </w:t>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Overview</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pPr>
            <w:r>
              <w:rPr/>
              <w:t>  </w:t>
            </w:r>
            <w:r>
              <w:rPr>
                <w:rFonts w:ascii="Times New Roman" w:hAnsi="Times New Roman"/>
                <w:sz w:val="20"/>
              </w:rPr>
              <w:t>2</w:t>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Risk Factors</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pPr>
            <w:r>
              <w:rPr/>
              <w:t>  </w:t>
            </w:r>
            <w:r>
              <w:rPr>
                <w:rFonts w:ascii="Times New Roman" w:hAnsi="Times New Roman"/>
                <w:sz w:val="20"/>
              </w:rPr>
              <w:t>3</w:t>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Use of Proceeds</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pPr>
            <w:r>
              <w:rPr/>
              <w:t>  </w:t>
            </w:r>
            <w:r>
              <w:rPr>
                <w:rFonts w:ascii="Times New Roman" w:hAnsi="Times New Roman"/>
                <w:sz w:val="20"/>
              </w:rPr>
              <w:t>9</w:t>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Selling Shareholders</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pPr>
            <w:r>
              <w:rPr/>
              <w:t>  </w:t>
            </w:r>
            <w:r>
              <w:rPr>
                <w:rFonts w:ascii="Times New Roman" w:hAnsi="Times New Roman"/>
                <w:sz w:val="20"/>
              </w:rPr>
              <w:t>9</w:t>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Plan of Distribution</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12</w:t>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Legal Matters</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14</w:t>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Experts</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14</w:t>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Where You Can Find More Information</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14</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PART IIINFORMATION NOT REQUIRED IN THE PROSPECTUS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8"/>
        <w:gridCol w:w="9287"/>
      </w:tblGrid>
      <w:tr>
        <w:trPr/>
        <w:tc>
          <w:tcPr>
            <w:tcW w:w="91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14.</w:t>
            </w:r>
          </w:p>
        </w:tc>
        <w:tc>
          <w:tcPr>
            <w:tcW w:w="928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OTHER EXPENSES OF ISSUANCE AND DISTRIBUTION*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following is a statement of estimated expenses of the issuance and distribution of the securities being registered (other than underwriting discounts and commissions), all of which are being paid by the Registrant </w:t>
      </w:r>
    </w:p>
    <w:p>
      <w:pPr>
        <w:pStyle w:val="TextBody"/>
        <w:spacing w:before="0" w:after="0"/>
        <w:rPr/>
      </w:pPr>
      <w:r>
        <w:rPr/>
        <w:t> </w:t>
      </w:r>
    </w:p>
    <w:tbl>
      <w:tblPr>
        <w:tblW w:w="3500" w:type="pct"/>
        <w:jc w:val="center"/>
        <w:tblInd w:w="0" w:type="dxa"/>
        <w:tblCellMar>
          <w:top w:w="0" w:type="dxa"/>
          <w:left w:w="0" w:type="dxa"/>
          <w:bottom w:w="0" w:type="dxa"/>
          <w:right w:w="0" w:type="dxa"/>
        </w:tblCellMar>
      </w:tblPr>
      <w:tblGrid>
        <w:gridCol w:w="5921"/>
        <w:gridCol w:w="244"/>
        <w:gridCol w:w="125"/>
        <w:gridCol w:w="853"/>
      </w:tblGrid>
      <w:tr>
        <w:trPr/>
        <w:tc>
          <w:tcPr>
            <w:tcW w:w="5921"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spacing w:before="0" w:after="283"/>
              <w:rPr>
                <w:sz w:val="4"/>
                <w:szCs w:val="4"/>
              </w:rPr>
            </w:pPr>
            <w:r>
              <w:rPr>
                <w:sz w:val="4"/>
                <w:szCs w:val="4"/>
              </w:rPr>
            </w:r>
          </w:p>
        </w:tc>
      </w:tr>
      <w:tr>
        <w:trPr/>
        <w:tc>
          <w:tcPr>
            <w:tcW w:w="5921" w:type="dxa"/>
            <w:tcBorders/>
            <w:shd w:fill="CCEEFF" w:val="clear"/>
          </w:tcPr>
          <w:p>
            <w:pPr>
              <w:pStyle w:val="TableContents"/>
              <w:spacing w:before="0" w:after="283"/>
              <w:rPr>
                <w:rFonts w:ascii="Times New Roman" w:hAnsi="Times New Roman"/>
                <w:sz w:val="20"/>
              </w:rPr>
            </w:pPr>
            <w:r>
              <w:rPr>
                <w:rFonts w:ascii="Times New Roman" w:hAnsi="Times New Roman"/>
                <w:sz w:val="20"/>
              </w:rPr>
              <w:t>SEC Registration Fee</w:t>
            </w:r>
          </w:p>
        </w:tc>
        <w:tc>
          <w:tcPr>
            <w:tcW w:w="24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1,738.10</w:t>
            </w:r>
          </w:p>
        </w:tc>
      </w:tr>
      <w:tr>
        <w:trPr/>
        <w:tc>
          <w:tcPr>
            <w:tcW w:w="5921" w:type="dxa"/>
            <w:tcBorders/>
            <w:shd w:fill="auto" w:val="clear"/>
          </w:tcPr>
          <w:p>
            <w:pPr>
              <w:pStyle w:val="TableContents"/>
              <w:spacing w:before="0" w:after="283"/>
              <w:rPr>
                <w:rFonts w:ascii="Times New Roman" w:hAnsi="Times New Roman"/>
                <w:sz w:val="20"/>
              </w:rPr>
            </w:pPr>
            <w:r>
              <w:rPr>
                <w:rFonts w:ascii="Times New Roman" w:hAnsi="Times New Roman"/>
                <w:sz w:val="20"/>
              </w:rPr>
              <w:t>NASD Filing Fee</w:t>
            </w:r>
          </w:p>
        </w:tc>
        <w:tc>
          <w:tcPr>
            <w:tcW w:w="24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2,214.00</w:t>
            </w:r>
          </w:p>
        </w:tc>
      </w:tr>
      <w:tr>
        <w:trPr/>
        <w:tc>
          <w:tcPr>
            <w:tcW w:w="5921" w:type="dxa"/>
            <w:tcBorders/>
            <w:shd w:fill="CCEEFF" w:val="clear"/>
          </w:tcPr>
          <w:p>
            <w:pPr>
              <w:pStyle w:val="TableContents"/>
              <w:spacing w:before="0" w:after="283"/>
              <w:rPr>
                <w:rFonts w:ascii="Times New Roman" w:hAnsi="Times New Roman"/>
                <w:sz w:val="20"/>
              </w:rPr>
            </w:pPr>
            <w:r>
              <w:rPr>
                <w:rFonts w:ascii="Times New Roman" w:hAnsi="Times New Roman"/>
                <w:sz w:val="20"/>
              </w:rPr>
              <w:t>Accounting Fees and Expenses</w:t>
            </w:r>
          </w:p>
        </w:tc>
        <w:tc>
          <w:tcPr>
            <w:tcW w:w="24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2,000.00</w:t>
            </w:r>
          </w:p>
        </w:tc>
      </w:tr>
      <w:tr>
        <w:trPr/>
        <w:tc>
          <w:tcPr>
            <w:tcW w:w="5921" w:type="dxa"/>
            <w:tcBorders/>
            <w:shd w:fill="auto" w:val="clear"/>
          </w:tcPr>
          <w:p>
            <w:pPr>
              <w:pStyle w:val="TableContents"/>
              <w:spacing w:before="0" w:after="283"/>
              <w:rPr>
                <w:rFonts w:ascii="Times New Roman" w:hAnsi="Times New Roman"/>
                <w:sz w:val="20"/>
              </w:rPr>
            </w:pPr>
            <w:r>
              <w:rPr>
                <w:rFonts w:ascii="Times New Roman" w:hAnsi="Times New Roman"/>
                <w:sz w:val="20"/>
              </w:rPr>
              <w:t>Legal Fees and Expenses</w:t>
            </w:r>
          </w:p>
        </w:tc>
        <w:tc>
          <w:tcPr>
            <w:tcW w:w="24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15,000.00</w:t>
            </w:r>
          </w:p>
        </w:tc>
      </w:tr>
      <w:tr>
        <w:trPr/>
        <w:tc>
          <w:tcPr>
            <w:tcW w:w="5921" w:type="dxa"/>
            <w:tcBorders/>
            <w:shd w:fill="CCEEFF" w:val="clear"/>
          </w:tcPr>
          <w:p>
            <w:pPr>
              <w:pStyle w:val="TableContents"/>
              <w:spacing w:before="0" w:after="283"/>
              <w:rPr>
                <w:rFonts w:ascii="Times New Roman" w:hAnsi="Times New Roman"/>
                <w:sz w:val="20"/>
              </w:rPr>
            </w:pPr>
            <w:r>
              <w:rPr>
                <w:rFonts w:ascii="Times New Roman" w:hAnsi="Times New Roman"/>
                <w:sz w:val="20"/>
              </w:rPr>
              <w:t>Printing Expenses</w:t>
            </w:r>
          </w:p>
        </w:tc>
        <w:tc>
          <w:tcPr>
            <w:tcW w:w="24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1,000.00</w:t>
            </w:r>
          </w:p>
        </w:tc>
      </w:tr>
      <w:tr>
        <w:trPr/>
        <w:tc>
          <w:tcPr>
            <w:tcW w:w="5921" w:type="dxa"/>
            <w:tcBorders/>
            <w:shd w:fill="auto" w:val="clear"/>
          </w:tcPr>
          <w:p>
            <w:pPr>
              <w:pStyle w:val="TableContents"/>
              <w:spacing w:before="0" w:after="283"/>
              <w:rPr>
                <w:rFonts w:ascii="Times New Roman" w:hAnsi="Times New Roman"/>
                <w:sz w:val="20"/>
              </w:rPr>
            </w:pPr>
            <w:r>
              <w:rPr>
                <w:rFonts w:ascii="Times New Roman" w:hAnsi="Times New Roman"/>
                <w:sz w:val="20"/>
              </w:rPr>
              <w:t>Miscellaneous</w:t>
            </w:r>
          </w:p>
        </w:tc>
        <w:tc>
          <w:tcPr>
            <w:tcW w:w="24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1,047.90</w:t>
            </w:r>
          </w:p>
        </w:tc>
      </w:tr>
      <w:tr>
        <w:trPr/>
        <w:tc>
          <w:tcPr>
            <w:tcW w:w="5921" w:type="dxa"/>
            <w:tcBorders/>
            <w:shd w:fill="CCEEFF" w:val="clear"/>
          </w:tcPr>
          <w:p>
            <w:pPr>
              <w:pStyle w:val="TableContents"/>
              <w:spacing w:before="0" w:after="283"/>
              <w:rPr>
                <w:rFonts w:ascii="Times New Roman" w:hAnsi="Times New Roman"/>
                <w:sz w:val="20"/>
              </w:rPr>
            </w:pPr>
            <w:r>
              <w:rPr>
                <w:rFonts w:ascii="Times New Roman" w:hAnsi="Times New Roman"/>
                <w:sz w:val="20"/>
              </w:rPr>
              <w:t>Total</w:t>
            </w:r>
          </w:p>
        </w:tc>
        <w:tc>
          <w:tcPr>
            <w:tcW w:w="24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23,000.00</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*All amounts are estimates except for the SEC Registration Fee and the Nasdaq Listing Fee.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15.</w:t>
            </w:r>
          </w:p>
        </w:tc>
        <w:tc>
          <w:tcPr>
            <w:tcW w:w="928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INDEMNIFICATION OF DIRECTORS AND OFFICERS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Under Section 145 of the Delaware General Corporation Law, our certificate of incorporation and our bylaws provide for indemnification of our directors, officers, employees and other agents to the extent permitted by the Delaware General Corporation Law. Mandatory indemnification is required for directors and executive officers, and we provide for permissive indemnification for other officers, employees and agents. Also, we are authorized to purchase insurance on behalf of an individual for liabilities incurred whether or not we would have the power or obligation to indemnify him under our bylaws.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8"/>
        <w:gridCol w:w="9287"/>
      </w:tblGrid>
      <w:tr>
        <w:trPr/>
        <w:tc>
          <w:tcPr>
            <w:tcW w:w="91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16.</w:t>
            </w:r>
          </w:p>
        </w:tc>
        <w:tc>
          <w:tcPr>
            <w:tcW w:w="928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EXHIBITS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4.1 CECO Filters, Inc. Savings and Retirement Plan. (Incorporated by reference from CECOs Annual Report on Form 10-K for the fiscal year ended December 31, 1990)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4.2 CECO Environmental Corp. 1997 Stock Option Plan and Amendment. (Incorporated by reference from Form S-8, Exhibit 4, filed March 24, 2000, of the Company)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4.3 Form of Warrant (for Investors). (Incorporated by reference from the Companys Form 8-K filed January 15, 2002)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4.4 Form of Warrant (for Finders). (Incorporated by reference from Form 10-K dated December 31, 2001)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5.1* Opinion of Sugar Friedberg &amp; Felsenthal.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10.1 Warrant Agreement dated as of November 7, 1996 between CECO and Phillip DeZwirek. (Incorporated by reference from CECOs Form 10-KSB dated December 31, 1996.)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10.2 Warrant Agreement dated as of January 14, 1998 between CECO and Phillip DeZwirek. (Incorporated by reference from CECOs Form 10-KSB dated December 31, 1998.)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10.3 Option for the Purchase of Shares of Common Stock of Jason DeZwirek dated October 5, 2001. (Incorporated by reference from Form 10-K dated December 31, 2001.)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23.1* Consent of Independent Registered Public Accounting Firm.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24.1* Power of Attorney (see Page 4).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 Filed herewith.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17.</w:t>
            </w:r>
          </w:p>
        </w:tc>
        <w:tc>
          <w:tcPr>
            <w:tcW w:w="928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UNDERTAKINGS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 The undersigned Registrant hereby undertakes: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 to file, during any period in which offers or sales are being made, a post-effective amendment to this registration statement: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(ii) to include any material information with respect to the plan of distribution not previously disclosed in the registration statement or any material change to such information in the registration statement;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(iii)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 and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(iv) to remove from registration by means of a post effective amendment any of the securities being registered which remain unsold at the termination of the offering.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(b) 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bona fide offering thereof.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(c) 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SIGNATURES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Boca Raton, State of Florida on December 13, 2005.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354"/>
        <w:gridCol w:w="60"/>
        <w:gridCol w:w="3668"/>
      </w:tblGrid>
      <w:tr>
        <w:trPr/>
        <w:tc>
          <w:tcPr>
            <w:tcW w:w="35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668"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CECO Environmental Corp.</w:t>
            </w:r>
          </w:p>
        </w:tc>
      </w:tr>
      <w:tr>
        <w:trPr>
          <w:trHeight w:val="240" w:hRule="atLeast"/>
        </w:trPr>
        <w:tc>
          <w:tcPr>
            <w:tcW w:w="354" w:type="dxa"/>
            <w:tcBorders/>
            <w:shd w:fill="auto" w:val="clear"/>
            <w:vAlign w:val="center"/>
          </w:tcPr>
          <w:p>
            <w:pPr>
              <w:pStyle w:val="TableContents"/>
              <w:spacing w:before="0" w:after="283"/>
              <w:rPr>
                <w:sz w:val="4"/>
                <w:szCs w:val="4"/>
              </w:rPr>
            </w:pPr>
            <w:r>
              <w:rPr>
                <w:sz w:val="4"/>
                <w:szCs w:val="4"/>
              </w:rPr>
            </w:r>
          </w:p>
        </w:tc>
        <w:tc>
          <w:tcPr>
            <w:tcW w:w="3728" w:type="dxa"/>
            <w:gridSpan w:val="2"/>
            <w:tcBorders/>
            <w:shd w:fill="auto" w:val="clear"/>
            <w:vAlign w:val="center"/>
          </w:tcPr>
          <w:p>
            <w:pPr>
              <w:pStyle w:val="TableContents"/>
              <w:spacing w:before="0" w:after="283"/>
              <w:rPr>
                <w:sz w:val="4"/>
                <w:szCs w:val="4"/>
              </w:rPr>
            </w:pPr>
            <w:r>
              <w:rPr>
                <w:sz w:val="4"/>
                <w:szCs w:val="4"/>
              </w:rPr>
            </w:r>
          </w:p>
        </w:tc>
      </w:tr>
      <w:tr>
        <w:trPr/>
        <w:tc>
          <w:tcPr>
            <w:tcW w:w="354"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3668"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Phillip DeZwirek</w:t>
            </w:r>
          </w:p>
        </w:tc>
      </w:tr>
      <w:tr>
        <w:trPr/>
        <w:tc>
          <w:tcPr>
            <w:tcW w:w="354"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668"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Phillip DeZwirek</w:t>
            </w:r>
          </w:p>
          <w:p>
            <w:pPr>
              <w:pStyle w:val="TableContents"/>
              <w:spacing w:before="0" w:after="15"/>
              <w:rPr>
                <w:rFonts w:ascii="Times New Roman" w:hAnsi="Times New Roman"/>
                <w:sz w:val="20"/>
              </w:rPr>
            </w:pPr>
            <w:r>
              <w:rPr>
                <w:rFonts w:ascii="Times New Roman" w:hAnsi="Times New Roman"/>
                <w:sz w:val="20"/>
              </w:rPr>
              <w:t>Chief Executive Officer</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POWER OF ATTORNEY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KNOW ALL MEN BY THESE PRESENTS, that each person whose signature appears below constitutes and appoints the Chairman and Chief Executive Officer, the Chief Financial Officer, or any of them, as his true and lawful attorneys-in-fact and agents, with full power of substitution and resubstitution, for him and in his name, place and stead in any and all capacities, to sign any or all amendments to this Registration Statement (including post-effective amendments),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and to all intents and purposes as he might or could do in person, hereby ratifying and confirming that said attorneys-in-fact and agents, or their substitute or substitutes, may lawfully do or cause to be done by virtue hereof.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following capacities on December 13, 2005. </w:t>
      </w:r>
    </w:p>
    <w:p>
      <w:pPr>
        <w:pStyle w:val="TextBody"/>
        <w:spacing w:before="0" w:after="0"/>
        <w:rPr/>
      </w:pPr>
      <w:r>
        <w:rPr/>
        <w: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250"/>
        <w:gridCol w:w="120"/>
        <w:gridCol w:w="4835"/>
      </w:tblGrid>
      <w:tr>
        <w:trPr/>
        <w:tc>
          <w:tcPr>
            <w:tcW w:w="52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4835" w:type="dxa"/>
            <w:tcBorders/>
            <w:shd w:fill="auto" w:val="clear"/>
            <w:vAlign w:val="center"/>
          </w:tcPr>
          <w:p>
            <w:pPr>
              <w:pStyle w:val="TableContents"/>
              <w:spacing w:before="0" w:after="283"/>
              <w:rPr>
                <w:sz w:val="4"/>
                <w:szCs w:val="4"/>
              </w:rPr>
            </w:pPr>
            <w:r>
              <w:rPr>
                <w:sz w:val="4"/>
                <w:szCs w:val="4"/>
              </w:rPr>
            </w:r>
          </w:p>
        </w:tc>
      </w:tr>
      <w:tr>
        <w:trPr/>
        <w:tc>
          <w:tcPr>
            <w:tcW w:w="5250"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Phillip DeZwirek</w:t>
            </w:r>
          </w:p>
        </w:tc>
        <w:tc>
          <w:tcPr>
            <w:tcW w:w="120" w:type="dxa"/>
            <w:tcBorders/>
            <w:shd w:fill="auto" w:val="clear"/>
            <w:vAlign w:val="bottom"/>
          </w:tcPr>
          <w:p>
            <w:pPr>
              <w:pStyle w:val="TableContents"/>
              <w:spacing w:before="0" w:after="283"/>
              <w:rPr/>
            </w:pPr>
            <w:r>
              <w:rPr/>
              <w:t>  </w:t>
            </w:r>
          </w:p>
        </w:tc>
        <w:tc>
          <w:tcPr>
            <w:tcW w:w="4835" w:type="dxa"/>
            <w:tcBorders/>
            <w:shd w:fill="auto" w:val="clear"/>
          </w:tcPr>
          <w:p>
            <w:pPr>
              <w:pStyle w:val="TableContents"/>
              <w:spacing w:before="0" w:after="283"/>
              <w:rPr>
                <w:rFonts w:ascii="Times New Roman" w:hAnsi="Times New Roman"/>
                <w:sz w:val="20"/>
              </w:rPr>
            </w:pPr>
            <w:r>
              <w:rPr>
                <w:rFonts w:ascii="Times New Roman" w:hAnsi="Times New Roman"/>
                <w:sz w:val="20"/>
              </w:rPr>
              <w:t>December 13, 2005</w:t>
            </w:r>
          </w:p>
        </w:tc>
      </w:tr>
      <w:tr>
        <w:trPr/>
        <w:tc>
          <w:tcPr>
            <w:tcW w:w="5250" w:type="dxa"/>
            <w:tcBorders/>
            <w:shd w:fill="auto" w:val="clear"/>
          </w:tcPr>
          <w:p>
            <w:pPr>
              <w:pStyle w:val="TableContents"/>
              <w:spacing w:before="0" w:after="0"/>
              <w:rPr>
                <w:rFonts w:ascii="Times New Roman" w:hAnsi="Times New Roman"/>
                <w:sz w:val="20"/>
              </w:rPr>
            </w:pPr>
            <w:r>
              <w:rPr>
                <w:rFonts w:ascii="Times New Roman" w:hAnsi="Times New Roman"/>
                <w:sz w:val="20"/>
              </w:rPr>
              <w:t>Phillip DeZwirek, Chairman</w:t>
            </w:r>
          </w:p>
          <w:p>
            <w:pPr>
              <w:pStyle w:val="TableContents"/>
              <w:spacing w:before="0" w:after="0"/>
              <w:rPr>
                <w:rFonts w:ascii="Times New Roman" w:hAnsi="Times New Roman"/>
                <w:sz w:val="20"/>
              </w:rPr>
            </w:pPr>
            <w:r>
              <w:rPr>
                <w:rFonts w:ascii="Times New Roman" w:hAnsi="Times New Roman"/>
                <w:sz w:val="20"/>
              </w:rPr>
              <w:t>of the Board, Director and</w:t>
            </w:r>
          </w:p>
          <w:p>
            <w:pPr>
              <w:pStyle w:val="TableContents"/>
              <w:spacing w:before="0" w:after="0"/>
              <w:rPr>
                <w:rFonts w:ascii="Times New Roman" w:hAnsi="Times New Roman"/>
                <w:sz w:val="20"/>
              </w:rPr>
            </w:pPr>
            <w:r>
              <w:rPr>
                <w:rFonts w:ascii="Times New Roman" w:hAnsi="Times New Roman"/>
                <w:sz w:val="20"/>
              </w:rPr>
              <w:t>Chief Executive Officer</w:t>
            </w:r>
          </w:p>
          <w:p>
            <w:pPr>
              <w:pStyle w:val="TableContents"/>
              <w:spacing w:before="0" w:after="15"/>
              <w:rPr>
                <w:rFonts w:ascii="Times New Roman" w:hAnsi="Times New Roman"/>
                <w:sz w:val="20"/>
              </w:rPr>
            </w:pPr>
            <w:r>
              <w:rPr>
                <w:rFonts w:ascii="Times New Roman" w:hAnsi="Times New Roman"/>
                <w:sz w:val="20"/>
              </w:rPr>
              <w:t>(Principal Executive Officer)</w:t>
            </w:r>
          </w:p>
        </w:tc>
        <w:tc>
          <w:tcPr>
            <w:tcW w:w="120" w:type="dxa"/>
            <w:tcBorders/>
            <w:shd w:fill="auto" w:val="clear"/>
            <w:vAlign w:val="bottom"/>
          </w:tcPr>
          <w:p>
            <w:pPr>
              <w:pStyle w:val="TableContents"/>
              <w:spacing w:before="0" w:after="283"/>
              <w:rPr/>
            </w:pPr>
            <w:r>
              <w:rPr/>
              <w:t>  </w:t>
            </w:r>
          </w:p>
        </w:tc>
        <w:tc>
          <w:tcPr>
            <w:tcW w:w="4835" w:type="dxa"/>
            <w:tcBorders/>
            <w:shd w:fill="auto" w:val="clear"/>
          </w:tcPr>
          <w:p>
            <w:pPr>
              <w:pStyle w:val="TableContents"/>
              <w:spacing w:before="0" w:after="283"/>
              <w:rPr/>
            </w:pPr>
            <w:r>
              <w:rPr/>
              <w:t> </w:t>
            </w:r>
          </w:p>
        </w:tc>
      </w:tr>
      <w:tr>
        <w:trPr>
          <w:trHeight w:val="240" w:hRule="atLeast"/>
        </w:trPr>
        <w:tc>
          <w:tcPr>
            <w:tcW w:w="5250" w:type="dxa"/>
            <w:tcBorders/>
            <w:shd w:fill="auto" w:val="clear"/>
            <w:vAlign w:val="center"/>
          </w:tcPr>
          <w:p>
            <w:pPr>
              <w:pStyle w:val="TableContents"/>
              <w:spacing w:before="0" w:after="283"/>
              <w:rPr>
                <w:sz w:val="4"/>
                <w:szCs w:val="4"/>
              </w:rPr>
            </w:pPr>
            <w:r>
              <w:rPr>
                <w:sz w:val="4"/>
                <w:szCs w:val="4"/>
              </w:rPr>
            </w:r>
          </w:p>
        </w:tc>
        <w:tc>
          <w:tcPr>
            <w:tcW w:w="4955" w:type="dxa"/>
            <w:gridSpan w:val="2"/>
            <w:tcBorders/>
            <w:shd w:fill="auto" w:val="clear"/>
            <w:vAlign w:val="center"/>
          </w:tcPr>
          <w:p>
            <w:pPr>
              <w:pStyle w:val="TableContents"/>
              <w:spacing w:before="0" w:after="283"/>
              <w:rPr>
                <w:sz w:val="4"/>
                <w:szCs w:val="4"/>
              </w:rPr>
            </w:pPr>
            <w:r>
              <w:rPr>
                <w:sz w:val="4"/>
                <w:szCs w:val="4"/>
              </w:rPr>
            </w:r>
          </w:p>
        </w:tc>
      </w:tr>
      <w:tr>
        <w:trPr/>
        <w:tc>
          <w:tcPr>
            <w:tcW w:w="5250"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Dennis W. Blazer</w:t>
            </w:r>
          </w:p>
        </w:tc>
        <w:tc>
          <w:tcPr>
            <w:tcW w:w="120" w:type="dxa"/>
            <w:tcBorders/>
            <w:shd w:fill="auto" w:val="clear"/>
            <w:vAlign w:val="bottom"/>
          </w:tcPr>
          <w:p>
            <w:pPr>
              <w:pStyle w:val="TableContents"/>
              <w:spacing w:before="0" w:after="283"/>
              <w:rPr/>
            </w:pPr>
            <w:r>
              <w:rPr/>
              <w:t>  </w:t>
            </w:r>
          </w:p>
        </w:tc>
        <w:tc>
          <w:tcPr>
            <w:tcW w:w="4835" w:type="dxa"/>
            <w:tcBorders/>
            <w:shd w:fill="auto" w:val="clear"/>
          </w:tcPr>
          <w:p>
            <w:pPr>
              <w:pStyle w:val="TableContents"/>
              <w:spacing w:before="0" w:after="283"/>
              <w:rPr>
                <w:rFonts w:ascii="Times New Roman" w:hAnsi="Times New Roman"/>
                <w:sz w:val="20"/>
              </w:rPr>
            </w:pPr>
            <w:r>
              <w:rPr>
                <w:rFonts w:ascii="Times New Roman" w:hAnsi="Times New Roman"/>
                <w:sz w:val="20"/>
              </w:rPr>
              <w:t>December 13, 2005</w:t>
            </w:r>
          </w:p>
        </w:tc>
      </w:tr>
      <w:tr>
        <w:trPr/>
        <w:tc>
          <w:tcPr>
            <w:tcW w:w="5250" w:type="dxa"/>
            <w:tcBorders/>
            <w:shd w:fill="auto" w:val="clear"/>
          </w:tcPr>
          <w:p>
            <w:pPr>
              <w:pStyle w:val="TableContents"/>
              <w:spacing w:before="0" w:after="0"/>
              <w:rPr>
                <w:rFonts w:ascii="Times New Roman" w:hAnsi="Times New Roman"/>
                <w:sz w:val="20"/>
              </w:rPr>
            </w:pPr>
            <w:r>
              <w:rPr>
                <w:rFonts w:ascii="Times New Roman" w:hAnsi="Times New Roman"/>
                <w:sz w:val="20"/>
              </w:rPr>
              <w:t>Dennis W. Blazer,</w:t>
            </w:r>
          </w:p>
          <w:p>
            <w:pPr>
              <w:pStyle w:val="TableContents"/>
              <w:spacing w:before="0" w:after="0"/>
              <w:rPr>
                <w:rFonts w:ascii="Times New Roman" w:hAnsi="Times New Roman"/>
                <w:sz w:val="20"/>
              </w:rPr>
            </w:pPr>
            <w:r>
              <w:rPr>
                <w:rFonts w:ascii="Times New Roman" w:hAnsi="Times New Roman"/>
                <w:sz w:val="20"/>
              </w:rPr>
              <w:t>Vice President-Finance</w:t>
            </w:r>
          </w:p>
          <w:p>
            <w:pPr>
              <w:pStyle w:val="TableContents"/>
              <w:spacing w:before="0" w:after="0"/>
              <w:rPr>
                <w:rFonts w:ascii="Times New Roman" w:hAnsi="Times New Roman"/>
                <w:sz w:val="20"/>
              </w:rPr>
            </w:pPr>
            <w:r>
              <w:rPr>
                <w:rFonts w:ascii="Times New Roman" w:hAnsi="Times New Roman"/>
                <w:sz w:val="20"/>
              </w:rPr>
              <w:t>and Administration;</w:t>
            </w:r>
          </w:p>
          <w:p>
            <w:pPr>
              <w:pStyle w:val="TableContents"/>
              <w:spacing w:before="0" w:after="0"/>
              <w:rPr>
                <w:rFonts w:ascii="Times New Roman" w:hAnsi="Times New Roman"/>
                <w:sz w:val="20"/>
              </w:rPr>
            </w:pPr>
            <w:r>
              <w:rPr>
                <w:rFonts w:ascii="Times New Roman" w:hAnsi="Times New Roman"/>
                <w:sz w:val="20"/>
              </w:rPr>
              <w:t>Chief Financial Officer</w:t>
            </w:r>
          </w:p>
          <w:p>
            <w:pPr>
              <w:pStyle w:val="TableContents"/>
              <w:spacing w:before="0" w:after="0"/>
              <w:rPr>
                <w:rFonts w:ascii="Times New Roman" w:hAnsi="Times New Roman"/>
                <w:sz w:val="20"/>
              </w:rPr>
            </w:pPr>
            <w:r>
              <w:rPr>
                <w:rFonts w:ascii="Times New Roman" w:hAnsi="Times New Roman"/>
                <w:sz w:val="20"/>
              </w:rPr>
              <w:t>(Principal Accounting and</w:t>
            </w:r>
          </w:p>
          <w:p>
            <w:pPr>
              <w:pStyle w:val="TableContents"/>
              <w:spacing w:before="0" w:after="15"/>
              <w:rPr>
                <w:rFonts w:ascii="Times New Roman" w:hAnsi="Times New Roman"/>
                <w:sz w:val="20"/>
              </w:rPr>
            </w:pPr>
            <w:r>
              <w:rPr>
                <w:rFonts w:ascii="Times New Roman" w:hAnsi="Times New Roman"/>
                <w:sz w:val="20"/>
              </w:rPr>
              <w:t>Financial Officer)</w:t>
            </w:r>
          </w:p>
        </w:tc>
        <w:tc>
          <w:tcPr>
            <w:tcW w:w="120" w:type="dxa"/>
            <w:tcBorders/>
            <w:shd w:fill="auto" w:val="clear"/>
            <w:vAlign w:val="bottom"/>
          </w:tcPr>
          <w:p>
            <w:pPr>
              <w:pStyle w:val="TableContents"/>
              <w:spacing w:before="0" w:after="283"/>
              <w:rPr/>
            </w:pPr>
            <w:r>
              <w:rPr/>
              <w:t>  </w:t>
            </w:r>
          </w:p>
        </w:tc>
        <w:tc>
          <w:tcPr>
            <w:tcW w:w="4835" w:type="dxa"/>
            <w:tcBorders/>
            <w:shd w:fill="auto" w:val="clear"/>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999999"/>
        </w:pBdr>
        <w:rPr/>
      </w:pPr>
      <w:r>
        <w:rPr/>
      </w:r>
    </w:p>
    <w:tbl>
      <w:tblPr>
        <w:tblW w:w="5000" w:type="pct"/>
        <w:jc w:val="left"/>
        <w:tblInd w:w="0" w:type="dxa"/>
        <w:tblCellMar>
          <w:top w:w="0" w:type="dxa"/>
          <w:left w:w="0" w:type="dxa"/>
          <w:bottom w:w="0" w:type="dxa"/>
          <w:right w:w="0" w:type="dxa"/>
        </w:tblCellMar>
      </w:tblPr>
      <w:tblGrid>
        <w:gridCol w:w="5209"/>
        <w:gridCol w:w="123"/>
        <w:gridCol w:w="4873"/>
      </w:tblGrid>
      <w:tr>
        <w:trPr/>
        <w:tc>
          <w:tcPr>
            <w:tcW w:w="5209"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c>
          <w:tcPr>
            <w:tcW w:w="4873" w:type="dxa"/>
            <w:tcBorders/>
            <w:shd w:fill="auto" w:val="clear"/>
            <w:vAlign w:val="center"/>
          </w:tcPr>
          <w:p>
            <w:pPr>
              <w:pStyle w:val="TableContents"/>
              <w:spacing w:before="0" w:after="283"/>
              <w:rPr>
                <w:sz w:val="4"/>
                <w:szCs w:val="4"/>
              </w:rPr>
            </w:pPr>
            <w:r>
              <w:rPr>
                <w:sz w:val="4"/>
                <w:szCs w:val="4"/>
              </w:rPr>
            </w:r>
          </w:p>
        </w:tc>
      </w:tr>
      <w:tr>
        <w:trPr/>
        <w:tc>
          <w:tcPr>
            <w:tcW w:w="5209"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Richard J. Blum</w:t>
            </w:r>
          </w:p>
        </w:tc>
        <w:tc>
          <w:tcPr>
            <w:tcW w:w="123" w:type="dxa"/>
            <w:tcBorders/>
            <w:shd w:fill="auto" w:val="clear"/>
            <w:vAlign w:val="bottom"/>
          </w:tcPr>
          <w:p>
            <w:pPr>
              <w:pStyle w:val="TableContents"/>
              <w:spacing w:before="0" w:after="283"/>
              <w:rPr/>
            </w:pPr>
            <w:r>
              <w:rPr/>
              <w:t>  </w:t>
            </w:r>
          </w:p>
        </w:tc>
        <w:tc>
          <w:tcPr>
            <w:tcW w:w="4873" w:type="dxa"/>
            <w:tcBorders/>
            <w:shd w:fill="auto" w:val="clear"/>
          </w:tcPr>
          <w:p>
            <w:pPr>
              <w:pStyle w:val="TableContents"/>
              <w:spacing w:before="0" w:after="283"/>
              <w:rPr>
                <w:rFonts w:ascii="Times New Roman" w:hAnsi="Times New Roman"/>
                <w:sz w:val="20"/>
              </w:rPr>
            </w:pPr>
            <w:r>
              <w:rPr>
                <w:rFonts w:ascii="Times New Roman" w:hAnsi="Times New Roman"/>
                <w:sz w:val="20"/>
              </w:rPr>
              <w:t>December 13, 2005</w:t>
            </w:r>
          </w:p>
        </w:tc>
      </w:tr>
      <w:tr>
        <w:trPr/>
        <w:tc>
          <w:tcPr>
            <w:tcW w:w="5209" w:type="dxa"/>
            <w:tcBorders/>
            <w:shd w:fill="auto" w:val="clear"/>
          </w:tcPr>
          <w:p>
            <w:pPr>
              <w:pStyle w:val="TableContents"/>
              <w:spacing w:before="0" w:after="0"/>
              <w:rPr>
                <w:rFonts w:ascii="Times New Roman" w:hAnsi="Times New Roman"/>
                <w:sz w:val="20"/>
              </w:rPr>
            </w:pPr>
            <w:r>
              <w:rPr>
                <w:rFonts w:ascii="Times New Roman" w:hAnsi="Times New Roman"/>
                <w:sz w:val="20"/>
              </w:rPr>
              <w:t>Richard J. Blum, President,</w:t>
            </w:r>
          </w:p>
          <w:p>
            <w:pPr>
              <w:pStyle w:val="TableContents"/>
              <w:spacing w:before="0" w:after="15"/>
              <w:rPr>
                <w:rFonts w:ascii="Times New Roman" w:hAnsi="Times New Roman"/>
                <w:sz w:val="20"/>
              </w:rPr>
            </w:pPr>
            <w:r>
              <w:rPr>
                <w:rFonts w:ascii="Times New Roman" w:hAnsi="Times New Roman"/>
                <w:sz w:val="20"/>
              </w:rPr>
              <w:t>Director</w:t>
            </w:r>
          </w:p>
        </w:tc>
        <w:tc>
          <w:tcPr>
            <w:tcW w:w="123" w:type="dxa"/>
            <w:tcBorders/>
            <w:shd w:fill="auto" w:val="clear"/>
            <w:vAlign w:val="bottom"/>
          </w:tcPr>
          <w:p>
            <w:pPr>
              <w:pStyle w:val="TableContents"/>
              <w:spacing w:before="0" w:after="283"/>
              <w:rPr/>
            </w:pPr>
            <w:r>
              <w:rPr/>
              <w:t>  </w:t>
            </w:r>
          </w:p>
        </w:tc>
        <w:tc>
          <w:tcPr>
            <w:tcW w:w="4873" w:type="dxa"/>
            <w:tcBorders/>
            <w:shd w:fill="auto" w:val="clear"/>
          </w:tcPr>
          <w:p>
            <w:pPr>
              <w:pStyle w:val="TableContents"/>
              <w:spacing w:before="0" w:after="283"/>
              <w:rPr/>
            </w:pPr>
            <w:r>
              <w:rPr/>
              <w:t> </w:t>
            </w:r>
          </w:p>
        </w:tc>
      </w:tr>
      <w:tr>
        <w:trPr>
          <w:trHeight w:val="240" w:hRule="atLeast"/>
        </w:trPr>
        <w:tc>
          <w:tcPr>
            <w:tcW w:w="5209" w:type="dxa"/>
            <w:tcBorders/>
            <w:shd w:fill="auto" w:val="clear"/>
            <w:vAlign w:val="center"/>
          </w:tcPr>
          <w:p>
            <w:pPr>
              <w:pStyle w:val="TableContents"/>
              <w:spacing w:before="0" w:after="283"/>
              <w:rPr>
                <w:sz w:val="4"/>
                <w:szCs w:val="4"/>
              </w:rPr>
            </w:pPr>
            <w:r>
              <w:rPr>
                <w:sz w:val="4"/>
                <w:szCs w:val="4"/>
              </w:rPr>
            </w:r>
          </w:p>
        </w:tc>
        <w:tc>
          <w:tcPr>
            <w:tcW w:w="4996" w:type="dxa"/>
            <w:gridSpan w:val="2"/>
            <w:tcBorders/>
            <w:shd w:fill="auto" w:val="clear"/>
            <w:vAlign w:val="center"/>
          </w:tcPr>
          <w:p>
            <w:pPr>
              <w:pStyle w:val="TableContents"/>
              <w:spacing w:before="0" w:after="283"/>
              <w:rPr>
                <w:sz w:val="4"/>
                <w:szCs w:val="4"/>
              </w:rPr>
            </w:pPr>
            <w:r>
              <w:rPr>
                <w:sz w:val="4"/>
                <w:szCs w:val="4"/>
              </w:rPr>
            </w:r>
          </w:p>
        </w:tc>
      </w:tr>
      <w:tr>
        <w:trPr/>
        <w:tc>
          <w:tcPr>
            <w:tcW w:w="5209"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Jason Louis DeZwirek</w:t>
            </w:r>
          </w:p>
        </w:tc>
        <w:tc>
          <w:tcPr>
            <w:tcW w:w="123" w:type="dxa"/>
            <w:tcBorders/>
            <w:shd w:fill="auto" w:val="clear"/>
            <w:vAlign w:val="bottom"/>
          </w:tcPr>
          <w:p>
            <w:pPr>
              <w:pStyle w:val="TableContents"/>
              <w:spacing w:before="0" w:after="283"/>
              <w:rPr/>
            </w:pPr>
            <w:r>
              <w:rPr/>
              <w:t>  </w:t>
            </w:r>
          </w:p>
        </w:tc>
        <w:tc>
          <w:tcPr>
            <w:tcW w:w="4873" w:type="dxa"/>
            <w:tcBorders/>
            <w:shd w:fill="auto" w:val="clear"/>
          </w:tcPr>
          <w:p>
            <w:pPr>
              <w:pStyle w:val="TableContents"/>
              <w:spacing w:before="0" w:after="283"/>
              <w:rPr>
                <w:rFonts w:ascii="Times New Roman" w:hAnsi="Times New Roman"/>
                <w:sz w:val="20"/>
              </w:rPr>
            </w:pPr>
            <w:r>
              <w:rPr>
                <w:rFonts w:ascii="Times New Roman" w:hAnsi="Times New Roman"/>
                <w:sz w:val="20"/>
              </w:rPr>
              <w:t>December 13, 2005</w:t>
            </w:r>
          </w:p>
        </w:tc>
      </w:tr>
      <w:tr>
        <w:trPr/>
        <w:tc>
          <w:tcPr>
            <w:tcW w:w="5209" w:type="dxa"/>
            <w:tcBorders/>
            <w:shd w:fill="auto" w:val="clear"/>
          </w:tcPr>
          <w:p>
            <w:pPr>
              <w:pStyle w:val="TableContents"/>
              <w:spacing w:before="0" w:after="283"/>
              <w:rPr>
                <w:rFonts w:ascii="Times New Roman" w:hAnsi="Times New Roman"/>
                <w:sz w:val="20"/>
              </w:rPr>
            </w:pPr>
            <w:r>
              <w:rPr>
                <w:rFonts w:ascii="Times New Roman" w:hAnsi="Times New Roman"/>
                <w:sz w:val="20"/>
              </w:rPr>
              <w:t>Jason Louis DeZwirek, Director</w:t>
            </w:r>
          </w:p>
        </w:tc>
        <w:tc>
          <w:tcPr>
            <w:tcW w:w="123" w:type="dxa"/>
            <w:tcBorders/>
            <w:shd w:fill="auto" w:val="clear"/>
            <w:vAlign w:val="bottom"/>
          </w:tcPr>
          <w:p>
            <w:pPr>
              <w:pStyle w:val="TableContents"/>
              <w:spacing w:before="0" w:after="283"/>
              <w:rPr/>
            </w:pPr>
            <w:r>
              <w:rPr/>
              <w:t>  </w:t>
            </w:r>
          </w:p>
        </w:tc>
        <w:tc>
          <w:tcPr>
            <w:tcW w:w="4873" w:type="dxa"/>
            <w:tcBorders/>
            <w:shd w:fill="auto" w:val="clear"/>
          </w:tcPr>
          <w:p>
            <w:pPr>
              <w:pStyle w:val="TableContents"/>
              <w:spacing w:before="0" w:after="283"/>
              <w:rPr/>
            </w:pPr>
            <w:r>
              <w:rPr/>
              <w:t> </w:t>
            </w:r>
          </w:p>
        </w:tc>
      </w:tr>
      <w:tr>
        <w:trPr>
          <w:trHeight w:val="240" w:hRule="atLeast"/>
        </w:trPr>
        <w:tc>
          <w:tcPr>
            <w:tcW w:w="5209" w:type="dxa"/>
            <w:tcBorders/>
            <w:shd w:fill="auto" w:val="clear"/>
            <w:vAlign w:val="center"/>
          </w:tcPr>
          <w:p>
            <w:pPr>
              <w:pStyle w:val="TableContents"/>
              <w:spacing w:before="0" w:after="283"/>
              <w:rPr>
                <w:sz w:val="4"/>
                <w:szCs w:val="4"/>
              </w:rPr>
            </w:pPr>
            <w:r>
              <w:rPr>
                <w:sz w:val="4"/>
                <w:szCs w:val="4"/>
              </w:rPr>
            </w:r>
          </w:p>
        </w:tc>
        <w:tc>
          <w:tcPr>
            <w:tcW w:w="4996" w:type="dxa"/>
            <w:gridSpan w:val="2"/>
            <w:tcBorders/>
            <w:shd w:fill="auto" w:val="clear"/>
            <w:vAlign w:val="center"/>
          </w:tcPr>
          <w:p>
            <w:pPr>
              <w:pStyle w:val="TableContents"/>
              <w:spacing w:before="0" w:after="283"/>
              <w:rPr>
                <w:sz w:val="4"/>
                <w:szCs w:val="4"/>
              </w:rPr>
            </w:pPr>
            <w:r>
              <w:rPr>
                <w:sz w:val="4"/>
                <w:szCs w:val="4"/>
              </w:rPr>
            </w:r>
          </w:p>
        </w:tc>
      </w:tr>
      <w:tr>
        <w:trPr/>
        <w:tc>
          <w:tcPr>
            <w:tcW w:w="5209"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Ronald E. Krieg</w:t>
            </w:r>
          </w:p>
        </w:tc>
        <w:tc>
          <w:tcPr>
            <w:tcW w:w="123" w:type="dxa"/>
            <w:tcBorders/>
            <w:shd w:fill="auto" w:val="clear"/>
            <w:vAlign w:val="bottom"/>
          </w:tcPr>
          <w:p>
            <w:pPr>
              <w:pStyle w:val="TableContents"/>
              <w:spacing w:before="0" w:after="283"/>
              <w:rPr/>
            </w:pPr>
            <w:r>
              <w:rPr/>
              <w:t>  </w:t>
            </w:r>
          </w:p>
        </w:tc>
        <w:tc>
          <w:tcPr>
            <w:tcW w:w="4873" w:type="dxa"/>
            <w:tcBorders/>
            <w:shd w:fill="auto" w:val="clear"/>
          </w:tcPr>
          <w:p>
            <w:pPr>
              <w:pStyle w:val="TableContents"/>
              <w:spacing w:before="0" w:after="283"/>
              <w:rPr>
                <w:rFonts w:ascii="Times New Roman" w:hAnsi="Times New Roman"/>
                <w:sz w:val="20"/>
              </w:rPr>
            </w:pPr>
            <w:r>
              <w:rPr>
                <w:rFonts w:ascii="Times New Roman" w:hAnsi="Times New Roman"/>
                <w:sz w:val="20"/>
              </w:rPr>
              <w:t>December 13, 2005</w:t>
            </w:r>
          </w:p>
        </w:tc>
      </w:tr>
      <w:tr>
        <w:trPr/>
        <w:tc>
          <w:tcPr>
            <w:tcW w:w="5209" w:type="dxa"/>
            <w:tcBorders/>
            <w:shd w:fill="auto" w:val="clear"/>
          </w:tcPr>
          <w:p>
            <w:pPr>
              <w:pStyle w:val="TableContents"/>
              <w:spacing w:before="0" w:after="283"/>
              <w:rPr>
                <w:rFonts w:ascii="Times New Roman" w:hAnsi="Times New Roman"/>
                <w:sz w:val="20"/>
              </w:rPr>
            </w:pPr>
            <w:r>
              <w:rPr>
                <w:rFonts w:ascii="Times New Roman" w:hAnsi="Times New Roman"/>
                <w:sz w:val="20"/>
              </w:rPr>
              <w:t>Ronald E. Krieg, Director</w:t>
            </w:r>
          </w:p>
        </w:tc>
        <w:tc>
          <w:tcPr>
            <w:tcW w:w="123" w:type="dxa"/>
            <w:tcBorders/>
            <w:shd w:fill="auto" w:val="clear"/>
            <w:vAlign w:val="bottom"/>
          </w:tcPr>
          <w:p>
            <w:pPr>
              <w:pStyle w:val="TableContents"/>
              <w:spacing w:before="0" w:after="283"/>
              <w:rPr/>
            </w:pPr>
            <w:r>
              <w:rPr/>
              <w:t>  </w:t>
            </w:r>
          </w:p>
        </w:tc>
        <w:tc>
          <w:tcPr>
            <w:tcW w:w="4873" w:type="dxa"/>
            <w:tcBorders/>
            <w:shd w:fill="auto" w:val="clear"/>
          </w:tcPr>
          <w:p>
            <w:pPr>
              <w:pStyle w:val="TableContents"/>
              <w:spacing w:before="0" w:after="283"/>
              <w:rPr/>
            </w:pPr>
            <w:r>
              <w:rPr/>
              <w:t> </w:t>
            </w:r>
          </w:p>
        </w:tc>
      </w:tr>
      <w:tr>
        <w:trPr>
          <w:trHeight w:val="240" w:hRule="atLeast"/>
        </w:trPr>
        <w:tc>
          <w:tcPr>
            <w:tcW w:w="5209" w:type="dxa"/>
            <w:tcBorders/>
            <w:shd w:fill="auto" w:val="clear"/>
            <w:vAlign w:val="center"/>
          </w:tcPr>
          <w:p>
            <w:pPr>
              <w:pStyle w:val="TableContents"/>
              <w:spacing w:before="0" w:after="283"/>
              <w:rPr>
                <w:sz w:val="4"/>
                <w:szCs w:val="4"/>
              </w:rPr>
            </w:pPr>
            <w:r>
              <w:rPr>
                <w:sz w:val="4"/>
                <w:szCs w:val="4"/>
              </w:rPr>
            </w:r>
          </w:p>
        </w:tc>
        <w:tc>
          <w:tcPr>
            <w:tcW w:w="4996" w:type="dxa"/>
            <w:gridSpan w:val="2"/>
            <w:tcBorders/>
            <w:shd w:fill="auto" w:val="clear"/>
            <w:vAlign w:val="center"/>
          </w:tcPr>
          <w:p>
            <w:pPr>
              <w:pStyle w:val="TableContents"/>
              <w:spacing w:before="0" w:after="283"/>
              <w:rPr>
                <w:sz w:val="4"/>
                <w:szCs w:val="4"/>
              </w:rPr>
            </w:pPr>
            <w:r>
              <w:rPr>
                <w:sz w:val="4"/>
                <w:szCs w:val="4"/>
              </w:rPr>
            </w:r>
          </w:p>
        </w:tc>
      </w:tr>
      <w:tr>
        <w:trPr/>
        <w:tc>
          <w:tcPr>
            <w:tcW w:w="5209"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Thomas J. Flaherty</w:t>
            </w:r>
          </w:p>
        </w:tc>
        <w:tc>
          <w:tcPr>
            <w:tcW w:w="123" w:type="dxa"/>
            <w:tcBorders/>
            <w:shd w:fill="auto" w:val="clear"/>
            <w:vAlign w:val="bottom"/>
          </w:tcPr>
          <w:p>
            <w:pPr>
              <w:pStyle w:val="TableContents"/>
              <w:spacing w:before="0" w:after="283"/>
              <w:rPr/>
            </w:pPr>
            <w:r>
              <w:rPr/>
              <w:t>  </w:t>
            </w:r>
          </w:p>
        </w:tc>
        <w:tc>
          <w:tcPr>
            <w:tcW w:w="4873" w:type="dxa"/>
            <w:tcBorders/>
            <w:shd w:fill="auto" w:val="clear"/>
          </w:tcPr>
          <w:p>
            <w:pPr>
              <w:pStyle w:val="TableContents"/>
              <w:spacing w:before="0" w:after="283"/>
              <w:rPr>
                <w:rFonts w:ascii="Times New Roman" w:hAnsi="Times New Roman"/>
                <w:sz w:val="20"/>
              </w:rPr>
            </w:pPr>
            <w:r>
              <w:rPr>
                <w:rFonts w:ascii="Times New Roman" w:hAnsi="Times New Roman"/>
                <w:sz w:val="20"/>
              </w:rPr>
              <w:t>December 13, 2005</w:t>
            </w:r>
          </w:p>
        </w:tc>
      </w:tr>
      <w:tr>
        <w:trPr/>
        <w:tc>
          <w:tcPr>
            <w:tcW w:w="5209" w:type="dxa"/>
            <w:tcBorders/>
            <w:shd w:fill="auto" w:val="clear"/>
          </w:tcPr>
          <w:p>
            <w:pPr>
              <w:pStyle w:val="TableContents"/>
              <w:spacing w:before="0" w:after="283"/>
              <w:rPr>
                <w:rFonts w:ascii="Times New Roman" w:hAnsi="Times New Roman"/>
                <w:sz w:val="20"/>
              </w:rPr>
            </w:pPr>
            <w:r>
              <w:rPr>
                <w:rFonts w:ascii="Times New Roman" w:hAnsi="Times New Roman"/>
                <w:sz w:val="20"/>
              </w:rPr>
              <w:t>Thomas J. Flaherty, Director</w:t>
            </w:r>
          </w:p>
        </w:tc>
        <w:tc>
          <w:tcPr>
            <w:tcW w:w="123" w:type="dxa"/>
            <w:tcBorders/>
            <w:shd w:fill="auto" w:val="clear"/>
            <w:vAlign w:val="bottom"/>
          </w:tcPr>
          <w:p>
            <w:pPr>
              <w:pStyle w:val="TableContents"/>
              <w:spacing w:before="0" w:after="283"/>
              <w:rPr/>
            </w:pPr>
            <w:r>
              <w:rPr/>
              <w:t>  </w:t>
            </w:r>
          </w:p>
        </w:tc>
        <w:tc>
          <w:tcPr>
            <w:tcW w:w="4873" w:type="dxa"/>
            <w:tcBorders/>
            <w:shd w:fill="auto" w:val="clear"/>
          </w:tcPr>
          <w:p>
            <w:pPr>
              <w:pStyle w:val="TableContents"/>
              <w:spacing w:before="0" w:after="283"/>
              <w:rPr/>
            </w:pPr>
            <w:r>
              <w:rPr/>
              <w:t> </w:t>
            </w:r>
          </w:p>
        </w:tc>
      </w:tr>
      <w:tr>
        <w:trPr>
          <w:trHeight w:val="240" w:hRule="atLeast"/>
        </w:trPr>
        <w:tc>
          <w:tcPr>
            <w:tcW w:w="5209" w:type="dxa"/>
            <w:tcBorders/>
            <w:shd w:fill="auto" w:val="clear"/>
            <w:vAlign w:val="center"/>
          </w:tcPr>
          <w:p>
            <w:pPr>
              <w:pStyle w:val="TableContents"/>
              <w:spacing w:before="0" w:after="283"/>
              <w:rPr>
                <w:sz w:val="4"/>
                <w:szCs w:val="4"/>
              </w:rPr>
            </w:pPr>
            <w:r>
              <w:rPr>
                <w:sz w:val="4"/>
                <w:szCs w:val="4"/>
              </w:rPr>
            </w:r>
          </w:p>
        </w:tc>
        <w:tc>
          <w:tcPr>
            <w:tcW w:w="4996" w:type="dxa"/>
            <w:gridSpan w:val="2"/>
            <w:tcBorders/>
            <w:shd w:fill="auto" w:val="clear"/>
            <w:vAlign w:val="center"/>
          </w:tcPr>
          <w:p>
            <w:pPr>
              <w:pStyle w:val="TableContents"/>
              <w:spacing w:before="0" w:after="283"/>
              <w:rPr>
                <w:sz w:val="4"/>
                <w:szCs w:val="4"/>
              </w:rPr>
            </w:pPr>
            <w:r>
              <w:rPr>
                <w:sz w:val="4"/>
                <w:szCs w:val="4"/>
              </w:rPr>
            </w:r>
          </w:p>
        </w:tc>
      </w:tr>
      <w:tr>
        <w:trPr/>
        <w:tc>
          <w:tcPr>
            <w:tcW w:w="5209"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Donald A. Wright</w:t>
            </w:r>
          </w:p>
        </w:tc>
        <w:tc>
          <w:tcPr>
            <w:tcW w:w="123" w:type="dxa"/>
            <w:tcBorders/>
            <w:shd w:fill="auto" w:val="clear"/>
            <w:vAlign w:val="bottom"/>
          </w:tcPr>
          <w:p>
            <w:pPr>
              <w:pStyle w:val="TableContents"/>
              <w:spacing w:before="0" w:after="283"/>
              <w:rPr/>
            </w:pPr>
            <w:r>
              <w:rPr/>
              <w:t>  </w:t>
            </w:r>
          </w:p>
        </w:tc>
        <w:tc>
          <w:tcPr>
            <w:tcW w:w="4873" w:type="dxa"/>
            <w:tcBorders/>
            <w:shd w:fill="auto" w:val="clear"/>
          </w:tcPr>
          <w:p>
            <w:pPr>
              <w:pStyle w:val="TableContents"/>
              <w:spacing w:before="0" w:after="283"/>
              <w:rPr>
                <w:rFonts w:ascii="Times New Roman" w:hAnsi="Times New Roman"/>
                <w:sz w:val="20"/>
              </w:rPr>
            </w:pPr>
            <w:r>
              <w:rPr>
                <w:rFonts w:ascii="Times New Roman" w:hAnsi="Times New Roman"/>
                <w:sz w:val="20"/>
              </w:rPr>
              <w:t>December 13, 2005</w:t>
            </w:r>
          </w:p>
        </w:tc>
      </w:tr>
      <w:tr>
        <w:trPr/>
        <w:tc>
          <w:tcPr>
            <w:tcW w:w="5209" w:type="dxa"/>
            <w:tcBorders/>
            <w:shd w:fill="auto" w:val="clear"/>
          </w:tcPr>
          <w:p>
            <w:pPr>
              <w:pStyle w:val="TableContents"/>
              <w:spacing w:before="0" w:after="283"/>
              <w:rPr>
                <w:rFonts w:ascii="Times New Roman" w:hAnsi="Times New Roman"/>
                <w:sz w:val="20"/>
              </w:rPr>
            </w:pPr>
            <w:r>
              <w:rPr>
                <w:rFonts w:ascii="Times New Roman" w:hAnsi="Times New Roman"/>
                <w:sz w:val="20"/>
              </w:rPr>
              <w:t>Donald A. Wright, Director</w:t>
            </w:r>
          </w:p>
        </w:tc>
        <w:tc>
          <w:tcPr>
            <w:tcW w:w="123" w:type="dxa"/>
            <w:tcBorders/>
            <w:shd w:fill="auto" w:val="clear"/>
            <w:vAlign w:val="bottom"/>
          </w:tcPr>
          <w:p>
            <w:pPr>
              <w:pStyle w:val="TableContents"/>
              <w:spacing w:before="0" w:after="283"/>
              <w:rPr/>
            </w:pPr>
            <w:r>
              <w:rPr/>
              <w:t>  </w:t>
            </w:r>
          </w:p>
        </w:tc>
        <w:tc>
          <w:tcPr>
            <w:tcW w:w="4873" w:type="dxa"/>
            <w:tcBorders/>
            <w:shd w:fill="auto" w:val="clear"/>
          </w:tcPr>
          <w:p>
            <w:pPr>
              <w:pStyle w:val="TableContents"/>
              <w:spacing w:before="0" w:after="283"/>
              <w:rPr/>
            </w:pPr>
            <w:r>
              <w:rPr/>
              <w:t> </w:t>
            </w:r>
          </w:p>
        </w:tc>
      </w:tr>
      <w:tr>
        <w:trPr>
          <w:trHeight w:val="240" w:hRule="atLeast"/>
        </w:trPr>
        <w:tc>
          <w:tcPr>
            <w:tcW w:w="5209" w:type="dxa"/>
            <w:tcBorders/>
            <w:shd w:fill="auto" w:val="clear"/>
            <w:vAlign w:val="center"/>
          </w:tcPr>
          <w:p>
            <w:pPr>
              <w:pStyle w:val="TableContents"/>
              <w:spacing w:before="0" w:after="283"/>
              <w:rPr>
                <w:sz w:val="4"/>
                <w:szCs w:val="4"/>
              </w:rPr>
            </w:pPr>
            <w:r>
              <w:rPr>
                <w:sz w:val="4"/>
                <w:szCs w:val="4"/>
              </w:rPr>
            </w:r>
          </w:p>
        </w:tc>
        <w:tc>
          <w:tcPr>
            <w:tcW w:w="4996" w:type="dxa"/>
            <w:gridSpan w:val="2"/>
            <w:tcBorders/>
            <w:shd w:fill="auto" w:val="clear"/>
            <w:vAlign w:val="center"/>
          </w:tcPr>
          <w:p>
            <w:pPr>
              <w:pStyle w:val="TableContents"/>
              <w:spacing w:before="0" w:after="283"/>
              <w:rPr>
                <w:sz w:val="4"/>
                <w:szCs w:val="4"/>
              </w:rPr>
            </w:pPr>
            <w:r>
              <w:rPr>
                <w:sz w:val="4"/>
                <w:szCs w:val="4"/>
              </w:rPr>
            </w:r>
          </w:p>
        </w:tc>
      </w:tr>
      <w:tr>
        <w:trPr/>
        <w:tc>
          <w:tcPr>
            <w:tcW w:w="5209"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Arthur Cape</w:t>
            </w:r>
          </w:p>
        </w:tc>
        <w:tc>
          <w:tcPr>
            <w:tcW w:w="123" w:type="dxa"/>
            <w:tcBorders/>
            <w:shd w:fill="auto" w:val="clear"/>
            <w:vAlign w:val="bottom"/>
          </w:tcPr>
          <w:p>
            <w:pPr>
              <w:pStyle w:val="TableContents"/>
              <w:spacing w:before="0" w:after="283"/>
              <w:rPr/>
            </w:pPr>
            <w:r>
              <w:rPr/>
              <w:t>  </w:t>
            </w:r>
          </w:p>
        </w:tc>
        <w:tc>
          <w:tcPr>
            <w:tcW w:w="4873" w:type="dxa"/>
            <w:tcBorders/>
            <w:shd w:fill="auto" w:val="clear"/>
          </w:tcPr>
          <w:p>
            <w:pPr>
              <w:pStyle w:val="TableContents"/>
              <w:spacing w:before="0" w:after="283"/>
              <w:rPr>
                <w:rFonts w:ascii="Times New Roman" w:hAnsi="Times New Roman"/>
                <w:sz w:val="20"/>
              </w:rPr>
            </w:pPr>
            <w:r>
              <w:rPr>
                <w:rFonts w:ascii="Times New Roman" w:hAnsi="Times New Roman"/>
                <w:sz w:val="20"/>
              </w:rPr>
              <w:t>December 13, 2005</w:t>
            </w:r>
          </w:p>
        </w:tc>
      </w:tr>
      <w:tr>
        <w:trPr/>
        <w:tc>
          <w:tcPr>
            <w:tcW w:w="5209" w:type="dxa"/>
            <w:tcBorders/>
            <w:shd w:fill="auto" w:val="clear"/>
          </w:tcPr>
          <w:p>
            <w:pPr>
              <w:pStyle w:val="TableContents"/>
              <w:spacing w:before="0" w:after="283"/>
              <w:rPr>
                <w:rFonts w:ascii="Times New Roman" w:hAnsi="Times New Roman"/>
                <w:sz w:val="20"/>
              </w:rPr>
            </w:pPr>
            <w:r>
              <w:rPr>
                <w:rFonts w:ascii="Times New Roman" w:hAnsi="Times New Roman"/>
                <w:sz w:val="20"/>
              </w:rPr>
              <w:t>Arthur Cape, Director</w:t>
            </w:r>
          </w:p>
        </w:tc>
        <w:tc>
          <w:tcPr>
            <w:tcW w:w="123" w:type="dxa"/>
            <w:tcBorders/>
            <w:shd w:fill="auto" w:val="clear"/>
            <w:vAlign w:val="bottom"/>
          </w:tcPr>
          <w:p>
            <w:pPr>
              <w:pStyle w:val="TableContents"/>
              <w:spacing w:before="0" w:after="283"/>
              <w:rPr/>
            </w:pPr>
            <w:r>
              <w:rPr/>
              <w:t>  </w:t>
            </w:r>
          </w:p>
        </w:tc>
        <w:tc>
          <w:tcPr>
            <w:tcW w:w="4873" w:type="dxa"/>
            <w:tcBorders/>
            <w:shd w:fill="auto" w:val="clear"/>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TextBody"/>
        <w:spacing w:before="0" w:after="0"/>
        <w:jc w:val="center"/>
        <w:rPr>
          <w:rFonts w:ascii="Times New Roman" w:hAnsi="Times New Roman"/>
          <w:sz w:val="20"/>
          <w:u w:val="single"/>
        </w:rPr>
      </w:pPr>
      <w:bookmarkStart w:id="2" w:name="dex51.htm"/>
      <w:bookmarkStart w:id="3" w:name="ksdex51"/>
      <w:bookmarkEnd w:id="2"/>
      <w:bookmarkEnd w:id="3"/>
      <w:r>
        <w:rPr>
          <w:rFonts w:ascii="Times New Roman" w:hAnsi="Times New Roman"/>
          <w:sz w:val="20"/>
          <w:u w:val="single"/>
        </w:rPr>
        <w:t xml:space="preserve">EXHIBIT 5.1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December 13, 2005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CECO Environmental Corp. </w:t>
      </w:r>
    </w:p>
    <w:p>
      <w:pPr>
        <w:pStyle w:val="TextBody"/>
        <w:spacing w:before="0" w:after="0"/>
        <w:rPr>
          <w:rFonts w:ascii="Times New Roman" w:hAnsi="Times New Roman"/>
          <w:sz w:val="20"/>
        </w:rPr>
      </w:pPr>
      <w:r>
        <w:rPr>
          <w:rFonts w:ascii="Times New Roman" w:hAnsi="Times New Roman"/>
          <w:sz w:val="20"/>
        </w:rPr>
        <w:t xml:space="preserve">3120 Forrer Street </w:t>
      </w:r>
    </w:p>
    <w:p>
      <w:pPr>
        <w:pStyle w:val="TextBody"/>
        <w:spacing w:before="0" w:after="0"/>
        <w:rPr>
          <w:rFonts w:ascii="Times New Roman" w:hAnsi="Times New Roman"/>
          <w:sz w:val="20"/>
        </w:rPr>
      </w:pPr>
      <w:r>
        <w:rPr>
          <w:rFonts w:ascii="Times New Roman" w:hAnsi="Times New Roman"/>
          <w:sz w:val="20"/>
        </w:rPr>
        <w:t xml:space="preserve">Cincinnati, Ohio 45209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6"/>
        <w:gridCol w:w="509"/>
        <w:gridCol w:w="8880"/>
      </w:tblGrid>
      <w:tr>
        <w:trPr/>
        <w:tc>
          <w:tcPr>
            <w:tcW w:w="816"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RE:</w:t>
            </w:r>
          </w:p>
        </w:tc>
        <w:tc>
          <w:tcPr>
            <w:tcW w:w="8880"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CECO Environmental Corp. (the Corporation)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Ladies and Gentlemen: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have examined the Form S-3 filed by you with the Securities and Exchange Commission on December 12, 2005 (as such may be further amended or supplemented, the Registration Statement) in connection with the registration under the Securities Act of 1933, as amended, of up to 2,392,334 shares of the Corporations Common Stock, par value $0.01 per share (the Shares). All capitalized terms used herein and not otherwise defined herein shall have the meanings ascribed to them in the Registration Statement.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As your legal counsel, we have examined the proceedings taken, and are familiar with the proceedings proposed to be taken, by the Selling Shareholders in connection with their sale of Shares. We also have examined the Corporations Articles of Incorporation, as amended to date, the Corporations Bylaws, as amended to date, and minutes and resolutions of the Corporations Board of Directors and shareholders. We have also examined such other documents, certificates, instruments and corporate records, and such statutes, decisions and questions of law as we have deemed necessary or appropriate for the purpose of this opinion.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For purposes of this opinion, we have assumed the authenticity of all documents submitted to us as originals, the conformity to the originals of all documents submitted to us as copies and the authenticity of the originals of all documents submitted to us as copies. We have also assumed the legal capacity of all natural persons, the genuineness of the signatures of persons signing all documents in connection with which this opinion is rendered, the authority of such persons signing on behalf of the parties thereto other than the Corporation and the due authorization, execution and delivery of all documents by the parties thereto other than the Corporation. We have not independently established or verified any facts relevant to the opinions expressed herein, but have relied upon statements and representations of officers and other representatives of the Corporation and others.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are qualified to practice law in the state of Illinois, and the opinions herein are limited to the laws of the State of Illinois and the Federal laws of the United States of America, and the corporate law of the State of Delaware, but assume without investigation compliance with all other such laws. We do not express any opinion concerning any law of any other jurisdiction or the local law of any jurisdiction.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Based upon the foregoing, we are of the opinion that the Shares to be sold by the Selling Shareholders to the public, will be legally issued, fully paid and non-assessable when sold in the manner described in the Registration Statement.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We consent to the use of this opinion as an exhibit to the Registration Statement and further consent to the use of our name wherever appearing in the Registration Statement, including the Prospectus constituting a part thereof, and any amendments thereto.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0"/>
              <w:rPr>
                <w:rFonts w:ascii="Times New Roman" w:hAnsi="Times New Roman"/>
                <w:sz w:val="20"/>
              </w:rPr>
            </w:pPr>
            <w:r>
              <w:rPr>
                <w:rFonts w:ascii="Times New Roman" w:hAnsi="Times New Roman"/>
                <w:sz w:val="20"/>
              </w:rPr>
              <w:t>Very truly yours,</w:t>
            </w:r>
          </w:p>
          <w:p>
            <w:pPr>
              <w:pStyle w:val="TableContents"/>
              <w:spacing w:before="0" w:after="0"/>
              <w:rPr/>
            </w:pPr>
            <w:r>
              <w:rPr/>
              <w:t> </w:t>
            </w:r>
          </w:p>
          <w:p>
            <w:pPr>
              <w:pStyle w:val="TableContents"/>
              <w:spacing w:before="0" w:after="15"/>
              <w:rPr>
                <w:rFonts w:ascii="Times New Roman" w:hAnsi="Times New Roman"/>
                <w:sz w:val="20"/>
              </w:rPr>
            </w:pPr>
            <w:r>
              <w:rPr>
                <w:rFonts w:ascii="Times New Roman" w:hAnsi="Times New Roman"/>
                <w:sz w:val="20"/>
              </w:rPr>
              <w:t>SUGAR, FRIEDBERG &amp; FELSENTHAL</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Leslie J. Weiss</w:t>
            </w:r>
          </w:p>
        </w:tc>
      </w:tr>
      <w:tr>
        <w:trPr/>
        <w:tc>
          <w:tcPr>
            <w:tcW w:w="408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Leslie J. Weiss</w:t>
            </w:r>
          </w:p>
        </w:tc>
      </w:tr>
    </w:tbl>
    <w:p>
      <w:pPr>
        <w:pStyle w:val="TextBody"/>
        <w:spacing w:before="0" w:after="0"/>
        <w:rPr/>
      </w:pPr>
      <w:r>
        <w:rPr/>
        <w:t> </w:t>
      </w:r>
    </w:p>
    <w:p>
      <w:pPr>
        <w:pStyle w:val="TextBody"/>
        <w:spacing w:before="0" w:after="0"/>
        <w:rPr/>
      </w:pPr>
      <w:r>
        <w:rPr/>
        <w:t> </w:t>
      </w:r>
    </w:p>
    <w:p>
      <w:pPr>
        <w:pStyle w:val="TextBody"/>
        <w:spacing w:before="0" w:after="0"/>
        <w:rPr/>
      </w:pPr>
      <w:r>
        <w:rPr/>
        <w:t> </w:t>
      </w:r>
      <w:r>
        <w:br w:type="page"/>
      </w:r>
    </w:p>
    <w:p>
      <w:pPr>
        <w:pStyle w:val="TextBody"/>
        <w:spacing w:before="0" w:after="0"/>
        <w:jc w:val="right"/>
        <w:rPr>
          <w:rFonts w:ascii="Times New Roman" w:hAnsi="Times New Roman"/>
          <w:b/>
          <w:sz w:val="20"/>
        </w:rPr>
      </w:pPr>
      <w:bookmarkStart w:id="4" w:name="dex231.htm"/>
      <w:bookmarkStart w:id="5" w:name="ksdex231"/>
      <w:bookmarkEnd w:id="4"/>
      <w:bookmarkEnd w:id="5"/>
      <w:r>
        <w:rPr>
          <w:rFonts w:ascii="Times New Roman" w:hAnsi="Times New Roman"/>
          <w:b/>
          <w:sz w:val="20"/>
        </w:rPr>
        <w:t xml:space="preserve">EXHIBIT 23.1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CONSENT OF INDEPENDENT REGISTERED PUBLIC ACCOUNTING FIRM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consent to the incorporation by reference in this Registration Statement on Form S-3 of our report dated March 31, 2005, relating to the financial statements of CECO Environmental Corp., appearing in the Annual Report on Form 10-K of CECO Environmental Corp. for the year ended December 31, 2004 and to the reference to us under the heading Experts in the Prospectus, which is part of this Registration Statement.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/s/    DELOITTE &amp; TOUCHE LLP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Cincinnati, Ohio </w:t>
      </w:r>
    </w:p>
    <w:p>
      <w:pPr>
        <w:pStyle w:val="TextBody"/>
        <w:spacing w:before="0" w:after="0"/>
        <w:rPr>
          <w:rFonts w:ascii="Times New Roman" w:hAnsi="Times New Roman"/>
          <w:sz w:val="20"/>
        </w:rPr>
      </w:pPr>
      <w:r>
        <w:rPr>
          <w:rFonts w:ascii="Times New Roman" w:hAnsi="Times New Roman"/>
          <w:sz w:val="20"/>
        </w:rPr>
        <w:t xml:space="preserve">December 13, 2005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26</Pages>
  <Words>9070</Words>
  <CharactersWithSpaces>56224</CharactersWithSpaces>
  <Paragraphs>1038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Consent of Independent Registered Public Accounting Firm</dc:title>
</cp:coreProperties>
</file>