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NITED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ECURITIES AND</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XCHANGE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OMMISSION</w:t>
      </w:r>
    </w:p>
    <w:p>
      <w:pPr>
        <w:jc w:val="center"/>
        <w:ind w:right="-79"/>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ASHINGTON</w:t>
      </w:r>
      <w:r>
        <w:rPr>
          <w:rFonts w:ascii="Arial" w:cs="Arial" w:eastAsia="Arial" w:hAnsi="Arial"/>
          <w:sz w:val="22"/>
          <w:szCs w:val="22"/>
          <w:b w:val="1"/>
          <w:bCs w:val="1"/>
          <w:color w:val="auto"/>
        </w:rPr>
        <w:t>, D.C. 20549</w:t>
      </w:r>
    </w:p>
    <w:p>
      <w:pPr>
        <w:spacing w:after="0" w:line="39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(Title of Class of Securities)</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 X ]</w:t>
            </w:r>
          </w:p>
        </w:tc>
        <w:tc>
          <w:tcPr>
            <w:tcW w:w="1380" w:type="dxa"/>
            <w:vAlign w:val="bottom"/>
          </w:tcPr>
          <w:p>
            <w:pPr>
              <w:ind w:left="360"/>
              <w:spacing w:after="0"/>
              <w:rPr>
                <w:sz w:val="20"/>
                <w:szCs w:val="20"/>
                <w:color w:val="auto"/>
              </w:rPr>
            </w:pPr>
            <w:r>
              <w:rPr>
                <w:rFonts w:ascii="Arial" w:cs="Arial" w:eastAsia="Arial" w:hAnsi="Arial"/>
                <w:sz w:val="18"/>
                <w:szCs w:val="18"/>
                <w:color w:val="auto"/>
                <w:w w:val="90"/>
              </w:rPr>
              <w:t>Rule 13d-1(b)</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Pr>
          <w:p>
            <w:pPr>
              <w:ind w:left="360"/>
              <w:spacing w:after="0"/>
              <w:rPr>
                <w:sz w:val="20"/>
                <w:szCs w:val="20"/>
                <w:color w:val="auto"/>
              </w:rPr>
            </w:pPr>
            <w:r>
              <w:rPr>
                <w:rFonts w:ascii="Arial" w:cs="Arial" w:eastAsia="Arial" w:hAnsi="Arial"/>
                <w:sz w:val="18"/>
                <w:szCs w:val="18"/>
                <w:color w:val="auto"/>
                <w:w w:val="91"/>
              </w:rPr>
              <w:t>Rule 13d-1(c)</w:t>
            </w: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Pr>
          <w:p>
            <w:pPr>
              <w:ind w:left="360"/>
              <w:spacing w:after="0"/>
              <w:rPr>
                <w:sz w:val="20"/>
                <w:szCs w:val="20"/>
                <w:color w:val="auto"/>
              </w:rPr>
            </w:pPr>
            <w:r>
              <w:rPr>
                <w:rFonts w:ascii="Arial" w:cs="Arial" w:eastAsia="Arial" w:hAnsi="Arial"/>
                <w:sz w:val="18"/>
                <w:szCs w:val="18"/>
                <w:color w:val="auto"/>
                <w:w w:val="90"/>
              </w:rPr>
              <w:t>Rule 13d-1(d)</w:t>
            </w:r>
          </w:p>
        </w:tc>
      </w:tr>
    </w:tbl>
    <w:p>
      <w:pPr>
        <w:spacing w:after="0" w:line="200" w:lineRule="exact"/>
        <w:rPr>
          <w:sz w:val="24"/>
          <w:szCs w:val="24"/>
          <w:color w:val="auto"/>
        </w:rPr>
      </w:pP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63"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hanging="429"/>
        <w:spacing w:after="0"/>
        <w:tabs>
          <w:tab w:leader="none" w:pos="7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29"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American Century Investment Management, Inc.</w:t>
      </w:r>
    </w:p>
    <w:p>
      <w:pPr>
        <w:spacing w:after="0" w:line="200" w:lineRule="exact"/>
        <w:rPr>
          <w:rFonts w:ascii="Arial" w:cs="Arial" w:eastAsia="Arial" w:hAnsi="Arial"/>
          <w:sz w:val="18"/>
          <w:szCs w:val="18"/>
          <w:b w:val="1"/>
          <w:bCs w:val="1"/>
          <w:color w:val="auto"/>
        </w:rPr>
      </w:pPr>
    </w:p>
    <w:p>
      <w:pPr>
        <w:spacing w:after="0" w:line="264" w:lineRule="exact"/>
        <w:rPr>
          <w:rFonts w:ascii="Arial" w:cs="Arial" w:eastAsia="Arial" w:hAnsi="Arial"/>
          <w:sz w:val="18"/>
          <w:szCs w:val="18"/>
          <w:b w:val="1"/>
          <w:bCs w:val="1"/>
          <w:color w:val="auto"/>
        </w:rPr>
      </w:pPr>
    </w:p>
    <w:p>
      <w:pPr>
        <w:ind w:left="720" w:hanging="429"/>
        <w:spacing w:after="0"/>
        <w:tabs>
          <w:tab w:leader="none" w:pos="7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9" w:lineRule="exact"/>
        <w:rPr>
          <w:rFonts w:ascii="Arial" w:cs="Arial" w:eastAsia="Arial" w:hAnsi="Arial"/>
          <w:sz w:val="18"/>
          <w:szCs w:val="18"/>
          <w:b w:val="1"/>
          <w:bCs w:val="1"/>
          <w:color w:val="auto"/>
        </w:rPr>
      </w:pPr>
    </w:p>
    <w:p>
      <w:pPr>
        <w:ind w:left="1280" w:hanging="386"/>
        <w:spacing w:after="0"/>
        <w:tabs>
          <w:tab w:leader="none" w:pos="128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225" w:lineRule="exact"/>
        <w:rPr>
          <w:rFonts w:ascii="Arial" w:cs="Arial" w:eastAsia="Arial" w:hAnsi="Arial"/>
          <w:sz w:val="18"/>
          <w:szCs w:val="18"/>
          <w:color w:val="auto"/>
        </w:rPr>
      </w:pPr>
    </w:p>
    <w:p>
      <w:pPr>
        <w:ind w:left="1280" w:hanging="391"/>
        <w:spacing w:after="0"/>
        <w:tabs>
          <w:tab w:leader="none" w:pos="128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720" w:hanging="429"/>
        <w:spacing w:after="0"/>
        <w:tabs>
          <w:tab w:leader="none" w:pos="7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84" w:lineRule="exact"/>
        <w:rPr>
          <w:rFonts w:ascii="Arial" w:cs="Arial" w:eastAsia="Arial" w:hAnsi="Arial"/>
          <w:sz w:val="18"/>
          <w:szCs w:val="18"/>
          <w:b w:val="1"/>
          <w:bCs w:val="1"/>
          <w:color w:val="auto"/>
        </w:rPr>
      </w:pPr>
    </w:p>
    <w:p>
      <w:pPr>
        <w:ind w:left="720" w:right="7740" w:hanging="429"/>
        <w:spacing w:after="0" w:line="532" w:lineRule="auto"/>
        <w:tabs>
          <w:tab w:leader="none" w:pos="7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-2267585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-1290320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5.</w:t>
            </w:r>
          </w:p>
        </w:tc>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Sole Voting Power</w:t>
            </w:r>
          </w:p>
        </w:tc>
        <w:tc>
          <w:tcPr>
            <w:tcW w:w="3100" w:type="dxa"/>
            <w:vAlign w:val="bottom"/>
          </w:tcPr>
          <w:p>
            <w:pPr>
              <w:jc w:val="right"/>
              <w:spacing w:after="0"/>
              <w:rPr>
                <w:sz w:val="20"/>
                <w:szCs w:val="20"/>
                <w:color w:val="auto"/>
              </w:rPr>
            </w:pPr>
            <w:r>
              <w:rPr>
                <w:rFonts w:ascii="Arial" w:cs="Arial" w:eastAsia="Arial" w:hAnsi="Arial"/>
                <w:sz w:val="18"/>
                <w:szCs w:val="18"/>
                <w:color w:val="auto"/>
              </w:rPr>
              <w:t>2,246,420</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Each</w:t>
            </w: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2,293,671</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Shared Dispositive Power</w:t>
            </w:r>
          </w:p>
        </w:tc>
        <w:tc>
          <w:tcPr>
            <w:tcW w:w="31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Arial" w:cs="Arial" w:eastAsia="Arial" w:hAnsi="Arial"/>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Arial" w:cs="Arial" w:eastAsia="Arial" w:hAnsi="Arial"/>
                <w:sz w:val="18"/>
                <w:szCs w:val="18"/>
                <w:color w:val="auto"/>
              </w:rPr>
              <w:t>2,293,671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20" w:hanging="473"/>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(9) Excludes Certain Shares</w:t>
      </w:r>
    </w:p>
    <w:p>
      <w:pPr>
        <w:spacing w:after="0" w:line="27" w:lineRule="exact"/>
        <w:rPr>
          <w:sz w:val="20"/>
          <w:szCs w:val="20"/>
          <w:color w:val="auto"/>
        </w:rPr>
      </w:pPr>
    </w:p>
    <w:p>
      <w:pPr>
        <w:ind w:left="720"/>
        <w:spacing w:after="0"/>
        <w:tabs>
          <w:tab w:leader="none" w:pos="2380" w:val="left"/>
        </w:tabs>
        <w:rPr>
          <w:sz w:val="20"/>
          <w:szCs w:val="20"/>
          <w:color w:val="auto"/>
        </w:rPr>
      </w:pPr>
      <w:r>
        <w:rPr>
          <w:rFonts w:ascii="Arial" w:cs="Arial" w:eastAsia="Arial" w:hAnsi="Arial"/>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11.</w:t>
            </w:r>
          </w:p>
        </w:tc>
        <w:tc>
          <w:tcPr>
            <w:tcW w:w="7720" w:type="dxa"/>
            <w:vAlign w:val="bottom"/>
          </w:tcPr>
          <w:p>
            <w:pPr>
              <w:ind w:left="1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92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7720" w:type="dxa"/>
            <w:vAlign w:val="bottom"/>
          </w:tcPr>
          <w:p>
            <w:pPr>
              <w:ind w:left="120"/>
              <w:spacing w:after="0"/>
              <w:rPr>
                <w:sz w:val="20"/>
                <w:szCs w:val="20"/>
                <w:color w:val="auto"/>
              </w:rPr>
            </w:pPr>
            <w:r>
              <w:rPr>
                <w:rFonts w:ascii="Arial" w:cs="Arial" w:eastAsia="Arial" w:hAnsi="Arial"/>
                <w:sz w:val="18"/>
                <w:szCs w:val="18"/>
                <w:b w:val="1"/>
                <w:bCs w:val="1"/>
                <w:color w:val="auto"/>
              </w:rPr>
              <w:t>Type of Reporting Person (See Instructions)</w:t>
            </w:r>
          </w:p>
        </w:tc>
        <w:tc>
          <w:tcPr>
            <w:tcW w:w="2920" w:type="dxa"/>
            <w:vAlign w:val="bottom"/>
          </w:tcPr>
          <w:p>
            <w:pPr>
              <w:jc w:val="right"/>
              <w:spacing w:after="0"/>
              <w:rPr>
                <w:sz w:val="20"/>
                <w:szCs w:val="20"/>
                <w:color w:val="auto"/>
              </w:rPr>
            </w:pPr>
            <w:r>
              <w:rPr>
                <w:rFonts w:ascii="Arial" w:cs="Arial" w:eastAsia="Arial" w:hAnsi="Arial"/>
                <w:sz w:val="18"/>
                <w:szCs w:val="18"/>
                <w:color w:val="auto"/>
              </w:rPr>
              <w:t>IA</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720" w:type="dxa"/>
            <w:vAlign w:val="bottom"/>
          </w:tcPr>
          <w:p>
            <w:pPr>
              <w:ind w:left="3940"/>
              <w:spacing w:after="0"/>
              <w:rPr>
                <w:sz w:val="20"/>
                <w:szCs w:val="20"/>
                <w:color w:val="auto"/>
              </w:rPr>
            </w:pPr>
            <w:r>
              <w:rPr>
                <w:rFonts w:ascii="Arial" w:cs="Arial" w:eastAsia="Arial" w:hAnsi="Arial"/>
                <w:sz w:val="18"/>
                <w:szCs w:val="18"/>
                <w:b w:val="1"/>
                <w:bCs w:val="1"/>
                <w:color w:val="auto"/>
              </w:rPr>
              <w:t>Page 2 of 8 pages</w:t>
            </w:r>
          </w:p>
        </w:tc>
        <w:tc>
          <w:tcPr>
            <w:tcW w:w="292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right="7980" w:hanging="429"/>
        <w:spacing w:after="0" w:line="629" w:lineRule="auto"/>
        <w:tabs>
          <w:tab w:leader="none" w:pos="7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Names of Reporting Persons </w:t>
      </w:r>
      <w:r>
        <w:rPr>
          <w:rFonts w:ascii="Arial" w:cs="Arial" w:eastAsia="Arial" w:hAnsi="Arial"/>
          <w:sz w:val="16"/>
          <w:szCs w:val="16"/>
          <w:color w:val="auto"/>
        </w:rPr>
        <w:t>American Century Companies, Inc.</w:t>
      </w:r>
    </w:p>
    <w:p>
      <w:pPr>
        <w:spacing w:after="0" w:line="142" w:lineRule="exact"/>
        <w:rPr>
          <w:rFonts w:ascii="Arial" w:cs="Arial" w:eastAsia="Arial" w:hAnsi="Arial"/>
          <w:sz w:val="16"/>
          <w:szCs w:val="16"/>
          <w:b w:val="1"/>
          <w:bCs w:val="1"/>
          <w:color w:val="auto"/>
        </w:rPr>
      </w:pPr>
    </w:p>
    <w:p>
      <w:pPr>
        <w:ind w:left="720" w:hanging="429"/>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9" w:lineRule="exact"/>
        <w:rPr>
          <w:rFonts w:ascii="Arial" w:cs="Arial" w:eastAsia="Arial" w:hAnsi="Arial"/>
          <w:sz w:val="18"/>
          <w:szCs w:val="18"/>
          <w:b w:val="1"/>
          <w:bCs w:val="1"/>
          <w:color w:val="auto"/>
        </w:rPr>
      </w:pPr>
    </w:p>
    <w:p>
      <w:pPr>
        <w:ind w:left="1280" w:hanging="386"/>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25" w:lineRule="exact"/>
        <w:rPr>
          <w:rFonts w:ascii="Arial" w:cs="Arial" w:eastAsia="Arial" w:hAnsi="Arial"/>
          <w:sz w:val="18"/>
          <w:szCs w:val="18"/>
          <w:color w:val="auto"/>
        </w:rPr>
      </w:pPr>
    </w:p>
    <w:p>
      <w:pPr>
        <w:ind w:left="1280" w:hanging="391"/>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720" w:hanging="429"/>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84" w:lineRule="exact"/>
        <w:rPr>
          <w:rFonts w:ascii="Arial" w:cs="Arial" w:eastAsia="Arial" w:hAnsi="Arial"/>
          <w:sz w:val="18"/>
          <w:szCs w:val="18"/>
          <w:b w:val="1"/>
          <w:bCs w:val="1"/>
          <w:color w:val="auto"/>
        </w:rPr>
      </w:pPr>
    </w:p>
    <w:p>
      <w:pPr>
        <w:ind w:left="720" w:right="7740" w:hanging="429"/>
        <w:spacing w:after="0" w:line="532"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-2267585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-1290320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5.</w:t>
            </w:r>
          </w:p>
        </w:tc>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Sole Voting Power</w:t>
            </w:r>
          </w:p>
        </w:tc>
        <w:tc>
          <w:tcPr>
            <w:tcW w:w="3100" w:type="dxa"/>
            <w:vAlign w:val="bottom"/>
          </w:tcPr>
          <w:p>
            <w:pPr>
              <w:jc w:val="right"/>
              <w:spacing w:after="0"/>
              <w:rPr>
                <w:sz w:val="20"/>
                <w:szCs w:val="20"/>
                <w:color w:val="auto"/>
              </w:rPr>
            </w:pPr>
            <w:r>
              <w:rPr>
                <w:rFonts w:ascii="Arial" w:cs="Arial" w:eastAsia="Arial" w:hAnsi="Arial"/>
                <w:sz w:val="18"/>
                <w:szCs w:val="18"/>
                <w:color w:val="auto"/>
              </w:rPr>
              <w:t>2,246,420</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Each</w:t>
            </w: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2,293,671</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Shared Dispositive Power</w:t>
            </w:r>
          </w:p>
        </w:tc>
        <w:tc>
          <w:tcPr>
            <w:tcW w:w="31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Arial" w:cs="Arial" w:eastAsia="Arial" w:hAnsi="Arial"/>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Arial" w:cs="Arial" w:eastAsia="Arial" w:hAnsi="Arial"/>
                <w:sz w:val="18"/>
                <w:szCs w:val="18"/>
                <w:color w:val="auto"/>
              </w:rPr>
              <w:t>2,293,671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20" w:hanging="473"/>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(9) Excludes Certain Shares</w:t>
      </w:r>
    </w:p>
    <w:p>
      <w:pPr>
        <w:spacing w:after="0" w:line="27" w:lineRule="exact"/>
        <w:rPr>
          <w:sz w:val="20"/>
          <w:szCs w:val="20"/>
          <w:color w:val="auto"/>
        </w:rPr>
      </w:pPr>
    </w:p>
    <w:p>
      <w:pPr>
        <w:ind w:left="760"/>
        <w:spacing w:after="0"/>
        <w:tabs>
          <w:tab w:leader="none" w:pos="2420" w:val="left"/>
        </w:tabs>
        <w:rPr>
          <w:sz w:val="20"/>
          <w:szCs w:val="20"/>
          <w:color w:val="auto"/>
        </w:rPr>
      </w:pPr>
      <w:r>
        <w:rPr>
          <w:rFonts w:ascii="Arial" w:cs="Arial" w:eastAsia="Arial" w:hAnsi="Arial"/>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11.</w:t>
            </w:r>
          </w:p>
        </w:tc>
        <w:tc>
          <w:tcPr>
            <w:tcW w:w="7720" w:type="dxa"/>
            <w:vAlign w:val="bottom"/>
          </w:tcPr>
          <w:p>
            <w:pPr>
              <w:ind w:left="1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92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7720" w:type="dxa"/>
            <w:vAlign w:val="bottom"/>
          </w:tcPr>
          <w:p>
            <w:pPr>
              <w:ind w:left="120"/>
              <w:spacing w:after="0"/>
              <w:rPr>
                <w:sz w:val="20"/>
                <w:szCs w:val="20"/>
                <w:color w:val="auto"/>
              </w:rPr>
            </w:pPr>
            <w:r>
              <w:rPr>
                <w:rFonts w:ascii="Arial" w:cs="Arial" w:eastAsia="Arial" w:hAnsi="Arial"/>
                <w:sz w:val="18"/>
                <w:szCs w:val="18"/>
                <w:b w:val="1"/>
                <w:bCs w:val="1"/>
                <w:color w:val="auto"/>
              </w:rPr>
              <w:t>Type of Reporting Person (See Instructions)</w:t>
            </w:r>
          </w:p>
        </w:tc>
        <w:tc>
          <w:tcPr>
            <w:tcW w:w="2920" w:type="dxa"/>
            <w:vAlign w:val="bottom"/>
          </w:tcPr>
          <w:p>
            <w:pPr>
              <w:jc w:val="right"/>
              <w:spacing w:after="0"/>
              <w:rPr>
                <w:sz w:val="20"/>
                <w:szCs w:val="20"/>
                <w:color w:val="auto"/>
              </w:rPr>
            </w:pPr>
            <w:r>
              <w:rPr>
                <w:rFonts w:ascii="Arial" w:cs="Arial" w:eastAsia="Arial" w:hAnsi="Arial"/>
                <w:sz w:val="18"/>
                <w:szCs w:val="18"/>
                <w:color w:val="auto"/>
              </w:rPr>
              <w:t>HC</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720" w:type="dxa"/>
            <w:vAlign w:val="bottom"/>
          </w:tcPr>
          <w:p>
            <w:pPr>
              <w:ind w:left="3940"/>
              <w:spacing w:after="0"/>
              <w:rPr>
                <w:sz w:val="20"/>
                <w:szCs w:val="20"/>
                <w:color w:val="auto"/>
              </w:rPr>
            </w:pPr>
            <w:r>
              <w:rPr>
                <w:rFonts w:ascii="Arial" w:cs="Arial" w:eastAsia="Arial" w:hAnsi="Arial"/>
                <w:sz w:val="18"/>
                <w:szCs w:val="18"/>
                <w:b w:val="1"/>
                <w:bCs w:val="1"/>
                <w:color w:val="auto"/>
              </w:rPr>
              <w:t>Page 3 of 8 pages</w:t>
            </w:r>
          </w:p>
        </w:tc>
        <w:tc>
          <w:tcPr>
            <w:tcW w:w="292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right="7720" w:hanging="429"/>
        <w:spacing w:after="0" w:line="629" w:lineRule="auto"/>
        <w:tabs>
          <w:tab w:leader="none" w:pos="7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Names of Reporting Persons </w:t>
      </w:r>
      <w:r>
        <w:rPr>
          <w:rFonts w:ascii="Arial" w:cs="Arial" w:eastAsia="Arial" w:hAnsi="Arial"/>
          <w:sz w:val="16"/>
          <w:szCs w:val="16"/>
          <w:color w:val="auto"/>
        </w:rPr>
        <w:t>Stowers Institute for Medical Research</w:t>
      </w:r>
    </w:p>
    <w:p>
      <w:pPr>
        <w:spacing w:after="0" w:line="142" w:lineRule="exact"/>
        <w:rPr>
          <w:rFonts w:ascii="Arial" w:cs="Arial" w:eastAsia="Arial" w:hAnsi="Arial"/>
          <w:sz w:val="16"/>
          <w:szCs w:val="16"/>
          <w:b w:val="1"/>
          <w:bCs w:val="1"/>
          <w:color w:val="auto"/>
        </w:rPr>
      </w:pPr>
    </w:p>
    <w:p>
      <w:pPr>
        <w:ind w:left="720" w:hanging="429"/>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9" w:lineRule="exact"/>
        <w:rPr>
          <w:rFonts w:ascii="Arial" w:cs="Arial" w:eastAsia="Arial" w:hAnsi="Arial"/>
          <w:sz w:val="18"/>
          <w:szCs w:val="18"/>
          <w:b w:val="1"/>
          <w:bCs w:val="1"/>
          <w:color w:val="auto"/>
        </w:rPr>
      </w:pPr>
    </w:p>
    <w:p>
      <w:pPr>
        <w:ind w:left="1280" w:hanging="386"/>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25" w:lineRule="exact"/>
        <w:rPr>
          <w:rFonts w:ascii="Arial" w:cs="Arial" w:eastAsia="Arial" w:hAnsi="Arial"/>
          <w:sz w:val="18"/>
          <w:szCs w:val="18"/>
          <w:color w:val="auto"/>
        </w:rPr>
      </w:pPr>
    </w:p>
    <w:p>
      <w:pPr>
        <w:ind w:left="1280" w:hanging="391"/>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720" w:hanging="429"/>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84" w:lineRule="exact"/>
        <w:rPr>
          <w:rFonts w:ascii="Arial" w:cs="Arial" w:eastAsia="Arial" w:hAnsi="Arial"/>
          <w:sz w:val="18"/>
          <w:szCs w:val="18"/>
          <w:b w:val="1"/>
          <w:bCs w:val="1"/>
          <w:color w:val="auto"/>
        </w:rPr>
      </w:pPr>
    </w:p>
    <w:p>
      <w:pPr>
        <w:ind w:left="720" w:right="7740" w:hanging="429"/>
        <w:spacing w:after="0" w:line="532" w:lineRule="auto"/>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-2267585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-1290320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5.</w:t>
            </w:r>
          </w:p>
        </w:tc>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Sole Voting Power</w:t>
            </w:r>
          </w:p>
        </w:tc>
        <w:tc>
          <w:tcPr>
            <w:tcW w:w="3100" w:type="dxa"/>
            <w:vAlign w:val="bottom"/>
          </w:tcPr>
          <w:p>
            <w:pPr>
              <w:jc w:val="right"/>
              <w:spacing w:after="0"/>
              <w:rPr>
                <w:sz w:val="20"/>
                <w:szCs w:val="20"/>
                <w:color w:val="auto"/>
              </w:rPr>
            </w:pPr>
            <w:r>
              <w:rPr>
                <w:rFonts w:ascii="Arial" w:cs="Arial" w:eastAsia="Arial" w:hAnsi="Arial"/>
                <w:sz w:val="18"/>
                <w:szCs w:val="18"/>
                <w:color w:val="auto"/>
              </w:rPr>
              <w:t>2,246,420</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Each</w:t>
            </w: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2,293,671</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Shared Dispositive Power</w:t>
            </w:r>
          </w:p>
        </w:tc>
        <w:tc>
          <w:tcPr>
            <w:tcW w:w="31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Arial" w:cs="Arial" w:eastAsia="Arial" w:hAnsi="Arial"/>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Arial" w:cs="Arial" w:eastAsia="Arial" w:hAnsi="Arial"/>
                <w:sz w:val="18"/>
                <w:szCs w:val="18"/>
                <w:color w:val="auto"/>
              </w:rPr>
              <w:t>2,293,671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20" w:hanging="473"/>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(9) Excludes Certain Shares</w:t>
      </w:r>
    </w:p>
    <w:p>
      <w:pPr>
        <w:spacing w:after="0" w:line="27" w:lineRule="exact"/>
        <w:rPr>
          <w:sz w:val="20"/>
          <w:szCs w:val="20"/>
          <w:color w:val="auto"/>
        </w:rPr>
      </w:pPr>
    </w:p>
    <w:p>
      <w:pPr>
        <w:ind w:left="720"/>
        <w:spacing w:after="0"/>
        <w:tabs>
          <w:tab w:leader="none" w:pos="2380" w:val="left"/>
        </w:tabs>
        <w:rPr>
          <w:sz w:val="20"/>
          <w:szCs w:val="20"/>
          <w:color w:val="auto"/>
        </w:rPr>
      </w:pPr>
      <w:r>
        <w:rPr>
          <w:rFonts w:ascii="Arial" w:cs="Arial" w:eastAsia="Arial" w:hAnsi="Arial"/>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11.</w:t>
            </w:r>
          </w:p>
        </w:tc>
        <w:tc>
          <w:tcPr>
            <w:tcW w:w="7720" w:type="dxa"/>
            <w:vAlign w:val="bottom"/>
          </w:tcPr>
          <w:p>
            <w:pPr>
              <w:ind w:left="1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92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7720" w:type="dxa"/>
            <w:vAlign w:val="bottom"/>
          </w:tcPr>
          <w:p>
            <w:pPr>
              <w:ind w:left="120"/>
              <w:spacing w:after="0"/>
              <w:rPr>
                <w:sz w:val="20"/>
                <w:szCs w:val="20"/>
                <w:color w:val="auto"/>
              </w:rPr>
            </w:pPr>
            <w:r>
              <w:rPr>
                <w:rFonts w:ascii="Arial" w:cs="Arial" w:eastAsia="Arial" w:hAnsi="Arial"/>
                <w:sz w:val="18"/>
                <w:szCs w:val="18"/>
                <w:b w:val="1"/>
                <w:bCs w:val="1"/>
                <w:color w:val="auto"/>
              </w:rPr>
              <w:t>Type of Reporting Person (See Instructions)</w:t>
            </w:r>
          </w:p>
        </w:tc>
        <w:tc>
          <w:tcPr>
            <w:tcW w:w="2920" w:type="dxa"/>
            <w:vAlign w:val="bottom"/>
          </w:tcPr>
          <w:p>
            <w:pPr>
              <w:jc w:val="right"/>
              <w:spacing w:after="0"/>
              <w:rPr>
                <w:sz w:val="20"/>
                <w:szCs w:val="20"/>
                <w:color w:val="auto"/>
              </w:rPr>
            </w:pPr>
            <w:r>
              <w:rPr>
                <w:rFonts w:ascii="Arial" w:cs="Arial" w:eastAsia="Arial" w:hAnsi="Arial"/>
                <w:sz w:val="18"/>
                <w:szCs w:val="18"/>
                <w:color w:val="auto"/>
              </w:rPr>
              <w:t>HC</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720" w:type="dxa"/>
            <w:vAlign w:val="bottom"/>
          </w:tcPr>
          <w:p>
            <w:pPr>
              <w:ind w:left="3940"/>
              <w:spacing w:after="0"/>
              <w:rPr>
                <w:sz w:val="20"/>
                <w:szCs w:val="20"/>
                <w:color w:val="auto"/>
              </w:rPr>
            </w:pPr>
            <w:r>
              <w:rPr>
                <w:rFonts w:ascii="Arial" w:cs="Arial" w:eastAsia="Arial" w:hAnsi="Arial"/>
                <w:sz w:val="18"/>
                <w:szCs w:val="18"/>
                <w:b w:val="1"/>
                <w:bCs w:val="1"/>
                <w:color w:val="auto"/>
              </w:rPr>
              <w:t>Page 4 of 8 pages</w:t>
            </w:r>
          </w:p>
        </w:tc>
        <w:tc>
          <w:tcPr>
            <w:tcW w:w="292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1100" w:hanging="650"/>
        <w:spacing w:after="0"/>
        <w:tabs>
          <w:tab w:leader="none" w:pos="11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2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CECO Environmental Corp.</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1100" w:hanging="655"/>
        <w:spacing w:after="0"/>
        <w:tabs>
          <w:tab w:leader="none" w:pos="11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14651 North Dallas Parkway, Suite 500</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Dallas, Texas 75254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1100" w:hanging="650"/>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29" w:lineRule="exact"/>
        <w:rPr>
          <w:rFonts w:ascii="Arial" w:cs="Arial" w:eastAsia="Arial" w:hAnsi="Arial"/>
          <w:sz w:val="18"/>
          <w:szCs w:val="18"/>
          <w:b w:val="1"/>
          <w:bCs w:val="1"/>
          <w:color w:val="auto"/>
        </w:rPr>
      </w:pPr>
    </w:p>
    <w:p>
      <w:pPr>
        <w:ind w:left="1940" w:hanging="839"/>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American Century Investment Management, Inc.</w:t>
      </w:r>
    </w:p>
    <w:p>
      <w:pPr>
        <w:spacing w:after="0" w:line="225" w:lineRule="exact"/>
        <w:rPr>
          <w:rFonts w:ascii="Arial" w:cs="Arial" w:eastAsia="Arial" w:hAnsi="Arial"/>
          <w:sz w:val="18"/>
          <w:szCs w:val="18"/>
          <w:color w:val="auto"/>
        </w:rPr>
      </w:pPr>
    </w:p>
    <w:p>
      <w:pPr>
        <w:ind w:left="1940" w:hanging="839"/>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American Century Companies, Inc.</w:t>
      </w:r>
    </w:p>
    <w:p>
      <w:pPr>
        <w:spacing w:after="0" w:line="225" w:lineRule="exact"/>
        <w:rPr>
          <w:rFonts w:ascii="Arial" w:cs="Arial" w:eastAsia="Arial" w:hAnsi="Arial"/>
          <w:sz w:val="18"/>
          <w:szCs w:val="18"/>
          <w:color w:val="auto"/>
        </w:rPr>
      </w:pPr>
    </w:p>
    <w:p>
      <w:pPr>
        <w:ind w:left="1940" w:hanging="839"/>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Stowers Institute for Medical Research</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100" w:hanging="655"/>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4500 Main Street</w:t>
      </w:r>
    </w:p>
    <w:p>
      <w:pPr>
        <w:spacing w:after="0" w:line="19" w:lineRule="exact"/>
        <w:rPr>
          <w:rFonts w:ascii="Arial" w:cs="Arial" w:eastAsia="Arial" w:hAnsi="Arial"/>
          <w:sz w:val="18"/>
          <w:szCs w:val="18"/>
          <w:b w:val="1"/>
          <w:bCs w:val="1"/>
          <w:color w:val="auto"/>
        </w:rPr>
      </w:pPr>
    </w:p>
    <w:p>
      <w:pPr>
        <w:ind w:left="1100"/>
        <w:spacing w:after="0" w:line="185" w:lineRule="auto"/>
        <w:rPr>
          <w:rFonts w:ascii="Arial" w:cs="Arial" w:eastAsia="Arial" w:hAnsi="Arial"/>
          <w:sz w:val="18"/>
          <w:szCs w:val="18"/>
          <w:b w:val="1"/>
          <w:bCs w:val="1"/>
          <w:color w:val="auto"/>
        </w:rPr>
      </w:pPr>
      <w:r>
        <w:rPr>
          <w:rFonts w:ascii="Arial" w:cs="Arial" w:eastAsia="Arial" w:hAnsi="Arial"/>
          <w:sz w:val="18"/>
          <w:szCs w:val="18"/>
          <w:color w:val="auto"/>
        </w:rPr>
        <w:t>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Kansas City, Missouri 64111</w:t>
      </w:r>
    </w:p>
    <w:p>
      <w:pPr>
        <w:spacing w:after="0" w:line="200" w:lineRule="exact"/>
        <w:rPr>
          <w:rFonts w:ascii="Arial" w:cs="Arial" w:eastAsia="Arial" w:hAnsi="Arial"/>
          <w:sz w:val="18"/>
          <w:szCs w:val="18"/>
          <w:b w:val="1"/>
          <w:bCs w:val="1"/>
          <w:color w:val="auto"/>
        </w:rPr>
      </w:pPr>
    </w:p>
    <w:p>
      <w:pPr>
        <w:spacing w:after="0" w:line="221" w:lineRule="exact"/>
        <w:rPr>
          <w:rFonts w:ascii="Arial" w:cs="Arial" w:eastAsia="Arial" w:hAnsi="Arial"/>
          <w:sz w:val="18"/>
          <w:szCs w:val="18"/>
          <w:b w:val="1"/>
          <w:bCs w:val="1"/>
          <w:color w:val="auto"/>
        </w:rPr>
      </w:pPr>
    </w:p>
    <w:p>
      <w:pPr>
        <w:ind w:left="1100" w:hanging="645"/>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rFonts w:ascii="Arial" w:cs="Arial" w:eastAsia="Arial" w:hAnsi="Arial"/>
          <w:sz w:val="18"/>
          <w:szCs w:val="18"/>
          <w:b w:val="1"/>
          <w:bCs w:val="1"/>
          <w:color w:val="auto"/>
        </w:rPr>
      </w:pPr>
    </w:p>
    <w:p>
      <w:pPr>
        <w:ind w:left="1940" w:hanging="839"/>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Delaware</w:t>
      </w:r>
    </w:p>
    <w:p>
      <w:pPr>
        <w:spacing w:after="0" w:line="225" w:lineRule="exact"/>
        <w:rPr>
          <w:rFonts w:ascii="Arial" w:cs="Arial" w:eastAsia="Arial" w:hAnsi="Arial"/>
          <w:sz w:val="18"/>
          <w:szCs w:val="18"/>
          <w:color w:val="auto"/>
        </w:rPr>
      </w:pPr>
    </w:p>
    <w:p>
      <w:pPr>
        <w:ind w:left="1940" w:hanging="839"/>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Delaware</w:t>
      </w:r>
    </w:p>
    <w:p>
      <w:pPr>
        <w:spacing w:after="0" w:line="225" w:lineRule="exact"/>
        <w:rPr>
          <w:rFonts w:ascii="Arial" w:cs="Arial" w:eastAsia="Arial" w:hAnsi="Arial"/>
          <w:sz w:val="18"/>
          <w:szCs w:val="18"/>
          <w:color w:val="auto"/>
        </w:rPr>
      </w:pPr>
    </w:p>
    <w:p>
      <w:pPr>
        <w:ind w:left="1940" w:hanging="839"/>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Delaware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100" w:hanging="655"/>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Reference is made to the cover page of this filing.</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1100" w:hanging="645"/>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2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Reference is made to the cover page of this filing.</w:t>
      </w:r>
    </w:p>
    <w:p>
      <w:pPr>
        <w:spacing w:after="0" w:line="221"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07" w:right="1440" w:bottom="1440" w:gutter="0" w:footer="0" w:header="0"/>
        </w:sectPr>
      </w:pPr>
    </w:p>
    <w:bookmarkStart w:id="5" w:name="page6"/>
    <w:bookmarkEnd w:id="5"/>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720" w:hanging="578"/>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American Century Investment Management, Inc. is an investment adviser in accordance with §240.13d-1(b)(1)(ii)(E).</w:t>
      </w:r>
    </w:p>
    <w:p>
      <w:pPr>
        <w:spacing w:after="0" w:line="221" w:lineRule="exact"/>
        <w:rPr>
          <w:rFonts w:ascii="Arial" w:cs="Arial" w:eastAsia="Arial" w:hAnsi="Arial"/>
          <w:sz w:val="18"/>
          <w:szCs w:val="18"/>
          <w:color w:val="auto"/>
        </w:rPr>
      </w:pPr>
    </w:p>
    <w:p>
      <w:pPr>
        <w:ind w:left="1720" w:hanging="578"/>
        <w:spacing w:after="0"/>
        <w:tabs>
          <w:tab w:leader="none" w:pos="1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American Century Companies, Inc. is a parent holding company or control person in accordance with </w:t>
      </w:r>
      <w:r>
        <w:rPr>
          <w:rFonts w:ascii="Arial" w:cs="Arial" w:eastAsia="Arial" w:hAnsi="Arial"/>
          <w:sz w:val="17"/>
          <w:szCs w:val="17"/>
          <w:b w:val="1"/>
          <w:bCs w:val="1"/>
          <w:color w:val="auto"/>
        </w:rPr>
        <w:t>§</w:t>
      </w:r>
      <w:r>
        <w:rPr>
          <w:rFonts w:ascii="Arial" w:cs="Arial" w:eastAsia="Arial" w:hAnsi="Arial"/>
          <w:sz w:val="17"/>
          <w:szCs w:val="17"/>
          <w:color w:val="auto"/>
        </w:rPr>
        <w:t>240.13d-1(b)(1)(ii)(G).</w:t>
      </w:r>
    </w:p>
    <w:p>
      <w:pPr>
        <w:spacing w:after="0" w:line="236" w:lineRule="exact"/>
        <w:rPr>
          <w:rFonts w:ascii="Arial" w:cs="Arial" w:eastAsia="Arial" w:hAnsi="Arial"/>
          <w:sz w:val="17"/>
          <w:szCs w:val="17"/>
          <w:color w:val="auto"/>
        </w:rPr>
      </w:pPr>
    </w:p>
    <w:p>
      <w:pPr>
        <w:ind w:left="1720" w:hanging="578"/>
        <w:spacing w:after="0"/>
        <w:tabs>
          <w:tab w:leader="none" w:pos="1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Stowers Institute for Medical Research, is a parent holding company or control person in accordance with </w:t>
      </w:r>
      <w:r>
        <w:rPr>
          <w:rFonts w:ascii="Arial" w:cs="Arial" w:eastAsia="Arial" w:hAnsi="Arial"/>
          <w:sz w:val="16"/>
          <w:szCs w:val="16"/>
          <w:b w:val="1"/>
          <w:bCs w:val="1"/>
          <w:color w:val="auto"/>
        </w:rPr>
        <w:t>§</w:t>
      </w:r>
      <w:r>
        <w:rPr>
          <w:rFonts w:ascii="Arial" w:cs="Arial" w:eastAsia="Arial" w:hAnsi="Arial"/>
          <w:sz w:val="16"/>
          <w:szCs w:val="16"/>
          <w:color w:val="auto"/>
        </w:rPr>
        <w:t>240.13d-1(b)(1)(ii)(G).</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Ownership.</w:t>
            </w:r>
          </w:p>
        </w:tc>
      </w:tr>
      <w:tr>
        <w:trPr>
          <w:trHeight w:val="432"/>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Reference is made to Items 5-9 and 11 on the cover page of this filing.</w:t>
            </w:r>
          </w:p>
        </w:tc>
      </w:tr>
      <w:tr>
        <w:trPr>
          <w:trHeight w:val="648"/>
        </w:trPr>
        <w:tc>
          <w:tcPr>
            <w:tcW w:w="8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418"/>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 more</w:t>
            </w:r>
          </w:p>
        </w:tc>
      </w:tr>
      <w:tr>
        <w:trPr>
          <w:trHeight w:val="230"/>
        </w:trPr>
        <w:tc>
          <w:tcPr>
            <w:tcW w:w="840" w:type="dxa"/>
            <w:vAlign w:val="bottom"/>
          </w:tcPr>
          <w:p>
            <w:pPr>
              <w:spacing w:after="0"/>
              <w:rPr>
                <w:sz w:val="20"/>
                <w:szCs w:val="20"/>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than five percent of the class of securities, check the following [   ].</w:t>
            </w:r>
          </w:p>
        </w:tc>
      </w:tr>
      <w:tr>
        <w:trPr>
          <w:trHeight w:val="648"/>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18"/>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5"/>
              </w:rPr>
              <w:t>Various persons, including the investment companies and separate institutional investor accounts that American Century Investment</w:t>
            </w:r>
          </w:p>
        </w:tc>
      </w:tr>
      <w:tr>
        <w:trPr>
          <w:trHeight w:val="216"/>
        </w:trPr>
        <w:tc>
          <w:tcPr>
            <w:tcW w:w="840" w:type="dxa"/>
            <w:vAlign w:val="bottom"/>
          </w:tcPr>
          <w:p>
            <w:pPr>
              <w:spacing w:after="0"/>
              <w:rPr>
                <w:sz w:val="18"/>
                <w:szCs w:val="18"/>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2"/>
              </w:rPr>
              <w:t>Management, Inc. (“ACIM”) serves as investment adviser, have the right to receive or the power to direct the receipt of dividends from, or</w:t>
            </w:r>
          </w:p>
        </w:tc>
      </w:tr>
      <w:tr>
        <w:trPr>
          <w:trHeight w:val="216"/>
        </w:trPr>
        <w:tc>
          <w:tcPr>
            <w:tcW w:w="840" w:type="dxa"/>
            <w:vAlign w:val="bottom"/>
          </w:tcPr>
          <w:p>
            <w:pPr>
              <w:spacing w:after="0"/>
              <w:rPr>
                <w:sz w:val="18"/>
                <w:szCs w:val="18"/>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4"/>
              </w:rPr>
              <w:t>the proceeds from the sale of, the securities that are the subject of this schedule. Except as may be otherwise indicated if this is a joint</w:t>
            </w:r>
          </w:p>
        </w:tc>
      </w:tr>
      <w:tr>
        <w:trPr>
          <w:trHeight w:val="230"/>
        </w:trPr>
        <w:tc>
          <w:tcPr>
            <w:tcW w:w="840" w:type="dxa"/>
            <w:vAlign w:val="bottom"/>
          </w:tcPr>
          <w:p>
            <w:pPr>
              <w:spacing w:after="0"/>
              <w:rPr>
                <w:sz w:val="20"/>
                <w:szCs w:val="20"/>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8"/>
              </w:rPr>
              <w:t>filing, not more than 5% of the class of securities that is the subject of this schedule is owned by any one client advised by ACIM.</w:t>
            </w:r>
          </w:p>
        </w:tc>
      </w:tr>
      <w:tr>
        <w:trPr>
          <w:trHeight w:val="630"/>
        </w:trPr>
        <w:tc>
          <w:tcPr>
            <w:tcW w:w="8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840" w:type="dxa"/>
            <w:vAlign w:val="bottom"/>
          </w:tcPr>
          <w:p>
            <w:pPr>
              <w:spacing w:after="0"/>
              <w:rPr>
                <w:sz w:val="20"/>
                <w:szCs w:val="20"/>
                <w:color w:val="auto"/>
              </w:rPr>
            </w:pP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Company or Control Person.</w:t>
            </w:r>
          </w:p>
        </w:tc>
      </w:tr>
      <w:tr>
        <w:trPr>
          <w:trHeight w:val="432"/>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See attached Exhibit A.</w:t>
            </w:r>
          </w:p>
        </w:tc>
      </w:tr>
      <w:tr>
        <w:trPr>
          <w:trHeight w:val="648"/>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648"/>
        </w:trPr>
        <w:tc>
          <w:tcPr>
            <w:tcW w:w="8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432"/>
        </w:trPr>
        <w:tc>
          <w:tcPr>
            <w:tcW w:w="840" w:type="dxa"/>
            <w:vAlign w:val="bottom"/>
          </w:tcPr>
          <w:p>
            <w:pPr>
              <w:spacing w:after="0"/>
              <w:rPr>
                <w:sz w:val="24"/>
                <w:szCs w:val="24"/>
                <w:color w:val="auto"/>
              </w:rPr>
            </w:pPr>
          </w:p>
        </w:tc>
        <w:tc>
          <w:tcPr>
            <w:tcW w:w="10400" w:type="dxa"/>
            <w:vAlign w:val="bottom"/>
          </w:tcPr>
          <w:p>
            <w:pPr>
              <w:ind w:left="4120"/>
              <w:spacing w:after="0"/>
              <w:rPr>
                <w:sz w:val="20"/>
                <w:szCs w:val="20"/>
                <w:color w:val="auto"/>
              </w:rPr>
            </w:pPr>
            <w:r>
              <w:rPr>
                <w:rFonts w:ascii="Arial" w:cs="Arial" w:eastAsia="Arial" w:hAnsi="Arial"/>
                <w:sz w:val="18"/>
                <w:szCs w:val="18"/>
                <w:b w:val="1"/>
                <w:bCs w:val="1"/>
                <w:color w:val="auto"/>
              </w:rPr>
              <w:t>Page 6 of 8 pages</w:t>
            </w:r>
          </w:p>
        </w:tc>
      </w:tr>
      <w:tr>
        <w:trPr>
          <w:trHeight w:val="183"/>
        </w:trPr>
        <w:tc>
          <w:tcPr>
            <w:tcW w:w="840" w:type="dxa"/>
            <w:vAlign w:val="bottom"/>
            <w:tcBorders>
              <w:bottom w:val="single" w:sz="8" w:color="auto"/>
            </w:tcBorders>
          </w:tcPr>
          <w:p>
            <w:pPr>
              <w:spacing w:after="0"/>
              <w:rPr>
                <w:sz w:val="15"/>
                <w:szCs w:val="15"/>
                <w:color w:val="auto"/>
              </w:rPr>
            </w:pPr>
          </w:p>
        </w:tc>
        <w:tc>
          <w:tcPr>
            <w:tcW w:w="104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7" w:right="339" w:bottom="1440" w:gutter="0" w:footer="0" w:header="0"/>
        </w:sectPr>
      </w:pPr>
    </w:p>
    <w:bookmarkStart w:id="6" w:name="page7"/>
    <w:bookmarkEnd w:id="6"/>
    <w:p>
      <w:pPr>
        <w:spacing w:after="0"/>
        <w:tabs>
          <w:tab w:leader="none" w:pos="13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00" w:lineRule="exact"/>
        <w:rPr>
          <w:sz w:val="20"/>
          <w:szCs w:val="20"/>
          <w:color w:val="auto"/>
        </w:rPr>
      </w:pPr>
    </w:p>
    <w:p>
      <w:pPr>
        <w:spacing w:after="0" w:line="292"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this 4th day of February, 2022.</w:t>
      </w:r>
    </w:p>
    <w:p>
      <w:pPr>
        <w:spacing w:after="0" w:line="240"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AMERICAN CENTURY INVESTMENT MANAGEMENT, INC. (“ACIM”)</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AMERICAN CENTURY COMPANIES, INC. (“ACC”)</w:t>
      </w:r>
    </w:p>
    <w:p>
      <w:pPr>
        <w:spacing w:after="0" w:line="200" w:lineRule="exact"/>
        <w:rPr>
          <w:sz w:val="20"/>
          <w:szCs w:val="20"/>
          <w:color w:val="auto"/>
        </w:rPr>
      </w:pPr>
    </w:p>
    <w:p>
      <w:pPr>
        <w:spacing w:after="0" w:line="241" w:lineRule="exact"/>
        <w:rPr>
          <w:sz w:val="20"/>
          <w:szCs w:val="20"/>
          <w:color w:val="auto"/>
        </w:rPr>
      </w:pPr>
    </w:p>
    <w:p>
      <w:pPr>
        <w:ind w:left="3580"/>
        <w:spacing w:after="0"/>
        <w:tabs>
          <w:tab w:leader="none" w:pos="4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14605</wp:posOffset>
            </wp:positionV>
            <wp:extent cx="45091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John Pak</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Senior Vice President, ACIM and ACC</w:t>
      </w: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STOWERS INSTITUTE FOR MEDICAL RESEARCH, solely in its capacity as control entity of ACC</w:t>
      </w:r>
    </w:p>
    <w:p>
      <w:pPr>
        <w:spacing w:after="0" w:line="200" w:lineRule="exact"/>
        <w:rPr>
          <w:sz w:val="20"/>
          <w:szCs w:val="20"/>
          <w:color w:val="auto"/>
        </w:rPr>
      </w:pPr>
    </w:p>
    <w:p>
      <w:pPr>
        <w:spacing w:after="0" w:line="253" w:lineRule="exact"/>
        <w:rPr>
          <w:sz w:val="20"/>
          <w:szCs w:val="20"/>
          <w:color w:val="auto"/>
        </w:rPr>
      </w:pPr>
    </w:p>
    <w:tbl>
      <w:tblPr>
        <w:tblLayout w:type="fixed"/>
        <w:tblInd w:w="358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 Brown</w:t>
            </w:r>
          </w:p>
        </w:tc>
      </w:tr>
      <w:tr>
        <w:trPr>
          <w:trHeight w:val="202"/>
        </w:trPr>
        <w:tc>
          <w:tcPr>
            <w:tcW w:w="560" w:type="dxa"/>
            <w:vAlign w:val="bottom"/>
          </w:tcPr>
          <w:p>
            <w:pPr>
              <w:spacing w:after="0"/>
              <w:rPr>
                <w:sz w:val="17"/>
                <w:szCs w:val="17"/>
                <w:color w:val="auto"/>
              </w:rPr>
            </w:pPr>
          </w:p>
        </w:tc>
        <w:tc>
          <w:tcPr>
            <w:tcW w:w="7100" w:type="dxa"/>
            <w:vAlign w:val="bottom"/>
          </w:tcPr>
          <w:p>
            <w:pPr>
              <w:spacing w:after="0" w:line="201" w:lineRule="exact"/>
              <w:rPr>
                <w:sz w:val="20"/>
                <w:szCs w:val="20"/>
                <w:color w:val="auto"/>
              </w:rPr>
            </w:pPr>
            <w:r>
              <w:rPr>
                <w:rFonts w:ascii="Arial" w:cs="Arial" w:eastAsia="Arial" w:hAnsi="Arial"/>
                <w:sz w:val="18"/>
                <w:szCs w:val="18"/>
                <w:color w:val="auto"/>
              </w:rPr>
              <w:t>Richard W. Brown</w:t>
            </w:r>
          </w:p>
        </w:tc>
      </w:tr>
      <w:tr>
        <w:trPr>
          <w:trHeight w:val="230"/>
        </w:trPr>
        <w:tc>
          <w:tcPr>
            <w:tcW w:w="56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Chairman</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SCHEDULE 13G – To be included in statements filed pursuant to Rule 13d-1(b) or 13d-2(b).</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39" w:lineRule="exact"/>
        <w:rPr>
          <w:sz w:val="20"/>
          <w:szCs w:val="20"/>
          <w:color w:val="auto"/>
        </w:rPr>
      </w:pPr>
    </w:p>
    <w:p>
      <w:pPr>
        <w:ind w:right="60" w:firstLine="648"/>
        <w:spacing w:after="0" w:line="252" w:lineRule="auto"/>
        <w:rPr>
          <w:sz w:val="20"/>
          <w:szCs w:val="20"/>
          <w:color w:val="auto"/>
        </w:rPr>
      </w:pPr>
      <w:r>
        <w:rPr>
          <w:rFonts w:ascii="Arial" w:cs="Arial" w:eastAsia="Arial" w:hAnsi="Arial"/>
          <w:sz w:val="21"/>
          <w:szCs w:val="21"/>
          <w:color w:val="auto"/>
        </w:rPr>
        <w:t>This Exhibit has been prepared to identify each subsidiary of American Century Companies, Inc. (“ACC”), which is controlled by the Stowers Institute for Medical Research, that is a beneficial owner of securities that are the subject of this schedule (the “Subject Securities”). American Century Investment Management, Inc. (“ACIM”) is a wholly-owned subsidiary of ACC and an investment adviser registered under §203 of the Investment Advisers Act of 1940.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9"/>
          <w:szCs w:val="19"/>
          <w:color w:val="auto"/>
        </w:rPr>
        <w:t>SCHEDULE 13G – To be included in statements filed pursuant to Rule 13d-1(b) or 13d-2(b) and Rule 13d-1(f) (1) Agreement.</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EXHIBIT B</w:t>
      </w:r>
    </w:p>
    <w:p>
      <w:pPr>
        <w:spacing w:after="0" w:line="239"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Each of the undersigned hereby agrees and consents to the execution and joint filing on its behalf by American Century Investment Management, Inc. of this Schedule 13G respecting the beneficial ownership of the securities which are the subject of this schedule.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Dated this 4th day of February, 2022.</w:t>
      </w:r>
    </w:p>
    <w:p>
      <w:pPr>
        <w:spacing w:after="0" w:line="240"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AMERICAN CENTURY INVESTMENT MANAGEMENT, INC. (“ACIM”)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CENTURY COMPANIES, INC. (“ACC”)</w:t>
      </w:r>
    </w:p>
    <w:p>
      <w:pPr>
        <w:spacing w:after="0" w:line="200" w:lineRule="exact"/>
        <w:rPr>
          <w:sz w:val="20"/>
          <w:szCs w:val="20"/>
          <w:color w:val="auto"/>
        </w:rPr>
      </w:pPr>
    </w:p>
    <w:p>
      <w:pPr>
        <w:spacing w:after="0" w:line="241" w:lineRule="exact"/>
        <w:rPr>
          <w:sz w:val="20"/>
          <w:szCs w:val="20"/>
          <w:color w:val="auto"/>
        </w:rPr>
      </w:pPr>
    </w:p>
    <w:p>
      <w:pPr>
        <w:ind w:left="3580"/>
        <w:spacing w:after="0"/>
        <w:tabs>
          <w:tab w:leader="none" w:pos="4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14605</wp:posOffset>
            </wp:positionV>
            <wp:extent cx="450913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John Pak</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Senior Vice President, ACIM and ACC</w:t>
      </w: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STOWERS INSTITUTE FOR MEDICAL RESEARCH, solely in its capacity as control entity of ACC</w:t>
      </w:r>
    </w:p>
    <w:p>
      <w:pPr>
        <w:spacing w:after="0" w:line="200" w:lineRule="exact"/>
        <w:rPr>
          <w:sz w:val="20"/>
          <w:szCs w:val="20"/>
          <w:color w:val="auto"/>
        </w:rPr>
      </w:pPr>
    </w:p>
    <w:p>
      <w:pPr>
        <w:spacing w:after="0" w:line="253" w:lineRule="exact"/>
        <w:rPr>
          <w:sz w:val="20"/>
          <w:szCs w:val="20"/>
          <w:color w:val="auto"/>
        </w:rPr>
      </w:pPr>
    </w:p>
    <w:p>
      <w:pPr>
        <w:ind w:left="3580"/>
        <w:spacing w:after="0"/>
        <w:tabs>
          <w:tab w:leader="none" w:pos="4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14605</wp:posOffset>
            </wp:positionV>
            <wp:extent cx="45091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Richard W. Brown</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Chairman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Page 8 of 8 pages</w:t>
      </w:r>
    </w:p>
    <w:sectPr>
      <w:pgSz w:w="11900" w:h="16838" w:orient="portrait"/>
      <w:cols w:equalWidth="0" w:num="1">
        <w:col w:w="11160"/>
      </w:cols>
      <w:pgMar w:left="320" w:top="6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lowerLetter"/>
      <w:start w:val="1"/>
    </w:lvl>
  </w:abstractNum>
  <w:abstractNum w:abstractNumId="1">
    <w:nsid w:val="3D1B58BA"/>
    <w:multiLevelType w:val="hybridMultilevel"/>
    <w:lvl w:ilvl="0">
      <w:lvlJc w:val="left"/>
      <w:lvlText w:val="%1."/>
      <w:numFmt w:val="decimal"/>
      <w:start w:val="10"/>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lvl w:ilvl="1">
      <w:lvlJc w:val="left"/>
      <w:lvlText w:val="(%2)"/>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2022-02-04T10:45:24Z</dcterms:created>
  <dcterms:modified xsi:type="dcterms:W3CDTF">2022-02-04T10:45:24Z</dcterms:modified>
</cp:coreProperties>
</file>