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47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479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480"/>
              <w:spacing w:after="0" w:line="183" w:lineRule="exact"/>
              <w:rPr>
                <w:sz w:val="20"/>
                <w:szCs w:val="20"/>
                <w:color w:val="auto"/>
              </w:rPr>
            </w:pPr>
            <w:r>
              <w:rPr>
                <w:rFonts w:ascii="Times New Roman" w:cs="Times New Roman" w:eastAsia="Times New Roman" w:hAnsi="Times New Roman"/>
                <w:sz w:val="17"/>
                <w:szCs w:val="17"/>
                <w:color w:val="0000FF"/>
              </w:rPr>
              <w:t>SVP, Chief Financial Officer</w:t>
            </w: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03/31/2026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653</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59.58</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70,726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30,000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September 12, 2029 assuming the reporting person is still employed by the Company and if the shares of the Company's common stock have achieved certain stock price targets over the course of the performance period.</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2"/>
          <w:szCs w:val="32"/>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7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2026-04-02T14:18:17Z</dcterms:created>
  <dcterms:modified xsi:type="dcterms:W3CDTF">2026-04-02T14:18:17Z</dcterms:modified>
</cp:coreProperties>
</file>