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600" w:space="720"/>
            <w:col w:w="3020" w:space="720"/>
            <w:col w:w="2140"/>
          </w:cols>
          <w:pgMar w:left="320" w:top="1019" w:right="3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019" w:right="37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Suite 800E</w:t>
      </w:r>
    </w:p>
    <w:p>
      <w:pPr>
        <w:spacing w:after="0" w:line="1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Addison, TX</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28" w:lineRule="exact"/>
        <w:rPr>
          <w:sz w:val="24"/>
          <w:szCs w:val="24"/>
          <w:color w:val="auto"/>
        </w:rPr>
      </w:pPr>
    </w:p>
    <w:p>
      <w:pPr>
        <w:sectPr>
          <w:pgSz w:w="11900" w:h="16838" w:orient="portrait"/>
          <w:cols w:equalWidth="0" w:num="2">
            <w:col w:w="7580" w:space="720"/>
            <w:col w:w="2900"/>
          </w:cols>
          <w:pgMar w:left="320" w:top="1019"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3" w:lineRule="exact"/>
        <w:rPr>
          <w:sz w:val="24"/>
          <w:szCs w:val="24"/>
          <w:color w:val="auto"/>
        </w:rPr>
      </w:pPr>
    </w:p>
    <w:p>
      <w:pPr>
        <w:sectPr>
          <w:pgSz w:w="11900" w:h="16838" w:orient="portrait"/>
          <w:cols w:equalWidth="0" w:num="2">
            <w:col w:w="7440" w:space="720"/>
            <w:col w:w="304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April 29, 2025, CECO Environmental Corp. issued a press release announcing its financial results for the first quarter ended March 31, 2025.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5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CECO Environmental Reports First Quarter 2025 Results</w:t>
            </w:r>
          </w:p>
        </w:tc>
        <w:tc>
          <w:tcPr>
            <w:tcW w:w="20" w:type="dxa"/>
            <w:vAlign w:val="bottom"/>
            <w:tcBorders>
              <w:bottom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4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Date: April 29,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0553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6"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FIRST QUARTER 2025 RESULTS </w:t>
      </w:r>
      <w:r>
        <w:rPr>
          <w:rFonts w:ascii="Times New Roman" w:cs="Times New Roman" w:eastAsia="Times New Roman" w:hAnsi="Times New Roman"/>
          <w:sz w:val="18"/>
          <w:szCs w:val="18"/>
          <w:i w:val="1"/>
          <w:iCs w:val="1"/>
          <w:color w:val="auto"/>
        </w:rPr>
        <w:t>Numerous Financial Records Reflect Strength of Well-Positioned Portfolio Company Maintains Full Year Outlook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ADDISON, TEXAS (April 29, 2025) -- CECO Environmental Corp. (Nasdaq: CECO) ("CECO")</w:t>
      </w:r>
      <w:r>
        <w:rPr>
          <w:rFonts w:ascii="Times New Roman" w:cs="Times New Roman" w:eastAsia="Times New Roman" w:hAnsi="Times New Roman"/>
          <w:sz w:val="18"/>
          <w:szCs w:val="18"/>
          <w:color w:val="auto"/>
        </w:rPr>
        <w:t>, a leading environmentally focused, 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industrial company whose solutions protect people, the environment, and industrial equipment, today reported its financial results for the first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Summary</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$227.9 million, up 57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$602.0 million, up 55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$176.7 million, up 40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35.2 percent; Gross margin of $68.0 million, up 28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$36.0 million; non-GAAP net income of $3.5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$0.98; non-GAAP EPS (diluted) of $0.10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$14.0 million, up 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$(15.1) million, down $13.2 million</w:t>
      </w:r>
    </w:p>
    <w:p>
      <w:pPr>
        <w:spacing w:after="0" w:line="30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Todd Gleason, CECO's Chief Executive Officer commented, “We started 2025 with outstanding first quarter record orders of $228 million, which helped drive new record levels of backlog and revenue for the Company. This is a powerful statement on the strength of our well-positioned portfolio, which is closely aligned to key long-term growth themes of industrial manufacturing reshoring, electrification, power generation, natural gas infrastructure, and industrial water investments. This marks the second consecutive quarter with bookings greater than $200 million, which has enabled our backlog to exceed $600 million for the first time in Company history. With our order pursuit pipeline now over $5 billion, we remain highly confident in our continued growth outlook.”</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quarter operating income was $61.9 million, up $54.2 million when compared to $7.7 million in the first quarter 2024. On an adjusted basis, non-GAAP operating income was $8.6 million, down $1.6 million or 16 percent when compared to $10.2 million in the first quarter of 2024. Net income was $36.0 million in the quarter, up $34.5 million compared to $1.5 million in the first quarter 2024. Non-GAAP net income was $3.5 million, down $0.5 million when compared to $4.0 million in the first quarter 2024. Adjusted EBITDA of $14.0 million, reflecting an Adjusted EBITDA margin of 7.9 percent, was up 6 percent compared to $13.2 million in the first quarter 2024. Free cash flow in the quarter was $(15.1) million, down $13.2 million compared to $(1.9) million in the first quarter of 2024.</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first quarter, we introduced strategic price actions to address preliminary tariff impacts. Additionally, to proactively manage our record backlog and robust project pipeline, we selectively pulled-in some inventory purchases and added key operational and customer-centric personnel to maintain the highest level of project execution. These additions drove incremental engineering, project management and business development costs during the first quarter as well as utilizing additional cash. This had the effect of depressing Adjusted EBITDA in the quarter, but these proactive measures were important to better position CECO for executing on our record backlog. Starting in Q2 2025, we will take strategic cost actions associated with eliminating redundant general and administrative roles and expenses resulting from our programmatic M&amp;A and will expand our ongoing productivity and efficiency initiatives. We expect the benefits from these actions, when combined with continued strong volume growth, will underpin operating margin expansion throughout the year,” added Gleason.</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2025 Full Year Guidance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full year 2025 outlook, the Company maintains its expectation to deliver Revenue of $700 to $750 million, up approximately 30 percent at the midpoint year and maintains its expected range for Adjusted EBITDA of $90 to $100 million, up approximately 50 percent at the midpoint versus 2024. The Company maintains its 2025 adjusted free cash flow to be between 60 and 75 percent of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t>“We are very pleased with the strong start to the year as our industrial air, industrial water and energy transition businesses continue to drive growth through our operating model leveraging their respective niche leadership positions, and flexible business models. Our record backlog and opportunity pipeline provide me with confidence in achieving our growth targets for the year. While we recognize we are in a very dynamic environment which makes it difficult to predict the impact tariffs and other related uncertainties might have on the economy and on our operations, we believe that our direct exposure to tariff-related imports is relatively modest. CECO is comparatively well-positioned as we execute and manufacture a majority of our business in the same regions in which we sell. At present, this aspect of our business design and operating model, coupled with the cost actions we have taken, allows us to maintain our full year outlook – but we are monitoring the economic situation and working with our supply chain to aggressively manage any additional cost expenses which might arise over the course of the year,”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first quarter 2025 financial results. Please visit the Investor Relations portion of the website (https://investors.cecoenviro.com) to listen to the call via webcast. The conference call may also be accessed by visiting https://edge.media-server.com/mmc/p/tvr2idgu.</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https://edge.media-server.com/mmc/p/tvr2idgu.</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5"/>
                <w:szCs w:val="15"/>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146,471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37,832</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allowances of $8,663 and $8,863</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152,405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159,572</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83,335</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69,889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52,919</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42,624</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36,910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3,856</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3,826</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476,101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330,971</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46,063</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33,810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24,419</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25,102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274,769</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269,747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109,250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9,559</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9,466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16,724</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15,587</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957,095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759,699</w:t>
            </w:r>
          </w:p>
        </w:tc>
      </w:tr>
      <w:tr>
        <w:trPr>
          <w:trHeight w:val="20"/>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1,673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109,504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109,671</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59,176</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47,528</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87,870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81,501</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19,831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r>
      <w:tr>
        <w:trPr>
          <w:trHeight w:val="20"/>
        </w:trPr>
        <w:tc>
          <w:tcPr>
            <w:tcW w:w="7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278,754</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244,662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338,037</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217,230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26,481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19,458</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20,230</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667,044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507,806</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100,000,000 shares authorized, 35,250,489 and</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34,978,009 shares issued and outstanding at March 31, 2025 and December 31, 2024, respectively</w:t>
            </w:r>
          </w:p>
        </w:tc>
        <w:tc>
          <w:tcPr>
            <w:tcW w:w="22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255,807</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255,211</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42,554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6,570</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(12,922)</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285,791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247,689</w:t>
            </w:r>
          </w:p>
        </w:tc>
      </w:tr>
      <w:tr>
        <w:trPr>
          <w:trHeight w:val="216"/>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4,260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4,204</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290,051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251,893</w:t>
            </w:r>
          </w:p>
        </w:tc>
      </w:tr>
      <w:tr>
        <w:trPr>
          <w:trHeight w:val="20"/>
        </w:trPr>
        <w:tc>
          <w:tcPr>
            <w:tcW w:w="7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957,095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759,699</w:t>
            </w:r>
          </w:p>
        </w:tc>
      </w:tr>
      <w:tr>
        <w:trPr>
          <w:trHeight w:val="1203"/>
        </w:trPr>
        <w:tc>
          <w:tcPr>
            <w:tcW w:w="744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4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5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-5708650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-4602480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-2639695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-1388110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-1104900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-814070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-796925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8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9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176,697</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(64,502)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55,059</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5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80" w:type="dxa"/>
            <w:vAlign w:val="bottom"/>
            <w:gridSpan w:val="2"/>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1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5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35,028,301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34,846,163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36,689,320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36,177,323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1"/>
        </w:trPr>
        <w:tc>
          <w:tcPr>
            <w:tcW w:w="57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-2228215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-2228215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-1945640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-1945640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-1662430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-1662430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-1070610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-1053465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-1070610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-1053465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36,442</w:t>
            </w:r>
          </w:p>
        </w:tc>
        <w:tc>
          <w:tcPr>
            <w:tcW w:w="160" w:type="dxa"/>
            <w:vAlign w:val="bottom"/>
          </w:tcPr>
          <w:p>
            <w:pPr>
              <w:spacing w:after="0"/>
              <w:rPr>
                <w:sz w:val="17"/>
                <w:szCs w:val="17"/>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(recovery) for credit loss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(384)</w:t>
            </w: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(5,355)</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(12,270)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(4,447)</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(17,652)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(3,633)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(2,442)</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(387)</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(3,524)</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(5,249)</w:t>
            </w:r>
          </w:p>
        </w:tc>
      </w:tr>
      <w:tr>
        <w:trPr>
          <w:trHeight w:val="20"/>
        </w:trPr>
        <w:tc>
          <w:tcPr>
            <w:tcW w:w="7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7"/>
                <w:szCs w:val="17"/>
                <w:color w:val="auto"/>
              </w:rPr>
            </w:pP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(3,116)</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105,860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(paid) received for acquisitions, net of cash acquired</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(97,646)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7"/>
                <w:szCs w:val="17"/>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(2,694)</w:t>
            </w:r>
          </w:p>
        </w:tc>
      </w:tr>
      <w:tr>
        <w:trPr>
          <w:trHeight w:val="196"/>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(27,600)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(12,600)</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(2,553)</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(229)</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 and exercise of stock options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r>
      <w:tr>
        <w:trPr>
          <w:trHeight w:val="205"/>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(804)</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115,756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(6,528)</w:t>
            </w:r>
          </w:p>
        </w:tc>
      </w:tr>
      <w:tr>
        <w:trPr>
          <w:trHeight w:val="20"/>
        </w:trPr>
        <w:tc>
          <w:tcPr>
            <w:tcW w:w="7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(422)</w:t>
            </w: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108,475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(8,420)</w:t>
            </w:r>
          </w:p>
        </w:tc>
      </w:tr>
      <w:tr>
        <w:trPr>
          <w:trHeight w:val="20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Pr>
          <w:p>
            <w:pPr>
              <w:spacing w:after="0"/>
              <w:rPr>
                <w:sz w:val="17"/>
                <w:szCs w:val="17"/>
                <w:color w:val="auto"/>
              </w:rPr>
            </w:pPr>
          </w:p>
        </w:tc>
      </w:tr>
      <w:tr>
        <w:trPr>
          <w:trHeight w:val="23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146,676</w:t>
            </w:r>
          </w:p>
        </w:tc>
        <w:tc>
          <w:tcPr>
            <w:tcW w:w="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47,028</w:t>
            </w:r>
          </w:p>
        </w:tc>
        <w:tc>
          <w:tcPr>
            <w:tcW w:w="100" w:type="dxa"/>
            <w:vAlign w:val="bottom"/>
            <w:shd w:val="clear" w:color="auto" w:fill="CFF0FC"/>
          </w:tcPr>
          <w:p>
            <w:pPr>
              <w:spacing w:after="0"/>
              <w:rPr>
                <w:sz w:val="20"/>
                <w:szCs w:val="20"/>
                <w:color w:val="auto"/>
              </w:rPr>
            </w:pPr>
          </w:p>
        </w:tc>
      </w:tr>
      <w:tr>
        <w:trPr>
          <w:trHeight w:val="183"/>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00" w:type="dxa"/>
            <w:vAlign w:val="bottom"/>
            <w:tcBorders>
              <w:top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00" w:type="dxa"/>
            <w:vAlign w:val="bottom"/>
            <w:shd w:val="clear" w:color="auto" w:fill="CFF0FC"/>
          </w:tcPr>
          <w:p>
            <w:pPr>
              <w:spacing w:after="0"/>
              <w:rPr>
                <w:sz w:val="18"/>
                <w:szCs w:val="18"/>
                <w:color w:val="auto"/>
              </w:rPr>
            </w:pPr>
          </w:p>
        </w:tc>
      </w:tr>
      <w:tr>
        <w:trPr>
          <w:trHeight w:val="20"/>
        </w:trPr>
        <w:tc>
          <w:tcPr>
            <w:tcW w:w="7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6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5"/>
                <w:szCs w:val="15"/>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9"/>
        </w:trPr>
        <w:tc>
          <w:tcPr>
            <w:tcW w:w="7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-3874135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-3076575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-1645285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-1104900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-1087755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-813435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-796290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0" w:type="dxa"/>
            <w:vAlign w:val="bottom"/>
            <w:gridSpan w:val="1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24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4"/>
          </w:tcPr>
          <w:p>
            <w:pPr>
              <w:ind w:left="140"/>
              <w:spacing w:after="0"/>
              <w:rPr>
                <w:sz w:val="20"/>
                <w:szCs w:val="20"/>
                <w:color w:val="auto"/>
              </w:rPr>
            </w:pPr>
            <w:r>
              <w:rPr>
                <w:rFonts w:ascii="Times New Roman" w:cs="Times New Roman" w:eastAsia="Times New Roman" w:hAnsi="Times New Roman"/>
                <w:sz w:val="18"/>
                <w:szCs w:val="18"/>
                <w:i w:val="1"/>
                <w:iCs w:val="1"/>
                <w:color w:val="auto"/>
              </w:rPr>
              <w:t>35.0%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6.1%</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expenses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260"/>
              <w:spacing w:after="0" w:line="216"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1"/>
                <w:szCs w:val="21"/>
                <w:color w:val="auto"/>
                <w:vertAlign w:val="superscript"/>
              </w:rPr>
              <w:t>(1)</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4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8.1%</w:t>
            </w:r>
          </w:p>
        </w:tc>
        <w:tc>
          <w:tcPr>
            <w:tcW w:w="0" w:type="dxa"/>
            <w:vAlign w:val="bottom"/>
          </w:tcPr>
          <w:p>
            <w:pPr>
              <w:spacing w:after="0"/>
              <w:rPr>
                <w:sz w:val="1"/>
                <w:szCs w:val="1"/>
                <w:color w:val="auto"/>
              </w:rPr>
            </w:pPr>
          </w:p>
        </w:tc>
      </w:tr>
      <w:tr>
        <w:trPr>
          <w:trHeight w:val="601"/>
        </w:trPr>
        <w:tc>
          <w:tcPr>
            <w:tcW w:w="4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980" w:type="dxa"/>
            <w:vAlign w:val="bottom"/>
            <w:gridSpan w:val="2"/>
          </w:tcPr>
          <w:p>
            <w:pPr>
              <w:spacing w:after="0"/>
              <w:rPr>
                <w:sz w:val="15"/>
                <w:szCs w:val="15"/>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2260" w:type="dxa"/>
            <w:vAlign w:val="bottom"/>
            <w:gridSpan w:val="3"/>
            <w:shd w:val="clear" w:color="auto" w:fill="CFF0FC"/>
          </w:tcPr>
          <w:p>
            <w:pPr>
              <w:jc w:val="right"/>
              <w:ind w:right="1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shd w:val="clear" w:color="auto" w:fill="CFF0FC"/>
          </w:tcPr>
          <w:p>
            <w:pPr>
              <w:spacing w:after="0"/>
              <w:rPr>
                <w:sz w:val="17"/>
                <w:szCs w:val="17"/>
                <w:color w:val="auto"/>
              </w:rPr>
            </w:pPr>
          </w:p>
        </w:tc>
        <w:tc>
          <w:tcPr>
            <w:tcW w:w="4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expenses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2260" w:type="dxa"/>
            <w:vAlign w:val="bottom"/>
            <w:gridSpan w:val="3"/>
          </w:tcPr>
          <w:p>
            <w:pPr>
              <w:jc w:val="right"/>
              <w:ind w:right="1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7"/>
                <w:szCs w:val="17"/>
                <w:color w:val="auto"/>
              </w:rPr>
            </w:pPr>
          </w:p>
        </w:tc>
        <w:tc>
          <w:tcPr>
            <w:tcW w:w="4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expense, net</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2260" w:type="dxa"/>
            <w:vAlign w:val="bottom"/>
            <w:gridSpan w:val="3"/>
            <w:shd w:val="clear" w:color="auto" w:fill="CFF0FC"/>
          </w:tcPr>
          <w:p>
            <w:pPr>
              <w:jc w:val="right"/>
              <w:ind w:right="1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shd w:val="clear" w:color="auto" w:fill="CFF0FC"/>
          </w:tcPr>
          <w:p>
            <w:pPr>
              <w:spacing w:after="0"/>
              <w:rPr>
                <w:sz w:val="17"/>
                <w:szCs w:val="17"/>
                <w:color w:val="auto"/>
              </w:rPr>
            </w:pPr>
          </w:p>
        </w:tc>
        <w:tc>
          <w:tcPr>
            <w:tcW w:w="4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60" w:type="dxa"/>
            <w:vAlign w:val="bottom"/>
            <w:gridSpan w:val="3"/>
          </w:tcPr>
          <w:p>
            <w:pPr>
              <w:jc w:val="right"/>
              <w:ind w:right="1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7"/>
                <w:szCs w:val="17"/>
                <w:color w:val="auto"/>
              </w:rPr>
            </w:pPr>
          </w:p>
        </w:tc>
        <w:tc>
          <w:tcPr>
            <w:tcW w:w="4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60" w:type="dxa"/>
            <w:vAlign w:val="bottom"/>
            <w:gridSpan w:val="3"/>
            <w:shd w:val="clear" w:color="auto" w:fill="CFF0FC"/>
          </w:tcPr>
          <w:p>
            <w:pPr>
              <w:jc w:val="right"/>
              <w:ind w:right="1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40" w:type="dxa"/>
            <w:vAlign w:val="bottom"/>
            <w:shd w:val="clear" w:color="auto" w:fill="CFF0FC"/>
          </w:tcPr>
          <w:p>
            <w:pPr>
              <w:spacing w:after="0"/>
              <w:rPr>
                <w:sz w:val="17"/>
                <w:szCs w:val="17"/>
                <w:color w:val="auto"/>
              </w:rPr>
            </w:pPr>
          </w:p>
        </w:tc>
        <w:tc>
          <w:tcPr>
            <w:tcW w:w="4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Non-GAAP net (loss) income per share:</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60" w:type="dxa"/>
            <w:vAlign w:val="bottom"/>
            <w:gridSpan w:val="3"/>
          </w:tcPr>
          <w:p>
            <w:pPr>
              <w:jc w:val="right"/>
              <w:ind w:right="1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tcPr>
          <w:p>
            <w:pPr>
              <w:spacing w:after="0"/>
              <w:rPr>
                <w:sz w:val="17"/>
                <w:szCs w:val="17"/>
                <w:color w:val="auto"/>
              </w:rPr>
            </w:pPr>
          </w:p>
        </w:tc>
        <w:tc>
          <w:tcPr>
            <w:tcW w:w="4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60" w:type="dxa"/>
            <w:vAlign w:val="bottom"/>
            <w:gridSpan w:val="3"/>
            <w:shd w:val="clear" w:color="auto" w:fill="CFF0FC"/>
          </w:tcPr>
          <w:p>
            <w:pPr>
              <w:jc w:val="right"/>
              <w:ind w:right="1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shd w:val="clear" w:color="auto" w:fill="CFF0FC"/>
          </w:tcPr>
          <w:p>
            <w:pPr>
              <w:spacing w:after="0"/>
              <w:rPr>
                <w:sz w:val="17"/>
                <w:szCs w:val="17"/>
                <w:color w:val="auto"/>
              </w:rPr>
            </w:pPr>
          </w:p>
        </w:tc>
        <w:tc>
          <w:tcPr>
            <w:tcW w:w="4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4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5"/>
                <w:szCs w:val="15"/>
                <w:color w:val="auto"/>
              </w:rPr>
            </w:pPr>
          </w:p>
        </w:tc>
        <w:tc>
          <w:tcPr>
            <w:tcW w:w="14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Free cash flow</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979"/>
        </w:trPr>
        <w:tc>
          <w:tcPr>
            <w:tcW w:w="4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-3668395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-3668395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2024 and may be included in subsequently filed Quarterly Reports on Form 10-Q, and include, but are not limited to: the effect of the divestiture of our Fluid Handling business on business relationships, operating results, and business generally, disruption of current plans and operations and potential difficulties in employee retention as a result of the transaction, diversion of management’s attention from ongoing business operations in connection with the integration of recent acquisitions, the amount of the costs, fees, expenses and other charges related to the transaction,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 the potential for fluctuations in prices for manufactured components and raw materials, including as a result of tariffs and surcharges, and rising energy costs; inflationary pressures relating to rising raw material costs and the cost of labor;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 considerations;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our ability to successfully realize the expected benefits of our restructuring program; economic and political conditions generally; our ability to optimize our business portfolio by identifying acquisition targets, executing upon any strategic acquisitions or divestitures, integrating acquired businesses and realizing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2025-04-29T06:10:55Z</dcterms:created>
  <dcterms:modified xsi:type="dcterms:W3CDTF">2025-04-29T06:10:55Z</dcterms:modified>
</cp:coreProperties>
</file>