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60"/>
        <w:spacing w:after="0"/>
        <w:rPr>
          <w:sz w:val="20"/>
          <w:szCs w:val="20"/>
          <w:color w:val="auto"/>
        </w:rPr>
      </w:pPr>
      <w:r>
        <w:rPr>
          <w:rFonts w:ascii="Courier New" w:cs="Courier New" w:eastAsia="Courier New" w:hAnsi="Courier New"/>
          <w:sz w:val="15"/>
          <w:szCs w:val="15"/>
          <w:color w:val="auto"/>
        </w:rPr>
        <w:t>U.S. SECURITIES AND EXCHANGE COMMISSION</w:t>
      </w:r>
    </w:p>
    <w:p>
      <w:pPr>
        <w:spacing w:after="0" w:line="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Form 10-KSB</w:t>
      </w:r>
    </w:p>
    <w:p>
      <w:pPr>
        <w:spacing w:after="0" w:line="171" w:lineRule="exact"/>
        <w:rPr>
          <w:sz w:val="24"/>
          <w:szCs w:val="24"/>
          <w:color w:val="auto"/>
        </w:rPr>
      </w:pPr>
    </w:p>
    <w:p>
      <w:pPr>
        <w:ind w:left="1420"/>
        <w:spacing w:after="0"/>
        <w:rPr>
          <w:sz w:val="20"/>
          <w:szCs w:val="20"/>
          <w:color w:val="auto"/>
        </w:rPr>
      </w:pPr>
      <w:r>
        <w:rPr>
          <w:rFonts w:ascii="Courier New" w:cs="Courier New" w:eastAsia="Courier New" w:hAnsi="Courier New"/>
          <w:sz w:val="15"/>
          <w:szCs w:val="15"/>
          <w:color w:val="auto"/>
        </w:rPr>
        <w:t>For Annual Report Pursuant to Section 13 or 15(d)</w:t>
      </w:r>
    </w:p>
    <w:p>
      <w:pPr>
        <w:spacing w:after="0" w:line="1" w:lineRule="exact"/>
        <w:rPr>
          <w:sz w:val="24"/>
          <w:szCs w:val="24"/>
          <w:color w:val="auto"/>
        </w:rPr>
      </w:pPr>
    </w:p>
    <w:p>
      <w:pPr>
        <w:ind w:left="186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17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Annual Report Pursuant to Section 13 or 15(a) of the Securities Act of</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1934 for the fiscal year ended December 31, 1999</w:t>
      </w:r>
    </w:p>
    <w:p>
      <w:pPr>
        <w:spacing w:after="0" w:line="17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Commission File No. 0-7099</w:t>
      </w:r>
    </w:p>
    <w:p>
      <w:pPr>
        <w:spacing w:after="0" w:line="17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ind w:left="780"/>
              <w:spacing w:after="0"/>
              <w:rPr>
                <w:sz w:val="20"/>
                <w:szCs w:val="20"/>
                <w:color w:val="auto"/>
              </w:rPr>
            </w:pPr>
            <w:r>
              <w:rPr>
                <w:rFonts w:ascii="Courier New" w:cs="Courier New" w:eastAsia="Courier New" w:hAnsi="Courier New"/>
                <w:sz w:val="15"/>
                <w:szCs w:val="15"/>
                <w:color w:val="auto"/>
              </w:rPr>
              <w:t>New York</w:t>
            </w:r>
          </w:p>
        </w:tc>
        <w:tc>
          <w:tcPr>
            <w:tcW w:w="31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13-2566064</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(I.R.S. Employer Identification</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3160" w:type="dxa"/>
            <w:vAlign w:val="bottom"/>
          </w:tcPr>
          <w:p>
            <w:pPr>
              <w:jc w:val="right"/>
              <w:ind w:right="2246"/>
              <w:spacing w:after="0"/>
              <w:rPr>
                <w:sz w:val="20"/>
                <w:szCs w:val="20"/>
                <w:color w:val="auto"/>
              </w:rPr>
            </w:pPr>
            <w:r>
              <w:rPr>
                <w:rFonts w:ascii="Courier New" w:cs="Courier New" w:eastAsia="Courier New" w:hAnsi="Courier New"/>
                <w:sz w:val="15"/>
                <w:szCs w:val="15"/>
                <w:color w:val="auto"/>
              </w:rPr>
              <w:t>No.)</w:t>
            </w:r>
          </w:p>
        </w:tc>
      </w:tr>
      <w:tr>
        <w:trPr>
          <w:trHeight w:val="512"/>
        </w:trPr>
        <w:tc>
          <w:tcPr>
            <w:tcW w:w="3940" w:type="dxa"/>
            <w:vAlign w:val="bottom"/>
          </w:tcPr>
          <w:p>
            <w:pPr>
              <w:spacing w:after="0"/>
              <w:rPr>
                <w:sz w:val="20"/>
                <w:szCs w:val="20"/>
                <w:color w:val="auto"/>
              </w:rPr>
            </w:pPr>
            <w:r>
              <w:rPr>
                <w:rFonts w:ascii="Courier New" w:cs="Courier New" w:eastAsia="Courier New" w:hAnsi="Courier New"/>
                <w:sz w:val="15"/>
                <w:szCs w:val="15"/>
                <w:color w:val="auto"/>
              </w:rPr>
              <w:t>505 University Avenue, Suite 1400</w:t>
            </w:r>
          </w:p>
        </w:tc>
        <w:tc>
          <w:tcPr>
            <w:tcW w:w="3160" w:type="dxa"/>
            <w:vAlign w:val="bottom"/>
          </w:tcPr>
          <w:p>
            <w:pPr>
              <w:spacing w:after="0"/>
              <w:rPr>
                <w:sz w:val="24"/>
                <w:szCs w:val="24"/>
                <w:color w:val="auto"/>
              </w:rPr>
            </w:pP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Toronto, Ontario CANADA</w:t>
            </w:r>
          </w:p>
        </w:tc>
        <w:tc>
          <w:tcPr>
            <w:tcW w:w="316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M5G 1X3</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3160" w:type="dxa"/>
            <w:vAlign w:val="bottom"/>
          </w:tcPr>
          <w:p>
            <w:pPr>
              <w:jc w:val="right"/>
              <w:ind w:right="1446"/>
              <w:spacing w:after="0"/>
              <w:rPr>
                <w:sz w:val="20"/>
                <w:szCs w:val="20"/>
                <w:color w:val="auto"/>
              </w:rPr>
            </w:pPr>
            <w:r>
              <w:rPr>
                <w:rFonts w:ascii="Courier New" w:cs="Courier New" w:eastAsia="Courier New" w:hAnsi="Courier New"/>
                <w:sz w:val="15"/>
                <w:szCs w:val="15"/>
                <w:color w:val="auto"/>
              </w:rPr>
              <w:t>(Zip Code)</w:t>
            </w:r>
          </w:p>
        </w:tc>
      </w:tr>
    </w:tbl>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Registrant's Telephone Number, Including Area Code:(416) 593-6543</w:t>
      </w:r>
    </w:p>
    <w:p>
      <w:pPr>
        <w:spacing w:after="0" w:line="171" w:lineRule="exact"/>
        <w:rPr>
          <w:sz w:val="24"/>
          <w:szCs w:val="24"/>
          <w:color w:val="auto"/>
        </w:rPr>
      </w:pPr>
    </w:p>
    <w:p>
      <w:pPr>
        <w:spacing w:after="0"/>
        <w:tabs>
          <w:tab w:leader="none" w:pos="4940" w:val="left"/>
        </w:tabs>
        <w:rPr>
          <w:sz w:val="20"/>
          <w:szCs w:val="20"/>
          <w:color w:val="auto"/>
        </w:rPr>
      </w:pPr>
      <w:r>
        <w:rPr>
          <w:rFonts w:ascii="Courier New" w:cs="Courier New" w:eastAsia="Courier New" w:hAnsi="Courier New"/>
          <w:sz w:val="15"/>
          <w:szCs w:val="15"/>
          <w:color w:val="auto"/>
        </w:rPr>
        <w:t>Securities registered under Section 12(b) of the Act:</w:t>
        <w:tab/>
        <w:t>None</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under Section (g) of the Act:</w:t>
      </w:r>
    </w:p>
    <w:p>
      <w:pPr>
        <w:spacing w:after="0" w:line="171"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Common Stock, $0.01 par value per share</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(Title of Class)</w:t>
      </w:r>
    </w:p>
    <w:p>
      <w:pPr>
        <w:spacing w:after="0" w:line="171" w:lineRule="exact"/>
        <w:rPr>
          <w:sz w:val="24"/>
          <w:szCs w:val="24"/>
          <w:color w:val="auto"/>
        </w:rPr>
      </w:pPr>
    </w:p>
    <w:p>
      <w:pPr>
        <w:ind w:left="780"/>
        <w:spacing w:after="0"/>
        <w:rPr>
          <w:sz w:val="20"/>
          <w:szCs w:val="20"/>
          <w:color w:val="auto"/>
        </w:rPr>
      </w:pPr>
      <w:r>
        <w:rPr>
          <w:rFonts w:ascii="Courier New" w:cs="Courier New" w:eastAsia="Courier New" w:hAnsi="Courier New"/>
          <w:sz w:val="15"/>
          <w:szCs w:val="15"/>
          <w:color w:val="auto"/>
        </w:rPr>
        <w:t>Indicate by check mark whether the registrant: (1) has filed all</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reports required to be filed by Section 13 or 15(d) of the Securities Exchange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Act during the preceding 12 months (or for such shorter period that the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 was required to file such reports), and (2) has been subject to such</w:t>
      </w:r>
    </w:p>
    <w:p>
      <w:pPr>
        <w:spacing w:after="0" w:line="9" w:lineRule="exact"/>
        <w:rPr>
          <w:sz w:val="24"/>
          <w:szCs w:val="24"/>
          <w:color w:val="auto"/>
        </w:rPr>
      </w:pPr>
    </w:p>
    <w:p>
      <w:pPr>
        <w:spacing w:after="0"/>
        <w:tabs>
          <w:tab w:leader="none" w:pos="3960" w:val="left"/>
          <w:tab w:leader="none" w:pos="4400" w:val="left"/>
          <w:tab w:leader="none" w:pos="5120" w:val="left"/>
          <w:tab w:leader="none" w:pos="5740" w:val="left"/>
        </w:tabs>
        <w:rPr>
          <w:sz w:val="20"/>
          <w:szCs w:val="20"/>
          <w:color w:val="auto"/>
        </w:rPr>
      </w:pPr>
      <w:r>
        <w:rPr>
          <w:rFonts w:ascii="Courier New" w:cs="Courier New" w:eastAsia="Courier New" w:hAnsi="Courier New"/>
          <w:sz w:val="15"/>
          <w:szCs w:val="15"/>
          <w:color w:val="auto"/>
        </w:rPr>
        <w:t>filing requirements for the past 90 days.</w:t>
      </w:r>
      <w:r>
        <w:rPr>
          <w:sz w:val="20"/>
          <w:szCs w:val="20"/>
          <w:color w:val="auto"/>
        </w:rPr>
        <w:tab/>
      </w:r>
      <w:r>
        <w:rPr>
          <w:rFonts w:ascii="Courier New" w:cs="Courier New" w:eastAsia="Courier New" w:hAnsi="Courier New"/>
          <w:sz w:val="15"/>
          <w:szCs w:val="15"/>
          <w:color w:val="auto"/>
        </w:rPr>
        <w:t>Yes</w:t>
        <w:tab/>
        <w:t>x</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3"/>
          <w:szCs w:val="13"/>
          <w:color w:val="auto"/>
        </w:rPr>
        <w:t>.</w:t>
      </w:r>
    </w:p>
    <w:p>
      <w:pPr>
        <w:spacing w:after="0" w:line="1" w:lineRule="exact"/>
        <w:rPr>
          <w:sz w:val="24"/>
          <w:szCs w:val="24"/>
          <w:color w:val="auto"/>
        </w:rPr>
      </w:pPr>
    </w:p>
    <w:p>
      <w:pPr>
        <w:ind w:left="4260"/>
        <w:spacing w:after="0"/>
        <w:tabs>
          <w:tab w:leader="none" w:pos="53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4"/>
          <w:szCs w:val="24"/>
          <w:color w:val="auto"/>
        </w:rPr>
      </w:pPr>
    </w:p>
    <w:p>
      <w:pPr>
        <w:ind w:right="3219" w:firstLine="799"/>
        <w:spacing w:after="0"/>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2" w:lineRule="exact"/>
        <w:rPr>
          <w:sz w:val="24"/>
          <w:szCs w:val="24"/>
          <w:color w:val="auto"/>
        </w:rPr>
      </w:pPr>
    </w:p>
    <w:p>
      <w:pPr>
        <w:ind w:left="780"/>
        <w:spacing w:after="0"/>
        <w:rPr>
          <w:sz w:val="20"/>
          <w:szCs w:val="20"/>
          <w:color w:val="auto"/>
        </w:rPr>
      </w:pPr>
      <w:r>
        <w:rPr>
          <w:rFonts w:ascii="Courier New" w:cs="Courier New" w:eastAsia="Courier New" w:hAnsi="Courier New"/>
          <w:sz w:val="15"/>
          <w:szCs w:val="15"/>
          <w:color w:val="auto"/>
        </w:rPr>
        <w:t>Issuer's Revenues for its most recent fiscal year: $23,861,782.</w:t>
      </w:r>
    </w:p>
    <w:p>
      <w:pPr>
        <w:spacing w:after="0" w:line="174" w:lineRule="exact"/>
        <w:rPr>
          <w:sz w:val="24"/>
          <w:szCs w:val="24"/>
          <w:color w:val="auto"/>
        </w:rPr>
      </w:pPr>
    </w:p>
    <w:p>
      <w:pPr>
        <w:ind w:right="3659" w:firstLine="799"/>
        <w:spacing w:after="0" w:line="271" w:lineRule="auto"/>
        <w:rPr>
          <w:sz w:val="20"/>
          <w:szCs w:val="20"/>
          <w:color w:val="auto"/>
        </w:rPr>
      </w:pPr>
      <w:r>
        <w:rPr>
          <w:rFonts w:ascii="Courier New" w:cs="Courier New" w:eastAsia="Courier New" w:hAnsi="Courier New"/>
          <w:sz w:val="14"/>
          <w:szCs w:val="14"/>
          <w:color w:val="auto"/>
        </w:rPr>
        <w:t>Aggregate market value of voting stock held by non-affiliates of registrant (based on the last sale price on March 23, 2000): $10,534,787</w:t>
      </w:r>
    </w:p>
    <w:p>
      <w:pPr>
        <w:spacing w:after="0" w:line="325" w:lineRule="exact"/>
        <w:rPr>
          <w:sz w:val="24"/>
          <w:szCs w:val="24"/>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equity, as of the latest practical date: 8,388,816 shares of common stock, par value $0.01 per share, as of March 24, 2000.</w:t>
      </w:r>
    </w:p>
    <w:p>
      <w:pPr>
        <w:spacing w:after="0" w:line="200" w:lineRule="exact"/>
        <w:rPr>
          <w:sz w:val="24"/>
          <w:szCs w:val="24"/>
          <w:color w:val="auto"/>
        </w:rPr>
      </w:pPr>
    </w:p>
    <w:p>
      <w:pPr>
        <w:spacing w:after="0" w:line="314" w:lineRule="exact"/>
        <w:rPr>
          <w:sz w:val="24"/>
          <w:szCs w:val="24"/>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571" w:right="1440" w:bottom="1440"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5"/>
          <w:szCs w:val="15"/>
          <w:color w:val="auto"/>
        </w:rPr>
        <w:t>PART I</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tab/>
        <w:t>Business</w:t>
      </w:r>
    </w:p>
    <w:p>
      <w:pPr>
        <w:spacing w:after="0" w:line="174"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CECO Environmental Corp. (the "Company") was incorporated in New York State in 1966. The Company owns 100% of the stock of CECO Group, Inc. ("CECO Group"). CECO Group owns 100% of the stock of The Kirk &amp; Blum Manufacturing Company ("Kirk &amp; Blum"), and 93.8% of the common stock of CECO Filters, Inc., a Delaware corporation ("Filters"), and beneficially owns 100% of the stock of kbd/Technic, Inc. The Company operates through its wholly owned subsidiary, CECO Group.</w:t>
      </w:r>
    </w:p>
    <w:p>
      <w:pPr>
        <w:spacing w:after="0" w:line="176"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During the 1999 fiscal year the Company underwent a fundamental transformation. With the acquisition of Kirk &amp; Blum and kbd/Technic, Inc.("kbd/Technic") on December 7, 1999, the size of the business and the focus of the Company was fundamentally changed. With the addition of Kirk &amp; Blum, 89.5% of whose net sales arose from the fabrication and installation of industrial ventilation, dust, fume and mist control systems in 1999, the Company added a new dimension to its product line and broadens its coverage of air pollution control technology. In 1999, Kirk &amp; Blum and kbd/Technic had combined revenue of $72,366,016, while the revenue of the Company and its subsidiaries (other than Kirk &amp; Blum and kbd/Technic, Inc.) for that period was $17,525,664. The Company now combines under a single organization both Kirk &amp; Blum, kbd/Technic and Filters and its subsidiaries.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Corporate Structure</w:t>
      </w:r>
    </w:p>
    <w:p>
      <w:pPr>
        <w:spacing w:after="0" w:line="174"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As part of the acquisition of Kirk &amp; Blum, the Company created CECO Group as a wholly owned subsidiary of the Company for the purpose of holding all the stock of its operating companies. Immediately following the acquisition of Kirk &amp; Blum, CECO Group beneficially owned Kirk &amp; Blum, kbd/Technic (through the voting trust referred to below) and the approximately 93.8% of Filters formerly held by the Company. The other operating companies controlled by the Company, Air Purator Corporation and New Busch Co., Inc., are wholly-owned subsidiaries of Filters.</w:t>
      </w:r>
    </w:p>
    <w:p>
      <w:pPr>
        <w:spacing w:after="0" w:line="177"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In connection with this restructuring, Richard Blum, the president of Kirk &amp; Blum and the Chairman of kbd/Technic, was named the president and chief executive officer of CECO Group. Mr. Blum's responsibilities include the overall management and direction of the various CECO operating companies, the management of Kirk &amp; Blum and integrating the various CECO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11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The Kirk &amp; Blum Manufacturing Company</w:t>
      </w:r>
    </w:p>
    <w:p>
      <w:pPr>
        <w:spacing w:after="0" w:line="174"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Kirk &amp; Blum, with headquarters in Cincinnati, Ohio, is a leading provider of turnkey engineering, design, manufacturing and installation services in the air pollution control industry. Kirk &amp; Blum's business is focused on designing, building, and installing systems that remove airborne contaminants from industrial facilities as well as equipment that control emissions from such facilities. Kirk &amp; Blum serves its customers from offices and plants in Cincinnati, OH; Indianapolis, IN; Defiance, OH; Louisville and Lexington, KY; Columbia, TN; and Greensboro, NC; In October 1998, Engineering News Record ranked Kirk &amp; Blum as the largest specialty sheet metal contractor in the country. With a diversified base of more than 1,500 active customers, Kirk &amp; Blum provides services to a number of industries including aerospace, ceramics, metalworking, printing, paper, food, foundries, metal plating, woodworking, chemicals, tobacco, glass, automotive, and pharmaceuticals.</w:t>
      </w:r>
    </w:p>
    <w:p>
      <w:pPr>
        <w:spacing w:after="0" w:line="181"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Kirk &amp; Blum has three lines of business, all evolving from the original air pollution systems business. The largest line of business, located in seven strategic locations, is with respect to air pollution control systems and industrial ventilation. This line of business includes fabricating, designing, engineering, and installing industrial ventilation, dust, fume, and mist control systems, as well as automotive spray booth systems, industrial and process piping, and other industrial sheet metal work. Well known customers include General Motors, Procter &amp; Gamble, Ingersoll Milling Machine, Toyota, Saturn, Matsushita, and Alcoa.</w:t>
      </w:r>
    </w:p>
    <w:p>
      <w:pPr>
        <w:spacing w:after="0" w:line="178"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Kirk &amp; Blum also provides custom metal fabrication services at its Cincinnati, Ohio and Lexington, Kentucky locations. These operations fabricate parts, subassemblies, and customized products for air pollution and non-air pollution applications from sheet, plate, and structurals. These operations give Kirk &amp; Blum the ability to meet project schedules and cost targets in air pollution control projects while generating additional fabrication revenue in support of non-air pollution control industries in the tri-state region surrounding Cincinnati. Customers include Siemens Energy &amp; Automation, Duriron and Eastman Chemical.</w:t>
      </w:r>
    </w:p>
    <w:p>
      <w:pPr>
        <w:spacing w:after="0" w:line="178"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Kirk &amp; Blum also manufactures component parts for industrial air systems at its Cincinnati, Ohio location. This division provides standard and custom components for contractors and companies that design and/or install their own air systems. Products include angle rings, elbows, cut-offs, and other components used in ventilation systems. Major distributors of this division's products include N.B. Handy, Three States Supply, Albina Pipe Bending, and Indiana Supply.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kbd/Technic, Inc.</w:t>
      </w:r>
    </w:p>
    <w:p>
      <w:pPr>
        <w:spacing w:after="0" w:line="174"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Kbd/Technic, a sister company of Kirk &amp; Blum, is a specialty engineering firm concentrating in industrial ventilation, dust and fume control. Services offered include air system testing and balancing, source emission testing, industrial ventilation engineering, turnkey project engineering (civil/structural, electrical), sound and vibration system engineering, and other special projects. In addition to generating service revenue, kbd/Technic, Inc. often serves as a referral source for other Kirk &amp; Blum divisions. Customers include General Motors, Ford, Baldwin Graphic Products, Emtec, and Heidelberg &amp; Harris.</w:t>
      </w:r>
    </w:p>
    <w:p>
      <w:pPr>
        <w:spacing w:after="0" w:line="200" w:lineRule="exact"/>
        <w:rPr>
          <w:sz w:val="20"/>
          <w:szCs w:val="20"/>
          <w:color w:val="auto"/>
        </w:rPr>
      </w:pPr>
    </w:p>
    <w:p>
      <w:pPr>
        <w:spacing w:after="0" w:line="31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628"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CECO Filters, Inc.</w:t>
      </w:r>
    </w:p>
    <w:p>
      <w:pPr>
        <w:spacing w:after="0" w:line="174" w:lineRule="exact"/>
        <w:rPr>
          <w:sz w:val="20"/>
          <w:szCs w:val="20"/>
          <w:color w:val="auto"/>
        </w:rPr>
      </w:pPr>
    </w:p>
    <w:p>
      <w:pPr>
        <w:ind w:right="3139" w:firstLine="799"/>
        <w:spacing w:after="0" w:line="259" w:lineRule="auto"/>
        <w:rPr>
          <w:sz w:val="20"/>
          <w:szCs w:val="20"/>
          <w:color w:val="auto"/>
        </w:rPr>
      </w:pPr>
      <w:r>
        <w:rPr>
          <w:rFonts w:ascii="Courier New" w:cs="Courier New" w:eastAsia="Courier New" w:hAnsi="Courier New"/>
          <w:sz w:val="14"/>
          <w:szCs w:val="14"/>
          <w:color w:val="auto"/>
        </w:rPr>
        <w:t>Filters is located in Conshohocken, Pennsylvania. Filters manufactures and sells industrial air filters known as fiber bed mist eliminators. The filters are used to trap, collect and remove solid soluble and liquid particulate matter suspended in an air or other gas stream whether generated in a point source emission or otherwise. The principal functions which can be performed by use of the filters are (a) the removal of damaging mists and particles (for example, in process operations that could cause downstream corrosion and damage to equipment), (b) the removal of pollutants and (c) the recovery of valuable materials for reuse. The filters are also used to collect fine insoluble particulates. Filters' filters are used by, among others, the chemical and electronics industries; manufacturers of various acids, vegetable and animal based cooking oils, textile products, alkalies, chlorine, paper, computers, automobiles, asphalt, pharmaceutical products and chromic acid; electric generating facilities including cogeneration facilities; and end users of pollution control products such as incinerators.</w:t>
      </w:r>
    </w:p>
    <w:p>
      <w:pPr>
        <w:spacing w:after="0" w:line="33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Filters holds a US Patent for a device with the trade names of the N-SERT(R) and X-SERT(R) prefilter. This device is used to protect the filter's surface from becoming coated with insoluble solids. Field performance has demonstrated the effectiveness of this device. Filters also holds a patent for its N-ESTED(R) multiple-bed fiberbed TWIN-PAK(R) filter, which permits an increase in filter surface area of 60% or more, thus decreasing energy consumption and improving collection efficiency. The device also permits the user to increase the capacity of the emission generating source without an energy or major modification penalty.</w:t>
      </w:r>
    </w:p>
    <w:p>
      <w:pPr>
        <w:spacing w:after="0" w:line="178" w:lineRule="exact"/>
        <w:rPr>
          <w:sz w:val="20"/>
          <w:szCs w:val="20"/>
          <w:color w:val="auto"/>
        </w:rPr>
      </w:pPr>
    </w:p>
    <w:p>
      <w:pPr>
        <w:ind w:right="3039" w:firstLine="799"/>
        <w:spacing w:after="0" w:line="259" w:lineRule="auto"/>
        <w:rPr>
          <w:sz w:val="20"/>
          <w:szCs w:val="20"/>
          <w:color w:val="auto"/>
        </w:rPr>
      </w:pPr>
      <w:r>
        <w:rPr>
          <w:rFonts w:ascii="Courier New" w:cs="Courier New" w:eastAsia="Courier New" w:hAnsi="Courier New"/>
          <w:sz w:val="14"/>
          <w:szCs w:val="14"/>
          <w:color w:val="auto"/>
        </w:rPr>
        <w:t>Filters' filters range in size from 2 to 20 feet in height and are typically either 16 or 24 inches in diameter. The cages used in Filters' filter assemblies may be stainless steel, carbon steel, titanium or fiberglass mesh. The filter material used in approximately 75% of Filters' filters is fiberglass, which may be purchased in various grades of fiber diameter and chemical resistance depending on the specific requirements of the customer. Filter material may also be made of polyester, polypropelene or ceramic materials. Filters' filters are manufactured with different levels of efficiency in the collectibility of particulates, depending on the requirements of the customer.</w:t>
      </w:r>
    </w:p>
    <w:p>
      <w:pPr>
        <w:spacing w:after="0" w:line="200" w:lineRule="exact"/>
        <w:rPr>
          <w:sz w:val="20"/>
          <w:szCs w:val="20"/>
          <w:color w:val="auto"/>
        </w:rPr>
      </w:pPr>
    </w:p>
    <w:p>
      <w:pPr>
        <w:spacing w:after="0" w:line="30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628" w:right="1440" w:bottom="1440" w:gutter="0" w:footer="0" w:header="0"/>
        </w:sectPr>
      </w:pPr>
    </w:p>
    <w:bookmarkStart w:id="4" w:name="page5"/>
    <w:bookmarkEnd w:id="4"/>
    <w:p>
      <w:pPr>
        <w:ind w:right="3139" w:firstLine="799"/>
        <w:spacing w:after="0"/>
        <w:rPr>
          <w:sz w:val="20"/>
          <w:szCs w:val="20"/>
          <w:color w:val="auto"/>
        </w:rPr>
      </w:pPr>
      <w:r>
        <w:rPr>
          <w:rFonts w:ascii="Courier New" w:cs="Courier New" w:eastAsia="Courier New" w:hAnsi="Courier New"/>
          <w:sz w:val="15"/>
          <w:szCs w:val="15"/>
          <w:color w:val="auto"/>
        </w:rPr>
        <w:t>Eventually, the filter material contained in Filters' filters will become saturated with insoluble solids or corroded and require replacement. The life of the filter material will be primarily dependent on the nature of the particles collected and the filtration atmosphere. Filter life generally ranges from 3 months to 15 years. The filters can be returned to Filters for replacement of the filter material, or can be replaced on-site by the customer. Filters sells replacement filter material segments with the trade name of SITE-PAK(R) for on-site installation by the customer and compressor kits to be used in connection with on-site replacement.</w:t>
      </w:r>
    </w:p>
    <w:p>
      <w:pPr>
        <w:spacing w:after="0" w:line="178" w:lineRule="exact"/>
        <w:rPr>
          <w:sz w:val="20"/>
          <w:szCs w:val="20"/>
          <w:color w:val="auto"/>
        </w:rPr>
      </w:pPr>
    </w:p>
    <w:p>
      <w:pPr>
        <w:ind w:right="3139" w:firstLine="799"/>
        <w:spacing w:after="0" w:line="239" w:lineRule="auto"/>
        <w:rPr>
          <w:sz w:val="20"/>
          <w:szCs w:val="20"/>
          <w:color w:val="auto"/>
        </w:rPr>
      </w:pPr>
      <w:r>
        <w:rPr>
          <w:rFonts w:ascii="Courier New" w:cs="Courier New" w:eastAsia="Courier New" w:hAnsi="Courier New"/>
          <w:sz w:val="15"/>
          <w:szCs w:val="15"/>
          <w:color w:val="auto"/>
        </w:rPr>
        <w:t>Filters has exclusive rights to engineer, market and sell the patented Catenary Grid Scrubber(TM). This device is designed for use with heat and mass transfer operations and particulate control. Filters designs complete systems centered around these devices.</w:t>
      </w:r>
    </w:p>
    <w:p>
      <w:pPr>
        <w:spacing w:after="0" w:line="177" w:lineRule="exact"/>
        <w:rPr>
          <w:sz w:val="20"/>
          <w:szCs w:val="20"/>
          <w:color w:val="auto"/>
        </w:rPr>
      </w:pPr>
    </w:p>
    <w:p>
      <w:pPr>
        <w:ind w:right="3319" w:firstLine="799"/>
        <w:spacing w:after="0"/>
        <w:rPr>
          <w:sz w:val="20"/>
          <w:szCs w:val="20"/>
          <w:color w:val="auto"/>
        </w:rPr>
      </w:pPr>
      <w:r>
        <w:rPr>
          <w:rFonts w:ascii="Courier New" w:cs="Courier New" w:eastAsia="Courier New" w:hAnsi="Courier New"/>
          <w:sz w:val="15"/>
          <w:szCs w:val="15"/>
          <w:color w:val="auto"/>
        </w:rPr>
        <w:t>A significant portion of Filters' business consists of the sale of replacement filter material segments for its filters and for filters made by other manufacturers. The replacement process for filters made by other manufacturers involves modification of the cages to permit the insertion of replacement segments. Once modification of the cage and replacement of filter material has been completed by Filters, subsequent replacement of the filter material can be made on-site by the customer.</w:t>
      </w:r>
    </w:p>
    <w:p>
      <w:pPr>
        <w:spacing w:after="0" w:line="176"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During 1999, Filters continued to implement the results of its new design strategies by utilizing standard components customized for specific customer needs. These unique designs are characterized by ease of use, flexibility in application and the ability to achieve complete product recycle when the customer's use is satisfied. This strategy enables Filters to offer the same units or applications in widely disparate industries with the possibility to reuse the units once the original use is satisfied. It also allows Filters the flexibility to sell or rent the systems. The rental approach allows Filters to reuse the units after cleaning and repacking, resulting in a higher return on capital employed.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Air Purator Corporation</w:t>
      </w:r>
    </w:p>
    <w:p>
      <w:pPr>
        <w:spacing w:after="0" w:line="174"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Air Purator Corporation ("APC"), a wholly owned subsidiary of Filters, is engaged in the manufacture of specialty needled fiberglass fabrics. Some of the fabrics are coated to permit their use in certain highly corrosive applications. The fabrics are mainly used in a particulate collection device known as a pulse jet baghouse which is fabricated by a number of companies. Before APC's fabric is placed into the baghouse, the fabric will generally be sewn into a shape resembling a tube closed at one end, called a bag. The bag is then placed in an enclosed cylindrical apparatus known as a bag holder. APC mainly sells its fabrics to the bag fabricator. Other applications include the recovery of valuable materials such as carbon black. There are many domestic and foreign fabricators with which APC deals. APC's flagship product line is known in the field under the Huyglas(R) trade name. Other products include Dynaglas(R) and GNT products.</w:t>
      </w:r>
    </w:p>
    <w:p>
      <w:pPr>
        <w:spacing w:after="0" w:line="200" w:lineRule="exact"/>
        <w:rPr>
          <w:sz w:val="20"/>
          <w:szCs w:val="20"/>
          <w:color w:val="auto"/>
        </w:rPr>
      </w:pPr>
    </w:p>
    <w:p>
      <w:pPr>
        <w:spacing w:after="0" w:line="32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631" w:right="1440" w:bottom="1440" w:gutter="0" w:footer="0" w:header="0"/>
        </w:sectPr>
      </w:pPr>
    </w:p>
    <w:bookmarkStart w:id="5" w:name="page6"/>
    <w:bookmarkEnd w:id="5"/>
    <w:p>
      <w:pPr>
        <w:ind w:right="3039" w:firstLine="799"/>
        <w:spacing w:after="0"/>
        <w:rPr>
          <w:sz w:val="20"/>
          <w:szCs w:val="20"/>
          <w:color w:val="auto"/>
        </w:rPr>
      </w:pPr>
      <w:r>
        <w:rPr>
          <w:rFonts w:ascii="Courier New" w:cs="Courier New" w:eastAsia="Courier New" w:hAnsi="Courier New"/>
          <w:sz w:val="15"/>
          <w:szCs w:val="15"/>
          <w:color w:val="auto"/>
        </w:rPr>
        <w:t>A felted fiberglass fabric developed by APC and targeted to compete with other fabrics sold for dust collection in industrial applications is now being marketed. This product may allow Filters to compete for a larger share of the global market for filter fabric media and may add to Filters' established position with the Huyglas(R) trade name. APC recently developed two new products that are capable of higher temperature exposure and less costly final fabrication. These products, once commercialized, could improve the operating results of APC.</w:t>
      </w:r>
    </w:p>
    <w:p>
      <w:pPr>
        <w:spacing w:after="0" w:line="177" w:lineRule="exact"/>
        <w:rPr>
          <w:sz w:val="20"/>
          <w:szCs w:val="20"/>
          <w:color w:val="auto"/>
        </w:rPr>
      </w:pPr>
    </w:p>
    <w:p>
      <w:pPr>
        <w:ind w:right="3039" w:firstLine="799"/>
        <w:spacing w:after="0" w:line="260" w:lineRule="auto"/>
        <w:rPr>
          <w:sz w:val="20"/>
          <w:szCs w:val="20"/>
          <w:color w:val="auto"/>
        </w:rPr>
      </w:pPr>
      <w:r>
        <w:rPr>
          <w:rFonts w:ascii="Courier New" w:cs="Courier New" w:eastAsia="Courier New" w:hAnsi="Courier New"/>
          <w:sz w:val="14"/>
          <w:szCs w:val="14"/>
          <w:color w:val="auto"/>
        </w:rPr>
        <w:t>APC is presently engaged in the development of additional products based on its proprietary technology. One of its sales personnel is designated as a "Product Champion" and is vigorously pursuing various applications outside of uses traditionally associated with such fabrics. Several new products are currently being tested, but APC is unable to predict whether these efforts will result in the successful development of marketable products.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Busch Co., Inc.</w:t>
      </w:r>
    </w:p>
    <w:p>
      <w:pPr>
        <w:spacing w:after="0" w:line="174"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Busch, a wholly-owned subsidiary of Filters, is engaged in the business of marketing, selling, designing and assembling ventilation, environmental and process-related products, and providing manufacturer's representative services to certain companies or manufacturers. Busch consists of two divisions: Busch INTERNATIONAL and Busch MARTEC. In 1999, Busch generated approximately 58.5% of Filters' consolidated net sales.</w:t>
      </w:r>
    </w:p>
    <w:p>
      <w:pPr>
        <w:spacing w:after="0" w:line="175" w:lineRule="exact"/>
        <w:rPr>
          <w:sz w:val="20"/>
          <w:szCs w:val="20"/>
          <w:color w:val="auto"/>
        </w:rPr>
      </w:pPr>
    </w:p>
    <w:p>
      <w:pPr>
        <w:ind w:right="3039" w:firstLine="799"/>
        <w:spacing w:after="0" w:line="259" w:lineRule="auto"/>
        <w:rPr>
          <w:sz w:val="20"/>
          <w:szCs w:val="20"/>
          <w:color w:val="auto"/>
        </w:rPr>
      </w:pPr>
      <w:r>
        <w:rPr>
          <w:rFonts w:ascii="Courier New" w:cs="Courier New" w:eastAsia="Courier New" w:hAnsi="Courier New"/>
          <w:sz w:val="14"/>
          <w:szCs w:val="14"/>
          <w:color w:val="auto"/>
        </w:rPr>
        <w:t>Busch INTERNATIONAL, the larger division of Busch, designs and supplies custom air systems to steel, aluminum, chemical, paper, glass, cement, power generation, and related industries on an international level. As part of its system designs, it supplies custom engineered precision-manufactured products specializing in air related applications. In addition, Busch INTERNATIONAL provides a wide range of special services, including conceptual studies, application engineering, and system start-up. Busch employs an engineering staff experienced in aerodynamic, mechanical, civil, and electrical disciplines. These personnel are utilized entirely to support Busch's air systems work. Areas of expertise include turbine inlet filtration, evaporative cooling, gas absorption, scrubbers, acoustics, and corrosion control.</w:t>
      </w:r>
    </w:p>
    <w:p>
      <w:pPr>
        <w:spacing w:after="0" w:line="166"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Busch INTERNATIONAL is noted as a premier supplier of custom engineered solutions for the control of fume and oil mist emissions from steel and aluminum rolling mills. Busch's Fume-Shield Systems are designed and supplied by Busch and are devised to contain, capture, convey, and clean contaminated air. Busch International fume exhaust systems and air-curtain hoods are designed to provide high efficiency control of oil mist and fumes.</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631" w:right="1440" w:bottom="1440" w:gutter="0" w:footer="0" w:header="0"/>
        </w:sectPr>
      </w:pPr>
    </w:p>
    <w:bookmarkStart w:id="6" w:name="page7"/>
    <w:bookmarkEnd w:id="6"/>
    <w:p>
      <w:pPr>
        <w:ind w:right="3039" w:firstLine="799"/>
        <w:spacing w:after="0"/>
        <w:rPr>
          <w:sz w:val="20"/>
          <w:szCs w:val="20"/>
          <w:color w:val="auto"/>
        </w:rPr>
      </w:pPr>
      <w:r>
        <w:rPr>
          <w:rFonts w:ascii="Courier New" w:cs="Courier New" w:eastAsia="Courier New" w:hAnsi="Courier New"/>
          <w:sz w:val="15"/>
          <w:szCs w:val="15"/>
          <w:color w:val="auto"/>
        </w:rPr>
        <w:t>Busch INTERNATIONAL also designs, manufactures and supplies ventilation and other air handling equipment for industrial use. It also provides systems for corrosion protection, fugitive emissions control, evaporative cooling, oil mist collection, mill building ventilation, crane cab ventilation and other air handling applications. Some of these air handling units are the MRV-80, MRV-81, N-DUR-AIR, RE-TREAT(R), and PCR.</w:t>
      </w:r>
    </w:p>
    <w:p>
      <w:pPr>
        <w:spacing w:after="0" w:line="175"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Busch INTERNATIONAL'S patented Jet*Star(R) heat and transfer device is an excellent strip cooler, strip dryer, coil cooler, and strip blow-off system and is gaining significant market penetration for its ability to rapidly cool or heat metal or other materials. The rapid cooling permits higher throughput than competitive processes. Busch is presently involved in supplying Jet*Star(R) for new and upgrade mill construction work.</w:t>
      </w:r>
    </w:p>
    <w:p>
      <w:pPr>
        <w:spacing w:after="0" w:line="175" w:lineRule="exact"/>
        <w:rPr>
          <w:sz w:val="20"/>
          <w:szCs w:val="20"/>
          <w:color w:val="auto"/>
        </w:rPr>
      </w:pPr>
    </w:p>
    <w:p>
      <w:pPr>
        <w:ind w:right="3039" w:firstLine="799"/>
        <w:spacing w:after="0" w:line="239" w:lineRule="auto"/>
        <w:rPr>
          <w:sz w:val="20"/>
          <w:szCs w:val="20"/>
          <w:color w:val="auto"/>
        </w:rPr>
      </w:pPr>
      <w:r>
        <w:rPr>
          <w:rFonts w:ascii="Courier New" w:cs="Courier New" w:eastAsia="Courier New" w:hAnsi="Courier New"/>
          <w:sz w:val="15"/>
          <w:szCs w:val="15"/>
          <w:color w:val="auto"/>
        </w:rPr>
        <w:t>Busch MARTEC acts as a manufacturers' representative with manufacturers relating to air and fluids products. Busch MARTEC does business almost exclusively in the Pittsburgh and tri-state area. Busch MARTEC also supplies certain products to the other Busch divisions.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Facilities Management</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 1999, Filters closed its U.S. Facilities Management division.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 customers comprised 10% or more of Kirk &amp; Blum's net revenues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w:t>
      </w:r>
    </w:p>
    <w:p>
      <w:pPr>
        <w:spacing w:after="0" w:line="174" w:lineRule="exact"/>
        <w:rPr>
          <w:sz w:val="20"/>
          <w:szCs w:val="20"/>
          <w:color w:val="auto"/>
        </w:rPr>
      </w:pPr>
    </w:p>
    <w:p>
      <w:pPr>
        <w:ind w:right="3319" w:firstLine="799"/>
        <w:spacing w:after="0" w:line="239" w:lineRule="auto"/>
        <w:rPr>
          <w:sz w:val="20"/>
          <w:szCs w:val="20"/>
          <w:color w:val="auto"/>
        </w:rPr>
      </w:pPr>
      <w:r>
        <w:rPr>
          <w:rFonts w:ascii="Courier New" w:cs="Courier New" w:eastAsia="Courier New" w:hAnsi="Courier New"/>
          <w:sz w:val="15"/>
          <w:szCs w:val="15"/>
          <w:color w:val="auto"/>
        </w:rPr>
        <w:t>During 1999, one customer comprised approximately 14% of Filters' consolidated net revenues for 1999. During 1998, one customer comprised approximately 11% of Filters' consolidated net revenues. In 1997, no customer comprised more than 10% of Filters' consolidated net revenues.</w:t>
      </w:r>
    </w:p>
    <w:p>
      <w:pPr>
        <w:spacing w:after="0" w:line="177"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Because the demand for Filters' filters, replacement segments, fabric material, scrubbers and consulting services is not constant but can fluctuate due to economic conditions, filter life and other factors beyond Filters' control, Filters is unable to predict the level of purchases by its largest customers, or any other customer, in the future.</w:t>
      </w:r>
    </w:p>
    <w:p>
      <w:pPr>
        <w:spacing w:after="0" w:line="175"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While Filters is exploring targeting larger industrial markets, Filters is also continuing to service specialty market areas, where it believes it has a competitive advantage over its larger competitors who generally have much greater resources than Filters. In the year ended December 31, 1999, Filters and its subsidiaries continued to develop additional market areas, including storage facility vent emission control and its related odor control, new dry particulate emission control and combination scrubber-fiber bed filter systems, while also implementing changes to reach larger industrial markets, such as machining, automotive and asphalt markets. In recent years Filters added capabilities to penetrate the semiconductor and printed circuit board markets through its filter technology and its patented scrubbers.</w:t>
      </w:r>
    </w:p>
    <w:p>
      <w:pPr>
        <w:spacing w:after="0" w:line="200" w:lineRule="exact"/>
        <w:rPr>
          <w:sz w:val="20"/>
          <w:szCs w:val="20"/>
          <w:color w:val="auto"/>
        </w:rPr>
      </w:pPr>
    </w:p>
    <w:p>
      <w:pPr>
        <w:spacing w:after="0" w:line="31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63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Other Aspects of the Kirk &amp; Blum Acquisition</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Employment Agreements, Bonuses and Stock Purchase Warrants</w:t>
      </w:r>
    </w:p>
    <w:p>
      <w:pPr>
        <w:spacing w:after="0" w:line="174"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In connection with such acquisition, CECO Group entered into a five-year employment agreement with Richard J. Blum. Lawrence J. Blum and David D. Blum entered into five-year employment agreements with Kirk and Blum. These employment agreements provide for annual salaries of $206,000, $100,000 and $154,000, respectively, for the three Blums. These agreements granted Richard, Lawrence and David Blum warrants to purchase 448,000, 217,000 and 335,000 shares of common stock of the Company, respectively, at $2.9375, the closing price of the Company's common stock on December 7, 1999. These warrants become exercisable at the rate of 25% per year over the four years following December 7, 1999. The warrants have a term of ten years.</w:t>
      </w:r>
    </w:p>
    <w:p>
      <w:pPr>
        <w:spacing w:after="0" w:line="178" w:lineRule="exact"/>
        <w:rPr>
          <w:sz w:val="20"/>
          <w:szCs w:val="20"/>
          <w:color w:val="auto"/>
        </w:rPr>
      </w:pPr>
    </w:p>
    <w:p>
      <w:pPr>
        <w:ind w:right="3139" w:firstLine="799"/>
        <w:spacing w:after="0" w:line="259" w:lineRule="auto"/>
        <w:rPr>
          <w:sz w:val="20"/>
          <w:szCs w:val="20"/>
          <w:color w:val="auto"/>
        </w:rPr>
      </w:pPr>
      <w:r>
        <w:rPr>
          <w:rFonts w:ascii="Courier New" w:cs="Courier New" w:eastAsia="Courier New" w:hAnsi="Courier New"/>
          <w:sz w:val="14"/>
          <w:szCs w:val="14"/>
          <w:color w:val="auto"/>
        </w:rPr>
        <w:t>In addition, the employment agreements provide that each of the Blums will be paid a bonus with respect to each of the fiscal years ended as of December 31, of 2000, 2001, 2002, 2003 and 2004 equal to, in the aggregate, (i) 25% of the net income of the Company before interest and taxes in excess of $4,000,000 as reported on the Company's audited financial statements filed with the Securities and Exchange Commission with respect to such year, less (ii) the contribution made on behalf of such employees to any profit sharing or 401(k) plan by the Company, CECO Group, Kirk &amp; Blum or any affiliate (other than contributions made by the employees) with respect to such fiscal year. Of such aggregate bonus, Richard J. Blum will receive 44.8%, Lawrence J. Blum will receive 21.7% and David D. Blum will receive 33.5%.</w:t>
      </w:r>
    </w:p>
    <w:p>
      <w:pPr>
        <w:spacing w:after="0" w:line="166" w:lineRule="exact"/>
        <w:rPr>
          <w:sz w:val="20"/>
          <w:szCs w:val="20"/>
          <w:color w:val="auto"/>
        </w:rPr>
      </w:pPr>
    </w:p>
    <w:p>
      <w:pPr>
        <w:ind w:right="3139" w:firstLine="799"/>
        <w:spacing w:after="0"/>
        <w:rPr>
          <w:sz w:val="20"/>
          <w:szCs w:val="20"/>
          <w:color w:val="auto"/>
        </w:rPr>
      </w:pPr>
      <w:r>
        <w:rPr>
          <w:rFonts w:ascii="Courier New" w:cs="Courier New" w:eastAsia="Courier New" w:hAnsi="Courier New"/>
          <w:sz w:val="15"/>
          <w:szCs w:val="15"/>
          <w:color w:val="auto"/>
        </w:rPr>
        <w:t>None of these bonuses will be paid if the Company or CECO Group is in default under any financing agreement with any bank or other financial institution or any other material agreement to which the Company or CECO Group is a party, or if the payment of such bonus would cause the Company or CECO Group to be in default under any such agreement. If no bonuses are paid as a result of the operation of the foregoing sentence, the unpaid bonuses will accrue interest at the rate of 8% per annum. Any accrued and unpaid bonuses and interest will be paid as soon as the Company or CECO Group ceases to be in default under such agreements and such payment would not cause a default under any such agreement. The payment of these bonuses is also subject to a subordination agreement in favor of the banks providing the financing described below.</w:t>
      </w:r>
    </w:p>
    <w:p>
      <w:pPr>
        <w:spacing w:after="0" w:line="200" w:lineRule="exact"/>
        <w:rPr>
          <w:sz w:val="20"/>
          <w:szCs w:val="20"/>
          <w:color w:val="auto"/>
        </w:rPr>
      </w:pPr>
    </w:p>
    <w:p>
      <w:pPr>
        <w:spacing w:after="0" w:line="31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628" w:right="1440" w:bottom="1440" w:gutter="0" w:footer="0" w:header="0"/>
        </w:sectPr>
      </w:pPr>
    </w:p>
    <w:bookmarkStart w:id="8" w:name="page9"/>
    <w:bookmarkEnd w:id="8"/>
    <w:p>
      <w:pPr>
        <w:ind w:left="780"/>
        <w:spacing w:after="0"/>
        <w:rPr>
          <w:sz w:val="20"/>
          <w:szCs w:val="20"/>
          <w:color w:val="auto"/>
        </w:rPr>
      </w:pPr>
      <w:r>
        <w:rPr>
          <w:rFonts w:ascii="Courier New" w:cs="Courier New" w:eastAsia="Courier New" w:hAnsi="Courier New"/>
          <w:sz w:val="15"/>
          <w:szCs w:val="15"/>
          <w:color w:val="auto"/>
        </w:rPr>
        <w:t>Bank Financing</w:t>
      </w:r>
    </w:p>
    <w:p>
      <w:pPr>
        <w:spacing w:after="0" w:line="174" w:lineRule="exact"/>
        <w:rPr>
          <w:sz w:val="20"/>
          <w:szCs w:val="20"/>
          <w:color w:val="auto"/>
        </w:rPr>
      </w:pPr>
    </w:p>
    <w:p>
      <w:pPr>
        <w:ind w:right="3139" w:firstLine="799"/>
        <w:spacing w:after="0"/>
        <w:rPr>
          <w:sz w:val="20"/>
          <w:szCs w:val="20"/>
          <w:color w:val="auto"/>
        </w:rPr>
      </w:pPr>
      <w:r>
        <w:rPr>
          <w:rFonts w:ascii="Courier New" w:cs="Courier New" w:eastAsia="Courier New" w:hAnsi="Courier New"/>
          <w:sz w:val="15"/>
          <w:szCs w:val="15"/>
          <w:color w:val="auto"/>
        </w:rPr>
        <w:t>The financing for the transaction was provided by a bank loan facility in the amount of $25 million in term loans and a $10 million revolving credit facility. The $14.5 term loan has a maturity of November 30, 2004; the $8.5 million term loan has a maturity of May 31, 2006; and the $2 million term loan has a maturity of 90 days after December 7, 1999. Interim payments of principal are required with respect to the $14.5 million and the $8.5 million term loans. The Company borrowed against the cash value of life insurance owned by Kirk &amp; Blum in order to repay the $2 million term loan. The bank loan facility was provided by PNC Bank, National Association, The Fifth Third Bank and Bank One, N.A. (the "Bank Facility"). This financing replaced the financing provided to the Company and its subsidiaries in March, 1999 by PNC Bank, and National Association.</w:t>
      </w:r>
    </w:p>
    <w:p>
      <w:pPr>
        <w:spacing w:after="0" w:line="180"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In addition, as a condition to obtaining the bank financing, the Company placed $5 million of subordinated debt. The proceeds of the bank loans and the additional $5 million of subordinated debt were used to pay the purchase prices for Kirk &amp; Blum and kbd/Technic, to pay expenses incurred in connection with the acquisitions, to refinance existing indebtedness and for working capital purposes. In connection with these loans, the banks providing the loan facility received a lien on substantially all the assets of the Company and its subsidiaries.</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Subordinated Debt</w:t>
      </w:r>
    </w:p>
    <w:p>
      <w:pPr>
        <w:spacing w:after="0" w:line="174" w:lineRule="exact"/>
        <w:rPr>
          <w:sz w:val="20"/>
          <w:szCs w:val="20"/>
          <w:color w:val="auto"/>
        </w:rPr>
      </w:pPr>
    </w:p>
    <w:p>
      <w:pPr>
        <w:ind w:right="3039" w:firstLine="799"/>
        <w:spacing w:after="0" w:line="259" w:lineRule="auto"/>
        <w:rPr>
          <w:sz w:val="20"/>
          <w:szCs w:val="20"/>
          <w:color w:val="auto"/>
        </w:rPr>
      </w:pPr>
      <w:r>
        <w:rPr>
          <w:rFonts w:ascii="Courier New" w:cs="Courier New" w:eastAsia="Courier New" w:hAnsi="Courier New"/>
          <w:sz w:val="14"/>
          <w:szCs w:val="14"/>
          <w:color w:val="auto"/>
        </w:rPr>
        <w:t>The subordinated debt was provided to the Company in the amount of $4,000,000 by Can-Med Technology, Inc. d/b/a Green Diamond Oil Corp., $500,000 by ICS Trustee Services, Inc. and $500,000 by Harvey Sandler. ICS Trustee Services, Inc. and Harvey Sandler are not affiliated with the Company. Green Diamond Oil Corp. is owned 50.1% by Icarus Investment Corp., a corporation owned 50% by Phillip DeZwirek, the Chairman of the Board of Directors and Chief Executive Officer of the Company and a major stockholder and 50% by Jason DeZwirek, Phillip DeZwirek's son and a director and secretary of the Company and a major stockholder of the Company. The promissory notes which were issued to evidence the subordinated debt provide that they accrue interest at the rate of 12% per annum, payable semi-annually subject to the subordination agreement with the banks providing the financing referred to above.</w:t>
      </w:r>
    </w:p>
    <w:p>
      <w:pPr>
        <w:spacing w:after="0" w:line="165"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In consideration for the subordinated lenders making the Company the subordinated loans, the Company issued to the subordinated lenders warrants to purchase up to 1,000,000 shares of the Company's common stock for $2.25 per share, the closing price of the Company's common stock on the day that the subordinated lenders entered into an agreement with the Company to provide the subordinated loans. The warrants are exercisable from June 6, 2000 until 5:30 p.m. New York time on December 7, 2009. In connection with such warrants, the subordinated lenders were granted certain registration rights with respect to their warrants and shares of common stock of the Company into which the warrants are convertible.</w:t>
      </w:r>
    </w:p>
    <w:p>
      <w:pPr>
        <w:spacing w:after="0" w:line="200" w:lineRule="exact"/>
        <w:rPr>
          <w:sz w:val="20"/>
          <w:szCs w:val="20"/>
          <w:color w:val="auto"/>
        </w:rPr>
      </w:pPr>
    </w:p>
    <w:p>
      <w:pPr>
        <w:spacing w:after="0" w:line="31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628" w:right="1440" w:bottom="1440" w:gutter="0" w:footer="0" w:header="0"/>
        </w:sectPr>
      </w:pPr>
    </w:p>
    <w:bookmarkStart w:id="9" w:name="page10"/>
    <w:bookmarkEnd w:id="9"/>
    <w:p>
      <w:pPr>
        <w:ind w:left="780"/>
        <w:spacing w:after="0"/>
        <w:rPr>
          <w:sz w:val="20"/>
          <w:szCs w:val="20"/>
          <w:color w:val="auto"/>
        </w:rPr>
      </w:pPr>
      <w:r>
        <w:rPr>
          <w:rFonts w:ascii="Courier New" w:cs="Courier New" w:eastAsia="Courier New" w:hAnsi="Courier New"/>
          <w:sz w:val="15"/>
          <w:szCs w:val="15"/>
          <w:color w:val="auto"/>
        </w:rPr>
        <w:t>The kbd/Technic, Inc. Voting Trust</w:t>
      </w:r>
    </w:p>
    <w:p>
      <w:pPr>
        <w:spacing w:after="0" w:line="174" w:lineRule="exact"/>
        <w:rPr>
          <w:sz w:val="20"/>
          <w:szCs w:val="20"/>
          <w:color w:val="auto"/>
        </w:rPr>
      </w:pPr>
    </w:p>
    <w:p>
      <w:pPr>
        <w:ind w:right="3039" w:firstLine="799"/>
        <w:spacing w:after="0" w:line="260" w:lineRule="auto"/>
        <w:rPr>
          <w:sz w:val="20"/>
          <w:szCs w:val="20"/>
          <w:color w:val="auto"/>
        </w:rPr>
      </w:pPr>
      <w:r>
        <w:rPr>
          <w:rFonts w:ascii="Courier New" w:cs="Courier New" w:eastAsia="Courier New" w:hAnsi="Courier New"/>
          <w:sz w:val="14"/>
          <w:szCs w:val="14"/>
          <w:color w:val="auto"/>
        </w:rPr>
        <w:t>Kbd/Technic may engage in engineering services in the State of Ohio and in other states. In order to be a corporation licensed to perform engineering services in the state of Ohio, Ohio law requires that a majority of the stock of kbd/Technic, Inc. be owned by a licensed engineer. CECO Group has therefore arranged that the stock of kbd/Technic, Inc. be owned by a voting trust of which Richard J. Blum, the president of CECO Group, is the trustee. CECO Group remains the beneficial owner of 100% of the stock of kbd/Technic, Inc.</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Peerless Manufacturing Company</w:t>
      </w:r>
    </w:p>
    <w:p>
      <w:pPr>
        <w:spacing w:after="0" w:line="174" w:lineRule="exact"/>
        <w:rPr>
          <w:sz w:val="20"/>
          <w:szCs w:val="20"/>
          <w:color w:val="auto"/>
        </w:rPr>
      </w:pPr>
    </w:p>
    <w:p>
      <w:pPr>
        <w:ind w:right="3139" w:firstLine="799"/>
        <w:spacing w:after="0"/>
        <w:rPr>
          <w:sz w:val="20"/>
          <w:szCs w:val="20"/>
          <w:color w:val="auto"/>
        </w:rPr>
      </w:pPr>
      <w:r>
        <w:rPr>
          <w:rFonts w:ascii="Courier New" w:cs="Courier New" w:eastAsia="Courier New" w:hAnsi="Courier New"/>
          <w:sz w:val="15"/>
          <w:szCs w:val="15"/>
          <w:color w:val="auto"/>
        </w:rPr>
        <w:t>The Company purchased 177,900 shares of the common stock of Peerless Manufacturing Company ("Peerless"), which represented 12.25% of the outstanding Stock of Peerless. The Company acquired the common stock for purposes of pursuing the possibility of acquiring the majority or all of the stock of Peerless. The Company subsequently sold 28,400 shares of Peerless and is no longer intending to purchase additional shares for the purpose of obtaining control.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Regulations</w:t>
      </w:r>
    </w:p>
    <w:p>
      <w:pPr>
        <w:spacing w:after="0" w:line="174" w:lineRule="exact"/>
        <w:rPr>
          <w:sz w:val="20"/>
          <w:szCs w:val="20"/>
          <w:color w:val="auto"/>
        </w:rPr>
      </w:pPr>
    </w:p>
    <w:p>
      <w:pPr>
        <w:ind w:right="3039" w:firstLine="799"/>
        <w:spacing w:after="0" w:line="239" w:lineRule="auto"/>
        <w:rPr>
          <w:sz w:val="20"/>
          <w:szCs w:val="20"/>
          <w:color w:val="auto"/>
        </w:rPr>
      </w:pPr>
      <w:r>
        <w:rPr>
          <w:rFonts w:ascii="Courier New" w:cs="Courier New" w:eastAsia="Courier New" w:hAnsi="Courier New"/>
          <w:sz w:val="15"/>
          <w:szCs w:val="15"/>
          <w:color w:val="auto"/>
        </w:rPr>
        <w:t>The Company and its subsidiaries have not been materially impacted by existing government regulation, nor is the Company aware of any probable government regulation that would materially affect its operations. The Company's costs in complying with environmental laws has been negligible.</w:t>
      </w:r>
    </w:p>
    <w:p>
      <w:pPr>
        <w:spacing w:after="0" w:line="177" w:lineRule="exact"/>
        <w:rPr>
          <w:sz w:val="20"/>
          <w:szCs w:val="20"/>
          <w:color w:val="auto"/>
        </w:rPr>
      </w:pPr>
    </w:p>
    <w:p>
      <w:pPr>
        <w:ind w:right="3139" w:firstLine="799"/>
        <w:spacing w:after="0"/>
        <w:rPr>
          <w:sz w:val="20"/>
          <w:szCs w:val="20"/>
          <w:color w:val="auto"/>
        </w:rPr>
      </w:pPr>
      <w:r>
        <w:rPr>
          <w:rFonts w:ascii="Courier New" w:cs="Courier New" w:eastAsia="Courier New" w:hAnsi="Courier New"/>
          <w:sz w:val="15"/>
          <w:szCs w:val="15"/>
          <w:color w:val="auto"/>
        </w:rPr>
        <w:t>During 1999 and 1998, Filters estimates that $33,000 and $97,000 respectively, has been expended on Filters' research and development programs. Such costs are generally included as factors in determining Filters' pricing procedures. Kirk &amp; Blum has expended minimal amounts on research and development. Any such costs are included as factors in determining the price of its products.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Suppliers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Kirk &amp; Blum purchases its raw materials (mainly angle iron and sheet plate products) from a variety of sources. When possible, Kirk &amp; Blum secures these materials from steel mills. Other materials are purchased from a variety of steel service centers. Kirk &amp; Blum does not anticipate any shortages in the near future.</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628" w:right="1440" w:bottom="1440" w:gutter="0" w:footer="0" w:header="0"/>
        </w:sectPr>
      </w:pPr>
    </w:p>
    <w:bookmarkStart w:id="10" w:name="page11"/>
    <w:bookmarkEnd w:id="10"/>
    <w:p>
      <w:pPr>
        <w:ind w:left="9" w:right="3219" w:firstLine="799"/>
        <w:spacing w:after="0"/>
        <w:rPr>
          <w:sz w:val="20"/>
          <w:szCs w:val="20"/>
          <w:color w:val="auto"/>
        </w:rPr>
      </w:pPr>
      <w:r>
        <w:rPr>
          <w:rFonts w:ascii="Courier New" w:cs="Courier New" w:eastAsia="Courier New" w:hAnsi="Courier New"/>
          <w:sz w:val="15"/>
          <w:szCs w:val="15"/>
          <w:color w:val="auto"/>
        </w:rPr>
        <w:t>Filters purchases all of its chemical grade fiberglass as needed from Manville Corporation, which Filters believes is the only domestic supplier of such fiberglass. However, there are foreign suppliers of chemical grade fiberglass, and, based on current conditions, Filters believes that it could obtain such material from foreign suppliers on acceptable terms. Filters believes that there is sufficient supply of raw materials for the other components of its filters and does not anticipate any shortages in the near future.</w:t>
      </w:r>
    </w:p>
    <w:p>
      <w:pPr>
        <w:spacing w:after="0" w:line="177" w:lineRule="exact"/>
        <w:rPr>
          <w:sz w:val="20"/>
          <w:szCs w:val="20"/>
          <w:color w:val="auto"/>
        </w:rPr>
      </w:pPr>
    </w:p>
    <w:p>
      <w:pPr>
        <w:ind w:left="9" w:right="3219" w:firstLine="799"/>
        <w:spacing w:after="0" w:line="238" w:lineRule="auto"/>
        <w:rPr>
          <w:sz w:val="20"/>
          <w:szCs w:val="20"/>
          <w:color w:val="auto"/>
        </w:rPr>
      </w:pPr>
      <w:r>
        <w:rPr>
          <w:rFonts w:ascii="Courier New" w:cs="Courier New" w:eastAsia="Courier New" w:hAnsi="Courier New"/>
          <w:sz w:val="15"/>
          <w:szCs w:val="15"/>
          <w:color w:val="auto"/>
        </w:rPr>
        <w:t>APC purchases its raw material from a variety of sources and does not anticipate any shortages in the near future.</w:t>
      </w:r>
    </w:p>
    <w:p>
      <w:pPr>
        <w:spacing w:after="0" w:line="175" w:lineRule="exact"/>
        <w:rPr>
          <w:sz w:val="20"/>
          <w:szCs w:val="20"/>
          <w:color w:val="auto"/>
        </w:rPr>
      </w:pPr>
    </w:p>
    <w:p>
      <w:pPr>
        <w:ind w:left="9" w:right="3139" w:firstLine="799"/>
        <w:spacing w:after="0" w:line="239" w:lineRule="auto"/>
        <w:rPr>
          <w:sz w:val="20"/>
          <w:szCs w:val="20"/>
          <w:color w:val="auto"/>
        </w:rPr>
      </w:pPr>
      <w:r>
        <w:rPr>
          <w:rFonts w:ascii="Courier New" w:cs="Courier New" w:eastAsia="Courier New" w:hAnsi="Courier New"/>
          <w:sz w:val="15"/>
          <w:szCs w:val="15"/>
          <w:color w:val="auto"/>
        </w:rPr>
        <w:t>While Filters depends upon two suppliers for certain specialty items, including glass and chemicals, Filters believes it has a good relationship with such suppliers and does not anticipate any difficulty in continuing to receive such items on terms acceptable to the Company.</w:t>
      </w:r>
    </w:p>
    <w:p>
      <w:pPr>
        <w:spacing w:after="0" w:line="177"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Busch purchases a majority of its fans from New York Blower and a majority of its louvers and dampers from American Warming. Busch purchases additional materials from a variety of sources and does not anticipate any shortages in the near future. Busch believes it has a good relationship with such suppliers and does not anticipate any difficulty in continuing to receive such items on terms acceptable to Busch.</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Competition and Marketing</w:t>
      </w:r>
    </w:p>
    <w:p>
      <w:pPr>
        <w:spacing w:after="0" w:line="174" w:lineRule="exact"/>
        <w:rPr>
          <w:sz w:val="20"/>
          <w:szCs w:val="20"/>
          <w:color w:val="auto"/>
        </w:rPr>
      </w:pPr>
    </w:p>
    <w:p>
      <w:pPr>
        <w:ind w:left="9" w:right="3039" w:firstLine="799"/>
        <w:spacing w:after="0"/>
        <w:rPr>
          <w:sz w:val="20"/>
          <w:szCs w:val="20"/>
          <w:color w:val="auto"/>
        </w:rPr>
      </w:pPr>
      <w:r>
        <w:rPr>
          <w:rFonts w:ascii="Courier New" w:cs="Courier New" w:eastAsia="Courier New" w:hAnsi="Courier New"/>
          <w:sz w:val="15"/>
          <w:szCs w:val="15"/>
          <w:color w:val="auto"/>
        </w:rPr>
        <w:t>Kirk &amp; Blum is the largest industrial sheet metal contractor in the United States. Kirk &amp; Blum believes that it is the largest provider of the types of industrial ventilation systems that it produces. While there are equipment manufacturers that are larger, Kirk &amp; Blum believes that there are no systems contractors who are larger.</w:t>
      </w:r>
    </w:p>
    <w:p>
      <w:pPr>
        <w:spacing w:after="0" w:line="175" w:lineRule="exact"/>
        <w:rPr>
          <w:sz w:val="20"/>
          <w:szCs w:val="20"/>
          <w:color w:val="auto"/>
        </w:rPr>
      </w:pPr>
    </w:p>
    <w:p>
      <w:pPr>
        <w:ind w:left="9" w:right="3139" w:firstLine="799"/>
        <w:spacing w:after="0" w:line="239" w:lineRule="auto"/>
        <w:rPr>
          <w:sz w:val="20"/>
          <w:szCs w:val="20"/>
          <w:color w:val="auto"/>
        </w:rPr>
      </w:pPr>
      <w:r>
        <w:rPr>
          <w:rFonts w:ascii="Courier New" w:cs="Courier New" w:eastAsia="Courier New" w:hAnsi="Courier New"/>
          <w:sz w:val="15"/>
          <w:szCs w:val="15"/>
          <w:color w:val="auto"/>
        </w:rPr>
        <w:t>Kirk &amp; Blum faces substantial competition with respect to its contract fabrication services. Kirk &amp; Blum focuses on securing relationships and contracts with manufacturers that need its services on a long-term basis.</w:t>
      </w:r>
    </w:p>
    <w:p>
      <w:pPr>
        <w:spacing w:after="0" w:line="175" w:lineRule="exact"/>
        <w:rPr>
          <w:sz w:val="20"/>
          <w:szCs w:val="20"/>
          <w:color w:val="auto"/>
        </w:rPr>
      </w:pPr>
    </w:p>
    <w:p>
      <w:pPr>
        <w:ind w:left="9" w:right="3139" w:firstLine="799"/>
        <w:spacing w:after="0" w:line="258" w:lineRule="auto"/>
        <w:rPr>
          <w:sz w:val="20"/>
          <w:szCs w:val="20"/>
          <w:color w:val="auto"/>
        </w:rPr>
      </w:pPr>
      <w:r>
        <w:rPr>
          <w:rFonts w:ascii="Courier New" w:cs="Courier New" w:eastAsia="Courier New" w:hAnsi="Courier New"/>
          <w:sz w:val="14"/>
          <w:szCs w:val="14"/>
          <w:color w:val="auto"/>
        </w:rPr>
        <w:t>Kirk &amp; Blum believes that it is the second largest supplier in the component parts industry. Its major competitor is Mid West Metal Products. Kirk</w:t>
      </w:r>
    </w:p>
    <w:p>
      <w:pPr>
        <w:ind w:left="9" w:right="3139" w:hanging="9"/>
        <w:spacing w:after="0" w:line="238" w:lineRule="auto"/>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Blum believes that it is the only provider in this market segment that uses a network of stocking distributors.</w:t>
      </w:r>
    </w:p>
    <w:p>
      <w:pPr>
        <w:spacing w:after="0" w:line="175" w:lineRule="exact"/>
        <w:rPr>
          <w:sz w:val="20"/>
          <w:szCs w:val="20"/>
          <w:color w:val="auto"/>
        </w:rPr>
      </w:pPr>
    </w:p>
    <w:p>
      <w:pPr>
        <w:ind w:left="9" w:right="3139" w:firstLine="799"/>
        <w:spacing w:after="0"/>
        <w:rPr>
          <w:sz w:val="20"/>
          <w:szCs w:val="20"/>
          <w:color w:val="auto"/>
        </w:rPr>
      </w:pPr>
      <w:r>
        <w:rPr>
          <w:rFonts w:ascii="Courier New" w:cs="Courier New" w:eastAsia="Courier New" w:hAnsi="Courier New"/>
          <w:sz w:val="15"/>
          <w:szCs w:val="15"/>
          <w:color w:val="auto"/>
        </w:rPr>
        <w:t>The arena in which kbd/Technic competes is highly fragmented. kbd/Technic believes that it is one of the largest consulting firms providing only air engineering consulting services. Larger consulting engineering companies may provide some of the services provided by kbd/Technic, however, they do not concentrate on air engineering consulting services. Such consulting engineering companies, however, generally will have greater resources than kbd/Technic.</w:t>
      </w:r>
    </w:p>
    <w:p>
      <w:pPr>
        <w:spacing w:after="0" w:line="200" w:lineRule="exact"/>
        <w:rPr>
          <w:sz w:val="20"/>
          <w:szCs w:val="20"/>
          <w:color w:val="auto"/>
        </w:rPr>
      </w:pPr>
    </w:p>
    <w:p>
      <w:pPr>
        <w:spacing w:after="0" w:line="31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48"/>
          </w:cols>
          <w:pgMar w:left="311" w:top="631" w:right="1440" w:bottom="1440" w:gutter="0" w:footer="0" w:header="0"/>
        </w:sectPr>
      </w:pPr>
    </w:p>
    <w:bookmarkStart w:id="11" w:name="page12"/>
    <w:bookmarkEnd w:id="11"/>
    <w:p>
      <w:pPr>
        <w:ind w:right="3139" w:firstLine="799"/>
        <w:spacing w:after="0" w:line="261" w:lineRule="auto"/>
        <w:rPr>
          <w:sz w:val="20"/>
          <w:szCs w:val="20"/>
          <w:color w:val="auto"/>
        </w:rPr>
      </w:pPr>
      <w:r>
        <w:rPr>
          <w:rFonts w:ascii="Courier New" w:cs="Courier New" w:eastAsia="Courier New" w:hAnsi="Courier New"/>
          <w:sz w:val="14"/>
          <w:szCs w:val="14"/>
          <w:color w:val="auto"/>
        </w:rPr>
        <w:t>With respect to Filters' products, Monsanto Corporation is dominant in the fiber bed mist eliminator industry. Monsanto's financial resources are far greater than Filters, and Monsanto can undertake much more extensive marketing and advertising programs than Filters. Monsanto is also a competitor of Busch. Certain other competitors also have greater financial resources than Filters.</w:t>
      </w:r>
    </w:p>
    <w:p>
      <w:pPr>
        <w:spacing w:after="0" w:line="162"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Filters competes by stressing its exclusive products, including SITE-PAK(R) segments that permit on-site filter media replacement capability and prefilters, its patented product that protects the surface of a fiber bed filter from becoming plugged with solids, and its patented multiple-bed fiberbed filters that dramatically increase the surface area of a filter. Also, the Company believes that Filters is the only U.S. manufacturer of fiber bed mist eliminators whose filter material can be replaced on-site by a customer. The Company believes that Filters is price competitive within the market for filters with similar efficiency.</w:t>
      </w:r>
    </w:p>
    <w:p>
      <w:pPr>
        <w:spacing w:after="0" w:line="178"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Manufacturers of electrostatic precipitators and wet scrubbers may also be deemed to be in competition with Filters, because those devices are also effective in removing particulates from an air or another gas stream. While such devices may have higher operating costs than fiber bed mist eliminators, replacement of the component parts of such devices is rare as compared to fiber bed mist eliminators.</w:t>
      </w:r>
    </w:p>
    <w:p>
      <w:pPr>
        <w:spacing w:after="0" w:line="175"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Filters and its subsidiaries each face substantial competition. APC and Filters each face competition from other forms of environmental control and material recovery devices including scrubbers and electrostatic precipitators and from other filter fabric media that can also be fabricated into bags for baghouses. These fabrics and fibers include, Teflon(R), Goretex(R), woven fiberglass (both treated and non-treated), polyester, Ryton(R), Nomex(R) and several other fabrics.</w:t>
      </w:r>
    </w:p>
    <w:p>
      <w:pPr>
        <w:spacing w:after="0" w:line="176" w:lineRule="exact"/>
        <w:rPr>
          <w:sz w:val="20"/>
          <w:szCs w:val="20"/>
          <w:color w:val="auto"/>
        </w:rPr>
      </w:pPr>
    </w:p>
    <w:p>
      <w:pPr>
        <w:ind w:right="3039" w:firstLine="799"/>
        <w:spacing w:after="0" w:line="239" w:lineRule="auto"/>
        <w:rPr>
          <w:sz w:val="20"/>
          <w:szCs w:val="20"/>
          <w:color w:val="auto"/>
        </w:rPr>
      </w:pPr>
      <w:r>
        <w:rPr>
          <w:rFonts w:ascii="Courier New" w:cs="Courier New" w:eastAsia="Courier New" w:hAnsi="Courier New"/>
          <w:sz w:val="15"/>
          <w:szCs w:val="15"/>
          <w:color w:val="auto"/>
        </w:rPr>
        <w:t>Kirk &amp; Blum markets its ventilation systems through direct solicitation of existing customers and through its marketing personnel. Kirk &amp; Blum also utilizes some finders arrangements.</w:t>
      </w:r>
    </w:p>
    <w:p>
      <w:pPr>
        <w:spacing w:after="0" w:line="175" w:lineRule="exact"/>
        <w:rPr>
          <w:sz w:val="20"/>
          <w:szCs w:val="20"/>
          <w:color w:val="auto"/>
        </w:rPr>
      </w:pPr>
    </w:p>
    <w:p>
      <w:pPr>
        <w:ind w:right="3039" w:firstLine="888"/>
        <w:spacing w:after="0" w:line="239" w:lineRule="auto"/>
        <w:rPr>
          <w:sz w:val="20"/>
          <w:szCs w:val="20"/>
          <w:color w:val="auto"/>
        </w:rPr>
      </w:pPr>
      <w:r>
        <w:rPr>
          <w:rFonts w:ascii="Courier New" w:cs="Courier New" w:eastAsia="Courier New" w:hAnsi="Courier New"/>
          <w:sz w:val="15"/>
          <w:szCs w:val="15"/>
          <w:color w:val="auto"/>
        </w:rPr>
        <w:t>Filters and its subsidiaries' marketing efforts have consisted of telemarketing and direct solicitation of orders from existing customers. Filters and its subsidiaries also utilize direct mail solicitation and selected advertising in trade journals and product guides and trade shows.</w:t>
      </w:r>
    </w:p>
    <w:p>
      <w:pPr>
        <w:spacing w:after="0" w:line="177" w:lineRule="exact"/>
        <w:rPr>
          <w:sz w:val="20"/>
          <w:szCs w:val="20"/>
          <w:color w:val="auto"/>
        </w:rPr>
      </w:pPr>
    </w:p>
    <w:p>
      <w:pPr>
        <w:ind w:right="3039" w:firstLine="799"/>
        <w:spacing w:after="0" w:line="262" w:lineRule="auto"/>
        <w:rPr>
          <w:sz w:val="20"/>
          <w:szCs w:val="20"/>
          <w:color w:val="auto"/>
        </w:rPr>
      </w:pPr>
      <w:r>
        <w:rPr>
          <w:rFonts w:ascii="Courier New" w:cs="Courier New" w:eastAsia="Courier New" w:hAnsi="Courier New"/>
          <w:sz w:val="14"/>
          <w:szCs w:val="14"/>
          <w:color w:val="auto"/>
        </w:rPr>
        <w:t>Filters and its subsidiaries also utilize sales representatives located in the United States, Canada and overseas and Special Sales Directors, each focused on specific industries. Busch, in addition to using direct solicitation and some sales representatives, also participates in industrial shows.</w:t>
      </w:r>
    </w:p>
    <w:p>
      <w:pPr>
        <w:spacing w:after="0" w:line="200" w:lineRule="exact"/>
        <w:rPr>
          <w:sz w:val="20"/>
          <w:szCs w:val="20"/>
          <w:color w:val="auto"/>
        </w:rPr>
      </w:pPr>
    </w:p>
    <w:p>
      <w:pPr>
        <w:spacing w:after="0" w:line="30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63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As of December 31, 1999, the Company had one full-time employee. CECO Group and its subsidiaries had 638 full-time employees and 8 part-time employees as of December 31, 1999. None of the Company's employees are currently unionized other than certain employees of Kirk &amp; Blum. As of December 31, 1999, Kirk &amp; Blum had 450 union employees in eleven separate locals. Kirk &amp; Blum is a party to eleven union contracts; ten are with different locals of the Sheet Metal Workers International Association and one is with the Pipe Fitters. Three of the contracts expire in 2000, one in May, one in June and one in July. Six of the contracts expire in May 2001. The remaining two contracts expire in April of 2002. The Company considers its relationship with its employees to be satisfactory.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Employees</w:t>
      </w:r>
    </w:p>
    <w:p>
      <w:pPr>
        <w:spacing w:after="0" w:line="174" w:lineRule="exact"/>
        <w:rPr>
          <w:sz w:val="20"/>
          <w:szCs w:val="20"/>
          <w:color w:val="auto"/>
        </w:rPr>
      </w:pPr>
    </w:p>
    <w:p>
      <w:pPr>
        <w:jc w:val="both"/>
        <w:ind w:right="3319" w:firstLine="799"/>
        <w:spacing w:after="0" w:line="239" w:lineRule="auto"/>
        <w:rPr>
          <w:sz w:val="20"/>
          <w:szCs w:val="20"/>
          <w:color w:val="auto"/>
        </w:rPr>
      </w:pPr>
      <w:r>
        <w:rPr>
          <w:rFonts w:ascii="Courier New" w:cs="Courier New" w:eastAsia="Courier New" w:hAnsi="Courier New"/>
          <w:sz w:val="15"/>
          <w:szCs w:val="15"/>
          <w:color w:val="auto"/>
        </w:rPr>
        <w:t>The operations of Kirk &amp; Blum are largely dependent on Richard Blum. The loss of Richard Blum to Kirk &amp; Blum could have a material adverse effect upon the operations of Kirk &amp; Blum.</w:t>
      </w:r>
    </w:p>
    <w:p>
      <w:pPr>
        <w:spacing w:after="0" w:line="175" w:lineRule="exact"/>
        <w:rPr>
          <w:sz w:val="20"/>
          <w:szCs w:val="20"/>
          <w:color w:val="auto"/>
        </w:rPr>
      </w:pPr>
    </w:p>
    <w:p>
      <w:pPr>
        <w:ind w:right="3039" w:firstLine="799"/>
        <w:spacing w:after="0" w:line="260" w:lineRule="auto"/>
        <w:rPr>
          <w:sz w:val="20"/>
          <w:szCs w:val="20"/>
          <w:color w:val="auto"/>
        </w:rPr>
      </w:pPr>
      <w:r>
        <w:rPr>
          <w:rFonts w:ascii="Courier New" w:cs="Courier New" w:eastAsia="Courier New" w:hAnsi="Courier New"/>
          <w:sz w:val="14"/>
          <w:szCs w:val="14"/>
          <w:color w:val="auto"/>
        </w:rPr>
        <w:t>In 1999, Filters' operations were largely dependent on the efforts of its President, Dr. Steven I. Taub. The loss to Filters of Dr. Taub could have a material adverse effect upon the operations of Filters. Filters has obtained key man life insurance in face amount of $5 million on the life of Dr. Taub in an effort to reduce, to the extent possible, the immediate adverse economic impact to its business that could occur if it were to lose the services of Dr. Taub.</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Liability Insurance</w:t>
      </w:r>
    </w:p>
    <w:p>
      <w:pPr>
        <w:spacing w:after="0" w:line="174" w:lineRule="exact"/>
        <w:rPr>
          <w:sz w:val="20"/>
          <w:szCs w:val="20"/>
          <w:color w:val="auto"/>
        </w:rPr>
      </w:pPr>
    </w:p>
    <w:p>
      <w:pPr>
        <w:ind w:right="3219" w:firstLine="799"/>
        <w:spacing w:after="0" w:line="238" w:lineRule="auto"/>
        <w:rPr>
          <w:sz w:val="20"/>
          <w:szCs w:val="20"/>
          <w:color w:val="auto"/>
        </w:rPr>
      </w:pPr>
      <w:r>
        <w:rPr>
          <w:rFonts w:ascii="Courier New" w:cs="Courier New" w:eastAsia="Courier New" w:hAnsi="Courier New"/>
          <w:sz w:val="15"/>
          <w:szCs w:val="15"/>
          <w:color w:val="auto"/>
        </w:rPr>
        <w:t>The Company's subsidiaries carry product liability insurance covering its respective products, excluding environmental liability.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w:t>
      </w:r>
    </w:p>
    <w:p>
      <w:pPr>
        <w:spacing w:after="0" w:line="174"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Filters currently holds one US patent for its N-SERT(R) and X-SERT(R) prefilters. Filters also holds a patent on its Twin Pak(R) multiple bed fiberbed filter and an exclusive world-wide license to the patent on the Catenary Grid(TM) Scrubber, Ultra-violet Enhanced Cantenary Grid Scrubber, and the Narrow Gap Venturi Scrubber, along with fluoropolymer media for difusion filtration. APC holds two patents on the Huyglas material. All of the prefilters, the multiple bed units and the Huyglas material have contributed to Filters' performance during 1999. Busch holds an exclusive license to the patent on the JET*STAR(R) strip cooler, strip dryer, coil cooler, and strip blow-off systems. Busch also holds an exclusive license on the patent on the flexible nozzle material used in connection with the JET*STAR(R) systems and the process of using water in addition to air used in the JET*STAR(R) systems. There is no assurance that measurable revenues will accrue to the Company or its subsidiaries as a result of their patents or licenses.</w:t>
      </w:r>
    </w:p>
    <w:p>
      <w:pPr>
        <w:spacing w:after="0" w:line="200" w:lineRule="exact"/>
        <w:rPr>
          <w:sz w:val="20"/>
          <w:szCs w:val="20"/>
          <w:color w:val="auto"/>
        </w:rPr>
      </w:pPr>
    </w:p>
    <w:p>
      <w:pPr>
        <w:spacing w:after="0" w:line="32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628"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Acquisition of Shares of Filters by the Company</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Company made open market purchases of 65,800 shares of Filters in 1999. In connection with the acquisition of Kirk &amp; Blum and kbd/Technic, the Company transferred the Filters shares to the CECO Group. As of December 31, 1999 the CECO Group owned 6,439,606 shares of Filters, representing 93.8% of Filters' common stock.</w:t>
      </w:r>
    </w:p>
    <w:p>
      <w:pPr>
        <w:spacing w:after="0" w:line="175" w:lineRule="exact"/>
        <w:rPr>
          <w:sz w:val="20"/>
          <w:szCs w:val="20"/>
          <w:color w:val="auto"/>
        </w:rPr>
      </w:pPr>
    </w:p>
    <w:p>
      <w:pPr>
        <w:ind w:right="3139" w:firstLine="799"/>
        <w:spacing w:after="0" w:line="239" w:lineRule="auto"/>
        <w:rPr>
          <w:sz w:val="20"/>
          <w:szCs w:val="20"/>
          <w:color w:val="auto"/>
        </w:rPr>
      </w:pPr>
      <w:r>
        <w:rPr>
          <w:rFonts w:ascii="Courier New" w:cs="Courier New" w:eastAsia="Courier New" w:hAnsi="Courier New"/>
          <w:sz w:val="15"/>
          <w:szCs w:val="15"/>
          <w:color w:val="auto"/>
        </w:rPr>
        <w:t>CECO Group intends to purchase additional shares of Filters common stock if such additional shares become available at a price that the CECO Group considers reasonable.</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2.</w:t>
        <w:tab/>
        <w:t>Properties</w:t>
      </w:r>
    </w:p>
    <w:p>
      <w:pPr>
        <w:spacing w:after="0" w:line="174" w:lineRule="exact"/>
        <w:rPr>
          <w:sz w:val="20"/>
          <w:szCs w:val="20"/>
          <w:color w:val="auto"/>
        </w:rPr>
      </w:pPr>
    </w:p>
    <w:p>
      <w:pPr>
        <w:ind w:right="3039" w:firstLine="799"/>
        <w:spacing w:after="0" w:line="238" w:lineRule="auto"/>
        <w:rPr>
          <w:sz w:val="20"/>
          <w:szCs w:val="20"/>
          <w:color w:val="auto"/>
        </w:rPr>
      </w:pPr>
      <w:r>
        <w:rPr>
          <w:rFonts w:ascii="Courier New" w:cs="Courier New" w:eastAsia="Courier New" w:hAnsi="Courier New"/>
          <w:sz w:val="15"/>
          <w:szCs w:val="15"/>
          <w:color w:val="auto"/>
        </w:rPr>
        <w:t>The Company maintains its executive offices in Toronto, Ontario and its operating offices in Cincinnati, Ohio.</w:t>
      </w:r>
    </w:p>
    <w:p>
      <w:pPr>
        <w:spacing w:after="0" w:line="175"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Kirk &amp; Blum's headquarters are located in Cincinnati, Ohio at a 236,178 square foot facility owned by Kirk &amp; Blum. Functions performed in this facility include sales, manufacturing and design. Located in this facility are manufacturing capabilities for custom metal fabrication component parts, as well as the headquarters of kbd/Technic and manufacturing for air pollution control systems.</w:t>
      </w:r>
    </w:p>
    <w:p>
      <w:pPr>
        <w:spacing w:after="0" w:line="175" w:lineRule="exact"/>
        <w:rPr>
          <w:sz w:val="20"/>
          <w:szCs w:val="20"/>
          <w:color w:val="auto"/>
        </w:rPr>
      </w:pPr>
    </w:p>
    <w:p>
      <w:pPr>
        <w:jc w:val="both"/>
        <w:ind w:right="3399" w:firstLine="799"/>
        <w:spacing w:after="0" w:line="239" w:lineRule="auto"/>
        <w:rPr>
          <w:sz w:val="20"/>
          <w:szCs w:val="20"/>
          <w:color w:val="auto"/>
        </w:rPr>
      </w:pPr>
      <w:r>
        <w:rPr>
          <w:rFonts w:ascii="Courier New" w:cs="Courier New" w:eastAsia="Courier New" w:hAnsi="Courier New"/>
          <w:sz w:val="15"/>
          <w:szCs w:val="15"/>
          <w:color w:val="auto"/>
        </w:rPr>
        <w:t>Kirk &amp; Blum also own a 30,000 square foot facility in Indianapolis, Indiana, a 35,000 square foot facility in Louisville, Kentucky, and a 33,400 square foot facility in Lexington, Kentucky.</w:t>
      </w:r>
    </w:p>
    <w:p>
      <w:pPr>
        <w:spacing w:after="0" w:line="175"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Kirk &amp; Blum leases a 28,920 square foot facility in Columbia, Tennessee and an 18,000 square foot facility in Greensboro, North Carolina. The lease for the Columbia property has current annual rent payments of $43,380 and expires at the end of 2000. The Greensboro facility lease has annual lease payments of $52,404 and is renewed on an annual basis.</w:t>
      </w:r>
    </w:p>
    <w:p>
      <w:pPr>
        <w:spacing w:after="0" w:line="175" w:lineRule="exact"/>
        <w:rPr>
          <w:sz w:val="20"/>
          <w:szCs w:val="20"/>
          <w:color w:val="auto"/>
        </w:rPr>
      </w:pPr>
    </w:p>
    <w:p>
      <w:pPr>
        <w:ind w:right="3039" w:firstLine="799"/>
        <w:spacing w:after="0" w:line="264" w:lineRule="auto"/>
        <w:rPr>
          <w:sz w:val="20"/>
          <w:szCs w:val="20"/>
          <w:color w:val="auto"/>
        </w:rPr>
      </w:pPr>
      <w:r>
        <w:rPr>
          <w:rFonts w:ascii="Courier New" w:cs="Courier New" w:eastAsia="Courier New" w:hAnsi="Courier New"/>
          <w:sz w:val="14"/>
          <w:szCs w:val="14"/>
          <w:color w:val="auto"/>
        </w:rPr>
        <w:t>Filters owns a plant facility in Conshohocken, Pennsylvania. On March 16, 1999 CECO refinanced the property with a seven year commercial mortgage from PNC Bank, National Association at 7.75%, which was repaid in December 1999.</w:t>
      </w:r>
    </w:p>
    <w:p>
      <w:pPr>
        <w:spacing w:after="0" w:line="159" w:lineRule="exact"/>
        <w:rPr>
          <w:sz w:val="20"/>
          <w:szCs w:val="20"/>
          <w:color w:val="auto"/>
        </w:rPr>
      </w:pPr>
    </w:p>
    <w:p>
      <w:pPr>
        <w:ind w:right="3139" w:firstLine="799"/>
        <w:spacing w:after="0"/>
        <w:rPr>
          <w:sz w:val="20"/>
          <w:szCs w:val="20"/>
          <w:color w:val="auto"/>
        </w:rPr>
      </w:pPr>
      <w:r>
        <w:rPr>
          <w:rFonts w:ascii="Courier New" w:cs="Courier New" w:eastAsia="Courier New" w:hAnsi="Courier New"/>
          <w:sz w:val="15"/>
          <w:szCs w:val="15"/>
          <w:color w:val="auto"/>
        </w:rPr>
        <w:t>Filters, for APC's operations, leases 11,500 square feet of space from BTR North America, Inc. for the premises in Taunton, Massachusetts for annual rental of $54,625. This lease expires on February 28 of each year and is renewable yearly upon mutual consent and APC continues to lease the premises as a tenant-at-will.</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628" w:right="1440" w:bottom="1440" w:gutter="0" w:footer="0" w:header="0"/>
        </w:sectPr>
      </w:pPr>
    </w:p>
    <w:bookmarkStart w:id="14" w:name="page15"/>
    <w:bookmarkEnd w:id="14"/>
    <w:p>
      <w:pPr>
        <w:ind w:right="3039" w:firstLine="799"/>
        <w:spacing w:after="0"/>
        <w:rPr>
          <w:sz w:val="20"/>
          <w:szCs w:val="20"/>
          <w:color w:val="auto"/>
        </w:rPr>
      </w:pPr>
      <w:r>
        <w:rPr>
          <w:rFonts w:ascii="Courier New" w:cs="Courier New" w:eastAsia="Courier New" w:hAnsi="Courier New"/>
          <w:sz w:val="15"/>
          <w:szCs w:val="15"/>
          <w:color w:val="auto"/>
        </w:rPr>
        <w:t>Busch maintains its offices in Pittsburgh, Pennsylvania. The lease that Busch was assigned in connection with the acquisition of the Busch assets, is dated January 10, 1980 and extends through July 31, 2002. The lease is for approximately 12,000 square feet at an annual rental of $82,398. The rental amount will be adjusted commencing August 1, 2000. Andrew M. Halapin, the former principal owner of Busch, is the beneficial owner of the property in which Busch's offices are located.</w:t>
      </w:r>
    </w:p>
    <w:p>
      <w:pPr>
        <w:spacing w:after="0" w:line="176" w:lineRule="exact"/>
        <w:rPr>
          <w:sz w:val="20"/>
          <w:szCs w:val="20"/>
          <w:color w:val="auto"/>
        </w:rPr>
      </w:pPr>
    </w:p>
    <w:p>
      <w:pPr>
        <w:ind w:right="3839" w:firstLine="799"/>
        <w:spacing w:after="0" w:line="238" w:lineRule="auto"/>
        <w:rPr>
          <w:sz w:val="20"/>
          <w:szCs w:val="20"/>
          <w:color w:val="auto"/>
        </w:rPr>
      </w:pPr>
      <w:r>
        <w:rPr>
          <w:rFonts w:ascii="Courier New" w:cs="Courier New" w:eastAsia="Courier New" w:hAnsi="Courier New"/>
          <w:sz w:val="15"/>
          <w:szCs w:val="15"/>
          <w:color w:val="auto"/>
        </w:rPr>
        <w:t>All properties owned by Kirk &amp; Blum and Filters are subject to mortgages to secure the amounts owed under the Bank Facility.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considers the properties adequate for their respective uses.</w:t>
      </w:r>
    </w:p>
    <w:p>
      <w:pPr>
        <w:spacing w:after="0" w:line="34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4" w:lineRule="exact"/>
        <w:rPr>
          <w:sz w:val="20"/>
          <w:szCs w:val="20"/>
          <w:color w:val="auto"/>
        </w:rPr>
      </w:pPr>
    </w:p>
    <w:p>
      <w:pPr>
        <w:jc w:val="both"/>
        <w:ind w:right="3039" w:firstLine="799"/>
        <w:spacing w:after="0" w:line="271" w:lineRule="auto"/>
        <w:rPr>
          <w:sz w:val="20"/>
          <w:szCs w:val="20"/>
          <w:color w:val="auto"/>
        </w:rPr>
      </w:pPr>
      <w:r>
        <w:rPr>
          <w:rFonts w:ascii="Courier New" w:cs="Courier New" w:eastAsia="Courier New" w:hAnsi="Courier New"/>
          <w:sz w:val="14"/>
          <w:szCs w:val="14"/>
          <w:color w:val="auto"/>
        </w:rPr>
        <w:t>There are no material pending legal proceedings to which the Company or any of its subsidiaries is a party or to which any of their property is subject.</w:t>
      </w:r>
    </w:p>
    <w:p>
      <w:pPr>
        <w:spacing w:after="0" w:line="32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4" w:lineRule="exact"/>
        <w:rPr>
          <w:sz w:val="20"/>
          <w:szCs w:val="20"/>
          <w:color w:val="auto"/>
        </w:rPr>
      </w:pPr>
    </w:p>
    <w:p>
      <w:pPr>
        <w:ind w:right="3139" w:firstLine="799"/>
        <w:spacing w:after="0"/>
        <w:rPr>
          <w:sz w:val="20"/>
          <w:szCs w:val="20"/>
          <w:color w:val="auto"/>
        </w:rPr>
      </w:pPr>
      <w:r>
        <w:rPr>
          <w:rFonts w:ascii="Courier New" w:cs="Courier New" w:eastAsia="Courier New" w:hAnsi="Courier New"/>
          <w:sz w:val="15"/>
          <w:szCs w:val="15"/>
          <w:color w:val="auto"/>
        </w:rPr>
        <w:t>The annual meeting of the shareholders of the Company was held on November 16, 1999. At the meeting, the Company's four directors were elected, the Company's 1999 Employee Stock Purchase Plan ("Stock Plan") was adopted, and the appointment of Margolis &amp; Company P.C. as the Company's accountants was ratified. The votes for each of the directors were 4,870,000, with 17,000 against and 22,000 abstentions. The votes for the Stock Plan were 4,650,220, with 19,687 against and 31,200 abstentions. The votes for the appointment of Margolis &amp; Company P.C. was 4,795,000, with 17,200 against and 30,500 abstentions.</w:t>
      </w:r>
    </w:p>
    <w:p>
      <w:pPr>
        <w:spacing w:after="0" w:line="17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Item 5. Market of the Registrant's Common Equity and Related Stockholder Matters.</w:t>
      </w:r>
    </w:p>
    <w:p>
      <w:pPr>
        <w:spacing w:after="0" w:line="175" w:lineRule="exact"/>
        <w:rPr>
          <w:sz w:val="20"/>
          <w:szCs w:val="20"/>
          <w:color w:val="auto"/>
        </w:rPr>
      </w:pPr>
    </w:p>
    <w:p>
      <w:pPr>
        <w:ind w:right="3039" w:firstLine="790"/>
        <w:spacing w:after="0"/>
        <w:tabs>
          <w:tab w:leader="none" w:pos="115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common stock is traded in the over-the-counter market and is quoted in the NASDAQ automated quotation system under the symbol CECE. The following table sets forth the range of bid prices for the common stock of the Company as reported in the NASDAQ system during the periods indicated, and represents prices between broker-dealers, which do not include retail mark-ups and mark-downs, or any commissions to the broker-dealers. The bid prices do not reflect prices in actual transactions.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631"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0"/>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CECE Common Stock - Bids</w:t>
            </w:r>
          </w:p>
        </w:tc>
        <w:tc>
          <w:tcPr>
            <w:tcW w:w="840" w:type="dxa"/>
            <w:vAlign w:val="bottom"/>
          </w:tcPr>
          <w:p>
            <w:pPr>
              <w:spacing w:after="0"/>
              <w:rPr>
                <w:sz w:val="14"/>
                <w:szCs w:val="14"/>
                <w:color w:val="auto"/>
              </w:rPr>
            </w:pPr>
          </w:p>
        </w:tc>
        <w:tc>
          <w:tcPr>
            <w:tcW w:w="26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CECE Common Stock - Bids</w:t>
            </w:r>
          </w:p>
        </w:tc>
      </w:tr>
      <w:tr>
        <w:trPr>
          <w:trHeight w:val="171"/>
        </w:trPr>
        <w:tc>
          <w:tcPr>
            <w:tcW w:w="1140" w:type="dxa"/>
            <w:vAlign w:val="bottom"/>
          </w:tcPr>
          <w:p>
            <w:pPr>
              <w:spacing w:after="0"/>
              <w:rPr>
                <w:sz w:val="14"/>
                <w:szCs w:val="14"/>
                <w:color w:val="auto"/>
              </w:rPr>
            </w:pPr>
          </w:p>
        </w:tc>
        <w:tc>
          <w:tcPr>
            <w:tcW w:w="1120" w:type="dxa"/>
            <w:vAlign w:val="bottom"/>
          </w:tcPr>
          <w:p>
            <w:pPr>
              <w:ind w:left="440"/>
              <w:spacing w:after="0"/>
              <w:rPr>
                <w:sz w:val="20"/>
                <w:szCs w:val="20"/>
                <w:color w:val="auto"/>
              </w:rPr>
            </w:pPr>
            <w:r>
              <w:rPr>
                <w:rFonts w:ascii="Courier New" w:cs="Courier New" w:eastAsia="Courier New" w:hAnsi="Courier New"/>
                <w:sz w:val="15"/>
                <w:szCs w:val="15"/>
                <w:color w:val="auto"/>
              </w:rPr>
              <w:t>High</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Low</w:t>
            </w:r>
          </w:p>
        </w:tc>
        <w:tc>
          <w:tcPr>
            <w:tcW w:w="116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High</w:t>
            </w: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Low</w:t>
            </w:r>
          </w:p>
        </w:tc>
      </w:tr>
      <w:tr>
        <w:trPr>
          <w:trHeight w:val="171"/>
        </w:trPr>
        <w:tc>
          <w:tcPr>
            <w:tcW w:w="1140" w:type="dxa"/>
            <w:vAlign w:val="bottom"/>
          </w:tcPr>
          <w:p>
            <w:pPr>
              <w:spacing w:after="0"/>
              <w:rPr>
                <w:sz w:val="14"/>
                <w:szCs w:val="14"/>
                <w:color w:val="auto"/>
              </w:rPr>
            </w:pPr>
          </w:p>
        </w:tc>
        <w:tc>
          <w:tcPr>
            <w:tcW w:w="11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1"/>
        </w:trPr>
        <w:tc>
          <w:tcPr>
            <w:tcW w:w="1140" w:type="dxa"/>
            <w:vAlign w:val="bottom"/>
          </w:tcPr>
          <w:p>
            <w:pPr>
              <w:spacing w:after="0"/>
              <w:rPr>
                <w:sz w:val="20"/>
                <w:szCs w:val="20"/>
                <w:color w:val="auto"/>
              </w:rPr>
            </w:pPr>
            <w:r>
              <w:rPr>
                <w:rFonts w:ascii="Courier New" w:cs="Courier New" w:eastAsia="Courier New" w:hAnsi="Courier New"/>
                <w:sz w:val="15"/>
                <w:szCs w:val="15"/>
                <w:color w:val="auto"/>
              </w:rPr>
              <w:t>1st Quarter</w:t>
            </w:r>
          </w:p>
        </w:tc>
        <w:tc>
          <w:tcPr>
            <w:tcW w:w="1120" w:type="dxa"/>
            <w:vAlign w:val="bottom"/>
          </w:tcPr>
          <w:p>
            <w:pPr>
              <w:ind w:left="440"/>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$2.625</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1st Quarter</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$4.5000</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$2.25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2nd Quarter</w:t>
            </w:r>
          </w:p>
        </w:tc>
        <w:tc>
          <w:tcPr>
            <w:tcW w:w="1120" w:type="dxa"/>
            <w:vAlign w:val="bottom"/>
          </w:tcPr>
          <w:p>
            <w:pPr>
              <w:ind w:left="440"/>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$2.375</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2nd Quarter</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$4.6250</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$3.00</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3rd Quarter</w:t>
            </w:r>
          </w:p>
        </w:tc>
        <w:tc>
          <w:tcPr>
            <w:tcW w:w="1120" w:type="dxa"/>
            <w:vAlign w:val="bottom"/>
          </w:tcPr>
          <w:p>
            <w:pPr>
              <w:ind w:left="440"/>
              <w:spacing w:after="0"/>
              <w:rPr>
                <w:sz w:val="20"/>
                <w:szCs w:val="20"/>
                <w:color w:val="auto"/>
              </w:rPr>
            </w:pPr>
            <w:r>
              <w:rPr>
                <w:rFonts w:ascii="Courier New" w:cs="Courier New" w:eastAsia="Courier New" w:hAnsi="Courier New"/>
                <w:sz w:val="15"/>
                <w:szCs w:val="15"/>
                <w:color w:val="auto"/>
              </w:rPr>
              <w:t>$3.00</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$1.531</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3rd Quarter</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$3.7500</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w w:val="95"/>
              </w:rPr>
              <w:t>$2.0625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4th Quarter</w:t>
            </w:r>
          </w:p>
        </w:tc>
        <w:tc>
          <w:tcPr>
            <w:tcW w:w="1120" w:type="dxa"/>
            <w:vAlign w:val="bottom"/>
          </w:tcPr>
          <w:p>
            <w:pPr>
              <w:ind w:left="440"/>
              <w:spacing w:after="0"/>
              <w:rPr>
                <w:sz w:val="20"/>
                <w:szCs w:val="20"/>
                <w:color w:val="auto"/>
              </w:rPr>
            </w:pPr>
            <w:r>
              <w:rPr>
                <w:rFonts w:ascii="Courier New" w:cs="Courier New" w:eastAsia="Courier New" w:hAnsi="Courier New"/>
                <w:sz w:val="15"/>
                <w:szCs w:val="15"/>
                <w:color w:val="auto"/>
              </w:rPr>
              <w:t>$3.25</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$1.406</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4th Quarter</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$4.000</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w w:val="95"/>
              </w:rPr>
              <w:t>$1.7188</w:t>
            </w:r>
          </w:p>
        </w:tc>
      </w:tr>
      <w:tr>
        <w:trPr>
          <w:trHeight w:val="341"/>
        </w:trPr>
        <w:tc>
          <w:tcPr>
            <w:tcW w:w="11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41"/>
        </w:trPr>
        <w:tc>
          <w:tcPr>
            <w:tcW w:w="1140" w:type="dxa"/>
            <w:vAlign w:val="bottom"/>
          </w:tcPr>
          <w:p>
            <w:pPr>
              <w:spacing w:after="0"/>
              <w:rPr>
                <w:sz w:val="20"/>
                <w:szCs w:val="20"/>
                <w:color w:val="auto"/>
              </w:rPr>
            </w:pPr>
            <w:r>
              <w:rPr>
                <w:rFonts w:ascii="Courier New" w:cs="Courier New" w:eastAsia="Courier New" w:hAnsi="Courier New"/>
                <w:sz w:val="15"/>
                <w:szCs w:val="15"/>
                <w:color w:val="auto"/>
              </w:rPr>
              <w:t>1st Quarter</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$3.375</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$2.0625</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March 20, 2000)</w:t>
      </w:r>
    </w:p>
    <w:p>
      <w:pPr>
        <w:spacing w:after="0" w:line="345" w:lineRule="exact"/>
        <w:rPr>
          <w:sz w:val="20"/>
          <w:szCs w:val="20"/>
          <w:color w:val="auto"/>
        </w:rPr>
      </w:pPr>
    </w:p>
    <w:p>
      <w:pPr>
        <w:ind w:right="3039" w:firstLine="790"/>
        <w:spacing w:after="0" w:line="238" w:lineRule="auto"/>
        <w:tabs>
          <w:tab w:leader="none" w:pos="115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approximate number of beneficial holders of common stock of the Company as of March 22, 2000 was 1,900.</w:t>
      </w:r>
    </w:p>
    <w:p>
      <w:pPr>
        <w:spacing w:after="0" w:line="175" w:lineRule="exact"/>
        <w:rPr>
          <w:rFonts w:ascii="Courier New" w:cs="Courier New" w:eastAsia="Courier New" w:hAnsi="Courier New"/>
          <w:sz w:val="15"/>
          <w:szCs w:val="15"/>
          <w:color w:val="auto"/>
        </w:rPr>
      </w:pPr>
    </w:p>
    <w:p>
      <w:pPr>
        <w:ind w:right="3219" w:firstLine="790"/>
        <w:spacing w:after="0"/>
        <w:tabs>
          <w:tab w:leader="none" w:pos="115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no dividends during the fiscal year ended December 31, 1998 or the fiscal year ended December 31, 1999. The Company does not expect to pay dividends in the foreseeable future. The Company and its subsidiaries are parties to various loan documents which prevent the Company from paying any dividends.</w:t>
      </w:r>
    </w:p>
    <w:p>
      <w:pPr>
        <w:spacing w:after="0" w:line="175"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Item 6. Management's Discussion and Analysis of Financial Conditions and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319" w:firstLine="799"/>
        <w:spacing w:after="0" w:line="261" w:lineRule="auto"/>
        <w:rPr>
          <w:sz w:val="20"/>
          <w:szCs w:val="20"/>
          <w:color w:val="auto"/>
        </w:rPr>
      </w:pPr>
      <w:r>
        <w:rPr>
          <w:rFonts w:ascii="Courier New" w:cs="Courier New" w:eastAsia="Courier New" w:hAnsi="Courier New"/>
          <w:sz w:val="14"/>
          <w:szCs w:val="14"/>
          <w:color w:val="auto"/>
        </w:rPr>
        <w:t>The Company's principal operating units are comprised of Kirk &amp; Blum Manufacturing Company, kbd/Technic, Inc., CECO Filters, Inc., Air Purator Corporation and New Busch Co., Inc. which provide innovative solutions to industrial ventilation and air quality problems through dust, mist, and fume control systems, particle, and chemical control technologies.</w:t>
      </w:r>
    </w:p>
    <w:p>
      <w:pPr>
        <w:spacing w:after="0" w:line="162"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The Company's Systems segment consists of Kirk &amp; Blum Manufacturing Company, kbd/Technic, Inc. and New Busch Co., Inc. Kirk &amp; Blum is a leading provider of turnkey engineering, design, manufacturing and installation services in the air pollution control industry. Kirk &amp; Blum's business is focused on designing, building and installing systems which remove airborne contaminants from industrial facilities as well as equipment that control emissions from such facilities. Busch is engaged in providing system based solutions for industrial ventilation and air pollution control problems through its design, fabrication, supplying equipment and installation of equipment used to control the environment in and around industrial plants with a variety of standard, proprietary and patented technologies including its JET*STAR(R) cooling system. kbd/Technic, Inc. is a specialty-engineering firm concentrating in industrial ventilation. kbd/Technic provides air systems testing and balancing, source emissions testing, industrial ventilation engineering, turnkey project engineering (civil, structural and electrical), and sound and vibration systems engineering. These companies have extensive knowledge and experience in providing complete turnkey systems in new installations and revising existing systems.</w:t>
      </w:r>
    </w:p>
    <w:p>
      <w:pPr>
        <w:spacing w:after="0" w:line="200" w:lineRule="exact"/>
        <w:rPr>
          <w:sz w:val="20"/>
          <w:szCs w:val="20"/>
          <w:color w:val="auto"/>
        </w:rPr>
      </w:pPr>
    </w:p>
    <w:p>
      <w:pPr>
        <w:spacing w:after="0" w:line="32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628" w:right="1440" w:bottom="1440" w:gutter="0" w:footer="0" w:header="0"/>
        </w:sectPr>
      </w:pPr>
    </w:p>
    <w:bookmarkStart w:id="16" w:name="page17"/>
    <w:bookmarkEnd w:id="16"/>
    <w:p>
      <w:pPr>
        <w:ind w:left="880"/>
        <w:spacing w:after="0"/>
        <w:rPr>
          <w:sz w:val="20"/>
          <w:szCs w:val="20"/>
          <w:color w:val="auto"/>
        </w:rPr>
      </w:pPr>
      <w:r>
        <w:rPr>
          <w:rFonts w:ascii="Courier New" w:cs="Courier New" w:eastAsia="Courier New" w:hAnsi="Courier New"/>
          <w:sz w:val="15"/>
          <w:szCs w:val="15"/>
          <w:color w:val="auto"/>
        </w:rPr>
        <w:t>The Company's Media segment consists of CECO Filters, Inc. and Air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Purator Corporation. CECO manufactures and markets filters known as fiber bed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mist eliminators, designed to trap, collect and remove solid soluble and liquid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particulate matter suspended in an air or other gas stream whether generated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a point source emission or otherwise. CECO offers innovative patented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technologies, Catenary Grid and Narrow Gap Venturi Scrubbers, designed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with heat and mass transfer operations and particulate control. Air Purator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designs and manufactures high performance filter media and bags for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in high temperature pulse jet baghouses, a highly effective type of baghouse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capturing submicron particulate from gas streams.</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The following discussion of the Company's results of operations and financial condition should read in conjunction with the Consolidated Financial Statement and Notes thereto (including Note 18, Segment Reporting) and other financial information included elsewhere in this report.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139" w:firstLine="799"/>
        <w:spacing w:after="0"/>
        <w:rPr>
          <w:sz w:val="20"/>
          <w:szCs w:val="20"/>
          <w:color w:val="auto"/>
        </w:rPr>
      </w:pPr>
      <w:r>
        <w:rPr>
          <w:rFonts w:ascii="Courier New" w:cs="Courier New" w:eastAsia="Courier New" w:hAnsi="Courier New"/>
          <w:sz w:val="15"/>
          <w:szCs w:val="15"/>
          <w:color w:val="auto"/>
        </w:rPr>
        <w:t>The Company's consolidated statement of operations for the years ended December 31, 1999 and 1998 reflect the operations of the Company consolidated with the operations of its subsidiaries. As of December 31, 1999, the Company owned approximately 94% of the outstanding Common Stock of CECO. Minority interest on the consolidated statement of operations has been presented as a reduction in income for each year.</w:t>
      </w:r>
    </w:p>
    <w:p>
      <w:pPr>
        <w:spacing w:after="0" w:line="175" w:lineRule="exact"/>
        <w:rPr>
          <w:sz w:val="20"/>
          <w:szCs w:val="20"/>
          <w:color w:val="auto"/>
        </w:rPr>
      </w:pPr>
    </w:p>
    <w:p>
      <w:pPr>
        <w:ind w:right="3139" w:firstLine="799"/>
        <w:spacing w:after="0" w:line="239" w:lineRule="auto"/>
        <w:rPr>
          <w:sz w:val="20"/>
          <w:szCs w:val="20"/>
          <w:color w:val="auto"/>
        </w:rPr>
      </w:pPr>
      <w:r>
        <w:rPr>
          <w:rFonts w:ascii="Courier New" w:cs="Courier New" w:eastAsia="Courier New" w:hAnsi="Courier New"/>
          <w:sz w:val="15"/>
          <w:szCs w:val="15"/>
          <w:color w:val="auto"/>
        </w:rPr>
        <w:t>The following table sets forth line items shown on the consolidated statement of operations, as a percentage of total revenues, for the years ended December 31, 1999 and 1998. This table should be read in conjunction with the consolidated financial statements and notes thereto.</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628"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214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4960" w:type="dxa"/>
            <w:vAlign w:val="bottom"/>
          </w:tcPr>
          <w:p>
            <w:pPr>
              <w:spacing w:after="0"/>
              <w:rPr>
                <w:sz w:val="14"/>
                <w:szCs w:val="14"/>
                <w:color w:val="auto"/>
              </w:rPr>
            </w:pPr>
          </w:p>
        </w:tc>
        <w:tc>
          <w:tcPr>
            <w:tcW w:w="214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DECEMBER 31,</w:t>
            </w:r>
          </w:p>
        </w:tc>
      </w:tr>
      <w:tr>
        <w:trPr>
          <w:trHeight w:val="341"/>
        </w:trPr>
        <w:tc>
          <w:tcPr>
            <w:tcW w:w="4960" w:type="dxa"/>
            <w:vAlign w:val="bottom"/>
          </w:tcPr>
          <w:p>
            <w:pPr>
              <w:spacing w:after="0"/>
              <w:rPr>
                <w:sz w:val="24"/>
                <w:szCs w:val="2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96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Net sales - products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51.8%</w:t>
            </w:r>
          </w:p>
        </w:tc>
      </w:tr>
      <w:tr>
        <w:trPr>
          <w:trHeight w:val="171"/>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Contract revenues</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57.9</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48.2</w:t>
            </w:r>
          </w:p>
        </w:tc>
      </w:tr>
      <w:tr>
        <w:trPr>
          <w:trHeight w:val="171"/>
        </w:trPr>
        <w:tc>
          <w:tcPr>
            <w:tcW w:w="496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496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Cost of revenues - products</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23.6</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29.6</w:t>
            </w:r>
          </w:p>
        </w:tc>
      </w:tr>
      <w:tr>
        <w:trPr>
          <w:trHeight w:val="171"/>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Cost of revenues - contracts</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41.2</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32.5</w:t>
            </w:r>
          </w:p>
        </w:tc>
      </w:tr>
      <w:tr>
        <w:trPr>
          <w:trHeight w:val="171"/>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Selling and administrative</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30.3</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26.5</w:t>
            </w:r>
          </w:p>
        </w:tc>
      </w:tr>
      <w:tr>
        <w:trPr>
          <w:trHeight w:val="171"/>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3.1</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w:t>
            </w:r>
          </w:p>
        </w:tc>
      </w:tr>
      <w:tr>
        <w:trPr>
          <w:trHeight w:val="171"/>
        </w:trPr>
        <w:tc>
          <w:tcPr>
            <w:tcW w:w="496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98.2</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91.3</w:t>
            </w:r>
          </w:p>
        </w:tc>
      </w:tr>
      <w:tr>
        <w:trPr>
          <w:trHeight w:val="171"/>
        </w:trPr>
        <w:tc>
          <w:tcPr>
            <w:tcW w:w="496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investment</w:t>
            </w: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income and interest expense</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1.8</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8.7</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2.1</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2.7</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w:t>
            </w:r>
          </w:p>
        </w:tc>
      </w:tr>
      <w:tr>
        <w:trPr>
          <w:trHeight w:val="171"/>
        </w:trPr>
        <w:tc>
          <w:tcPr>
            <w:tcW w:w="496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income</w:t>
            </w: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taxes and minority interest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1.2</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w:t>
            </w:r>
          </w:p>
        </w:tc>
      </w:tr>
      <w:tr>
        <w:trPr>
          <w:trHeight w:val="171"/>
        </w:trPr>
        <w:tc>
          <w:tcPr>
            <w:tcW w:w="496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w:t>
            </w: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minority interest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496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w:t>
            </w:r>
          </w:p>
        </w:tc>
      </w:tr>
      <w:tr>
        <w:trPr>
          <w:trHeight w:val="171"/>
        </w:trPr>
        <w:tc>
          <w:tcPr>
            <w:tcW w:w="496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2.1</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w:t>
            </w:r>
          </w:p>
        </w:tc>
      </w:tr>
      <w:tr>
        <w:trPr>
          <w:trHeight w:val="171"/>
        </w:trPr>
        <w:tc>
          <w:tcPr>
            <w:tcW w:w="496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1"/>
        </w:trPr>
        <w:tc>
          <w:tcPr>
            <w:tcW w:w="496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683"/>
        </w:trPr>
        <w:tc>
          <w:tcPr>
            <w:tcW w:w="4960" w:type="dxa"/>
            <w:vAlign w:val="bottom"/>
          </w:tcPr>
          <w:p>
            <w:pPr>
              <w:ind w:left="3460"/>
              <w:spacing w:after="0"/>
              <w:rPr>
                <w:sz w:val="20"/>
                <w:szCs w:val="20"/>
                <w:color w:val="auto"/>
              </w:rPr>
            </w:pPr>
            <w:r>
              <w:rPr>
                <w:rFonts w:ascii="Courier New" w:cs="Courier New" w:eastAsia="Courier New" w:hAnsi="Courier New"/>
                <w:sz w:val="15"/>
                <w:szCs w:val="15"/>
                <w:color w:val="auto"/>
              </w:rPr>
              <w:t>18</w:t>
            </w: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139"/>
          </w:cols>
          <w:pgMar w:left="320" w:top="628"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Revenues:</w:t>
      </w:r>
    </w:p>
    <w:p>
      <w:pPr>
        <w:spacing w:after="0" w:line="174" w:lineRule="exact"/>
        <w:rPr>
          <w:sz w:val="20"/>
          <w:szCs w:val="20"/>
          <w:color w:val="auto"/>
        </w:rPr>
      </w:pPr>
    </w:p>
    <w:p>
      <w:pPr>
        <w:ind w:right="3139" w:firstLine="799"/>
        <w:spacing w:after="0" w:line="260" w:lineRule="auto"/>
        <w:rPr>
          <w:sz w:val="20"/>
          <w:szCs w:val="20"/>
          <w:color w:val="auto"/>
        </w:rPr>
      </w:pPr>
      <w:r>
        <w:rPr>
          <w:rFonts w:ascii="Courier New" w:cs="Courier New" w:eastAsia="Courier New" w:hAnsi="Courier New"/>
          <w:sz w:val="14"/>
          <w:szCs w:val="14"/>
          <w:color w:val="auto"/>
        </w:rPr>
        <w:t>Consolidated total revenues for 1999 increased $2,109,000 (9.7 %) to $23,862,000 versus 1998 total revenues of $21,753,000. This increase was primarily the combination of increased revenues from the Systems segment of $3,549,000 offset by decreases in Media and other segments of $688,000 and $406,000, respectively. Consolidated revenues reflect additional revenues of $6,336,000 from Kirk &amp; Blum Manufacturing Company and kbd/Technic, Inc. for the period from December 7, 1999 (acquisition date) through December 31, 1999.</w:t>
      </w:r>
    </w:p>
    <w:p>
      <w:pPr>
        <w:spacing w:after="0" w:line="163" w:lineRule="exact"/>
        <w:rPr>
          <w:sz w:val="20"/>
          <w:szCs w:val="20"/>
          <w:color w:val="auto"/>
        </w:rPr>
      </w:pPr>
    </w:p>
    <w:p>
      <w:pPr>
        <w:ind w:right="3499" w:firstLine="799"/>
        <w:spacing w:after="0" w:line="239" w:lineRule="auto"/>
        <w:rPr>
          <w:sz w:val="20"/>
          <w:szCs w:val="20"/>
          <w:color w:val="auto"/>
        </w:rPr>
      </w:pPr>
      <w:r>
        <w:rPr>
          <w:rFonts w:ascii="Courier New" w:cs="Courier New" w:eastAsia="Courier New" w:hAnsi="Courier New"/>
          <w:sz w:val="15"/>
          <w:szCs w:val="15"/>
          <w:color w:val="auto"/>
        </w:rPr>
        <w:t>Systems segment revenues reflect lower revenues from Busch in 1999 compared to 1998 as the result of a general decline in the metals industry. Demand at rolling mills for fume exhaust systems and Busch's proprietary JET*STAR(R) cooling technology declined in 1999.</w:t>
      </w:r>
    </w:p>
    <w:p>
      <w:pPr>
        <w:spacing w:after="0" w:line="177"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Media segment sales reflect a decline of $688,000 which was a combination of increased sales from our high performance filter media unit, Air Purator Corporation, offset by a decline in sales from CECO Filters, Inc. Market conditions tightened for environmental service companies like ours during 1999, as declines were present for sales to technology-based industries such as semi-conductor and printed circuit board companies.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Profit:</w:t>
      </w:r>
    </w:p>
    <w:p>
      <w:pPr>
        <w:spacing w:after="0" w:line="174" w:lineRule="exact"/>
        <w:rPr>
          <w:sz w:val="20"/>
          <w:szCs w:val="20"/>
          <w:color w:val="auto"/>
        </w:rPr>
      </w:pPr>
    </w:p>
    <w:p>
      <w:pPr>
        <w:ind w:right="3039" w:firstLine="799"/>
        <w:spacing w:after="0" w:line="260" w:lineRule="auto"/>
        <w:rPr>
          <w:sz w:val="20"/>
          <w:szCs w:val="20"/>
          <w:color w:val="auto"/>
        </w:rPr>
      </w:pPr>
      <w:r>
        <w:rPr>
          <w:rFonts w:ascii="Courier New" w:cs="Courier New" w:eastAsia="Courier New" w:hAnsi="Courier New"/>
          <w:sz w:val="14"/>
          <w:szCs w:val="14"/>
          <w:color w:val="auto"/>
        </w:rPr>
        <w:t>Gross profit increased $152,000 to $8,387,000 in 1999. Gross profit, as a percentage of revenues, was 35.1% in 1999 compared with 37.9% in the prior year. The decline is attributable to the mix of increased sales from lower margin Systems segment sales offset by deceased sales from the higher margin Media segment. Overall, margins as a percentage of sales will be impacted by the addition of Kirk &amp; Blum to the Systems segment as this operating unit continues to represent a larger factor in the Company's total revenues.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174" w:lineRule="exact"/>
        <w:rPr>
          <w:sz w:val="20"/>
          <w:szCs w:val="20"/>
          <w:color w:val="auto"/>
        </w:rPr>
      </w:pPr>
    </w:p>
    <w:p>
      <w:pPr>
        <w:ind w:right="3139" w:firstLine="799"/>
        <w:spacing w:after="0"/>
        <w:rPr>
          <w:sz w:val="20"/>
          <w:szCs w:val="20"/>
          <w:color w:val="auto"/>
        </w:rPr>
      </w:pPr>
      <w:r>
        <w:rPr>
          <w:rFonts w:ascii="Courier New" w:cs="Courier New" w:eastAsia="Courier New" w:hAnsi="Courier New"/>
          <w:sz w:val="15"/>
          <w:szCs w:val="15"/>
          <w:color w:val="auto"/>
        </w:rPr>
        <w:t>Selling and administrative expenses increased $1,445,000 to $7,216,000 during 1999 due to the acquisition of Kirk &amp; Blum, kbd/Technic, and certain non-recurring costs. Selling and administrative expenses, as a percentage of revenues for 1999 and 1998, were 30.2% and 26.5%, respectively. A substantial portion of these expenses, which are considered fixed, are under review by the Company for cost savings opportunities resulting from administrative efficiencies that may be realized from the larger and newly established Company based in Cincinnati, Ohio. Additionally, variable selling expenses are being reviewed to better align sales compensation with results. Savings that may be realized from this realignment and cost reduction efforts should favorably impact results in the third and fourth quarters of 2000.</w:t>
      </w:r>
    </w:p>
    <w:p>
      <w:pPr>
        <w:spacing w:after="0" w:line="200" w:lineRule="exact"/>
        <w:rPr>
          <w:sz w:val="20"/>
          <w:szCs w:val="20"/>
          <w:color w:val="auto"/>
        </w:rPr>
      </w:pPr>
    </w:p>
    <w:p>
      <w:pPr>
        <w:spacing w:after="0" w:line="31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39"/>
          </w:cols>
          <w:pgMar w:left="320" w:top="799" w:right="1440" w:bottom="1440" w:gutter="0" w:footer="0" w:header="0"/>
        </w:sectPr>
      </w:pPr>
    </w:p>
    <w:bookmarkStart w:id="19" w:name="page20"/>
    <w:bookmarkEnd w:id="19"/>
    <w:p>
      <w:pPr>
        <w:ind w:right="3039" w:firstLine="799"/>
        <w:spacing w:after="0" w:line="239" w:lineRule="auto"/>
        <w:rPr>
          <w:sz w:val="20"/>
          <w:szCs w:val="20"/>
          <w:color w:val="auto"/>
        </w:rPr>
      </w:pPr>
      <w:r>
        <w:rPr>
          <w:rFonts w:ascii="Courier New" w:cs="Courier New" w:eastAsia="Courier New" w:hAnsi="Courier New"/>
          <w:sz w:val="15"/>
          <w:szCs w:val="15"/>
          <w:color w:val="auto"/>
        </w:rPr>
        <w:t>Depreciation and amortization increased $147,000 to $729,000 in 1999 primarily due to additional costs associated with the acquisition of Kirk &amp; Blum and kbd/Technic.</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Income:</w:t>
      </w:r>
    </w:p>
    <w:p>
      <w:pPr>
        <w:spacing w:after="0" w:line="174"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Investment income increased $430,000 to $498,000 during 1999. The increase in investment income resulted from interest income, dividend income and, realized and unrealized net gains in investments. At December 31, 1999, the Company's most significant investment is 177,900 shares of Peerless Manufacturing Company common stock and is listed on the Nasdaq Stock Market(R) traded under the symbol PMFG. This represents approximately 12% of Peerless' outstanding shares. At December 31, 1999, Peerless' common stock fair market value was $13 per share.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Interest expense increased $388,000 to $644,000 during 1999 compared with $256,000 in 1998 principally due to higher borrowing levels and increased rates under the newly established bank credit facilities, and subordinated and related party debt. Income Taxes:</w:t>
      </w:r>
    </w:p>
    <w:p>
      <w:pPr>
        <w:spacing w:after="0" w:line="177" w:lineRule="exact"/>
        <w:rPr>
          <w:sz w:val="20"/>
          <w:szCs w:val="20"/>
          <w:color w:val="auto"/>
        </w:rPr>
      </w:pPr>
    </w:p>
    <w:p>
      <w:pPr>
        <w:ind w:right="3139" w:firstLine="799"/>
        <w:spacing w:after="0"/>
        <w:rPr>
          <w:sz w:val="20"/>
          <w:szCs w:val="20"/>
          <w:color w:val="auto"/>
        </w:rPr>
      </w:pPr>
      <w:r>
        <w:rPr>
          <w:rFonts w:ascii="Courier New" w:cs="Courier New" w:eastAsia="Courier New" w:hAnsi="Courier New"/>
          <w:sz w:val="15"/>
          <w:szCs w:val="15"/>
          <w:color w:val="auto"/>
        </w:rPr>
        <w:t>The provision for federal and state income taxes was $151,000 in 1999 compared with $673,000 in 1998. The effective income tax rate of 51.2 % in 1999 was higher compared with 39.7% in 1998 primarily due to non-deductible goodwill amortization relating to the Company's investments in CECO Filters, Kirk &amp; Blum and kbd/Technic. The Company's effective tax rate in 2000 will also be impacted by the non-deductible amortization.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174" w:lineRule="exact"/>
        <w:rPr>
          <w:sz w:val="20"/>
          <w:szCs w:val="20"/>
          <w:color w:val="auto"/>
        </w:rPr>
      </w:pPr>
    </w:p>
    <w:p>
      <w:pPr>
        <w:ind w:right="3139" w:firstLine="888"/>
        <w:spacing w:after="0"/>
        <w:rPr>
          <w:sz w:val="20"/>
          <w:szCs w:val="20"/>
          <w:color w:val="auto"/>
        </w:rPr>
      </w:pPr>
      <w:r>
        <w:rPr>
          <w:rFonts w:ascii="Courier New" w:cs="Courier New" w:eastAsia="Courier New" w:hAnsi="Courier New"/>
          <w:sz w:val="15"/>
          <w:szCs w:val="15"/>
          <w:color w:val="auto"/>
        </w:rPr>
        <w:t>Discontinued operations reflect the closure of the Company's operations in Arizona during 1999. Compared with 1998, this loss increased $97,000 to $509,000 for the year ended December 31, 1999 primarily due to disposition costs. Operating losses, net of income tax benefit and minority interest, from this discontinued division amounted to $323,000 in 1999 compared with $412,000 in 1998. The loss on the disposal of the discontinued division amounted to $186,000 in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(Loss):</w:t>
      </w:r>
    </w:p>
    <w:p>
      <w:pPr>
        <w:spacing w:after="0" w:line="174" w:lineRule="exact"/>
        <w:rPr>
          <w:sz w:val="20"/>
          <w:szCs w:val="20"/>
          <w:color w:val="auto"/>
        </w:rPr>
      </w:pPr>
    </w:p>
    <w:p>
      <w:pPr>
        <w:jc w:val="both"/>
        <w:ind w:right="3319" w:firstLine="888"/>
        <w:spacing w:after="0" w:line="262" w:lineRule="auto"/>
        <w:rPr>
          <w:sz w:val="20"/>
          <w:szCs w:val="20"/>
          <w:color w:val="auto"/>
        </w:rPr>
      </w:pPr>
      <w:r>
        <w:rPr>
          <w:rFonts w:ascii="Courier New" w:cs="Courier New" w:eastAsia="Courier New" w:hAnsi="Courier New"/>
          <w:sz w:val="14"/>
          <w:szCs w:val="14"/>
          <w:color w:val="auto"/>
        </w:rPr>
        <w:t>Net loss for the year ended December 31,1999 was $366,000 compared with net income of $533,000 in 1998 principally due to the decrease in income from continuing operations. The loss in 1999 is principally the result of the net after tax cost associated with discontinued operations.</w:t>
      </w:r>
    </w:p>
    <w:p>
      <w:pPr>
        <w:spacing w:after="0" w:line="200" w:lineRule="exact"/>
        <w:rPr>
          <w:sz w:val="20"/>
          <w:szCs w:val="20"/>
          <w:color w:val="auto"/>
        </w:rPr>
      </w:pPr>
    </w:p>
    <w:p>
      <w:pPr>
        <w:spacing w:after="0" w:line="30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39"/>
          </w:cols>
          <w:pgMar w:left="320" w:top="631"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Backlog:</w:t>
      </w:r>
    </w:p>
    <w:p>
      <w:pPr>
        <w:spacing w:after="0" w:line="174" w:lineRule="exact"/>
        <w:rPr>
          <w:sz w:val="20"/>
          <w:szCs w:val="20"/>
          <w:color w:val="auto"/>
        </w:rPr>
      </w:pPr>
    </w:p>
    <w:p>
      <w:pPr>
        <w:ind w:right="3039" w:firstLine="888"/>
        <w:spacing w:after="0"/>
        <w:rPr>
          <w:sz w:val="20"/>
          <w:szCs w:val="20"/>
          <w:color w:val="auto"/>
        </w:rPr>
      </w:pPr>
      <w:r>
        <w:rPr>
          <w:rFonts w:ascii="Courier New" w:cs="Courier New" w:eastAsia="Courier New" w:hAnsi="Courier New"/>
          <w:sz w:val="15"/>
          <w:szCs w:val="15"/>
          <w:color w:val="auto"/>
        </w:rPr>
        <w:t>The Company's backlog consists of purchase orders it has received for products and services it expects to ship and deliver within the next 12 months. The Company's backlog, as of December 31, 1999, was approximately $15,600,000, an increase of $4,804,000 over December 31, 1998. There can be no assurance that order backlog will be replicated or increased or translated into higher revenues in the future. The success of the Company's business depends on a multitude of factors that are out of the Company's control. The Company's operating results can be significantly impacted by the introduction of new products, new manufacturing technologies, rapid change of the demand for its products, decrease in average selling price over the life of the product as competition increases and the Company's dependence on efforts of middle men to sell a significant portion of its product.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 Liquidity and Capital Resources</w:t>
      </w:r>
    </w:p>
    <w:p>
      <w:pPr>
        <w:spacing w:after="0" w:line="174"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On December 7, 1999, the Company acquired Kirk &amp; Blum Manufacturing Company and kbd/Technic, Inc., which are engaged in the design, fabrication, and installation of specialized ventilation systems and related engineering and technical services. Both Companies became wholly owned subsidiaries of the Company. Owners of Kirk &amp; Blum and kbd/Technic received cash totaling approximately $25 million while the Company assumed debt obligations totaling $5 million. The transaction was accounted for as a purchase. The activity of Kirk &amp; Blum and kbd/Technic is included in the Company's consolidated results of operations from December 7, 1999 to December 31, 1999. The purchase price has been allocated to Kirk &amp; Blum and kbd/Technic balance sheets based on third party appraisals of the various assets acquired. As a result, $1,654,000 of goodwill is included in the Company's consolidated balance sheet as of December 31, 1999 relating to these acquisitions. Under the terms of an escrow agreement entered into among the Company and the owners of Kirk &amp; Blum, it is anticipated that a price reduction not to exceed $400,000 will occur in 2000.</w:t>
      </w:r>
    </w:p>
    <w:p>
      <w:pPr>
        <w:spacing w:after="0" w:line="182" w:lineRule="exact"/>
        <w:rPr>
          <w:sz w:val="20"/>
          <w:szCs w:val="20"/>
          <w:color w:val="auto"/>
        </w:rPr>
      </w:pPr>
    </w:p>
    <w:p>
      <w:pPr>
        <w:ind w:right="3039" w:firstLine="888"/>
        <w:spacing w:after="0"/>
        <w:rPr>
          <w:sz w:val="20"/>
          <w:szCs w:val="20"/>
          <w:color w:val="auto"/>
        </w:rPr>
      </w:pPr>
      <w:r>
        <w:rPr>
          <w:rFonts w:ascii="Courier New" w:cs="Courier New" w:eastAsia="Courier New" w:hAnsi="Courier New"/>
          <w:sz w:val="15"/>
          <w:szCs w:val="15"/>
          <w:color w:val="auto"/>
        </w:rPr>
        <w:t>At December 31, 1999, the Company had total cash and cash equivalents and marketable securities of $3,826,000 compared to $1,061,000 at December 31, 1998. Cash used by operating activities for the year ended December 31, 1999 was $837,000 compared with cash used of $759,000 for the year ended December 31, 1998. The acquisition of Kirk &amp; Blum and kbd/Technic on December 7, 1999, resulted in an increase in the Company's working capital of $11,157,000, net of cash and bank debt. In December 1999, the Company consummated new credit facilities totaling $38 million under a senior secured syndicated banking facility of $33 million expiring in 2004 - 2006 and $5 million of subordinated debt totaling $5 million expiring in 2006.</w:t>
      </w:r>
    </w:p>
    <w:p>
      <w:pPr>
        <w:spacing w:after="0" w:line="200" w:lineRule="exact"/>
        <w:rPr>
          <w:sz w:val="20"/>
          <w:szCs w:val="20"/>
          <w:color w:val="auto"/>
        </w:rPr>
      </w:pPr>
    </w:p>
    <w:p>
      <w:pPr>
        <w:spacing w:after="0" w:line="31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39"/>
          </w:cols>
          <w:pgMar w:left="320" w:top="628" w:right="1440" w:bottom="1440" w:gutter="0" w:footer="0" w:header="0"/>
        </w:sectPr>
      </w:pPr>
    </w:p>
    <w:bookmarkStart w:id="21" w:name="page22"/>
    <w:bookmarkEnd w:id="21"/>
    <w:p>
      <w:pPr>
        <w:ind w:right="3219" w:firstLine="888"/>
        <w:spacing w:after="0" w:line="262" w:lineRule="auto"/>
        <w:rPr>
          <w:sz w:val="20"/>
          <w:szCs w:val="20"/>
          <w:color w:val="auto"/>
        </w:rPr>
      </w:pPr>
      <w:r>
        <w:rPr>
          <w:rFonts w:ascii="Courier New" w:cs="Courier New" w:eastAsia="Courier New" w:hAnsi="Courier New"/>
          <w:sz w:val="14"/>
          <w:szCs w:val="14"/>
          <w:color w:val="auto"/>
        </w:rPr>
        <w:t>The Company's investment in marketable securities, which earned interest income, and realized and unrealized net gains of $498,000 in 1999, consisted principally of its investment in Peerless Manufacturing Company and other investments with a fair market value of $2,691,000 on December 31, 1999.</w:t>
      </w:r>
    </w:p>
    <w:p>
      <w:pPr>
        <w:spacing w:after="0" w:line="161" w:lineRule="exact"/>
        <w:rPr>
          <w:sz w:val="20"/>
          <w:szCs w:val="20"/>
          <w:color w:val="auto"/>
        </w:rPr>
      </w:pPr>
    </w:p>
    <w:p>
      <w:pPr>
        <w:ind w:right="3039" w:firstLine="888"/>
        <w:spacing w:after="0" w:line="239" w:lineRule="auto"/>
        <w:rPr>
          <w:sz w:val="20"/>
          <w:szCs w:val="20"/>
          <w:color w:val="auto"/>
        </w:rPr>
      </w:pPr>
      <w:r>
        <w:rPr>
          <w:rFonts w:ascii="Courier New" w:cs="Courier New" w:eastAsia="Courier New" w:hAnsi="Courier New"/>
          <w:sz w:val="15"/>
          <w:szCs w:val="15"/>
          <w:color w:val="auto"/>
        </w:rPr>
        <w:t>Total bank and related debt at December 31, 1999, was $31,078,000, an increase of $27,923,000, primarily to support the acquisition of Kirk &amp; Blum and kbd/Technic. The unused credit availability at December 31, 1999 was $6,327,000 under its bank line of credit.</w:t>
      </w:r>
    </w:p>
    <w:p>
      <w:pPr>
        <w:spacing w:after="0" w:line="177" w:lineRule="exact"/>
        <w:rPr>
          <w:sz w:val="20"/>
          <w:szCs w:val="20"/>
          <w:color w:val="auto"/>
        </w:rPr>
      </w:pPr>
    </w:p>
    <w:p>
      <w:pPr>
        <w:ind w:right="3039" w:firstLine="888"/>
        <w:spacing w:after="0" w:line="239" w:lineRule="auto"/>
        <w:rPr>
          <w:sz w:val="20"/>
          <w:szCs w:val="20"/>
          <w:color w:val="auto"/>
        </w:rPr>
      </w:pPr>
      <w:r>
        <w:rPr>
          <w:rFonts w:ascii="Courier New" w:cs="Courier New" w:eastAsia="Courier New" w:hAnsi="Courier New"/>
          <w:sz w:val="15"/>
          <w:szCs w:val="15"/>
          <w:color w:val="auto"/>
        </w:rPr>
        <w:t>Investing activities consumed cash of $25,937,000 during 1999 compared with $693,000 used during the same period in 1998. The 1999 increase was primarily due to the acquisition of Kirk&amp; Blum and kbd/Technic.</w:t>
      </w:r>
    </w:p>
    <w:p>
      <w:pPr>
        <w:spacing w:after="0" w:line="175" w:lineRule="exact"/>
        <w:rPr>
          <w:sz w:val="20"/>
          <w:szCs w:val="20"/>
          <w:color w:val="auto"/>
        </w:rPr>
      </w:pPr>
    </w:p>
    <w:p>
      <w:pPr>
        <w:jc w:val="both"/>
        <w:ind w:right="3319" w:firstLine="888"/>
        <w:spacing w:after="0" w:line="258" w:lineRule="auto"/>
        <w:rPr>
          <w:sz w:val="20"/>
          <w:szCs w:val="20"/>
          <w:color w:val="auto"/>
        </w:rPr>
      </w:pPr>
      <w:r>
        <w:rPr>
          <w:rFonts w:ascii="Courier New" w:cs="Courier New" w:eastAsia="Courier New" w:hAnsi="Courier New"/>
          <w:sz w:val="14"/>
          <w:szCs w:val="14"/>
          <w:color w:val="auto"/>
        </w:rPr>
        <w:t>Capital expenditures were $165,000 and $103,000 for the years ended December 31, 1999 and 1998, respectively. The expenditures were primarily for computer equipment and software, engineering and manufacturing equipment.</w:t>
      </w:r>
    </w:p>
    <w:p>
      <w:pPr>
        <w:spacing w:after="0" w:line="1"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Capital expenditures are expected to continue to increase as a result of the Company's 1999 acquisitions and are anticipated to be in the range of $500,000 to $900,00 for the next twelve months.</w:t>
      </w:r>
    </w:p>
    <w:p>
      <w:pPr>
        <w:spacing w:after="0" w:line="175" w:lineRule="exact"/>
        <w:rPr>
          <w:sz w:val="20"/>
          <w:szCs w:val="20"/>
          <w:color w:val="auto"/>
        </w:rPr>
      </w:pPr>
    </w:p>
    <w:p>
      <w:pPr>
        <w:ind w:right="3039" w:firstLine="888"/>
        <w:spacing w:after="0" w:line="259" w:lineRule="auto"/>
        <w:rPr>
          <w:sz w:val="20"/>
          <w:szCs w:val="20"/>
          <w:color w:val="auto"/>
        </w:rPr>
      </w:pPr>
      <w:r>
        <w:rPr>
          <w:rFonts w:ascii="Courier New" w:cs="Courier New" w:eastAsia="Courier New" w:hAnsi="Courier New"/>
          <w:sz w:val="14"/>
          <w:szCs w:val="14"/>
          <w:color w:val="auto"/>
        </w:rPr>
        <w:t>Financing activities provided $27,544,000 during 1999 compared with $969,000 during the same period of 1998. The 1999 financing activities were principally comprised of $34,446,000 in net proceeds from borrowings under senior secured syndicated facilities and subordinated debt and borrowings against cash surrender value of life insurance. These borrowings were used for the acquisition of Kirk &amp; Blum and kbd/Technic. The 1999 financing activities reflect the Company's newest credit facilities under a five-year senior secured arrangement with a total commitment of $33 million. The facility allows the Company, subject to certain financial covenants, to borrow for its general corporate needs, including acquisitions. Borrowings under this arrangement bear interest at a LIBOR based rate from 30 - 180 days or based upon the bank's prime rate at the Company's designation. Under this new $33 million revolving credit facility, the Company replaced its $8 million facility.</w:t>
      </w:r>
    </w:p>
    <w:p>
      <w:pPr>
        <w:spacing w:after="0" w:line="165" w:lineRule="exact"/>
        <w:rPr>
          <w:sz w:val="20"/>
          <w:szCs w:val="20"/>
          <w:color w:val="auto"/>
        </w:rPr>
      </w:pPr>
    </w:p>
    <w:p>
      <w:pPr>
        <w:ind w:right="3039" w:firstLine="888"/>
        <w:spacing w:after="0" w:line="239" w:lineRule="auto"/>
        <w:rPr>
          <w:sz w:val="20"/>
          <w:szCs w:val="20"/>
          <w:color w:val="auto"/>
        </w:rPr>
      </w:pPr>
      <w:r>
        <w:rPr>
          <w:rFonts w:ascii="Courier New" w:cs="Courier New" w:eastAsia="Courier New" w:hAnsi="Courier New"/>
          <w:sz w:val="15"/>
          <w:szCs w:val="15"/>
          <w:color w:val="auto"/>
        </w:rPr>
        <w:t>The Company believes that its cash, cash equivalents and marketable securities, cash flows from operating activities, and existing credit facilities are adequate to meet the Company's cash requirements over the next twelve months.</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39"/>
          </w:cols>
          <w:pgMar w:left="320" w:top="631"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New Accounting Standards</w:t>
      </w:r>
    </w:p>
    <w:p>
      <w:pPr>
        <w:spacing w:after="0" w:line="174"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Statement of Financial Accounting Standards (SFAS) No. 133 "Accounting for Derivative Instruments and Hedging Activities" is effective for fiscal years beginning after June 15, 2000. SFAS 133 requires a Company to recognize all derivatives on the balance sheet at fair value. Derivatives that are not hedges must be adjusted to fair value through income. If the derivative is a hedge, depending on the nature of the hedge, changes in the fair value of the hedged assets, liabilities, or firm commitments are recognized through earnings or in other comprehensive income until the hedged item is recognized in earnings. The ineffective portion of a derivative's change in fair value will be immediately recognized in earnings. The adoption of SFAS 133 is not expected to have a significant impact on the Company's consolidated results of operations, financial position or cash flows.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The Company's market risk includes the potential loss arising from adverse changes in interest rates. The Company's market risk on interest rates is the potential increase in fair value of long-term debt resulting from a potential decrease in interest rates.</w:t>
      </w:r>
    </w:p>
    <w:p>
      <w:pPr>
        <w:spacing w:after="0" w:line="177" w:lineRule="exact"/>
        <w:rPr>
          <w:sz w:val="20"/>
          <w:szCs w:val="20"/>
          <w:color w:val="auto"/>
        </w:rPr>
      </w:pPr>
    </w:p>
    <w:p>
      <w:pPr>
        <w:ind w:right="3139" w:firstLine="799"/>
        <w:spacing w:after="0" w:line="239" w:lineRule="auto"/>
        <w:rPr>
          <w:sz w:val="20"/>
          <w:szCs w:val="20"/>
          <w:color w:val="auto"/>
        </w:rPr>
      </w:pPr>
      <w:r>
        <w:rPr>
          <w:rFonts w:ascii="Courier New" w:cs="Courier New" w:eastAsia="Courier New" w:hAnsi="Courier New"/>
          <w:sz w:val="15"/>
          <w:szCs w:val="15"/>
          <w:color w:val="auto"/>
        </w:rPr>
        <w:t>At December 31, 1999, the fair value of the Company's long-term debt approximates market. Market risk is estimated as the potential increase in fair value resulting from a hypothetical one-half percent decrease in interest rates and amounts to approximately $130,000.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The Company desires to take advantage of the "safe harbor" provisions of the Private Securities Litigation Reform Act of 1995 and is making this cautionary statement in connection with such safe harbor legislation. This Form 10-KSB, and the Annual Report to Shareholders, Form 10-Q or Form 8-K of the Company or any other written or oral statements made by or on behalf of the Company may include forward-looking statements which reflect the Company's current views with respect to future events and financial performance. The words "believe," "expect," "anticipate," "intends," "estimate," "forecast," "project," "should" and similar expressions are intended to identify "forward-looking statements" within the meaning of the Private Securities Litigation Reform Act of 1995. All forecasts and projections in this Form 10-KSB are "forward-looking statements," and are based on management's current expectations of the Company's near-term results, based on current information available pertaining to the Company, including the risk factors noted below.</w:t>
      </w:r>
    </w:p>
    <w:p>
      <w:pPr>
        <w:spacing w:after="0" w:line="182"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The Company wishes to caution investors that any forward looking statements made by or on behalf of the Company are subject to uncertainties and other factors that could cause actual results to differ materially from such statements. These uncertainties and other risk factors include, but are not limited to: changing economic and political conditions in the United States and in other countries, changes in governmental spending and budgetary policies, governmental laws and regulations surrounding various matters such as environmental remediation, contract pricing, and international trading restrictions, customer product acceptance, and continued access to capital markets, and foreign currency risks. The Company wishes to caution investors that other factors may, in the future, prove to be important in affecting the Company's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w:t>
      </w:r>
    </w:p>
    <w:p>
      <w:pPr>
        <w:spacing w:after="0" w:line="200" w:lineRule="exact"/>
        <w:rPr>
          <w:sz w:val="20"/>
          <w:szCs w:val="20"/>
          <w:color w:val="auto"/>
        </w:rPr>
      </w:pPr>
    </w:p>
    <w:p>
      <w:pPr>
        <w:spacing w:after="0" w:line="32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139"/>
          </w:cols>
          <w:pgMar w:left="320" w:top="628" w:right="1440" w:bottom="1440" w:gutter="0" w:footer="0" w:header="0"/>
        </w:sectPr>
      </w:pPr>
    </w:p>
    <w:bookmarkStart w:id="23" w:name="page24"/>
    <w:bookmarkEnd w:id="23"/>
    <w:p>
      <w:pPr>
        <w:ind w:right="3219" w:firstLine="799"/>
        <w:spacing w:after="0"/>
        <w:rPr>
          <w:sz w:val="20"/>
          <w:szCs w:val="20"/>
          <w:color w:val="auto"/>
        </w:rPr>
      </w:pPr>
      <w:r>
        <w:rPr>
          <w:rFonts w:ascii="Courier New" w:cs="Courier New" w:eastAsia="Courier New" w:hAnsi="Courier New"/>
          <w:sz w:val="15"/>
          <w:szCs w:val="15"/>
          <w:color w:val="auto"/>
        </w:rPr>
        <w:t>Investors are further cautioned not to place undue reliance on such forward-looking statements as they speak only to the Company's views as of the date the statement is made. The Company undertakes no obligation to publicly update or revise any forward-looking statements, whether as a result of new information, future events or otherwise.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139"/>
          </w:cols>
          <w:pgMar w:left="320" w:top="631" w:right="1440" w:bottom="1440" w:gutter="0" w:footer="0" w:header="0"/>
        </w:sectPr>
      </w:pPr>
    </w:p>
    <w:bookmarkStart w:id="24" w:name="page25"/>
    <w:bookmarkEnd w:id="24"/>
    <w:p>
      <w:pPr>
        <w:spacing w:after="0"/>
        <w:tabs>
          <w:tab w:leader="none" w:pos="7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w:t>
      </w:r>
    </w:p>
    <w:p>
      <w:pPr>
        <w:spacing w:after="0" w:line="174" w:lineRule="exact"/>
        <w:rPr>
          <w:sz w:val="20"/>
          <w:szCs w:val="20"/>
          <w:color w:val="auto"/>
        </w:rPr>
      </w:pPr>
    </w:p>
    <w:p>
      <w:pPr>
        <w:ind w:right="3039" w:firstLine="799"/>
        <w:spacing w:after="0" w:line="239" w:lineRule="auto"/>
        <w:rPr>
          <w:sz w:val="20"/>
          <w:szCs w:val="20"/>
          <w:color w:val="auto"/>
        </w:rPr>
      </w:pPr>
      <w:r>
        <w:rPr>
          <w:rFonts w:ascii="Courier New" w:cs="Courier New" w:eastAsia="Courier New" w:hAnsi="Courier New"/>
          <w:sz w:val="15"/>
          <w:szCs w:val="15"/>
          <w:color w:val="auto"/>
        </w:rPr>
        <w:t>The Company's Consolidated Financial Statements of CECO Environmental Corp. and Subsidiaries for Years Ended December 31, 1999 and 1998 and other data are included in this Report following the signature page of this Report: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Cover Page</w:t>
            </w:r>
          </w:p>
        </w:tc>
        <w:tc>
          <w:tcPr>
            <w:tcW w:w="3320" w:type="dxa"/>
            <w:vAlign w:val="bottom"/>
          </w:tcPr>
          <w:p>
            <w:pPr>
              <w:spacing w:after="0"/>
              <w:rPr>
                <w:sz w:val="14"/>
                <w:szCs w:val="14"/>
                <w:color w:val="auto"/>
              </w:rPr>
            </w:pPr>
          </w:p>
        </w:tc>
        <w:tc>
          <w:tcPr>
            <w:tcW w:w="1260" w:type="dxa"/>
            <w:vAlign w:val="bottom"/>
          </w:tcPr>
          <w:p>
            <w:pPr>
              <w:ind w:left="280"/>
              <w:spacing w:after="0"/>
              <w:rPr>
                <w:sz w:val="20"/>
                <w:szCs w:val="20"/>
                <w:color w:val="auto"/>
              </w:rPr>
            </w:pPr>
            <w:r>
              <w:rPr>
                <w:rFonts w:ascii="Courier New" w:cs="Courier New" w:eastAsia="Courier New" w:hAnsi="Courier New"/>
                <w:sz w:val="15"/>
                <w:szCs w:val="15"/>
                <w:color w:val="auto"/>
              </w:rPr>
              <w:t>F-1</w:t>
            </w:r>
          </w:p>
        </w:tc>
      </w:tr>
      <w:tr>
        <w:trPr>
          <w:trHeight w:val="341"/>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Independent Auditor's Report</w:t>
            </w:r>
          </w:p>
        </w:tc>
        <w:tc>
          <w:tcPr>
            <w:tcW w:w="1260" w:type="dxa"/>
            <w:vAlign w:val="bottom"/>
          </w:tcPr>
          <w:p>
            <w:pPr>
              <w:ind w:left="280"/>
              <w:spacing w:after="0"/>
              <w:rPr>
                <w:sz w:val="20"/>
                <w:szCs w:val="20"/>
                <w:color w:val="auto"/>
              </w:rPr>
            </w:pPr>
            <w:r>
              <w:rPr>
                <w:rFonts w:ascii="Courier New" w:cs="Courier New" w:eastAsia="Courier New" w:hAnsi="Courier New"/>
                <w:sz w:val="15"/>
                <w:szCs w:val="15"/>
                <w:color w:val="auto"/>
              </w:rPr>
              <w:t>F-3</w:t>
            </w:r>
          </w:p>
        </w:tc>
      </w:tr>
      <w:tr>
        <w:trPr>
          <w:trHeight w:val="171"/>
        </w:trPr>
        <w:tc>
          <w:tcPr>
            <w:tcW w:w="44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(Margolis &amp; Company P.C.)</w:t>
            </w:r>
          </w:p>
        </w:tc>
        <w:tc>
          <w:tcPr>
            <w:tcW w:w="1260" w:type="dxa"/>
            <w:vAlign w:val="bottom"/>
          </w:tcPr>
          <w:p>
            <w:pPr>
              <w:spacing w:after="0"/>
              <w:rPr>
                <w:sz w:val="14"/>
                <w:szCs w:val="14"/>
                <w:color w:val="auto"/>
              </w:rPr>
            </w:pP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Balance Sheet</w:t>
            </w:r>
          </w:p>
        </w:tc>
        <w:tc>
          <w:tcPr>
            <w:tcW w:w="1260" w:type="dxa"/>
            <w:vAlign w:val="bottom"/>
          </w:tcPr>
          <w:p>
            <w:pPr>
              <w:ind w:left="280"/>
              <w:spacing w:after="0"/>
              <w:rPr>
                <w:sz w:val="20"/>
                <w:szCs w:val="20"/>
                <w:color w:val="auto"/>
              </w:rPr>
            </w:pPr>
            <w:r>
              <w:rPr>
                <w:rFonts w:ascii="Courier New" w:cs="Courier New" w:eastAsia="Courier New" w:hAnsi="Courier New"/>
                <w:sz w:val="15"/>
                <w:szCs w:val="15"/>
                <w:color w:val="auto"/>
              </w:rPr>
              <w:t>F-4</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Statement of Operations</w:t>
            </w:r>
          </w:p>
        </w:tc>
        <w:tc>
          <w:tcPr>
            <w:tcW w:w="1260" w:type="dxa"/>
            <w:vAlign w:val="bottom"/>
          </w:tcPr>
          <w:p>
            <w:pPr>
              <w:ind w:left="280"/>
              <w:spacing w:after="0"/>
              <w:rPr>
                <w:sz w:val="20"/>
                <w:szCs w:val="20"/>
                <w:color w:val="auto"/>
              </w:rPr>
            </w:pPr>
            <w:r>
              <w:rPr>
                <w:rFonts w:ascii="Courier New" w:cs="Courier New" w:eastAsia="Courier New" w:hAnsi="Courier New"/>
                <w:sz w:val="15"/>
                <w:szCs w:val="15"/>
                <w:color w:val="auto"/>
              </w:rPr>
              <w:t>F-5</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Statement of Shareholders'</w:t>
            </w:r>
          </w:p>
        </w:tc>
        <w:tc>
          <w:tcPr>
            <w:tcW w:w="1260" w:type="dxa"/>
            <w:vAlign w:val="bottom"/>
          </w:tcPr>
          <w:p>
            <w:pPr>
              <w:ind w:left="280"/>
              <w:spacing w:after="0"/>
              <w:rPr>
                <w:sz w:val="20"/>
                <w:szCs w:val="20"/>
                <w:color w:val="auto"/>
              </w:rPr>
            </w:pPr>
            <w:r>
              <w:rPr>
                <w:rFonts w:ascii="Courier New" w:cs="Courier New" w:eastAsia="Courier New" w:hAnsi="Courier New"/>
                <w:sz w:val="15"/>
                <w:szCs w:val="15"/>
                <w:color w:val="auto"/>
              </w:rPr>
              <w:t>F-6</w:t>
            </w:r>
          </w:p>
        </w:tc>
      </w:tr>
      <w:tr>
        <w:trPr>
          <w:trHeight w:val="171"/>
        </w:trPr>
        <w:tc>
          <w:tcPr>
            <w:tcW w:w="44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Equity</w:t>
            </w:r>
          </w:p>
        </w:tc>
        <w:tc>
          <w:tcPr>
            <w:tcW w:w="1260" w:type="dxa"/>
            <w:vAlign w:val="bottom"/>
          </w:tcPr>
          <w:p>
            <w:pPr>
              <w:spacing w:after="0"/>
              <w:rPr>
                <w:sz w:val="14"/>
                <w:szCs w:val="14"/>
                <w:color w:val="auto"/>
              </w:rPr>
            </w:pP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Statement of Cash Flows</w:t>
            </w:r>
          </w:p>
        </w:tc>
        <w:tc>
          <w:tcPr>
            <w:tcW w:w="1260" w:type="dxa"/>
            <w:vAlign w:val="bottom"/>
          </w:tcPr>
          <w:p>
            <w:pPr>
              <w:ind w:left="280"/>
              <w:spacing w:after="0"/>
              <w:rPr>
                <w:sz w:val="20"/>
                <w:szCs w:val="20"/>
                <w:color w:val="auto"/>
              </w:rPr>
            </w:pPr>
            <w:r>
              <w:rPr>
                <w:rFonts w:ascii="Courier New" w:cs="Courier New" w:eastAsia="Courier New" w:hAnsi="Courier New"/>
                <w:sz w:val="15"/>
                <w:szCs w:val="15"/>
                <w:color w:val="auto"/>
              </w:rPr>
              <w:t>F-7 &amp; F-8</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Supplemental</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Disclosures of Cash</w:t>
            </w:r>
          </w:p>
        </w:tc>
        <w:tc>
          <w:tcPr>
            <w:tcW w:w="1260" w:type="dxa"/>
            <w:vAlign w:val="bottom"/>
          </w:tcPr>
          <w:p>
            <w:pPr>
              <w:ind w:left="280"/>
              <w:spacing w:after="0"/>
              <w:rPr>
                <w:sz w:val="20"/>
                <w:szCs w:val="20"/>
                <w:color w:val="auto"/>
              </w:rPr>
            </w:pPr>
            <w:r>
              <w:rPr>
                <w:rFonts w:ascii="Courier New" w:cs="Courier New" w:eastAsia="Courier New" w:hAnsi="Courier New"/>
                <w:sz w:val="15"/>
                <w:szCs w:val="15"/>
                <w:color w:val="auto"/>
              </w:rPr>
              <w:t>F-8</w:t>
            </w:r>
          </w:p>
        </w:tc>
      </w:tr>
      <w:tr>
        <w:trPr>
          <w:trHeight w:val="171"/>
        </w:trPr>
        <w:tc>
          <w:tcPr>
            <w:tcW w:w="44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Flow Information</w:t>
            </w:r>
          </w:p>
        </w:tc>
        <w:tc>
          <w:tcPr>
            <w:tcW w:w="1260" w:type="dxa"/>
            <w:vAlign w:val="bottom"/>
          </w:tcPr>
          <w:p>
            <w:pPr>
              <w:spacing w:after="0"/>
              <w:rPr>
                <w:sz w:val="14"/>
                <w:szCs w:val="14"/>
                <w:color w:val="auto"/>
              </w:rPr>
            </w:pPr>
          </w:p>
        </w:tc>
      </w:tr>
      <w:tr>
        <w:trPr>
          <w:trHeight w:val="341"/>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260" w:type="dxa"/>
            <w:vAlign w:val="bottom"/>
          </w:tcPr>
          <w:p>
            <w:pPr>
              <w:ind w:left="280"/>
              <w:spacing w:after="0"/>
              <w:rPr>
                <w:sz w:val="20"/>
                <w:szCs w:val="20"/>
                <w:color w:val="auto"/>
              </w:rPr>
            </w:pPr>
            <w:r>
              <w:rPr>
                <w:rFonts w:ascii="Courier New" w:cs="Courier New" w:eastAsia="Courier New" w:hAnsi="Courier New"/>
                <w:sz w:val="15"/>
                <w:szCs w:val="15"/>
                <w:color w:val="auto"/>
                <w:w w:val="96"/>
              </w:rPr>
              <w:t>F-9 to F-27</w:t>
            </w:r>
          </w:p>
        </w:tc>
      </w:tr>
      <w:tr>
        <w:trPr>
          <w:trHeight w:val="171"/>
        </w:trPr>
        <w:tc>
          <w:tcPr>
            <w:tcW w:w="1100" w:type="dxa"/>
            <w:vAlign w:val="bottom"/>
          </w:tcPr>
          <w:p>
            <w:pPr>
              <w:ind w:left="780"/>
              <w:spacing w:after="0"/>
              <w:rPr>
                <w:sz w:val="20"/>
                <w:szCs w:val="20"/>
                <w:color w:val="auto"/>
              </w:rPr>
            </w:pPr>
            <w:r>
              <w:rPr>
                <w:rFonts w:ascii="Courier New" w:cs="Courier New" w:eastAsia="Courier New" w:hAnsi="Courier New"/>
                <w:sz w:val="15"/>
                <w:szCs w:val="15"/>
                <w:color w:val="auto"/>
              </w:rPr>
              <w:t>for</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the Years Ended December 31, 1999,</w:t>
            </w:r>
          </w:p>
        </w:tc>
        <w:tc>
          <w:tcPr>
            <w:tcW w:w="1260" w:type="dxa"/>
            <w:vAlign w:val="bottom"/>
          </w:tcPr>
          <w:p>
            <w:pPr>
              <w:spacing w:after="0"/>
              <w:rPr>
                <w:sz w:val="14"/>
                <w:szCs w:val="14"/>
                <w:color w:val="auto"/>
              </w:rPr>
            </w:pPr>
          </w:p>
        </w:tc>
      </w:tr>
      <w:tr>
        <w:trPr>
          <w:trHeight w:val="171"/>
        </w:trPr>
        <w:tc>
          <w:tcPr>
            <w:tcW w:w="1100" w:type="dxa"/>
            <w:vAlign w:val="bottom"/>
          </w:tcPr>
          <w:p>
            <w:pPr>
              <w:ind w:left="780"/>
              <w:spacing w:after="0"/>
              <w:rPr>
                <w:sz w:val="20"/>
                <w:szCs w:val="20"/>
                <w:color w:val="auto"/>
              </w:rPr>
            </w:pPr>
            <w:r>
              <w:rPr>
                <w:rFonts w:ascii="Courier New" w:cs="Courier New" w:eastAsia="Courier New" w:hAnsi="Courier New"/>
                <w:sz w:val="15"/>
                <w:szCs w:val="15"/>
                <w:color w:val="auto"/>
              </w:rPr>
              <w:t>and</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spacing w:after="0"/>
              <w:rPr>
                <w:sz w:val="14"/>
                <w:szCs w:val="14"/>
                <w:color w:val="auto"/>
              </w:rPr>
            </w:pPr>
          </w:p>
        </w:tc>
      </w:tr>
      <w:tr>
        <w:trPr>
          <w:trHeight w:val="683"/>
        </w:trPr>
        <w:tc>
          <w:tcPr>
            <w:tcW w:w="1100" w:type="dxa"/>
            <w:vAlign w:val="bottom"/>
          </w:tcPr>
          <w:p>
            <w:pPr>
              <w:spacing w:after="0"/>
              <w:rPr>
                <w:sz w:val="24"/>
                <w:szCs w:val="24"/>
                <w:color w:val="auto"/>
              </w:rPr>
            </w:pPr>
          </w:p>
        </w:tc>
        <w:tc>
          <w:tcPr>
            <w:tcW w:w="3320" w:type="dxa"/>
            <w:vAlign w:val="bottom"/>
          </w:tcPr>
          <w:p>
            <w:pPr>
              <w:ind w:left="2360"/>
              <w:spacing w:after="0"/>
              <w:rPr>
                <w:sz w:val="20"/>
                <w:szCs w:val="20"/>
                <w:color w:val="auto"/>
              </w:rPr>
            </w:pPr>
            <w:r>
              <w:rPr>
                <w:rFonts w:ascii="Courier New" w:cs="Courier New" w:eastAsia="Courier New" w:hAnsi="Courier New"/>
                <w:sz w:val="15"/>
                <w:szCs w:val="15"/>
                <w:color w:val="auto"/>
              </w:rPr>
              <w:t>25</w:t>
            </w:r>
          </w:p>
        </w:tc>
        <w:tc>
          <w:tcPr>
            <w:tcW w:w="1260" w:type="dxa"/>
            <w:vAlign w:val="bottom"/>
          </w:tcPr>
          <w:p>
            <w:pPr>
              <w:spacing w:after="0"/>
              <w:rPr>
                <w:sz w:val="24"/>
                <w:szCs w:val="24"/>
                <w:color w:val="auto"/>
              </w:rPr>
            </w:pPr>
          </w:p>
        </w:tc>
      </w:tr>
    </w:tbl>
    <w:p>
      <w:pPr>
        <w:sectPr>
          <w:pgSz w:w="11900" w:h="16838" w:orient="portrait"/>
          <w:cols w:equalWidth="0" w:num="1">
            <w:col w:w="10139"/>
          </w:cols>
          <w:pgMar w:left="320" w:top="969" w:right="1440" w:bottom="1440" w:gutter="0" w:footer="0" w:header="0"/>
        </w:sectPr>
      </w:pPr>
    </w:p>
    <w:bookmarkStart w:id="25" w:name="page26"/>
    <w:bookmarkEnd w:id="25"/>
    <w:p>
      <w:pPr>
        <w:ind w:right="3759"/>
        <w:spacing w:after="0" w:line="238" w:lineRule="auto"/>
        <w:rPr>
          <w:sz w:val="20"/>
          <w:szCs w:val="20"/>
          <w:color w:val="auto"/>
        </w:rPr>
      </w:pPr>
      <w:r>
        <w:rPr>
          <w:rFonts w:ascii="Courier New" w:cs="Courier New" w:eastAsia="Courier New" w:hAnsi="Courier New"/>
          <w:sz w:val="15"/>
          <w:szCs w:val="15"/>
          <w:color w:val="auto"/>
        </w:rPr>
        <w:t>Item 8. Changes in and Disagreements with Accountants on Accounting and Financial Disclosure</w:t>
      </w:r>
    </w:p>
    <w:p>
      <w:pPr>
        <w:spacing w:after="0" w:line="175" w:lineRule="exact"/>
        <w:rPr>
          <w:sz w:val="20"/>
          <w:szCs w:val="20"/>
          <w:color w:val="auto"/>
        </w:rPr>
      </w:pPr>
    </w:p>
    <w:p>
      <w:pPr>
        <w:ind w:right="3039" w:firstLine="799"/>
        <w:spacing w:after="0" w:line="238" w:lineRule="auto"/>
        <w:rPr>
          <w:sz w:val="20"/>
          <w:szCs w:val="20"/>
          <w:color w:val="auto"/>
        </w:rPr>
      </w:pPr>
      <w:r>
        <w:rPr>
          <w:rFonts w:ascii="Courier New" w:cs="Courier New" w:eastAsia="Courier New" w:hAnsi="Courier New"/>
          <w:sz w:val="15"/>
          <w:szCs w:val="15"/>
          <w:color w:val="auto"/>
        </w:rPr>
        <w:t>The Company has had no changes in or disagreements with its independent accountants during the Company's two most recent fiscal years.</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PART III</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Item 9. Directors and Executive Officers of the Registrant; Compliance with Section 16(a) of the Exchange Act</w:t>
      </w:r>
    </w:p>
    <w:p>
      <w:pPr>
        <w:spacing w:after="0" w:line="175"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The following are the directors and executive officers of the Company and the executive officers of CECO Group, the Company's subsidiary that controls all the Company's operating subsidiaries. The terms of all directors expire at the next annual meeting of shareholders and upon election of their successors. The terms of all officers expire at the next annual meeting of the board of directors and upon the election of the successors of such officers.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80" w:type="dxa"/>
            <w:vAlign w:val="bottom"/>
          </w:tcPr>
          <w:p>
            <w:pPr>
              <w:ind w:left="300"/>
              <w:spacing w:after="0"/>
              <w:rPr>
                <w:sz w:val="20"/>
                <w:szCs w:val="20"/>
                <w:color w:val="auto"/>
              </w:rPr>
            </w:pPr>
            <w:r>
              <w:rPr>
                <w:rFonts w:ascii="Courier New" w:cs="Courier New" w:eastAsia="Courier New" w:hAnsi="Courier New"/>
                <w:sz w:val="15"/>
                <w:szCs w:val="15"/>
                <w:color w:val="auto"/>
              </w:rPr>
              <w:t>Age</w:t>
            </w:r>
          </w:p>
        </w:tc>
        <w:tc>
          <w:tcPr>
            <w:tcW w:w="1280" w:type="dxa"/>
            <w:vAlign w:val="bottom"/>
          </w:tcPr>
          <w:p>
            <w:pPr>
              <w:spacing w:after="0"/>
              <w:rPr>
                <w:sz w:val="14"/>
                <w:szCs w:val="14"/>
                <w:color w:val="auto"/>
              </w:rPr>
            </w:pP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Position</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38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21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rPr>
              <w:t>Richard Blum</w:t>
            </w:r>
          </w:p>
        </w:tc>
        <w:tc>
          <w:tcPr>
            <w:tcW w:w="1380" w:type="dxa"/>
            <w:vAlign w:val="bottom"/>
          </w:tcPr>
          <w:p>
            <w:pPr>
              <w:ind w:left="300"/>
              <w:spacing w:after="0"/>
              <w:rPr>
                <w:sz w:val="20"/>
                <w:szCs w:val="20"/>
                <w:color w:val="auto"/>
              </w:rPr>
            </w:pPr>
            <w:r>
              <w:rPr>
                <w:rFonts w:ascii="Courier New" w:cs="Courier New" w:eastAsia="Courier New" w:hAnsi="Courier New"/>
                <w:sz w:val="15"/>
                <w:szCs w:val="15"/>
                <w:color w:val="auto"/>
              </w:rPr>
              <w:t>53</w:t>
            </w:r>
          </w:p>
        </w:tc>
        <w:tc>
          <w:tcPr>
            <w:tcW w:w="34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Chief Executive Officer and</w:t>
            </w:r>
          </w:p>
        </w:tc>
      </w:tr>
      <w:tr>
        <w:trPr>
          <w:trHeight w:val="171"/>
        </w:trPr>
        <w:tc>
          <w:tcPr>
            <w:tcW w:w="2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President</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of CECO Group, Inc.</w:t>
            </w:r>
          </w:p>
        </w:tc>
      </w:tr>
      <w:tr>
        <w:trPr>
          <w:trHeight w:val="341"/>
        </w:trPr>
        <w:tc>
          <w:tcPr>
            <w:tcW w:w="2080" w:type="dxa"/>
            <w:vAlign w:val="bottom"/>
          </w:tcPr>
          <w:p>
            <w:pPr>
              <w:spacing w:after="0"/>
              <w:rPr>
                <w:sz w:val="20"/>
                <w:szCs w:val="20"/>
                <w:color w:val="auto"/>
              </w:rPr>
            </w:pPr>
            <w:r>
              <w:rPr>
                <w:rFonts w:ascii="Courier New" w:cs="Courier New" w:eastAsia="Courier New" w:hAnsi="Courier New"/>
                <w:sz w:val="15"/>
                <w:szCs w:val="15"/>
                <w:color w:val="auto"/>
              </w:rPr>
              <w:t>Phillip DeZwirek</w:t>
            </w:r>
          </w:p>
        </w:tc>
        <w:tc>
          <w:tcPr>
            <w:tcW w:w="1380" w:type="dxa"/>
            <w:vAlign w:val="bottom"/>
          </w:tcPr>
          <w:p>
            <w:pPr>
              <w:ind w:left="300"/>
              <w:spacing w:after="0"/>
              <w:rPr>
                <w:sz w:val="20"/>
                <w:szCs w:val="20"/>
                <w:color w:val="auto"/>
              </w:rPr>
            </w:pPr>
            <w:r>
              <w:rPr>
                <w:rFonts w:ascii="Courier New" w:cs="Courier New" w:eastAsia="Courier New" w:hAnsi="Courier New"/>
                <w:sz w:val="15"/>
                <w:szCs w:val="15"/>
                <w:color w:val="auto"/>
              </w:rPr>
              <w:t>62</w:t>
            </w:r>
          </w:p>
        </w:tc>
        <w:tc>
          <w:tcPr>
            <w:tcW w:w="34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Chairman of the Board of Directors</w:t>
            </w:r>
          </w:p>
        </w:tc>
      </w:tr>
      <w:tr>
        <w:trPr>
          <w:trHeight w:val="171"/>
        </w:trPr>
        <w:tc>
          <w:tcPr>
            <w:tcW w:w="2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and Chief</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Officer</w:t>
            </w:r>
          </w:p>
        </w:tc>
      </w:tr>
      <w:tr>
        <w:trPr>
          <w:trHeight w:val="341"/>
        </w:trPr>
        <w:tc>
          <w:tcPr>
            <w:tcW w:w="2080" w:type="dxa"/>
            <w:vAlign w:val="bottom"/>
          </w:tcPr>
          <w:p>
            <w:pPr>
              <w:spacing w:after="0"/>
              <w:rPr>
                <w:sz w:val="20"/>
                <w:szCs w:val="20"/>
                <w:color w:val="auto"/>
              </w:rPr>
            </w:pPr>
            <w:r>
              <w:rPr>
                <w:rFonts w:ascii="Courier New" w:cs="Courier New" w:eastAsia="Courier New" w:hAnsi="Courier New"/>
                <w:sz w:val="15"/>
                <w:szCs w:val="15"/>
                <w:color w:val="auto"/>
              </w:rPr>
              <w:t>Jason Louis DeZwirek</w:t>
            </w:r>
          </w:p>
        </w:tc>
        <w:tc>
          <w:tcPr>
            <w:tcW w:w="1380" w:type="dxa"/>
            <w:vAlign w:val="bottom"/>
          </w:tcPr>
          <w:p>
            <w:pPr>
              <w:ind w:left="300"/>
              <w:spacing w:after="0"/>
              <w:rPr>
                <w:sz w:val="20"/>
                <w:szCs w:val="20"/>
                <w:color w:val="auto"/>
              </w:rPr>
            </w:pPr>
            <w:r>
              <w:rPr>
                <w:rFonts w:ascii="Courier New" w:cs="Courier New" w:eastAsia="Courier New" w:hAnsi="Courier New"/>
                <w:sz w:val="15"/>
                <w:szCs w:val="15"/>
                <w:color w:val="auto"/>
              </w:rPr>
              <w:t>29</w:t>
            </w:r>
          </w:p>
        </w:tc>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Secretary</w:t>
            </w:r>
          </w:p>
        </w:tc>
      </w:tr>
      <w:tr>
        <w:trPr>
          <w:trHeight w:val="341"/>
        </w:trPr>
        <w:tc>
          <w:tcPr>
            <w:tcW w:w="2080" w:type="dxa"/>
            <w:vAlign w:val="bottom"/>
          </w:tcPr>
          <w:p>
            <w:pPr>
              <w:spacing w:after="0"/>
              <w:rPr>
                <w:sz w:val="20"/>
                <w:szCs w:val="20"/>
                <w:color w:val="auto"/>
              </w:rPr>
            </w:pPr>
            <w:r>
              <w:rPr>
                <w:rFonts w:ascii="Courier New" w:cs="Courier New" w:eastAsia="Courier New" w:hAnsi="Courier New"/>
                <w:sz w:val="15"/>
                <w:szCs w:val="15"/>
                <w:color w:val="auto"/>
              </w:rPr>
              <w:t>Josephine Grivas</w:t>
            </w:r>
          </w:p>
        </w:tc>
        <w:tc>
          <w:tcPr>
            <w:tcW w:w="1380" w:type="dxa"/>
            <w:vAlign w:val="bottom"/>
          </w:tcPr>
          <w:p>
            <w:pPr>
              <w:ind w:left="300"/>
              <w:spacing w:after="0"/>
              <w:rPr>
                <w:sz w:val="20"/>
                <w:szCs w:val="20"/>
                <w:color w:val="auto"/>
              </w:rPr>
            </w:pPr>
            <w:r>
              <w:rPr>
                <w:rFonts w:ascii="Courier New" w:cs="Courier New" w:eastAsia="Courier New" w:hAnsi="Courier New"/>
                <w:sz w:val="15"/>
                <w:szCs w:val="15"/>
                <w:color w:val="auto"/>
              </w:rPr>
              <w:t>60</w:t>
            </w:r>
          </w:p>
        </w:tc>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c>
          <w:tcPr>
            <w:tcW w:w="2180" w:type="dxa"/>
            <w:vAlign w:val="bottom"/>
          </w:tcPr>
          <w:p>
            <w:pPr>
              <w:spacing w:after="0"/>
              <w:rPr>
                <w:sz w:val="24"/>
                <w:szCs w:val="24"/>
                <w:color w:val="auto"/>
              </w:rPr>
            </w:pPr>
          </w:p>
        </w:tc>
      </w:tr>
      <w:tr>
        <w:trPr>
          <w:trHeight w:val="341"/>
        </w:trPr>
        <w:tc>
          <w:tcPr>
            <w:tcW w:w="2080" w:type="dxa"/>
            <w:vAlign w:val="bottom"/>
          </w:tcPr>
          <w:p>
            <w:pPr>
              <w:spacing w:after="0"/>
              <w:rPr>
                <w:sz w:val="20"/>
                <w:szCs w:val="20"/>
                <w:color w:val="auto"/>
              </w:rPr>
            </w:pPr>
            <w:r>
              <w:rPr>
                <w:rFonts w:ascii="Courier New" w:cs="Courier New" w:eastAsia="Courier New" w:hAnsi="Courier New"/>
                <w:sz w:val="15"/>
                <w:szCs w:val="15"/>
                <w:color w:val="auto"/>
              </w:rPr>
              <w:t>Marshall J. Morris</w:t>
            </w:r>
          </w:p>
        </w:tc>
        <w:tc>
          <w:tcPr>
            <w:tcW w:w="1380" w:type="dxa"/>
            <w:vAlign w:val="bottom"/>
          </w:tcPr>
          <w:p>
            <w:pPr>
              <w:ind w:left="300"/>
              <w:spacing w:after="0"/>
              <w:rPr>
                <w:sz w:val="20"/>
                <w:szCs w:val="20"/>
                <w:color w:val="auto"/>
              </w:rPr>
            </w:pPr>
            <w:r>
              <w:rPr>
                <w:rFonts w:ascii="Courier New" w:cs="Courier New" w:eastAsia="Courier New" w:hAnsi="Courier New"/>
                <w:sz w:val="15"/>
                <w:szCs w:val="15"/>
                <w:color w:val="auto"/>
              </w:rPr>
              <w:t>40</w:t>
            </w:r>
          </w:p>
        </w:tc>
        <w:tc>
          <w:tcPr>
            <w:tcW w:w="34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Chief Financial Officer</w:t>
            </w:r>
          </w:p>
        </w:tc>
      </w:tr>
      <w:tr>
        <w:trPr>
          <w:trHeight w:val="341"/>
        </w:trPr>
        <w:tc>
          <w:tcPr>
            <w:tcW w:w="2080" w:type="dxa"/>
            <w:vAlign w:val="bottom"/>
          </w:tcPr>
          <w:p>
            <w:pPr>
              <w:spacing w:after="0"/>
              <w:rPr>
                <w:sz w:val="20"/>
                <w:szCs w:val="20"/>
                <w:color w:val="auto"/>
              </w:rPr>
            </w:pPr>
            <w:r>
              <w:rPr>
                <w:rFonts w:ascii="Courier New" w:cs="Courier New" w:eastAsia="Courier New" w:hAnsi="Courier New"/>
                <w:sz w:val="15"/>
                <w:szCs w:val="15"/>
                <w:color w:val="auto"/>
              </w:rPr>
              <w:t>Donald Wright</w:t>
            </w:r>
          </w:p>
        </w:tc>
        <w:tc>
          <w:tcPr>
            <w:tcW w:w="1380" w:type="dxa"/>
            <w:vAlign w:val="bottom"/>
          </w:tcPr>
          <w:p>
            <w:pPr>
              <w:ind w:left="300"/>
              <w:spacing w:after="0"/>
              <w:rPr>
                <w:sz w:val="20"/>
                <w:szCs w:val="20"/>
                <w:color w:val="auto"/>
              </w:rPr>
            </w:pPr>
            <w:r>
              <w:rPr>
                <w:rFonts w:ascii="Courier New" w:cs="Courier New" w:eastAsia="Courier New" w:hAnsi="Courier New"/>
                <w:sz w:val="15"/>
                <w:szCs w:val="15"/>
                <w:color w:val="auto"/>
              </w:rPr>
              <w:t>62</w:t>
            </w:r>
          </w:p>
        </w:tc>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c>
          <w:tcPr>
            <w:tcW w:w="2180" w:type="dxa"/>
            <w:vAlign w:val="bottom"/>
          </w:tcPr>
          <w:p>
            <w:pPr>
              <w:spacing w:after="0"/>
              <w:rPr>
                <w:sz w:val="24"/>
                <w:szCs w:val="24"/>
                <w:color w:val="auto"/>
              </w:rPr>
            </w:pPr>
          </w:p>
        </w:tc>
      </w:tr>
    </w:tbl>
    <w:p>
      <w:pPr>
        <w:spacing w:after="0" w:line="174" w:lineRule="exact"/>
        <w:rPr>
          <w:sz w:val="20"/>
          <w:szCs w:val="20"/>
          <w:color w:val="auto"/>
        </w:rPr>
      </w:pPr>
    </w:p>
    <w:p>
      <w:pPr>
        <w:ind w:right="3319" w:firstLine="799"/>
        <w:spacing w:after="0" w:line="238" w:lineRule="auto"/>
        <w:rPr>
          <w:sz w:val="20"/>
          <w:szCs w:val="20"/>
          <w:color w:val="auto"/>
        </w:rPr>
      </w:pPr>
      <w:r>
        <w:rPr>
          <w:rFonts w:ascii="Courier New" w:cs="Courier New" w:eastAsia="Courier New" w:hAnsi="Courier New"/>
          <w:sz w:val="15"/>
          <w:szCs w:val="15"/>
          <w:color w:val="auto"/>
        </w:rPr>
        <w:t>The business backgrounds during the past five years of the Company's directors and officers are as follows:</w:t>
      </w:r>
    </w:p>
    <w:p>
      <w:pPr>
        <w:spacing w:after="0" w:line="175"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Richard Blum became the Chief Executive Officer and President of CECO Group, Inc. on December 10, 1999. Mr. Blum has been a director and the President of Kirk &amp; Blum since February 28, 1975 and the Chairman of kbd/Technic, and a director of kbd/Technic since November 1988. Kirk &amp; Blum and kbd/Technic were acquired by the Company on December 7, 1999.</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39"/>
          </w:cols>
          <w:pgMar w:left="320" w:top="801" w:right="1440" w:bottom="1440" w:gutter="0" w:footer="0" w:header="0"/>
        </w:sectPr>
      </w:pPr>
    </w:p>
    <w:bookmarkStart w:id="26" w:name="page27"/>
    <w:bookmarkEnd w:id="26"/>
    <w:p>
      <w:pPr>
        <w:ind w:right="3039" w:firstLine="799"/>
        <w:spacing w:after="0"/>
        <w:rPr>
          <w:sz w:val="20"/>
          <w:szCs w:val="20"/>
          <w:color w:val="auto"/>
        </w:rPr>
      </w:pPr>
      <w:r>
        <w:rPr>
          <w:rFonts w:ascii="Courier New" w:cs="Courier New" w:eastAsia="Courier New" w:hAnsi="Courier New"/>
          <w:sz w:val="15"/>
          <w:szCs w:val="15"/>
          <w:color w:val="auto"/>
        </w:rPr>
        <w:t>Phillip DeZwirek became a director, the Chairman of the Board and the Chief Executive Officer of the Company in August 1979. Mr. DeZwirek also served as Chief Financial Officer until January 26, 2000. Mr. DeZwirek's principal occupations during the past five years have been as Chairman of the Board of Digital Fusion Multimedia Corp. of Toronto Canada; Chairman of the Board and Vice President of CECO Filters, Inc., a Delaware corporation (since 1985); a director of Kirk &amp; Blum and kbd/Technic (since 1999) and President of Can-Med Technology, Inc. d/b/a Green Diamond Corp. ("Can-Med") (since 1990). Mr. DeZwirek has also been involved in private investment activities for the past five years. Digital Fusion's common stock is traded over-the-counter. Kirk &amp; Blum, kbd/Technic and Filters are discussed elsewhere in this document. See Item 1 - Business.</w:t>
      </w:r>
    </w:p>
    <w:p>
      <w:pPr>
        <w:spacing w:after="0" w:line="180"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Jason Louis DeZwirek, the son of Phillip DeZwirek, became a director of the Company in February, 1994. He became Secretary of the Company on February 20, 1998, following the resignation of Josephine Grivas as Secretary. Mr. DeZwirek from October 1, 1997, has also been a member of the Committee that was established to administer the Company's stock option plan. Mr. DeZwirek's principal occupation since October 1999 has been as President of kaboose.com Inc., a company that owns a children's portal.</w:t>
      </w:r>
    </w:p>
    <w:p>
      <w:pPr>
        <w:spacing w:after="0" w:line="176" w:lineRule="exact"/>
        <w:rPr>
          <w:sz w:val="20"/>
          <w:szCs w:val="20"/>
          <w:color w:val="auto"/>
        </w:rPr>
      </w:pPr>
    </w:p>
    <w:p>
      <w:pPr>
        <w:ind w:right="3039" w:firstLine="799"/>
        <w:spacing w:after="0" w:line="259" w:lineRule="auto"/>
        <w:rPr>
          <w:sz w:val="20"/>
          <w:szCs w:val="20"/>
          <w:color w:val="auto"/>
        </w:rPr>
      </w:pPr>
      <w:r>
        <w:rPr>
          <w:rFonts w:ascii="Courier New" w:cs="Courier New" w:eastAsia="Courier New" w:hAnsi="Courier New"/>
          <w:sz w:val="14"/>
          <w:szCs w:val="14"/>
          <w:color w:val="auto"/>
        </w:rPr>
        <w:t>Josephine Grivas has been a director of the Company since February, 1991. She was its Secretary from October, 1992 until she resigned as of February 2, 1998. Ms. Grivas has since October 1, 1997, also been a member of the Committee that was established to administer the Company's stock option plan. Since February 20, 1998, Ms. Grivas has been a member of the Audit Committee, which was created to evaluate transactions where the potential for a conflict of interest exists and such other matters that are properly referred to the Audit Committee by the Board of Directors. Ms. Grivas had been an administrative assistant for Phillip DeZwirek, Icarus Investment Corp. and other entities he controls since 1975. She retired from those positions in February, 1998.</w:t>
      </w:r>
    </w:p>
    <w:p>
      <w:pPr>
        <w:spacing w:after="0" w:line="166"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Donald A. Wright became a director of the Company on February 20, 1998. Mr. Wright has also been a member of the Audit Committee since February 20, 1998. Mr. Wright has been a principal of and real estate broker with The Phillips Group in San Diego, California, a company which is a real estate developer and apartment building syndicator, since 1992. Since November 1996, Mr. Wright has also been a real estate broker with Prudential Dunn Realtors in Pacific Beach, California. From August 1995 until October 1996 he was the principal of and real estate broker with Barbour Real Estate Sales and Leasing in La Costa, California.</w:t>
      </w:r>
    </w:p>
    <w:p>
      <w:pPr>
        <w:spacing w:after="0" w:line="200" w:lineRule="exact"/>
        <w:rPr>
          <w:sz w:val="20"/>
          <w:szCs w:val="20"/>
          <w:color w:val="auto"/>
        </w:rPr>
      </w:pPr>
    </w:p>
    <w:p>
      <w:pPr>
        <w:spacing w:after="0" w:line="31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139"/>
          </w:cols>
          <w:pgMar w:left="320" w:top="631" w:right="1440" w:bottom="1440" w:gutter="0" w:footer="0" w:header="0"/>
        </w:sectPr>
      </w:pPr>
    </w:p>
    <w:bookmarkStart w:id="27" w:name="page28"/>
    <w:bookmarkEnd w:id="27"/>
    <w:p>
      <w:pPr>
        <w:ind w:right="3039" w:firstLine="799"/>
        <w:spacing w:after="0"/>
        <w:rPr>
          <w:sz w:val="20"/>
          <w:szCs w:val="20"/>
          <w:color w:val="auto"/>
        </w:rPr>
      </w:pPr>
      <w:r>
        <w:rPr>
          <w:rFonts w:ascii="Courier New" w:cs="Courier New" w:eastAsia="Courier New" w:hAnsi="Courier New"/>
          <w:sz w:val="15"/>
          <w:szCs w:val="15"/>
          <w:color w:val="auto"/>
        </w:rPr>
        <w:t>Marshall J. Morris became the Chief Financial Officer of the Company on January 26, 2000. From 1996 to 1999 Mr. Morris was Treasurer of Calgon Carbon Corporation which stock trades on the New York Stock Exchange and which is a worldwide producer of specialty chemicals and supplier of pollution control technologies and services with annual sales of approximately $300 million. From 1995 to 1996 he served as a consultant with respect to business management and strategic planning. From 1989 through 1995 Mr. Morris also served as the Treasurer of Trico Products Corporation, an international manufacturer and distributor of original equipment automative parts with annual sales of approximately $350 million.</w:t>
      </w:r>
    </w:p>
    <w:p>
      <w:pPr>
        <w:spacing w:after="0" w:line="178" w:lineRule="exact"/>
        <w:rPr>
          <w:sz w:val="20"/>
          <w:szCs w:val="20"/>
          <w:color w:val="auto"/>
        </w:rPr>
      </w:pPr>
    </w:p>
    <w:p>
      <w:pPr>
        <w:ind w:right="3499" w:firstLine="799"/>
        <w:spacing w:after="0" w:line="239" w:lineRule="auto"/>
        <w:rPr>
          <w:sz w:val="20"/>
          <w:szCs w:val="20"/>
          <w:color w:val="auto"/>
        </w:rPr>
      </w:pPr>
      <w:r>
        <w:rPr>
          <w:rFonts w:ascii="Courier New" w:cs="Courier New" w:eastAsia="Courier New" w:hAnsi="Courier New"/>
          <w:sz w:val="15"/>
          <w:szCs w:val="15"/>
          <w:color w:val="auto"/>
        </w:rPr>
        <w:t>During the fiscal year ended December 31, 1999, the Board held no meetings. During and since the end of such period, action has been taken by unanimous written consent of the Board of Directors.</w:t>
      </w:r>
    </w:p>
    <w:p>
      <w:pPr>
        <w:spacing w:after="0" w:line="175"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Section 16(a) Beneficial Ownership Reporting Compliance. Steven I. Taub, the President of Filters, failed to timely file a Form 4 to report the sale of 500 shares of stock of the Company. Such transaction was reported in a late Form 4. Except for Mr. Taub, the Company is not aware of any persons who beneficially own or owned more than 10 percent of the outstanding common stock of the Company or any officer, director or other person subject to the requirements of Section 16 of the Securities Exchange Act of 1934 who, during the period covered by this Annual Report on Form 10-K, failed to file, or failed to file on a timely basis, any reports or forms required to be filed under said Section 16 or the rules and regulations promulgated thereunder.</w:t>
      </w:r>
    </w:p>
    <w:p>
      <w:pPr>
        <w:spacing w:after="0" w:line="17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Executive Compensation</w:t>
      </w:r>
    </w:p>
    <w:p>
      <w:pPr>
        <w:spacing w:after="0" w:line="174" w:lineRule="exact"/>
        <w:rPr>
          <w:sz w:val="20"/>
          <w:szCs w:val="20"/>
          <w:color w:val="auto"/>
        </w:rPr>
      </w:pPr>
    </w:p>
    <w:p>
      <w:pPr>
        <w:ind w:right="3139" w:firstLine="799"/>
        <w:spacing w:after="0"/>
        <w:rPr>
          <w:sz w:val="20"/>
          <w:szCs w:val="20"/>
          <w:color w:val="auto"/>
        </w:rPr>
      </w:pPr>
      <w:r>
        <w:rPr>
          <w:rFonts w:ascii="Courier New" w:cs="Courier New" w:eastAsia="Courier New" w:hAnsi="Courier New"/>
          <w:sz w:val="15"/>
          <w:szCs w:val="15"/>
          <w:color w:val="auto"/>
        </w:rPr>
        <w:t>Except for the compensation described below, neither the Company nor any of its subsidiaries paid, set aside or accrued any salary or other remuneration or bonus, or any amount pursuant to a profit-sharing, pension, retirement, deferred compensation or other similar plan, during its last fiscal year, to or for any of the Company's executive officers or directors.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139"/>
          </w:cols>
          <w:pgMar w:left="320" w:top="631"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Warrants</w:t>
      </w:r>
    </w:p>
    <w:p>
      <w:pPr>
        <w:spacing w:after="0" w:line="174" w:lineRule="exact"/>
        <w:rPr>
          <w:sz w:val="20"/>
          <w:szCs w:val="20"/>
          <w:color w:val="auto"/>
        </w:rPr>
      </w:pPr>
    </w:p>
    <w:p>
      <w:pPr>
        <w:ind w:right="3039" w:firstLine="799"/>
        <w:spacing w:after="0" w:line="259" w:lineRule="auto"/>
        <w:rPr>
          <w:sz w:val="20"/>
          <w:szCs w:val="20"/>
          <w:color w:val="auto"/>
        </w:rPr>
      </w:pPr>
      <w:r>
        <w:rPr>
          <w:rFonts w:ascii="Courier New" w:cs="Courier New" w:eastAsia="Courier New" w:hAnsi="Courier New"/>
          <w:sz w:val="14"/>
          <w:szCs w:val="14"/>
          <w:color w:val="auto"/>
        </w:rPr>
        <w:t>In consideration for Phillip DeZwirek's valuable service to the Company as an employee, officer and director, the Company granted Mr. DeZwirek warrants on January 22, 1999 to purchase up to 500,000 shares of the Company's common stock, which are exercisable at any time between July 22, 1999 and January 22, 2009 inclusive at a price of $3.00, the closing price of the Company's common stock on January 22, 1999 (each such grant of warrants a "Warrant Grant"). All of such warrants are transferable and grant the holders thereof piggyback registration rights, i.e. the right to participate in any registration of securities by the Company other than a registration statement in connection with a merger or pursuant to registration statements on Forms S-4 or S-8. Additionally, the holders of a majority of the shares underlying the warrants and the warrants for each Warrant Grant have the right on two occasions to have the Company prepare and file with the Securities and Exchange Commission a registration statement and such other documents as may be necessary for such holders to effect a public offering of the shares underlying the warrants previously issued or to be issued upon the effectiveness of such registration statement. The Company is however required to pay the expenses of only one of such registrations for each Warrant Grant. With respect to each Warrant Grant, the right to demand such registrations expires 10 years from the date of the Warrant Grant, or upon the happening of certain other conditions.</w:t>
      </w:r>
    </w:p>
    <w:p>
      <w:pPr>
        <w:spacing w:after="0" w:line="333"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On December 7, 1999, Richard Blum and David Blum were granted warrants to purchase 448,000 and 335,000, respectively, shares of the Company's stock. The exercise price for each share is $2.9375. The warrants become exercisable at the rate of 25% per year over the four years following December 7, 1999 and have a term of ten years.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w:t>
      </w:r>
    </w:p>
    <w:p>
      <w:pPr>
        <w:spacing w:after="0" w:line="174"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On October 1, 1997, the Board of Directors of the Company adopted the CECO Environmental Corp. 1997 Stock Option Plan (the "Plan"). The Plan was approved by the shareholders on September 10, 1998. The stock options are intended to qualify as incentive stock options and may be issued to officers and employees of the Company and its subsidiaries. The Plan must be administered by a committee of at least two non-employee directors; the committee currently consists of Jason DeZwirek and Josephine Grivas. One Million, Five Hundred Thousand shares of the Company's stock has been reserved for issuance pursuant to the Plan. Options to purchase stock may be granted at not less than 100% of the market price of the shares on the date of the grant, except that if the grantee of the options owns more than 10% of the voting power of stock of the Company or any of its subsidiaries, the option price per share may not be less than 110% of the market price on the date of the grant. No options under the Plan were issued in 1999.</w:t>
      </w:r>
    </w:p>
    <w:p>
      <w:pPr>
        <w:spacing w:after="0" w:line="200" w:lineRule="exact"/>
        <w:rPr>
          <w:sz w:val="20"/>
          <w:szCs w:val="20"/>
          <w:color w:val="auto"/>
        </w:rPr>
      </w:pPr>
    </w:p>
    <w:p>
      <w:pPr>
        <w:spacing w:after="0" w:line="32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139"/>
          </w:cols>
          <w:pgMar w:left="320" w:top="799" w:right="1440" w:bottom="1440" w:gutter="0" w:footer="0" w:header="0"/>
        </w:sectPr>
      </w:pPr>
    </w:p>
    <w:bookmarkStart w:id="29" w:name="page30"/>
    <w:bookmarkEnd w:id="29"/>
    <w:p>
      <w:pPr>
        <w:ind w:left="9" w:right="3039" w:firstLine="799"/>
        <w:spacing w:after="0"/>
        <w:rPr>
          <w:sz w:val="20"/>
          <w:szCs w:val="20"/>
          <w:color w:val="auto"/>
        </w:rPr>
      </w:pPr>
      <w:r>
        <w:rPr>
          <w:rFonts w:ascii="Courier New" w:cs="Courier New" w:eastAsia="Courier New" w:hAnsi="Courier New"/>
          <w:sz w:val="15"/>
          <w:szCs w:val="15"/>
          <w:color w:val="auto"/>
        </w:rPr>
        <w:t>On September 21, 1999, the Board of Directors of the Company adopted the CECO Environmental Corp. 1999 Employee Stock Purchase Plan (the "Stock Plan"). Employees, other than certain part-time employees, are eligible to participate in the Stock Plan, which provides employees the opportunity to purchase stock of the Company at a discounted price. The maximum number of shares of common stock of the Company that will be offered under the Stock Plan is 1,000,000. Such shares will be offered in nine separate consecutive offerings commencing October 1, 1999, with the final offering terminating on September 30, 2004. The purchase price per share will be the lesser of 85% of the market price of the stock on the last business day of the offering or 85% of the market price of the stock on the offering date. Payment of the stock under the Stock Plan is paid through employee payroll deductions. The Stock Plan is administered by the Company's board of directors, however, the board of directors may delegate its authority to a committee of the board or an officer of the Company. The Stock Plan was approved by the shareholders of the Company at the annual shareholders meeting held November 16, 1999. No stock has been issued as of March 20, 2000 under the Stock Plan.</w:t>
      </w:r>
    </w:p>
    <w:p>
      <w:pPr>
        <w:spacing w:after="0" w:line="184" w:lineRule="exact"/>
        <w:rPr>
          <w:sz w:val="20"/>
          <w:szCs w:val="20"/>
          <w:color w:val="auto"/>
        </w:rPr>
      </w:pPr>
    </w:p>
    <w:p>
      <w:pPr>
        <w:ind w:left="9" w:right="3579" w:firstLine="799"/>
        <w:spacing w:after="0" w:line="239" w:lineRule="auto"/>
        <w:rPr>
          <w:sz w:val="20"/>
          <w:szCs w:val="20"/>
          <w:color w:val="auto"/>
        </w:rPr>
      </w:pPr>
      <w:r>
        <w:rPr>
          <w:rFonts w:ascii="Courier New" w:cs="Courier New" w:eastAsia="Courier New" w:hAnsi="Courier New"/>
          <w:sz w:val="15"/>
          <w:szCs w:val="15"/>
          <w:color w:val="auto"/>
        </w:rPr>
        <w:t>The following table summarizes the total compensation of Phillip DeZwirek, the Chief Executive Officer of the Company, for 1999 and the two previous years. There were no other executive officers of the Company who received compensation in excess of $100,000 in 1999.</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SUMMARY COMPENSATION TABLE FOR THE COMPANY:</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Annual</w:t>
            </w:r>
          </w:p>
        </w:tc>
        <w:tc>
          <w:tcPr>
            <w:tcW w:w="120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71"/>
        </w:trPr>
        <w:tc>
          <w:tcPr>
            <w:tcW w:w="2520" w:type="dxa"/>
            <w:vAlign w:val="bottom"/>
          </w:tcPr>
          <w:p>
            <w:pPr>
              <w:spacing w:after="0"/>
              <w:rPr>
                <w:sz w:val="14"/>
                <w:szCs w:val="1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Compensation</w:t>
            </w:r>
          </w:p>
        </w:tc>
        <w:tc>
          <w:tcPr>
            <w:tcW w:w="1200" w:type="dxa"/>
            <w:vAlign w:val="bottom"/>
          </w:tcPr>
          <w:p>
            <w:pPr>
              <w:spacing w:after="0"/>
              <w:rPr>
                <w:sz w:val="14"/>
                <w:szCs w:val="14"/>
                <w:color w:val="auto"/>
              </w:rPr>
            </w:pP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Long Term Compensation</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Name/Principal Position</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Year</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Salary</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Options (#)</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4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   ------</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Phillip DeZwirek</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$100,000</w:t>
            </w:r>
          </w:p>
        </w:tc>
        <w:tc>
          <w:tcPr>
            <w:tcW w:w="248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500,000(1)</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President and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$80,000</w:t>
            </w:r>
          </w:p>
        </w:tc>
        <w:tc>
          <w:tcPr>
            <w:tcW w:w="248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500,000(2)</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Chief Executive</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$50,000</w:t>
            </w:r>
          </w:p>
        </w:tc>
        <w:tc>
          <w:tcPr>
            <w:tcW w:w="2480" w:type="dxa"/>
            <w:vAlign w:val="bottom"/>
          </w:tcPr>
          <w:p>
            <w:pPr>
              <w:jc w:val="right"/>
              <w:ind w:right="160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512"/>
        </w:trPr>
        <w:tc>
          <w:tcPr>
            <w:tcW w:w="2520" w:type="dxa"/>
            <w:vAlign w:val="bottom"/>
          </w:tcPr>
          <w:p>
            <w:pPr>
              <w:ind w:left="700"/>
              <w:spacing w:after="0"/>
              <w:rPr>
                <w:sz w:val="20"/>
                <w:szCs w:val="20"/>
                <w:color w:val="auto"/>
              </w:rPr>
            </w:pPr>
            <w:r>
              <w:rPr>
                <w:rFonts w:ascii="Courier New" w:cs="Courier New" w:eastAsia="Courier New" w:hAnsi="Courier New"/>
                <w:sz w:val="15"/>
                <w:szCs w:val="15"/>
                <w:color w:val="auto"/>
                <w:w w:val="99"/>
              </w:rPr>
              <w:t>The following tables</w:t>
            </w:r>
          </w:p>
        </w:tc>
        <w:tc>
          <w:tcPr>
            <w:tcW w:w="49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set forth information with respect to Mr.</w:t>
            </w:r>
          </w:p>
        </w:tc>
      </w:tr>
      <w:tr>
        <w:trPr>
          <w:trHeight w:val="171"/>
        </w:trPr>
        <w:tc>
          <w:tcPr>
            <w:tcW w:w="7440" w:type="dxa"/>
            <w:vAlign w:val="bottom"/>
            <w:gridSpan w:val="4"/>
          </w:tcPr>
          <w:p>
            <w:pPr>
              <w:spacing w:after="0"/>
              <w:rPr>
                <w:sz w:val="20"/>
                <w:szCs w:val="20"/>
                <w:color w:val="auto"/>
              </w:rPr>
            </w:pPr>
            <w:r>
              <w:rPr>
                <w:rFonts w:ascii="Courier New" w:cs="Courier New" w:eastAsia="Courier New" w:hAnsi="Courier New"/>
                <w:sz w:val="15"/>
                <w:szCs w:val="15"/>
                <w:color w:val="auto"/>
              </w:rPr>
              <w:t>DeZwirek, Richard Blum, David Blum and Steven Taub concerning grants and</w:t>
            </w:r>
          </w:p>
        </w:tc>
      </w:tr>
      <w:tr>
        <w:trPr>
          <w:trHeight w:val="171"/>
        </w:trPr>
        <w:tc>
          <w:tcPr>
            <w:tcW w:w="7440" w:type="dxa"/>
            <w:vAlign w:val="bottom"/>
            <w:gridSpan w:val="4"/>
          </w:tcPr>
          <w:p>
            <w:pPr>
              <w:spacing w:after="0"/>
              <w:rPr>
                <w:sz w:val="20"/>
                <w:szCs w:val="20"/>
                <w:color w:val="auto"/>
              </w:rPr>
            </w:pPr>
            <w:r>
              <w:rPr>
                <w:rFonts w:ascii="Courier New" w:cs="Courier New" w:eastAsia="Courier New" w:hAnsi="Courier New"/>
                <w:sz w:val="15"/>
                <w:szCs w:val="15"/>
                <w:color w:val="auto"/>
              </w:rPr>
              <w:t>exercises of options on stock of the Company during the last fiscal year and</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w w:val="99"/>
              </w:rPr>
              <w:t>unexercised options on stock</w:t>
            </w:r>
          </w:p>
        </w:tc>
        <w:tc>
          <w:tcPr>
            <w:tcW w:w="49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the Company held as of the end of the fiscal</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80" w:type="dxa"/>
            <w:vAlign w:val="bottom"/>
          </w:tcPr>
          <w:p>
            <w:pPr>
              <w:spacing w:after="0"/>
              <w:rPr>
                <w:sz w:val="14"/>
                <w:szCs w:val="14"/>
                <w:color w:val="auto"/>
              </w:rPr>
            </w:pP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1" w:lineRule="exact"/>
        <w:rPr>
          <w:sz w:val="20"/>
          <w:szCs w:val="20"/>
          <w:color w:val="auto"/>
        </w:rPr>
      </w:pPr>
    </w:p>
    <w:p>
      <w:pPr>
        <w:ind w:left="349" w:hanging="349"/>
        <w:spacing w:after="0"/>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500,000 Warrants issued to Phillip DeZwirek on January 22, 1999.</w:t>
      </w:r>
    </w:p>
    <w:p>
      <w:pPr>
        <w:spacing w:after="0" w:line="174" w:lineRule="exact"/>
        <w:rPr>
          <w:rFonts w:ascii="Courier New" w:cs="Courier New" w:eastAsia="Courier New" w:hAnsi="Courier New"/>
          <w:sz w:val="15"/>
          <w:szCs w:val="15"/>
          <w:color w:val="auto"/>
        </w:rPr>
      </w:pPr>
    </w:p>
    <w:p>
      <w:pPr>
        <w:ind w:left="349" w:right="3139" w:hanging="349"/>
        <w:spacing w:after="0" w:line="238" w:lineRule="auto"/>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250,000 Warrants issued on January 14, 1998 and 250,000 Warrants issued on September 14, 1998.</w:t>
      </w:r>
    </w:p>
    <w:p>
      <w:pPr>
        <w:spacing w:after="0" w:line="200" w:lineRule="exact"/>
        <w:rPr>
          <w:sz w:val="20"/>
          <w:szCs w:val="20"/>
          <w:color w:val="auto"/>
        </w:rPr>
      </w:pPr>
    </w:p>
    <w:p>
      <w:pPr>
        <w:spacing w:after="0" w:line="31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148"/>
          </w:cols>
          <w:pgMar w:left="311" w:top="631"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OPTION/SAR GRANTS BY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 ENDED DECEMBER 31, 1999: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0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 of Total Options/SARs</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1500" w:type="dxa"/>
            <w:vAlign w:val="bottom"/>
          </w:tcPr>
          <w:p>
            <w:pPr>
              <w:spacing w:after="0"/>
              <w:rPr>
                <w:sz w:val="14"/>
                <w:szCs w:val="14"/>
                <w:color w:val="auto"/>
              </w:rPr>
            </w:pPr>
          </w:p>
        </w:tc>
        <w:tc>
          <w:tcPr>
            <w:tcW w:w="25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Number of Securities</w:t>
            </w:r>
          </w:p>
        </w:tc>
        <w:tc>
          <w:tcPr>
            <w:tcW w:w="20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7"/>
              </w:rPr>
              <w:t>Options Granted to</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1500" w:type="dxa"/>
            <w:vAlign w:val="bottom"/>
          </w:tcPr>
          <w:p>
            <w:pPr>
              <w:spacing w:after="0"/>
              <w:rPr>
                <w:sz w:val="14"/>
                <w:szCs w:val="14"/>
                <w:color w:val="auto"/>
              </w:rPr>
            </w:pPr>
          </w:p>
        </w:tc>
        <w:tc>
          <w:tcPr>
            <w:tcW w:w="1780" w:type="dxa"/>
            <w:vAlign w:val="bottom"/>
          </w:tcPr>
          <w:p>
            <w:pPr>
              <w:ind w:left="800"/>
              <w:spacing w:after="0"/>
              <w:rPr>
                <w:sz w:val="20"/>
                <w:szCs w:val="20"/>
                <w:color w:val="auto"/>
              </w:rPr>
            </w:pPr>
            <w:r>
              <w:rPr>
                <w:rFonts w:ascii="Courier New" w:cs="Courier New" w:eastAsia="Courier New" w:hAnsi="Courier New"/>
                <w:sz w:val="15"/>
                <w:szCs w:val="15"/>
                <w:color w:val="auto"/>
              </w:rPr>
              <w:t>Underlying</w:t>
            </w:r>
          </w:p>
        </w:tc>
        <w:tc>
          <w:tcPr>
            <w:tcW w:w="800" w:type="dxa"/>
            <w:vAlign w:val="bottom"/>
          </w:tcPr>
          <w:p>
            <w:pPr>
              <w:spacing w:after="0"/>
              <w:rPr>
                <w:sz w:val="14"/>
                <w:szCs w:val="14"/>
                <w:color w:val="auto"/>
              </w:rPr>
            </w:pPr>
          </w:p>
        </w:tc>
        <w:tc>
          <w:tcPr>
            <w:tcW w:w="200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Employees in</w:t>
            </w:r>
          </w:p>
        </w:tc>
        <w:tc>
          <w:tcPr>
            <w:tcW w:w="1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Exercise or</w:t>
            </w:r>
          </w:p>
        </w:tc>
        <w:tc>
          <w:tcPr>
            <w:tcW w:w="19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Expiration</w:t>
            </w:r>
          </w:p>
        </w:tc>
        <w:tc>
          <w:tcPr>
            <w:tcW w:w="1500" w:type="dxa"/>
            <w:vAlign w:val="bottom"/>
          </w:tcPr>
          <w:p>
            <w:pPr>
              <w:spacing w:after="0"/>
              <w:rPr>
                <w:sz w:val="14"/>
                <w:szCs w:val="14"/>
                <w:color w:val="auto"/>
              </w:rPr>
            </w:pP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780" w:type="dxa"/>
            <w:vAlign w:val="bottom"/>
          </w:tcPr>
          <w:p>
            <w:pPr>
              <w:ind w:left="800"/>
              <w:spacing w:after="0"/>
              <w:rPr>
                <w:sz w:val="20"/>
                <w:szCs w:val="20"/>
                <w:color w:val="auto"/>
              </w:rPr>
            </w:pPr>
            <w:r>
              <w:rPr>
                <w:rFonts w:ascii="Courier New" w:cs="Courier New" w:eastAsia="Courier New" w:hAnsi="Courier New"/>
                <w:sz w:val="15"/>
                <w:szCs w:val="15"/>
                <w:color w:val="auto"/>
                <w:w w:val="96"/>
              </w:rPr>
              <w:t>Granted (#)</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jc w:val="right"/>
              <w:ind w:right="686"/>
              <w:spacing w:after="0"/>
              <w:rPr>
                <w:sz w:val="20"/>
                <w:szCs w:val="20"/>
                <w:color w:val="auto"/>
              </w:rPr>
            </w:pPr>
            <w:r>
              <w:rPr>
                <w:rFonts w:ascii="Courier New" w:cs="Courier New" w:eastAsia="Courier New" w:hAnsi="Courier New"/>
                <w:sz w:val="15"/>
                <w:szCs w:val="15"/>
                <w:color w:val="auto"/>
                <w:w w:val="96"/>
              </w:rPr>
              <w:t>Fiscal Year</w:t>
            </w:r>
          </w:p>
        </w:tc>
        <w:tc>
          <w:tcPr>
            <w:tcW w:w="1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Base ($/SH)</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Date</w:t>
            </w: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58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w:t>
            </w:r>
          </w:p>
        </w:tc>
        <w:tc>
          <w:tcPr>
            <w:tcW w:w="1500" w:type="dxa"/>
            <w:vAlign w:val="bottom"/>
          </w:tcPr>
          <w:p>
            <w:pPr>
              <w:spacing w:after="0"/>
              <w:rPr>
                <w:sz w:val="14"/>
                <w:szCs w:val="14"/>
                <w:color w:val="auto"/>
              </w:rPr>
            </w:pPr>
          </w:p>
        </w:tc>
      </w:tr>
      <w:tr>
        <w:trPr>
          <w:trHeight w:val="341"/>
        </w:trPr>
        <w:tc>
          <w:tcPr>
            <w:tcW w:w="1500" w:type="dxa"/>
            <w:vAlign w:val="bottom"/>
          </w:tcPr>
          <w:p>
            <w:pPr>
              <w:spacing w:after="0"/>
              <w:rPr>
                <w:sz w:val="20"/>
                <w:szCs w:val="20"/>
                <w:color w:val="auto"/>
              </w:rPr>
            </w:pPr>
            <w:r>
              <w:rPr>
                <w:rFonts w:ascii="Courier New" w:cs="Courier New" w:eastAsia="Courier New" w:hAnsi="Courier New"/>
                <w:sz w:val="15"/>
                <w:szCs w:val="15"/>
                <w:color w:val="auto"/>
              </w:rPr>
              <w:t>Phillip DeZwirek</w:t>
            </w:r>
          </w:p>
        </w:tc>
        <w:tc>
          <w:tcPr>
            <w:tcW w:w="1780" w:type="dxa"/>
            <w:vAlign w:val="bottom"/>
          </w:tcPr>
          <w:p>
            <w:pPr>
              <w:ind w:left="880"/>
              <w:spacing w:after="0"/>
              <w:rPr>
                <w:sz w:val="20"/>
                <w:szCs w:val="20"/>
                <w:color w:val="auto"/>
              </w:rPr>
            </w:pPr>
            <w:r>
              <w:rPr>
                <w:rFonts w:ascii="Courier New" w:cs="Courier New" w:eastAsia="Courier New" w:hAnsi="Courier New"/>
                <w:sz w:val="15"/>
                <w:szCs w:val="15"/>
                <w:color w:val="auto"/>
              </w:rPr>
              <w:t>500,000</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39%</w:t>
            </w:r>
          </w:p>
        </w:tc>
        <w:tc>
          <w:tcPr>
            <w:tcW w:w="2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$3.00</w:t>
            </w:r>
          </w:p>
        </w:tc>
        <w:tc>
          <w:tcPr>
            <w:tcW w:w="19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Jan. 22, 2009</w:t>
            </w:r>
          </w:p>
        </w:tc>
        <w:tc>
          <w:tcPr>
            <w:tcW w:w="1500" w:type="dxa"/>
            <w:vAlign w:val="bottom"/>
          </w:tcPr>
          <w:p>
            <w:pPr>
              <w:spacing w:after="0"/>
              <w:rPr>
                <w:sz w:val="24"/>
                <w:szCs w:val="24"/>
                <w:color w:val="auto"/>
              </w:rPr>
            </w:pPr>
          </w:p>
        </w:tc>
      </w:tr>
      <w:tr>
        <w:trPr>
          <w:trHeight w:val="341"/>
        </w:trPr>
        <w:tc>
          <w:tcPr>
            <w:tcW w:w="1500" w:type="dxa"/>
            <w:vAlign w:val="bottom"/>
          </w:tcPr>
          <w:p>
            <w:pPr>
              <w:spacing w:after="0"/>
              <w:rPr>
                <w:sz w:val="20"/>
                <w:szCs w:val="20"/>
                <w:color w:val="auto"/>
              </w:rPr>
            </w:pPr>
            <w:r>
              <w:rPr>
                <w:rFonts w:ascii="Courier New" w:cs="Courier New" w:eastAsia="Courier New" w:hAnsi="Courier New"/>
                <w:sz w:val="15"/>
                <w:szCs w:val="15"/>
                <w:color w:val="auto"/>
              </w:rPr>
              <w:t>Richard Blum</w:t>
            </w:r>
          </w:p>
        </w:tc>
        <w:tc>
          <w:tcPr>
            <w:tcW w:w="1780" w:type="dxa"/>
            <w:vAlign w:val="bottom"/>
          </w:tcPr>
          <w:p>
            <w:pPr>
              <w:ind w:left="880"/>
              <w:spacing w:after="0"/>
              <w:rPr>
                <w:sz w:val="20"/>
                <w:szCs w:val="20"/>
                <w:color w:val="auto"/>
              </w:rPr>
            </w:pPr>
            <w:r>
              <w:rPr>
                <w:rFonts w:ascii="Courier New" w:cs="Courier New" w:eastAsia="Courier New" w:hAnsi="Courier New"/>
                <w:sz w:val="15"/>
                <w:szCs w:val="15"/>
                <w:color w:val="auto"/>
              </w:rPr>
              <w:t>448,000</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35%</w:t>
            </w:r>
          </w:p>
        </w:tc>
        <w:tc>
          <w:tcPr>
            <w:tcW w:w="2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$2.9375</w:t>
            </w:r>
          </w:p>
        </w:tc>
        <w:tc>
          <w:tcPr>
            <w:tcW w:w="19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Dec. 6, 2009</w:t>
            </w:r>
          </w:p>
        </w:tc>
        <w:tc>
          <w:tcPr>
            <w:tcW w:w="1500" w:type="dxa"/>
            <w:vAlign w:val="bottom"/>
          </w:tcPr>
          <w:p>
            <w:pPr>
              <w:spacing w:after="0"/>
              <w:rPr>
                <w:sz w:val="24"/>
                <w:szCs w:val="24"/>
                <w:color w:val="auto"/>
              </w:rPr>
            </w:pPr>
          </w:p>
        </w:tc>
      </w:tr>
      <w:tr>
        <w:trPr>
          <w:trHeight w:val="341"/>
        </w:trPr>
        <w:tc>
          <w:tcPr>
            <w:tcW w:w="1500" w:type="dxa"/>
            <w:vAlign w:val="bottom"/>
          </w:tcPr>
          <w:p>
            <w:pPr>
              <w:spacing w:after="0"/>
              <w:rPr>
                <w:sz w:val="20"/>
                <w:szCs w:val="20"/>
                <w:color w:val="auto"/>
              </w:rPr>
            </w:pPr>
            <w:r>
              <w:rPr>
                <w:rFonts w:ascii="Courier New" w:cs="Courier New" w:eastAsia="Courier New" w:hAnsi="Courier New"/>
                <w:sz w:val="15"/>
                <w:szCs w:val="15"/>
                <w:color w:val="auto"/>
              </w:rPr>
              <w:t>David Blum</w:t>
            </w:r>
          </w:p>
        </w:tc>
        <w:tc>
          <w:tcPr>
            <w:tcW w:w="1780" w:type="dxa"/>
            <w:vAlign w:val="bottom"/>
          </w:tcPr>
          <w:p>
            <w:pPr>
              <w:ind w:left="880"/>
              <w:spacing w:after="0"/>
              <w:rPr>
                <w:sz w:val="20"/>
                <w:szCs w:val="20"/>
                <w:color w:val="auto"/>
              </w:rPr>
            </w:pPr>
            <w:r>
              <w:rPr>
                <w:rFonts w:ascii="Courier New" w:cs="Courier New" w:eastAsia="Courier New" w:hAnsi="Courier New"/>
                <w:sz w:val="15"/>
                <w:szCs w:val="15"/>
                <w:color w:val="auto"/>
              </w:rPr>
              <w:t>335,000</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$2.9375</w:t>
            </w:r>
          </w:p>
        </w:tc>
        <w:tc>
          <w:tcPr>
            <w:tcW w:w="19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Dec. 6, 2009</w:t>
            </w:r>
          </w:p>
        </w:tc>
        <w:tc>
          <w:tcPr>
            <w:tcW w:w="1500" w:type="dxa"/>
            <w:vAlign w:val="bottom"/>
          </w:tcPr>
          <w:p>
            <w:pPr>
              <w:spacing w:after="0"/>
              <w:rPr>
                <w:sz w:val="24"/>
                <w:szCs w:val="24"/>
                <w:color w:val="auto"/>
              </w:rPr>
            </w:pPr>
          </w:p>
        </w:tc>
      </w:tr>
      <w:tr>
        <w:trPr>
          <w:trHeight w:val="683"/>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AGGREGATED OPTION/SAR ON THE COMPANY</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1"/>
        </w:trPr>
        <w:tc>
          <w:tcPr>
            <w:tcW w:w="4080" w:type="dxa"/>
            <w:vAlign w:val="bottom"/>
            <w:gridSpan w:val="3"/>
          </w:tcPr>
          <w:p>
            <w:pPr>
              <w:spacing w:after="0"/>
              <w:rPr>
                <w:sz w:val="20"/>
                <w:szCs w:val="20"/>
                <w:color w:val="auto"/>
              </w:rPr>
            </w:pPr>
            <w:r>
              <w:rPr>
                <w:rFonts w:ascii="Courier New" w:cs="Courier New" w:eastAsia="Courier New" w:hAnsi="Courier New"/>
                <w:sz w:val="15"/>
                <w:szCs w:val="15"/>
                <w:color w:val="auto"/>
                <w:w w:val="98"/>
              </w:rPr>
              <w:t>EXERCISES FOR THE YEAR ENDED DECEMBER 31, 1999</w:t>
            </w: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AND OPTION/SAR VALUES ON THE COMPANY</w:t>
            </w:r>
          </w:p>
        </w:tc>
        <w:tc>
          <w:tcPr>
            <w:tcW w:w="2800" w:type="dxa"/>
            <w:vAlign w:val="bottom"/>
            <w:gridSpan w:val="3"/>
          </w:tcPr>
          <w:p>
            <w:pPr>
              <w:spacing w:after="0"/>
              <w:rPr>
                <w:sz w:val="20"/>
                <w:szCs w:val="20"/>
                <w:color w:val="auto"/>
              </w:rPr>
            </w:pPr>
            <w:r>
              <w:rPr>
                <w:rFonts w:ascii="Courier New" w:cs="Courier New" w:eastAsia="Courier New" w:hAnsi="Courier New"/>
                <w:sz w:val="15"/>
                <w:szCs w:val="15"/>
                <w:color w:val="auto"/>
              </w:rPr>
              <w:t>AS OF DECEMBER 31, 1999:</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853"/>
        </w:trPr>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Number of Securities</w:t>
            </w: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1"/>
        </w:trPr>
        <w:tc>
          <w:tcPr>
            <w:tcW w:w="1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7"/>
              </w:rPr>
              <w:t>Underlying</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Value of Unexercised</w:t>
            </w:r>
          </w:p>
        </w:tc>
      </w:tr>
      <w:tr>
        <w:trPr>
          <w:trHeight w:val="171"/>
        </w:trPr>
        <w:tc>
          <w:tcPr>
            <w:tcW w:w="1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Unexercised</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In-the-Money</w:t>
            </w:r>
          </w:p>
        </w:tc>
      </w:tr>
      <w:tr>
        <w:trPr>
          <w:trHeight w:val="171"/>
        </w:trPr>
        <w:tc>
          <w:tcPr>
            <w:tcW w:w="1500" w:type="dxa"/>
            <w:vAlign w:val="bottom"/>
          </w:tcPr>
          <w:p>
            <w:pPr>
              <w:spacing w:after="0"/>
              <w:rPr>
                <w:sz w:val="14"/>
                <w:szCs w:val="14"/>
                <w:color w:val="auto"/>
              </w:rPr>
            </w:pPr>
          </w:p>
        </w:tc>
        <w:tc>
          <w:tcPr>
            <w:tcW w:w="1780" w:type="dxa"/>
            <w:vAlign w:val="bottom"/>
          </w:tcPr>
          <w:p>
            <w:pPr>
              <w:ind w:left="80"/>
              <w:spacing w:after="0"/>
              <w:rPr>
                <w:sz w:val="20"/>
                <w:szCs w:val="20"/>
                <w:color w:val="auto"/>
              </w:rPr>
            </w:pPr>
            <w:r>
              <w:rPr>
                <w:rFonts w:ascii="Courier New" w:cs="Courier New" w:eastAsia="Courier New" w:hAnsi="Courier New"/>
                <w:sz w:val="15"/>
                <w:szCs w:val="15"/>
                <w:color w:val="auto"/>
              </w:rPr>
              <w:t>Shares Acquired</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Value</w:t>
            </w:r>
          </w:p>
        </w:tc>
        <w:tc>
          <w:tcPr>
            <w:tcW w:w="26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Options/SARs at</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Options/SARs at</w:t>
            </w:r>
          </w:p>
        </w:tc>
      </w:tr>
      <w:tr>
        <w:trPr>
          <w:trHeight w:val="171"/>
        </w:trPr>
        <w:tc>
          <w:tcPr>
            <w:tcW w:w="1500" w:type="dxa"/>
            <w:vAlign w:val="bottom"/>
          </w:tcPr>
          <w:p>
            <w:pPr>
              <w:spacing w:after="0"/>
              <w:rPr>
                <w:sz w:val="14"/>
                <w:szCs w:val="14"/>
                <w:color w:val="auto"/>
              </w:rPr>
            </w:pPr>
          </w:p>
        </w:tc>
        <w:tc>
          <w:tcPr>
            <w:tcW w:w="1780" w:type="dxa"/>
            <w:vAlign w:val="bottom"/>
          </w:tcPr>
          <w:p>
            <w:pPr>
              <w:ind w:left="80"/>
              <w:spacing w:after="0"/>
              <w:rPr>
                <w:sz w:val="20"/>
                <w:szCs w:val="20"/>
                <w:color w:val="auto"/>
              </w:rPr>
            </w:pPr>
            <w:r>
              <w:rPr>
                <w:rFonts w:ascii="Courier New" w:cs="Courier New" w:eastAsia="Courier New" w:hAnsi="Courier New"/>
                <w:sz w:val="15"/>
                <w:szCs w:val="15"/>
                <w:color w:val="auto"/>
              </w:rPr>
              <w:t>on Exercise</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Realized</w:t>
            </w:r>
          </w:p>
        </w:tc>
        <w:tc>
          <w:tcPr>
            <w:tcW w:w="260" w:type="dxa"/>
            <w:vAlign w:val="bottom"/>
          </w:tcPr>
          <w:p>
            <w:pPr>
              <w:spacing w:after="0"/>
              <w:rPr>
                <w:sz w:val="14"/>
                <w:szCs w:val="14"/>
                <w:color w:val="auto"/>
              </w:rPr>
            </w:pPr>
          </w:p>
        </w:tc>
        <w:tc>
          <w:tcPr>
            <w:tcW w:w="17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9"/>
              </w:rPr>
              <w:t>12/31/99</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2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12/31/99</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740" w:type="dxa"/>
            <w:vAlign w:val="bottom"/>
          </w:tcPr>
          <w:p>
            <w:pPr>
              <w:jc w:val="center"/>
              <w:ind w:left="126"/>
              <w:spacing w:after="0"/>
              <w:rPr>
                <w:sz w:val="20"/>
                <w:szCs w:val="20"/>
                <w:color w:val="auto"/>
              </w:rPr>
            </w:pPr>
            <w:r>
              <w:rPr>
                <w:rFonts w:ascii="Courier New" w:cs="Courier New" w:eastAsia="Courier New" w:hAnsi="Courier New"/>
                <w:sz w:val="15"/>
                <w:szCs w:val="15"/>
                <w:color w:val="auto"/>
                <w:w w:val="98"/>
              </w:rPr>
              <w:t>Exerciseable</w:t>
            </w:r>
          </w:p>
        </w:tc>
        <w:tc>
          <w:tcPr>
            <w:tcW w:w="22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Unexercisable</w:t>
            </w:r>
          </w:p>
        </w:tc>
        <w:tc>
          <w:tcPr>
            <w:tcW w:w="440" w:type="dxa"/>
            <w:vAlign w:val="bottom"/>
          </w:tcPr>
          <w:p>
            <w:pPr>
              <w:spacing w:after="0"/>
              <w:rPr>
                <w:sz w:val="14"/>
                <w:szCs w:val="14"/>
                <w:color w:val="auto"/>
              </w:rPr>
            </w:pP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Exerciseable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Unexercisable</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4"/>
              </w:rPr>
              <w:t>--------</w:t>
            </w:r>
          </w:p>
        </w:tc>
        <w:tc>
          <w:tcPr>
            <w:tcW w:w="196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7"/>
              </w:rPr>
              <w:t>----------------</w:t>
            </w:r>
          </w:p>
        </w:tc>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460"/>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1500" w:type="dxa"/>
            <w:vAlign w:val="bottom"/>
          </w:tcPr>
          <w:p>
            <w:pPr>
              <w:spacing w:after="0"/>
              <w:rPr>
                <w:sz w:val="20"/>
                <w:szCs w:val="20"/>
                <w:color w:val="auto"/>
              </w:rPr>
            </w:pPr>
            <w:r>
              <w:rPr>
                <w:rFonts w:ascii="Courier New" w:cs="Courier New" w:eastAsia="Courier New" w:hAnsi="Courier New"/>
                <w:sz w:val="15"/>
                <w:szCs w:val="15"/>
                <w:color w:val="auto"/>
              </w:rPr>
              <w:t>Phillip DeZwirek</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24"/>
                <w:szCs w:val="24"/>
                <w:color w:val="auto"/>
              </w:rPr>
            </w:pP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1,750,000</w:t>
            </w:r>
          </w:p>
        </w:tc>
        <w:tc>
          <w:tcPr>
            <w:tcW w:w="22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24"/>
                <w:szCs w:val="24"/>
                <w:color w:val="auto"/>
              </w:rPr>
            </w:pP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$781,250</w:t>
            </w:r>
          </w:p>
        </w:tc>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rPr>
              <w:t>N/A</w:t>
            </w:r>
          </w:p>
        </w:tc>
      </w:tr>
      <w:tr>
        <w:trPr>
          <w:trHeight w:val="341"/>
        </w:trPr>
        <w:tc>
          <w:tcPr>
            <w:tcW w:w="1500" w:type="dxa"/>
            <w:vAlign w:val="bottom"/>
          </w:tcPr>
          <w:p>
            <w:pPr>
              <w:spacing w:after="0"/>
              <w:rPr>
                <w:sz w:val="20"/>
                <w:szCs w:val="20"/>
                <w:color w:val="auto"/>
              </w:rPr>
            </w:pPr>
            <w:r>
              <w:rPr>
                <w:rFonts w:ascii="Courier New" w:cs="Courier New" w:eastAsia="Courier New" w:hAnsi="Courier New"/>
                <w:sz w:val="15"/>
                <w:szCs w:val="15"/>
                <w:color w:val="auto"/>
              </w:rPr>
              <w:t>Richard Blum</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24"/>
                <w:szCs w:val="24"/>
                <w:color w:val="auto"/>
              </w:rPr>
            </w:pP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448,000</w:t>
            </w:r>
          </w:p>
        </w:tc>
        <w:tc>
          <w:tcPr>
            <w:tcW w:w="440" w:type="dxa"/>
            <w:vAlign w:val="bottom"/>
          </w:tcPr>
          <w:p>
            <w:pPr>
              <w:spacing w:after="0"/>
              <w:rPr>
                <w:sz w:val="24"/>
                <w:szCs w:val="24"/>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0</w:t>
            </w:r>
          </w:p>
        </w:tc>
      </w:tr>
      <w:tr>
        <w:trPr>
          <w:trHeight w:val="341"/>
        </w:trPr>
        <w:tc>
          <w:tcPr>
            <w:tcW w:w="1500" w:type="dxa"/>
            <w:vAlign w:val="bottom"/>
          </w:tcPr>
          <w:p>
            <w:pPr>
              <w:spacing w:after="0"/>
              <w:rPr>
                <w:sz w:val="20"/>
                <w:szCs w:val="20"/>
                <w:color w:val="auto"/>
              </w:rPr>
            </w:pPr>
            <w:r>
              <w:rPr>
                <w:rFonts w:ascii="Courier New" w:cs="Courier New" w:eastAsia="Courier New" w:hAnsi="Courier New"/>
                <w:sz w:val="15"/>
                <w:szCs w:val="15"/>
                <w:color w:val="auto"/>
              </w:rPr>
              <w:t>David Blum</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24"/>
                <w:szCs w:val="24"/>
                <w:color w:val="auto"/>
              </w:rPr>
            </w:pP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335,000</w:t>
            </w:r>
          </w:p>
        </w:tc>
        <w:tc>
          <w:tcPr>
            <w:tcW w:w="440" w:type="dxa"/>
            <w:vAlign w:val="bottom"/>
          </w:tcPr>
          <w:p>
            <w:pPr>
              <w:spacing w:after="0"/>
              <w:rPr>
                <w:sz w:val="24"/>
                <w:szCs w:val="24"/>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0</w:t>
            </w:r>
          </w:p>
        </w:tc>
      </w:tr>
      <w:tr>
        <w:trPr>
          <w:trHeight w:val="341"/>
        </w:trPr>
        <w:tc>
          <w:tcPr>
            <w:tcW w:w="1500" w:type="dxa"/>
            <w:vAlign w:val="bottom"/>
          </w:tcPr>
          <w:p>
            <w:pPr>
              <w:spacing w:after="0"/>
              <w:rPr>
                <w:sz w:val="20"/>
                <w:szCs w:val="20"/>
                <w:color w:val="auto"/>
              </w:rPr>
            </w:pPr>
            <w:r>
              <w:rPr>
                <w:rFonts w:ascii="Courier New" w:cs="Courier New" w:eastAsia="Courier New" w:hAnsi="Courier New"/>
                <w:sz w:val="15"/>
                <w:szCs w:val="15"/>
                <w:color w:val="auto"/>
              </w:rPr>
              <w:t>Steven Taub</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24"/>
                <w:szCs w:val="24"/>
                <w:color w:val="auto"/>
              </w:rPr>
            </w:pP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63,156</w:t>
            </w:r>
          </w:p>
        </w:tc>
        <w:tc>
          <w:tcPr>
            <w:tcW w:w="22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147,364</w:t>
            </w:r>
          </w:p>
        </w:tc>
        <w:tc>
          <w:tcPr>
            <w:tcW w:w="440" w:type="dxa"/>
            <w:vAlign w:val="bottom"/>
          </w:tcPr>
          <w:p>
            <w:pPr>
              <w:spacing w:after="0"/>
              <w:rPr>
                <w:sz w:val="24"/>
                <w:szCs w:val="24"/>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0</w:t>
            </w:r>
          </w:p>
        </w:tc>
      </w:tr>
      <w:tr>
        <w:trPr>
          <w:trHeight w:val="683"/>
        </w:trPr>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080"/>
          </w:cols>
          <w:pgMar w:left="320" w:top="799" w:right="499" w:bottom="1440" w:gutter="0" w:footer="0" w:header="0"/>
        </w:sectPr>
      </w:pPr>
    </w:p>
    <w:bookmarkStart w:id="31" w:name="page32"/>
    <w:bookmarkEnd w:id="31"/>
    <w:p>
      <w:pPr>
        <w:ind w:left="9" w:right="1500" w:firstLine="799"/>
        <w:spacing w:after="0" w:line="239" w:lineRule="auto"/>
        <w:rPr>
          <w:sz w:val="20"/>
          <w:szCs w:val="20"/>
          <w:color w:val="auto"/>
        </w:rPr>
      </w:pPr>
      <w:r>
        <w:rPr>
          <w:rFonts w:ascii="Courier New" w:cs="Courier New" w:eastAsia="Courier New" w:hAnsi="Courier New"/>
          <w:sz w:val="15"/>
          <w:szCs w:val="15"/>
          <w:color w:val="auto"/>
        </w:rPr>
        <w:t>The following table summarizes the total compensation of the Chief Executive Officer of CECO Filters, Inc. for 1999 and the two previous years (the "Named Executive Officer"). There were no other executive officers of CECO Filters, Inc. who received compensation in excess of $100,000 for 1999.</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SUMMARY COMPENSATION TABLE FOR FILTERS: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Annual Compensation</w:t>
            </w:r>
          </w:p>
        </w:tc>
        <w:tc>
          <w:tcPr>
            <w:tcW w:w="1640" w:type="dxa"/>
            <w:vAlign w:val="bottom"/>
          </w:tcPr>
          <w:p>
            <w:pPr>
              <w:spacing w:after="0"/>
              <w:rPr>
                <w:sz w:val="14"/>
                <w:szCs w:val="14"/>
                <w:color w:val="auto"/>
              </w:rPr>
            </w:pPr>
          </w:p>
        </w:tc>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w w:val="97"/>
              </w:rPr>
              <w:t>Long Term Compensation</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Name/Principal Position</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Year</w:t>
            </w:r>
          </w:p>
        </w:tc>
        <w:tc>
          <w:tcPr>
            <w:tcW w:w="1640" w:type="dxa"/>
            <w:vAlign w:val="bottom"/>
          </w:tcPr>
          <w:p>
            <w:pPr>
              <w:ind w:left="220"/>
              <w:spacing w:after="0"/>
              <w:rPr>
                <w:sz w:val="20"/>
                <w:szCs w:val="20"/>
                <w:color w:val="auto"/>
              </w:rPr>
            </w:pPr>
            <w:r>
              <w:rPr>
                <w:rFonts w:ascii="Courier New" w:cs="Courier New" w:eastAsia="Courier New" w:hAnsi="Courier New"/>
                <w:sz w:val="15"/>
                <w:szCs w:val="15"/>
                <w:color w:val="auto"/>
              </w:rPr>
              <w:t>Salary</w:t>
            </w:r>
          </w:p>
        </w:tc>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Options (#)</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04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r>
      <w:tr>
        <w:trPr>
          <w:trHeight w:val="341"/>
        </w:trPr>
        <w:tc>
          <w:tcPr>
            <w:tcW w:w="2520" w:type="dxa"/>
            <w:vAlign w:val="bottom"/>
          </w:tcPr>
          <w:p>
            <w:pPr>
              <w:spacing w:after="0"/>
              <w:rPr>
                <w:sz w:val="20"/>
                <w:szCs w:val="20"/>
                <w:color w:val="auto"/>
              </w:rPr>
            </w:pPr>
            <w:r>
              <w:rPr>
                <w:rFonts w:ascii="Courier New" w:cs="Courier New" w:eastAsia="Courier New" w:hAnsi="Courier New"/>
                <w:sz w:val="15"/>
                <w:szCs w:val="15"/>
                <w:color w:val="auto"/>
              </w:rPr>
              <w:t>Steven I. Taub, Ph.D./</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1999</w:t>
            </w:r>
          </w:p>
        </w:tc>
        <w:tc>
          <w:tcPr>
            <w:tcW w:w="1640" w:type="dxa"/>
            <w:vAlign w:val="bottom"/>
          </w:tcPr>
          <w:p>
            <w:pPr>
              <w:ind w:left="220"/>
              <w:spacing w:after="0"/>
              <w:rPr>
                <w:sz w:val="20"/>
                <w:szCs w:val="20"/>
                <w:color w:val="auto"/>
              </w:rPr>
            </w:pPr>
            <w:r>
              <w:rPr>
                <w:rFonts w:ascii="Courier New" w:cs="Courier New" w:eastAsia="Courier New" w:hAnsi="Courier New"/>
                <w:sz w:val="15"/>
                <w:szCs w:val="15"/>
                <w:color w:val="auto"/>
              </w:rPr>
              <w:t>$247,603(2)</w:t>
            </w:r>
          </w:p>
        </w:tc>
        <w:tc>
          <w:tcPr>
            <w:tcW w:w="2400" w:type="dxa"/>
            <w:vAlign w:val="bottom"/>
          </w:tcPr>
          <w:p>
            <w:pPr>
              <w:spacing w:after="0"/>
              <w:rPr>
                <w:sz w:val="24"/>
                <w:szCs w:val="2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President and</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1640" w:type="dxa"/>
            <w:vAlign w:val="bottom"/>
          </w:tcPr>
          <w:p>
            <w:pPr>
              <w:ind w:left="220"/>
              <w:spacing w:after="0"/>
              <w:rPr>
                <w:sz w:val="20"/>
                <w:szCs w:val="20"/>
                <w:color w:val="auto"/>
              </w:rPr>
            </w:pPr>
            <w:r>
              <w:rPr>
                <w:rFonts w:ascii="Courier New" w:cs="Courier New" w:eastAsia="Courier New" w:hAnsi="Courier New"/>
                <w:sz w:val="15"/>
                <w:szCs w:val="15"/>
                <w:color w:val="auto"/>
              </w:rPr>
              <w:t>$240,740</w:t>
            </w:r>
          </w:p>
        </w:tc>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Chief Executive</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1997</w:t>
            </w:r>
          </w:p>
        </w:tc>
        <w:tc>
          <w:tcPr>
            <w:tcW w:w="1640" w:type="dxa"/>
            <w:vAlign w:val="bottom"/>
          </w:tcPr>
          <w:p>
            <w:pPr>
              <w:ind w:left="220"/>
              <w:spacing w:after="0"/>
              <w:rPr>
                <w:sz w:val="20"/>
                <w:szCs w:val="20"/>
                <w:color w:val="auto"/>
              </w:rPr>
            </w:pPr>
            <w:r>
              <w:rPr>
                <w:rFonts w:ascii="Courier New" w:cs="Courier New" w:eastAsia="Courier New" w:hAnsi="Courier New"/>
                <w:sz w:val="15"/>
                <w:szCs w:val="15"/>
                <w:color w:val="auto"/>
              </w:rPr>
              <w:t>$226,300</w:t>
            </w:r>
          </w:p>
        </w:tc>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210,520(3)</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2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0" w:type="dxa"/>
            <w:vAlign w:val="bottom"/>
          </w:tcPr>
          <w:p>
            <w:pPr>
              <w:spacing w:after="0"/>
              <w:rPr>
                <w:sz w:val="14"/>
                <w:szCs w:val="14"/>
                <w:color w:val="auto"/>
              </w:rPr>
            </w:pPr>
          </w:p>
        </w:tc>
      </w:tr>
    </w:tbl>
    <w:p>
      <w:pPr>
        <w:spacing w:after="0" w:line="200" w:lineRule="exact"/>
        <w:rPr>
          <w:sz w:val="20"/>
          <w:szCs w:val="20"/>
          <w:color w:val="auto"/>
        </w:rPr>
      </w:pPr>
    </w:p>
    <w:p>
      <w:pPr>
        <w:spacing w:after="0" w:line="316" w:lineRule="exact"/>
        <w:rPr>
          <w:sz w:val="20"/>
          <w:szCs w:val="20"/>
          <w:color w:val="auto"/>
        </w:rPr>
      </w:pPr>
    </w:p>
    <w:p>
      <w:pPr>
        <w:ind w:left="9" w:right="1500" w:firstLine="799"/>
        <w:spacing w:after="0" w:line="258" w:lineRule="auto"/>
        <w:rPr>
          <w:sz w:val="20"/>
          <w:szCs w:val="20"/>
          <w:color w:val="auto"/>
        </w:rPr>
      </w:pPr>
      <w:r>
        <w:rPr>
          <w:rFonts w:ascii="Courier New" w:cs="Courier New" w:eastAsia="Courier New" w:hAnsi="Courier New"/>
          <w:sz w:val="14"/>
          <w:szCs w:val="14"/>
          <w:color w:val="auto"/>
        </w:rPr>
        <w:t>Dr. Taub entered into an Employment Agreement dated September 30, 1997 with Filters. The Employment Agreement was effective September 30, 1997 and has a term through June 30, 2002. Either party may terminate the Employment Agreement for cause. Dr. Taub's base salary is set at $225,000 per year, but may be modified by the mutual agreement of Filters and Dr. Taub. In addition to his base salary, Dr. Taub is entitled to (i) a $2,000 IRA contribution by Filters,</w:t>
      </w:r>
    </w:p>
    <w:p>
      <w:pPr>
        <w:spacing w:after="0" w:line="1" w:lineRule="exact"/>
        <w:rPr>
          <w:sz w:val="20"/>
          <w:szCs w:val="20"/>
          <w:color w:val="auto"/>
        </w:rPr>
      </w:pPr>
    </w:p>
    <w:p>
      <w:pPr>
        <w:ind w:left="9" w:right="1500" w:hanging="9"/>
        <w:spacing w:after="0" w:line="261" w:lineRule="auto"/>
        <w:tabs>
          <w:tab w:leader="none" w:pos="453"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car for business use, or in the alternative, an expense reimbursement for his personal car up to $600 per month, (iii) life, medical, dental and disability insurance, and (iv) up to 25 days of paid vacation annually. In addition, Dr. Taub will receive fees for service as a director of Filters equal to the highest fee paid to any other director of Filters or its affiliates.</w:t>
      </w:r>
    </w:p>
    <w:p>
      <w:pPr>
        <w:spacing w:after="0" w:line="162" w:lineRule="exact"/>
        <w:rPr>
          <w:sz w:val="20"/>
          <w:szCs w:val="20"/>
          <w:color w:val="auto"/>
        </w:rPr>
      </w:pPr>
    </w:p>
    <w:p>
      <w:pPr>
        <w:ind w:left="9" w:right="1960" w:firstLine="799"/>
        <w:spacing w:after="0" w:line="238" w:lineRule="auto"/>
        <w:rPr>
          <w:sz w:val="20"/>
          <w:szCs w:val="20"/>
          <w:color w:val="auto"/>
        </w:rPr>
      </w:pPr>
      <w:r>
        <w:rPr>
          <w:rFonts w:ascii="Courier New" w:cs="Courier New" w:eastAsia="Courier New" w:hAnsi="Courier New"/>
          <w:sz w:val="15"/>
          <w:szCs w:val="15"/>
          <w:color w:val="auto"/>
        </w:rPr>
        <w:t>Dr. Taub has agreed not to engage in any business competitive with Filters for a term of two years after termination of his employment.</w:t>
      </w:r>
    </w:p>
    <w:p>
      <w:pPr>
        <w:spacing w:after="0" w:line="200" w:lineRule="exact"/>
        <w:rPr>
          <w:sz w:val="20"/>
          <w:szCs w:val="20"/>
          <w:color w:val="auto"/>
        </w:rPr>
      </w:pPr>
    </w:p>
    <w:p>
      <w:pPr>
        <w:spacing w:after="0" w:line="31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ind w:left="449" w:right="2040" w:hanging="449"/>
        <w:spacing w:after="0" w:line="238" w:lineRule="auto"/>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matching contributions by Filters to Filter's 401(k) Plan on behalf of Dr. Taub.</w:t>
      </w:r>
    </w:p>
    <w:p>
      <w:pPr>
        <w:spacing w:after="0" w:line="4" w:lineRule="exact"/>
        <w:rPr>
          <w:rFonts w:ascii="Courier New" w:cs="Courier New" w:eastAsia="Courier New" w:hAnsi="Courier New"/>
          <w:sz w:val="15"/>
          <w:szCs w:val="15"/>
          <w:color w:val="auto"/>
        </w:rPr>
      </w:pPr>
    </w:p>
    <w:p>
      <w:pPr>
        <w:ind w:left="449" w:right="1500" w:hanging="449"/>
        <w:spacing w:after="0" w:line="239" w:lineRule="auto"/>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$225,000 is allocated to base salary, $2,000 to IRA contribution, $7,200 to automobile allowance and $13,403 to insurance premiums, all of which items Dr. Taub pays for directly.</w:t>
      </w:r>
    </w:p>
    <w:p>
      <w:pPr>
        <w:spacing w:after="0" w:line="4" w:lineRule="exact"/>
        <w:rPr>
          <w:rFonts w:ascii="Courier New" w:cs="Courier New" w:eastAsia="Courier New" w:hAnsi="Courier New"/>
          <w:sz w:val="15"/>
          <w:szCs w:val="15"/>
          <w:color w:val="auto"/>
        </w:rPr>
      </w:pPr>
    </w:p>
    <w:p>
      <w:pPr>
        <w:ind w:left="449" w:right="1600" w:hanging="449"/>
        <w:spacing w:after="0" w:line="239" w:lineRule="auto"/>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granted are for shares of stock of the Company pursuant to the Company's Stock Option Plan and were granted in exchange for the cancellation of all options held by Dr. Taub for the purchase of 325,000 shares of Filters.</w:t>
      </w:r>
    </w:p>
    <w:p>
      <w:pPr>
        <w:spacing w:after="0" w:line="34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360"/>
        <w:spacing w:after="0" w:line="258" w:lineRule="auto"/>
        <w:rPr>
          <w:sz w:val="20"/>
          <w:szCs w:val="20"/>
          <w:color w:val="auto"/>
        </w:rPr>
      </w:pPr>
      <w:r>
        <w:rPr>
          <w:rFonts w:ascii="Courier New" w:cs="Courier New" w:eastAsia="Courier New" w:hAnsi="Courier New"/>
          <w:sz w:val="14"/>
          <w:szCs w:val="14"/>
          <w:color w:val="auto"/>
        </w:rPr>
        <w:t>All Other Compensation(1)</w:t>
      </w:r>
    </w:p>
    <w:p>
      <w:pPr>
        <w:ind w:left="36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$4,750.20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$4,750.20</w:t>
      </w:r>
    </w:p>
    <w:p>
      <w:pPr>
        <w:sectPr>
          <w:pgSz w:w="11900" w:h="16838" w:orient="portrait"/>
          <w:cols w:equalWidth="0" w:num="2">
            <w:col w:w="8609" w:space="440"/>
            <w:col w:w="1700"/>
          </w:cols>
          <w:pgMar w:left="311" w:top="801" w:right="839" w:bottom="1440" w:gutter="0" w:footer="0" w:header="0"/>
        </w:sectPr>
      </w:pPr>
    </w:p>
    <w:bookmarkStart w:id="32" w:name="page33"/>
    <w:bookmarkEnd w:id="32"/>
    <w:p>
      <w:pPr>
        <w:ind w:left="9" w:right="3039" w:firstLine="799"/>
        <w:spacing w:after="0"/>
        <w:rPr>
          <w:sz w:val="20"/>
          <w:szCs w:val="20"/>
          <w:color w:val="auto"/>
        </w:rPr>
      </w:pPr>
      <w:r>
        <w:rPr>
          <w:rFonts w:ascii="Courier New" w:cs="Courier New" w:eastAsia="Courier New" w:hAnsi="Courier New"/>
          <w:sz w:val="15"/>
          <w:szCs w:val="15"/>
          <w:color w:val="auto"/>
        </w:rPr>
        <w:t>The following table summarizes the total compensation of Andrew M. Halapin, President and Chief Operating Officer of Busch, for 1999. There were no other executive officers of Busch who received compensation in excess of $100,000 for 1999. Mr. Halapin did not receive any options or SAR grants from the Company or Busch in 1999.</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SUMMARY COMPENSATION TABLE FOR BUSCH:</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Annual Compensation</w:t>
            </w: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Name/Principal Position</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Year</w:t>
            </w:r>
          </w:p>
        </w:tc>
        <w:tc>
          <w:tcPr>
            <w:tcW w:w="1820" w:type="dxa"/>
            <w:vAlign w:val="bottom"/>
            <w:gridSpan w:val="2"/>
          </w:tcPr>
          <w:p>
            <w:pPr>
              <w:jc w:val="center"/>
              <w:ind w:right="586"/>
              <w:spacing w:after="0"/>
              <w:rPr>
                <w:sz w:val="20"/>
                <w:szCs w:val="20"/>
                <w:color w:val="auto"/>
              </w:rPr>
            </w:pPr>
            <w:r>
              <w:rPr>
                <w:rFonts w:ascii="Courier New" w:cs="Courier New" w:eastAsia="Courier New" w:hAnsi="Courier New"/>
                <w:sz w:val="15"/>
                <w:szCs w:val="15"/>
                <w:color w:val="auto"/>
                <w:w w:val="96"/>
              </w:rPr>
              <w:t>Salary</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Bonus</w:t>
            </w:r>
          </w:p>
        </w:tc>
        <w:tc>
          <w:tcPr>
            <w:tcW w:w="26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All Other Compensation(1)</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600" w:type="dxa"/>
            <w:vAlign w:val="bottom"/>
          </w:tcPr>
          <w:p>
            <w:pPr>
              <w:spacing w:after="0"/>
              <w:rPr>
                <w:sz w:val="20"/>
                <w:szCs w:val="20"/>
                <w:color w:val="auto"/>
              </w:rPr>
            </w:pPr>
            <w:r>
              <w:rPr>
                <w:rFonts w:ascii="Courier New" w:cs="Courier New" w:eastAsia="Courier New" w:hAnsi="Courier New"/>
                <w:sz w:val="15"/>
                <w:szCs w:val="15"/>
                <w:color w:val="auto"/>
              </w:rPr>
              <w:t>Andrew M. Halapin President</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1999</w:t>
            </w:r>
          </w:p>
        </w:tc>
        <w:tc>
          <w:tcPr>
            <w:tcW w:w="1820" w:type="dxa"/>
            <w:vAlign w:val="bottom"/>
            <w:gridSpan w:val="2"/>
          </w:tcPr>
          <w:p>
            <w:pPr>
              <w:jc w:val="center"/>
              <w:ind w:right="586"/>
              <w:spacing w:after="0"/>
              <w:rPr>
                <w:sz w:val="20"/>
                <w:szCs w:val="20"/>
                <w:color w:val="auto"/>
              </w:rPr>
            </w:pPr>
            <w:r>
              <w:rPr>
                <w:rFonts w:ascii="Courier New" w:cs="Courier New" w:eastAsia="Courier New" w:hAnsi="Courier New"/>
                <w:sz w:val="15"/>
                <w:szCs w:val="15"/>
                <w:color w:val="auto"/>
                <w:w w:val="99"/>
              </w:rPr>
              <w:t>$200,000</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$267,000</w:t>
            </w:r>
          </w:p>
        </w:tc>
        <w:tc>
          <w:tcPr>
            <w:tcW w:w="2660" w:type="dxa"/>
            <w:vAlign w:val="bottom"/>
          </w:tcPr>
          <w:p>
            <w:pPr>
              <w:jc w:val="right"/>
              <w:ind w:right="1246"/>
              <w:spacing w:after="0"/>
              <w:rPr>
                <w:sz w:val="20"/>
                <w:szCs w:val="20"/>
                <w:color w:val="auto"/>
              </w:rPr>
            </w:pPr>
            <w:r>
              <w:rPr>
                <w:rFonts w:ascii="Courier New" w:cs="Courier New" w:eastAsia="Courier New" w:hAnsi="Courier New"/>
                <w:sz w:val="15"/>
                <w:szCs w:val="15"/>
                <w:color w:val="auto"/>
              </w:rPr>
              <w:t>$212,200</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and Chief Operating Officer</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c>
          <w:tcPr>
            <w:tcW w:w="1820" w:type="dxa"/>
            <w:vAlign w:val="bottom"/>
            <w:gridSpan w:val="2"/>
          </w:tcPr>
          <w:p>
            <w:pPr>
              <w:jc w:val="center"/>
              <w:ind w:right="586"/>
              <w:spacing w:after="0"/>
              <w:rPr>
                <w:sz w:val="20"/>
                <w:szCs w:val="20"/>
                <w:color w:val="auto"/>
              </w:rPr>
            </w:pPr>
            <w:r>
              <w:rPr>
                <w:rFonts w:ascii="Courier New" w:cs="Courier New" w:eastAsia="Courier New" w:hAnsi="Courier New"/>
                <w:sz w:val="15"/>
                <w:szCs w:val="15"/>
                <w:color w:val="auto"/>
                <w:w w:val="99"/>
              </w:rPr>
              <w:t>$200,000</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jc w:val="right"/>
              <w:ind w:right="1246"/>
              <w:spacing w:after="0"/>
              <w:rPr>
                <w:sz w:val="20"/>
                <w:szCs w:val="20"/>
                <w:color w:val="auto"/>
              </w:rPr>
            </w:pPr>
            <w:r>
              <w:rPr>
                <w:rFonts w:ascii="Courier New" w:cs="Courier New" w:eastAsia="Courier New" w:hAnsi="Courier New"/>
                <w:sz w:val="15"/>
                <w:szCs w:val="15"/>
                <w:color w:val="auto"/>
              </w:rPr>
              <w:t>$200,000</w:t>
            </w:r>
          </w:p>
        </w:tc>
      </w:tr>
      <w:tr>
        <w:trPr>
          <w:trHeight w:val="171"/>
        </w:trPr>
        <w:tc>
          <w:tcPr>
            <w:tcW w:w="2600" w:type="dxa"/>
            <w:vAlign w:val="bottom"/>
          </w:tcPr>
          <w:p>
            <w:pPr>
              <w:spacing w:after="0"/>
              <w:rPr>
                <w:sz w:val="14"/>
                <w:szCs w:val="14"/>
                <w:color w:val="auto"/>
              </w:rPr>
            </w:pP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1997</w:t>
            </w:r>
          </w:p>
        </w:tc>
        <w:tc>
          <w:tcPr>
            <w:tcW w:w="1820" w:type="dxa"/>
            <w:vAlign w:val="bottom"/>
            <w:gridSpan w:val="2"/>
          </w:tcPr>
          <w:p>
            <w:pPr>
              <w:jc w:val="center"/>
              <w:ind w:right="586"/>
              <w:spacing w:after="0"/>
              <w:rPr>
                <w:sz w:val="20"/>
                <w:szCs w:val="20"/>
                <w:color w:val="auto"/>
              </w:rPr>
            </w:pPr>
            <w:r>
              <w:rPr>
                <w:rFonts w:ascii="Courier New" w:cs="Courier New" w:eastAsia="Courier New" w:hAnsi="Courier New"/>
                <w:sz w:val="15"/>
                <w:szCs w:val="15"/>
                <w:color w:val="auto"/>
                <w:w w:val="99"/>
              </w:rPr>
              <w:t>$100,000</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$500,000(2)</w:t>
            </w:r>
          </w:p>
        </w:tc>
        <w:tc>
          <w:tcPr>
            <w:tcW w:w="2660" w:type="dxa"/>
            <w:vAlign w:val="bottom"/>
          </w:tcPr>
          <w:p>
            <w:pPr>
              <w:jc w:val="right"/>
              <w:ind w:right="1246"/>
              <w:spacing w:after="0"/>
              <w:rPr>
                <w:sz w:val="20"/>
                <w:szCs w:val="20"/>
                <w:color w:val="auto"/>
              </w:rPr>
            </w:pPr>
            <w:r>
              <w:rPr>
                <w:rFonts w:ascii="Courier New" w:cs="Courier New" w:eastAsia="Courier New" w:hAnsi="Courier New"/>
                <w:sz w:val="15"/>
                <w:szCs w:val="15"/>
                <w:color w:val="auto"/>
              </w:rPr>
              <w:t>$100,000</w:t>
            </w:r>
          </w:p>
        </w:tc>
      </w:tr>
      <w:tr>
        <w:trPr>
          <w:trHeight w:val="683"/>
        </w:trPr>
        <w:tc>
          <w:tcPr>
            <w:tcW w:w="5180" w:type="dxa"/>
            <w:vAlign w:val="bottom"/>
            <w:gridSpan w:val="3"/>
          </w:tcPr>
          <w:p>
            <w:pPr>
              <w:ind w:left="780"/>
              <w:spacing w:after="0"/>
              <w:rPr>
                <w:sz w:val="20"/>
                <w:szCs w:val="20"/>
                <w:color w:val="auto"/>
              </w:rPr>
            </w:pPr>
            <w:r>
              <w:rPr>
                <w:rFonts w:ascii="Courier New" w:cs="Courier New" w:eastAsia="Courier New" w:hAnsi="Courier New"/>
                <w:sz w:val="15"/>
                <w:szCs w:val="15"/>
                <w:color w:val="auto"/>
                <w:w w:val="99"/>
              </w:rPr>
              <w:t>Busch entered into an Employment, Non-Compete and</w:t>
            </w:r>
          </w:p>
        </w:tc>
        <w:tc>
          <w:tcPr>
            <w:tcW w:w="2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Confidentiality</w:t>
            </w:r>
          </w:p>
        </w:tc>
        <w:tc>
          <w:tcPr>
            <w:tcW w:w="2660" w:type="dxa"/>
            <w:vAlign w:val="bottom"/>
          </w:tcPr>
          <w:p>
            <w:pPr>
              <w:spacing w:after="0"/>
              <w:rPr>
                <w:sz w:val="24"/>
                <w:szCs w:val="24"/>
                <w:color w:val="auto"/>
              </w:rPr>
            </w:pP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Agreement dated September 25,</w:t>
            </w:r>
          </w:p>
        </w:tc>
        <w:tc>
          <w:tcPr>
            <w:tcW w:w="25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1997 with Andrew M. Halapin,</w:t>
            </w:r>
          </w:p>
        </w:tc>
        <w:tc>
          <w:tcPr>
            <w:tcW w:w="2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pursuant to which Mr.</w:t>
            </w:r>
          </w:p>
        </w:tc>
        <w:tc>
          <w:tcPr>
            <w:tcW w:w="2660" w:type="dxa"/>
            <w:vAlign w:val="bottom"/>
          </w:tcPr>
          <w:p>
            <w:pPr>
              <w:spacing w:after="0"/>
              <w:rPr>
                <w:sz w:val="14"/>
                <w:szCs w:val="14"/>
                <w:color w:val="auto"/>
              </w:rPr>
            </w:pPr>
          </w:p>
        </w:tc>
      </w:tr>
      <w:tr>
        <w:trPr>
          <w:trHeight w:val="171"/>
        </w:trPr>
        <w:tc>
          <w:tcPr>
            <w:tcW w:w="5180" w:type="dxa"/>
            <w:vAlign w:val="bottom"/>
            <w:gridSpan w:val="3"/>
          </w:tcPr>
          <w:p>
            <w:pPr>
              <w:spacing w:after="0"/>
              <w:rPr>
                <w:sz w:val="20"/>
                <w:szCs w:val="20"/>
                <w:color w:val="auto"/>
              </w:rPr>
            </w:pPr>
            <w:r>
              <w:rPr>
                <w:rFonts w:ascii="Courier New" w:cs="Courier New" w:eastAsia="Courier New" w:hAnsi="Courier New"/>
                <w:sz w:val="15"/>
                <w:szCs w:val="15"/>
                <w:color w:val="auto"/>
                <w:w w:val="98"/>
              </w:rPr>
              <w:t>Halapin agreed to be Busch's President and chief operating</w:t>
            </w:r>
          </w:p>
        </w:tc>
        <w:tc>
          <w:tcPr>
            <w:tcW w:w="2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officer until June</w:t>
            </w:r>
          </w:p>
        </w:tc>
        <w:tc>
          <w:tcPr>
            <w:tcW w:w="2660" w:type="dxa"/>
            <w:vAlign w:val="bottom"/>
          </w:tcPr>
          <w:p>
            <w:pPr>
              <w:spacing w:after="0"/>
              <w:rPr>
                <w:sz w:val="14"/>
                <w:szCs w:val="14"/>
                <w:color w:val="auto"/>
              </w:rPr>
            </w:pPr>
          </w:p>
        </w:tc>
      </w:tr>
      <w:tr>
        <w:trPr>
          <w:trHeight w:val="171"/>
        </w:trPr>
        <w:tc>
          <w:tcPr>
            <w:tcW w:w="5180" w:type="dxa"/>
            <w:vAlign w:val="bottom"/>
            <w:gridSpan w:val="3"/>
          </w:tcPr>
          <w:p>
            <w:pPr>
              <w:spacing w:after="0"/>
              <w:rPr>
                <w:sz w:val="20"/>
                <w:szCs w:val="20"/>
                <w:color w:val="auto"/>
              </w:rPr>
            </w:pPr>
            <w:r>
              <w:rPr>
                <w:rFonts w:ascii="Courier New" w:cs="Courier New" w:eastAsia="Courier New" w:hAnsi="Courier New"/>
                <w:sz w:val="15"/>
                <w:szCs w:val="15"/>
                <w:color w:val="auto"/>
                <w:w w:val="98"/>
              </w:rPr>
              <w:t>30, 2000. While Mr. Halapin is President of Busch, in 1999</w:t>
            </w:r>
          </w:p>
        </w:tc>
        <w:tc>
          <w:tcPr>
            <w:tcW w:w="2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Dr. Taub oversaw and</w:t>
            </w:r>
          </w:p>
        </w:tc>
        <w:tc>
          <w:tcPr>
            <w:tcW w:w="2660" w:type="dxa"/>
            <w:vAlign w:val="bottom"/>
          </w:tcPr>
          <w:p>
            <w:pPr>
              <w:spacing w:after="0"/>
              <w:rPr>
                <w:sz w:val="14"/>
                <w:szCs w:val="14"/>
                <w:color w:val="auto"/>
              </w:rPr>
            </w:pPr>
          </w:p>
        </w:tc>
      </w:tr>
      <w:tr>
        <w:trPr>
          <w:trHeight w:val="171"/>
        </w:trPr>
        <w:tc>
          <w:tcPr>
            <w:tcW w:w="5180" w:type="dxa"/>
            <w:vAlign w:val="bottom"/>
            <w:gridSpan w:val="3"/>
          </w:tcPr>
          <w:p>
            <w:pPr>
              <w:spacing w:after="0"/>
              <w:rPr>
                <w:sz w:val="20"/>
                <w:szCs w:val="20"/>
                <w:color w:val="auto"/>
              </w:rPr>
            </w:pPr>
            <w:r>
              <w:rPr>
                <w:rFonts w:ascii="Courier New" w:cs="Courier New" w:eastAsia="Courier New" w:hAnsi="Courier New"/>
                <w:sz w:val="15"/>
                <w:szCs w:val="15"/>
                <w:color w:val="auto"/>
                <w:w w:val="98"/>
              </w:rPr>
              <w:t>ultimately controlled the operations of Busch. Mr. Halapin</w:t>
            </w:r>
          </w:p>
        </w:tc>
        <w:tc>
          <w:tcPr>
            <w:tcW w:w="2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receives a $200,000</w:t>
            </w:r>
          </w:p>
        </w:tc>
        <w:tc>
          <w:tcPr>
            <w:tcW w:w="2660" w:type="dxa"/>
            <w:vAlign w:val="bottom"/>
          </w:tcPr>
          <w:p>
            <w:pPr>
              <w:spacing w:after="0"/>
              <w:rPr>
                <w:sz w:val="14"/>
                <w:szCs w:val="14"/>
                <w:color w:val="auto"/>
              </w:rPr>
            </w:pPr>
          </w:p>
        </w:tc>
      </w:tr>
      <w:tr>
        <w:trPr>
          <w:trHeight w:val="171"/>
        </w:trPr>
        <w:tc>
          <w:tcPr>
            <w:tcW w:w="7440" w:type="dxa"/>
            <w:vAlign w:val="bottom"/>
            <w:gridSpan w:val="5"/>
          </w:tcPr>
          <w:p>
            <w:pPr>
              <w:spacing w:after="0"/>
              <w:rPr>
                <w:sz w:val="20"/>
                <w:szCs w:val="20"/>
                <w:color w:val="auto"/>
              </w:rPr>
            </w:pPr>
            <w:r>
              <w:rPr>
                <w:rFonts w:ascii="Courier New" w:cs="Courier New" w:eastAsia="Courier New" w:hAnsi="Courier New"/>
                <w:sz w:val="15"/>
                <w:szCs w:val="15"/>
                <w:color w:val="auto"/>
              </w:rPr>
              <w:t>annual salary. Mr. Halapin is also entitled to a bonus depending upon whether</w:t>
            </w:r>
          </w:p>
        </w:tc>
        <w:tc>
          <w:tcPr>
            <w:tcW w:w="2660" w:type="dxa"/>
            <w:vAlign w:val="bottom"/>
          </w:tcPr>
          <w:p>
            <w:pPr>
              <w:spacing w:after="0"/>
              <w:rPr>
                <w:sz w:val="14"/>
                <w:szCs w:val="14"/>
                <w:color w:val="auto"/>
              </w:rPr>
            </w:pPr>
          </w:p>
        </w:tc>
      </w:tr>
      <w:tr>
        <w:trPr>
          <w:trHeight w:val="171"/>
        </w:trPr>
        <w:tc>
          <w:tcPr>
            <w:tcW w:w="7440" w:type="dxa"/>
            <w:vAlign w:val="bottom"/>
            <w:gridSpan w:val="5"/>
          </w:tcPr>
          <w:p>
            <w:pPr>
              <w:spacing w:after="0"/>
              <w:rPr>
                <w:sz w:val="20"/>
                <w:szCs w:val="20"/>
                <w:color w:val="auto"/>
              </w:rPr>
            </w:pPr>
            <w:r>
              <w:rPr>
                <w:rFonts w:ascii="Courier New" w:cs="Courier New" w:eastAsia="Courier New" w:hAnsi="Courier New"/>
                <w:sz w:val="15"/>
                <w:szCs w:val="15"/>
                <w:color w:val="auto"/>
              </w:rPr>
              <w:t>Busch meets or exceeds certain target earnings. Mr. Halapin has agreed to not</w:t>
            </w:r>
          </w:p>
        </w:tc>
        <w:tc>
          <w:tcPr>
            <w:tcW w:w="2660" w:type="dxa"/>
            <w:vAlign w:val="bottom"/>
          </w:tcPr>
          <w:p>
            <w:pPr>
              <w:spacing w:after="0"/>
              <w:rPr>
                <w:sz w:val="14"/>
                <w:szCs w:val="14"/>
                <w:color w:val="auto"/>
              </w:rPr>
            </w:pPr>
          </w:p>
        </w:tc>
      </w:tr>
      <w:tr>
        <w:trPr>
          <w:trHeight w:val="171"/>
        </w:trPr>
        <w:tc>
          <w:tcPr>
            <w:tcW w:w="5180" w:type="dxa"/>
            <w:vAlign w:val="bottom"/>
            <w:gridSpan w:val="3"/>
          </w:tcPr>
          <w:p>
            <w:pPr>
              <w:spacing w:after="0"/>
              <w:rPr>
                <w:sz w:val="20"/>
                <w:szCs w:val="20"/>
                <w:color w:val="auto"/>
              </w:rPr>
            </w:pPr>
            <w:r>
              <w:rPr>
                <w:rFonts w:ascii="Courier New" w:cs="Courier New" w:eastAsia="Courier New" w:hAnsi="Courier New"/>
                <w:sz w:val="15"/>
                <w:szCs w:val="15"/>
                <w:color w:val="auto"/>
                <w:w w:val="98"/>
              </w:rPr>
              <w:t>compete with Busch and its affiliates (including CECO) for</w:t>
            </w:r>
          </w:p>
        </w:tc>
        <w:tc>
          <w:tcPr>
            <w:tcW w:w="2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two years from the</w:t>
            </w:r>
          </w:p>
        </w:tc>
        <w:tc>
          <w:tcPr>
            <w:tcW w:w="2660" w:type="dxa"/>
            <w:vAlign w:val="bottom"/>
          </w:tcPr>
          <w:p>
            <w:pPr>
              <w:spacing w:after="0"/>
              <w:rPr>
                <w:sz w:val="14"/>
                <w:szCs w:val="14"/>
                <w:color w:val="auto"/>
              </w:rPr>
            </w:pPr>
          </w:p>
        </w:tc>
      </w:tr>
      <w:tr>
        <w:trPr>
          <w:trHeight w:val="171"/>
        </w:trPr>
        <w:tc>
          <w:tcPr>
            <w:tcW w:w="5180" w:type="dxa"/>
            <w:vAlign w:val="bottom"/>
            <w:gridSpan w:val="3"/>
          </w:tcPr>
          <w:p>
            <w:pPr>
              <w:spacing w:after="0"/>
              <w:rPr>
                <w:sz w:val="20"/>
                <w:szCs w:val="20"/>
                <w:color w:val="auto"/>
              </w:rPr>
            </w:pPr>
            <w:r>
              <w:rPr>
                <w:rFonts w:ascii="Courier New" w:cs="Courier New" w:eastAsia="Courier New" w:hAnsi="Courier New"/>
                <w:sz w:val="15"/>
                <w:szCs w:val="15"/>
                <w:color w:val="auto"/>
                <w:w w:val="98"/>
              </w:rPr>
              <w:t>date of the Employment Agreement or one year from the date</w:t>
            </w:r>
          </w:p>
        </w:tc>
        <w:tc>
          <w:tcPr>
            <w:tcW w:w="2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termination of the</w:t>
            </w:r>
          </w:p>
        </w:tc>
        <w:tc>
          <w:tcPr>
            <w:tcW w:w="2660" w:type="dxa"/>
            <w:vAlign w:val="bottom"/>
          </w:tcPr>
          <w:p>
            <w:pPr>
              <w:spacing w:after="0"/>
              <w:rPr>
                <w:sz w:val="14"/>
                <w:szCs w:val="14"/>
                <w:color w:val="auto"/>
              </w:rPr>
            </w:pPr>
          </w:p>
        </w:tc>
      </w:tr>
      <w:tr>
        <w:trPr>
          <w:trHeight w:val="171"/>
        </w:trPr>
        <w:tc>
          <w:tcPr>
            <w:tcW w:w="7440" w:type="dxa"/>
            <w:vAlign w:val="bottom"/>
            <w:gridSpan w:val="5"/>
          </w:tcPr>
          <w:p>
            <w:pPr>
              <w:spacing w:after="0"/>
              <w:rPr>
                <w:sz w:val="20"/>
                <w:szCs w:val="20"/>
                <w:color w:val="auto"/>
              </w:rPr>
            </w:pPr>
            <w:r>
              <w:rPr>
                <w:rFonts w:ascii="Courier New" w:cs="Courier New" w:eastAsia="Courier New" w:hAnsi="Courier New"/>
                <w:sz w:val="15"/>
                <w:szCs w:val="15"/>
                <w:color w:val="auto"/>
              </w:rPr>
              <w:t>Employment Agreement, whichever is later. As compensation for Mr. Halapin's</w:t>
            </w:r>
          </w:p>
        </w:tc>
        <w:tc>
          <w:tcPr>
            <w:tcW w:w="2660" w:type="dxa"/>
            <w:vAlign w:val="bottom"/>
          </w:tcPr>
          <w:p>
            <w:pPr>
              <w:spacing w:after="0"/>
              <w:rPr>
                <w:sz w:val="14"/>
                <w:szCs w:val="14"/>
                <w:color w:val="auto"/>
              </w:rPr>
            </w:pPr>
          </w:p>
        </w:tc>
      </w:tr>
      <w:tr>
        <w:trPr>
          <w:trHeight w:val="171"/>
        </w:trPr>
        <w:tc>
          <w:tcPr>
            <w:tcW w:w="5180" w:type="dxa"/>
            <w:vAlign w:val="bottom"/>
            <w:gridSpan w:val="3"/>
          </w:tcPr>
          <w:p>
            <w:pPr>
              <w:spacing w:after="0"/>
              <w:rPr>
                <w:sz w:val="20"/>
                <w:szCs w:val="20"/>
                <w:color w:val="auto"/>
              </w:rPr>
            </w:pPr>
            <w:r>
              <w:rPr>
                <w:rFonts w:ascii="Courier New" w:cs="Courier New" w:eastAsia="Courier New" w:hAnsi="Courier New"/>
                <w:sz w:val="15"/>
                <w:szCs w:val="15"/>
                <w:color w:val="auto"/>
                <w:w w:val="98"/>
              </w:rPr>
              <w:t>agreement not to compete with Busch and its affiliates, he</w:t>
            </w:r>
          </w:p>
        </w:tc>
        <w:tc>
          <w:tcPr>
            <w:tcW w:w="2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received $100,000</w:t>
            </w:r>
          </w:p>
        </w:tc>
        <w:tc>
          <w:tcPr>
            <w:tcW w:w="2660" w:type="dxa"/>
            <w:vAlign w:val="bottom"/>
          </w:tcPr>
          <w:p>
            <w:pPr>
              <w:spacing w:after="0"/>
              <w:rPr>
                <w:sz w:val="14"/>
                <w:szCs w:val="14"/>
                <w:color w:val="auto"/>
              </w:rPr>
            </w:pPr>
          </w:p>
        </w:tc>
      </w:tr>
      <w:tr>
        <w:trPr>
          <w:trHeight w:val="171"/>
        </w:trPr>
        <w:tc>
          <w:tcPr>
            <w:tcW w:w="5180" w:type="dxa"/>
            <w:vAlign w:val="bottom"/>
            <w:gridSpan w:val="3"/>
          </w:tcPr>
          <w:p>
            <w:pPr>
              <w:spacing w:after="0"/>
              <w:rPr>
                <w:sz w:val="20"/>
                <w:szCs w:val="20"/>
                <w:color w:val="auto"/>
              </w:rPr>
            </w:pPr>
            <w:r>
              <w:rPr>
                <w:rFonts w:ascii="Courier New" w:cs="Courier New" w:eastAsia="Courier New" w:hAnsi="Courier New"/>
                <w:sz w:val="15"/>
                <w:szCs w:val="15"/>
                <w:color w:val="auto"/>
                <w:w w:val="98"/>
              </w:rPr>
              <w:t>upon execution of the Employment Agreement and is entitled</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to additional</w:t>
            </w:r>
          </w:p>
        </w:tc>
        <w:tc>
          <w:tcPr>
            <w:tcW w:w="106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71"/>
        </w:trPr>
        <w:tc>
          <w:tcPr>
            <w:tcW w:w="7440" w:type="dxa"/>
            <w:vAlign w:val="bottom"/>
            <w:gridSpan w:val="5"/>
          </w:tcPr>
          <w:p>
            <w:pPr>
              <w:spacing w:after="0"/>
              <w:rPr>
                <w:sz w:val="20"/>
                <w:szCs w:val="20"/>
                <w:color w:val="auto"/>
              </w:rPr>
            </w:pPr>
            <w:r>
              <w:rPr>
                <w:rFonts w:ascii="Courier New" w:cs="Courier New" w:eastAsia="Courier New" w:hAnsi="Courier New"/>
                <w:sz w:val="15"/>
                <w:szCs w:val="15"/>
                <w:color w:val="auto"/>
              </w:rPr>
              <w:t>$200,000 annual payments for four years, for a total payment of $900,000. Upon</w:t>
            </w:r>
          </w:p>
        </w:tc>
        <w:tc>
          <w:tcPr>
            <w:tcW w:w="2660" w:type="dxa"/>
            <w:vAlign w:val="bottom"/>
          </w:tcPr>
          <w:p>
            <w:pPr>
              <w:spacing w:after="0"/>
              <w:rPr>
                <w:sz w:val="14"/>
                <w:szCs w:val="14"/>
                <w:color w:val="auto"/>
              </w:rPr>
            </w:pPr>
          </w:p>
        </w:tc>
      </w:tr>
      <w:tr>
        <w:trPr>
          <w:trHeight w:val="171"/>
        </w:trPr>
        <w:tc>
          <w:tcPr>
            <w:tcW w:w="5180" w:type="dxa"/>
            <w:vAlign w:val="bottom"/>
            <w:gridSpan w:val="3"/>
          </w:tcPr>
          <w:p>
            <w:pPr>
              <w:spacing w:after="0"/>
              <w:rPr>
                <w:sz w:val="20"/>
                <w:szCs w:val="20"/>
                <w:color w:val="auto"/>
              </w:rPr>
            </w:pPr>
            <w:r>
              <w:rPr>
                <w:rFonts w:ascii="Courier New" w:cs="Courier New" w:eastAsia="Courier New" w:hAnsi="Courier New"/>
                <w:sz w:val="15"/>
                <w:szCs w:val="15"/>
                <w:color w:val="auto"/>
                <w:w w:val="98"/>
              </w:rPr>
              <w:t>termination of the Employment Agreement, Busch is required</w:t>
            </w:r>
          </w:p>
        </w:tc>
        <w:tc>
          <w:tcPr>
            <w:tcW w:w="2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pay Mr. Halapin</w:t>
            </w:r>
          </w:p>
        </w:tc>
        <w:tc>
          <w:tcPr>
            <w:tcW w:w="2660" w:type="dxa"/>
            <w:vAlign w:val="bottom"/>
          </w:tcPr>
          <w:p>
            <w:pPr>
              <w:spacing w:after="0"/>
              <w:rPr>
                <w:sz w:val="14"/>
                <w:szCs w:val="14"/>
                <w:color w:val="auto"/>
              </w:rPr>
            </w:pPr>
          </w:p>
        </w:tc>
      </w:tr>
      <w:tr>
        <w:trPr>
          <w:trHeight w:val="171"/>
        </w:trPr>
        <w:tc>
          <w:tcPr>
            <w:tcW w:w="7440" w:type="dxa"/>
            <w:vAlign w:val="bottom"/>
            <w:gridSpan w:val="5"/>
          </w:tcPr>
          <w:p>
            <w:pPr>
              <w:spacing w:after="0"/>
              <w:rPr>
                <w:sz w:val="20"/>
                <w:szCs w:val="20"/>
                <w:color w:val="auto"/>
              </w:rPr>
            </w:pPr>
            <w:r>
              <w:rPr>
                <w:rFonts w:ascii="Courier New" w:cs="Courier New" w:eastAsia="Courier New" w:hAnsi="Courier New"/>
                <w:sz w:val="15"/>
                <w:szCs w:val="15"/>
                <w:color w:val="auto"/>
              </w:rPr>
              <w:t>$450,000 before January 31, 2002 in consideration of Mr. Halapin's providing</w:t>
            </w:r>
          </w:p>
        </w:tc>
        <w:tc>
          <w:tcPr>
            <w:tcW w:w="2660" w:type="dxa"/>
            <w:vAlign w:val="bottom"/>
          </w:tcPr>
          <w:p>
            <w:pPr>
              <w:spacing w:after="0"/>
              <w:rPr>
                <w:sz w:val="14"/>
                <w:szCs w:val="14"/>
                <w:color w:val="auto"/>
              </w:rPr>
            </w:pPr>
          </w:p>
        </w:tc>
      </w:tr>
      <w:tr>
        <w:trPr>
          <w:trHeight w:val="171"/>
        </w:trPr>
        <w:tc>
          <w:tcPr>
            <w:tcW w:w="4560" w:type="dxa"/>
            <w:vAlign w:val="bottom"/>
            <w:gridSpan w:val="2"/>
          </w:tcPr>
          <w:p>
            <w:pPr>
              <w:spacing w:after="0"/>
              <w:rPr>
                <w:sz w:val="20"/>
                <w:szCs w:val="20"/>
                <w:color w:val="auto"/>
              </w:rPr>
            </w:pPr>
            <w:r>
              <w:rPr>
                <w:rFonts w:ascii="Courier New" w:cs="Courier New" w:eastAsia="Courier New" w:hAnsi="Courier New"/>
                <w:sz w:val="15"/>
                <w:szCs w:val="15"/>
                <w:color w:val="auto"/>
              </w:rPr>
              <w:t>certain consulting services to CECO.</w:t>
            </w: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6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ind w:left="449" w:right="3319" w:hanging="449"/>
        <w:spacing w:after="0"/>
        <w:tabs>
          <w:tab w:leader="none" w:pos="4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$100,000 payment in 1997 and a $200,000 payment in 1998 and 1999 for consideration of a non-compete agreement contained in Mr. Halapin's Employment Agreement. For 1999, also represents a $7,200 automobile allowance and a $5000 matching contribution by Filters to Filters' 401(k) Plan.</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$500,000 signing bonus.</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148"/>
          </w:cols>
          <w:pgMar w:left="311" w:top="631" w:right="1440" w:bottom="1440" w:gutter="0" w:footer="0" w:header="0"/>
        </w:sectPr>
      </w:pPr>
    </w:p>
    <w:bookmarkStart w:id="33" w:name="page34"/>
    <w:bookmarkEnd w:id="33"/>
    <w:p>
      <w:pPr>
        <w:ind w:left="9"/>
        <w:spacing w:after="0" w:line="239" w:lineRule="auto"/>
        <w:rPr>
          <w:sz w:val="20"/>
          <w:szCs w:val="20"/>
          <w:color w:val="auto"/>
        </w:rPr>
      </w:pPr>
      <w:r>
        <w:rPr>
          <w:rFonts w:ascii="Courier New" w:cs="Courier New" w:eastAsia="Courier New" w:hAnsi="Courier New"/>
          <w:sz w:val="15"/>
          <w:szCs w:val="15"/>
          <w:color w:val="auto"/>
        </w:rPr>
        <w:t>The following table summarizes the total compensation of the President and Chief Executive Officer of CECO Group, Inc. for 1999. There were no other executive officers of CECO Group, Inc. who received compensation in excess of $100,000 for 1999.</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SUMMARY COMPENSATION TABLE FOR CECO GROUP, INC.:</w:t>
      </w:r>
    </w:p>
    <w:p>
      <w:pPr>
        <w:spacing w:after="0" w:line="200" w:lineRule="exact"/>
        <w:rPr>
          <w:sz w:val="20"/>
          <w:szCs w:val="20"/>
          <w:color w:val="auto"/>
        </w:rPr>
      </w:pPr>
    </w:p>
    <w:p>
      <w:pPr>
        <w:spacing w:after="0" w:line="313"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Annual Compensation</w:t>
      </w:r>
    </w:p>
    <w:p>
      <w:pPr>
        <w:spacing w:after="0" w:line="1" w:lineRule="exact"/>
        <w:rPr>
          <w:sz w:val="20"/>
          <w:szCs w:val="20"/>
          <w:color w:val="auto"/>
        </w:rPr>
      </w:pPr>
    </w:p>
    <w:p>
      <w:pPr>
        <w:ind w:left="9"/>
        <w:spacing w:after="0"/>
        <w:tabs>
          <w:tab w:leader="none" w:pos="3169" w:val="left"/>
          <w:tab w:leader="none" w:pos="5489" w:val="left"/>
        </w:tabs>
        <w:rPr>
          <w:sz w:val="20"/>
          <w:szCs w:val="20"/>
          <w:color w:val="auto"/>
        </w:rPr>
      </w:pPr>
      <w:r>
        <w:rPr>
          <w:rFonts w:ascii="Courier New" w:cs="Courier New" w:eastAsia="Courier New" w:hAnsi="Courier New"/>
          <w:sz w:val="15"/>
          <w:szCs w:val="15"/>
          <w:color w:val="auto"/>
        </w:rPr>
        <w:t>Name/Principal Position</w:t>
      </w:r>
      <w:r>
        <w:rPr>
          <w:sz w:val="20"/>
          <w:szCs w:val="20"/>
          <w:color w:val="auto"/>
        </w:rPr>
        <w:tab/>
      </w: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4"/>
          <w:szCs w:val="14"/>
          <w:color w:val="auto"/>
        </w:rPr>
        <w:t>Salary</w:t>
      </w:r>
    </w:p>
    <w:p>
      <w:pPr>
        <w:spacing w:after="0" w:line="1" w:lineRule="exact"/>
        <w:rPr>
          <w:sz w:val="20"/>
          <w:szCs w:val="20"/>
          <w:color w:val="auto"/>
        </w:rPr>
      </w:pPr>
    </w:p>
    <w:p>
      <w:pPr>
        <w:ind w:left="9"/>
        <w:spacing w:after="0"/>
        <w:tabs>
          <w:tab w:leader="none" w:pos="3529" w:val="left"/>
          <w:tab w:leader="none" w:pos="582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9"/>
        <w:spacing w:after="0"/>
        <w:tabs>
          <w:tab w:leader="none" w:pos="3169" w:val="left"/>
          <w:tab w:leader="none" w:pos="5489" w:val="left"/>
        </w:tabs>
        <w:rPr>
          <w:sz w:val="20"/>
          <w:szCs w:val="20"/>
          <w:color w:val="auto"/>
        </w:rPr>
      </w:pPr>
      <w:r>
        <w:rPr>
          <w:rFonts w:ascii="Courier New" w:cs="Courier New" w:eastAsia="Courier New" w:hAnsi="Courier New"/>
          <w:sz w:val="15"/>
          <w:szCs w:val="15"/>
          <w:color w:val="auto"/>
        </w:rPr>
        <w:t>Richard Blum President and Chief</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4"/>
          <w:szCs w:val="14"/>
          <w:color w:val="auto"/>
        </w:rPr>
        <w:t>$13,972(1)</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Executive Officer</w:t>
      </w:r>
    </w:p>
    <w:p>
      <w:pPr>
        <w:spacing w:after="0" w:line="200" w:lineRule="exact"/>
        <w:rPr>
          <w:sz w:val="20"/>
          <w:szCs w:val="20"/>
          <w:color w:val="auto"/>
        </w:rPr>
      </w:pPr>
    </w:p>
    <w:p>
      <w:pPr>
        <w:spacing w:after="0" w:line="316" w:lineRule="exact"/>
        <w:rPr>
          <w:sz w:val="20"/>
          <w:szCs w:val="20"/>
          <w:color w:val="auto"/>
        </w:rPr>
      </w:pPr>
    </w:p>
    <w:p>
      <w:pPr>
        <w:ind w:left="9" w:firstLine="799"/>
        <w:spacing w:after="0"/>
        <w:rPr>
          <w:sz w:val="20"/>
          <w:szCs w:val="20"/>
          <w:color w:val="auto"/>
        </w:rPr>
      </w:pPr>
      <w:r>
        <w:rPr>
          <w:rFonts w:ascii="Courier New" w:cs="Courier New" w:eastAsia="Courier New" w:hAnsi="Courier New"/>
          <w:sz w:val="15"/>
          <w:szCs w:val="15"/>
          <w:color w:val="auto"/>
        </w:rPr>
        <w:t>Mr. Richard Blum entered into an Employment Agreement dated December 7, 1999 with Ceco Group. The Employment Agreement has a term through December 7, 2004. Either party may terminate the Employment Agreement for cause. Mr. Blum's base salary is set at $206,000 per year. In addition to his base salary, Mr. Blum is entitled to a bonus, depending upon whether the Company exceeds certain targets, and four weeks paid vacation.</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ind w:left="449" w:right="180" w:hanging="449"/>
        <w:spacing w:after="0" w:line="238" w:lineRule="auto"/>
        <w:tabs>
          <w:tab w:leader="none" w:pos="4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an annual salary of $206,000; Mr. Blum commenced employment with Ceco Group on December 7, 1999.</w:t>
      </w:r>
    </w:p>
    <w:p>
      <w:pPr>
        <w:spacing w:after="0" w:line="345" w:lineRule="exact"/>
        <w:rPr>
          <w:rFonts w:ascii="Courier New" w:cs="Courier New" w:eastAsia="Courier New" w:hAnsi="Courier New"/>
          <w:sz w:val="15"/>
          <w:szCs w:val="15"/>
          <w:color w:val="auto"/>
        </w:rPr>
      </w:pPr>
    </w:p>
    <w:p>
      <w:pPr>
        <w:ind w:left="449" w:right="280" w:hanging="449"/>
        <w:spacing w:after="0" w:line="239" w:lineRule="auto"/>
        <w:tabs>
          <w:tab w:leader="none" w:pos="4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Warrants to purchase 448,000 shares of the Company's stock granted in Mr. Richard Blum's Employment Agreement. Such Warrants become exercisable at the rate of 25% per year over the four years following December 7, 1999 at a price per share of $2.9375.</w:t>
      </w:r>
    </w:p>
    <w:p>
      <w:pPr>
        <w:spacing w:after="0" w:line="34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559"/>
        <w:spacing w:after="0" w:line="258" w:lineRule="auto"/>
        <w:rPr>
          <w:sz w:val="20"/>
          <w:szCs w:val="20"/>
          <w:color w:val="auto"/>
        </w:rPr>
      </w:pPr>
      <w:r>
        <w:rPr>
          <w:rFonts w:ascii="Courier New" w:cs="Courier New" w:eastAsia="Courier New" w:hAnsi="Courier New"/>
          <w:sz w:val="14"/>
          <w:szCs w:val="14"/>
          <w:color w:val="auto"/>
        </w:rPr>
        <w:t>Long Term Compensation Options (#)</w:t>
      </w:r>
    </w:p>
    <w:p>
      <w:pPr>
        <w:ind w:left="360"/>
        <w:spacing w:after="0" w:line="236" w:lineRule="auto"/>
        <w:rPr>
          <w:sz w:val="20"/>
          <w:szCs w:val="20"/>
          <w:color w:val="auto"/>
        </w:rPr>
      </w:pPr>
      <w:r>
        <w:rPr>
          <w:rFonts w:ascii="Courier New" w:cs="Courier New" w:eastAsia="Courier New" w:hAnsi="Courier New"/>
          <w:sz w:val="15"/>
          <w:szCs w:val="15"/>
          <w:color w:val="auto"/>
        </w:rPr>
        <w: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448,000(2)</w:t>
      </w:r>
    </w:p>
    <w:p>
      <w:pPr>
        <w:sectPr>
          <w:pgSz w:w="11900" w:h="16838" w:orient="portrait"/>
          <w:cols w:equalWidth="0" w:num="2">
            <w:col w:w="7109" w:space="520"/>
            <w:col w:w="2519"/>
          </w:cols>
          <w:pgMar w:left="311" w:top="801" w:right="1440" w:bottom="1440" w:gutter="0" w:footer="0" w:header="0"/>
        </w:sectPr>
      </w:pPr>
    </w:p>
    <w:bookmarkStart w:id="34" w:name="page35"/>
    <w:bookmarkEnd w:id="34"/>
    <w:p>
      <w:pPr>
        <w:ind w:left="9" w:right="80"/>
        <w:spacing w:after="0" w:line="238" w:lineRule="auto"/>
        <w:rPr>
          <w:sz w:val="20"/>
          <w:szCs w:val="20"/>
          <w:color w:val="auto"/>
        </w:rPr>
      </w:pPr>
      <w:r>
        <w:rPr>
          <w:rFonts w:ascii="Courier New" w:cs="Courier New" w:eastAsia="Courier New" w:hAnsi="Courier New"/>
          <w:sz w:val="15"/>
          <w:szCs w:val="15"/>
          <w:color w:val="auto"/>
        </w:rPr>
        <w:t>The following table summarizes the total compensation of the Vice-President of Kirk &amp; Blum for 1999.</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SUMMARY COMPENSATION TABLE FOR KIRK &amp; BLUM:</w:t>
      </w:r>
    </w:p>
    <w:p>
      <w:pPr>
        <w:spacing w:after="0" w:line="200" w:lineRule="exact"/>
        <w:rPr>
          <w:sz w:val="20"/>
          <w:szCs w:val="20"/>
          <w:color w:val="auto"/>
        </w:rPr>
      </w:pPr>
    </w:p>
    <w:p>
      <w:pPr>
        <w:spacing w:after="0" w:line="313"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Annual Compensation</w:t>
      </w:r>
    </w:p>
    <w:p>
      <w:pPr>
        <w:spacing w:after="0" w:line="1" w:lineRule="exact"/>
        <w:rPr>
          <w:sz w:val="20"/>
          <w:szCs w:val="20"/>
          <w:color w:val="auto"/>
        </w:rPr>
      </w:pPr>
    </w:p>
    <w:p>
      <w:pPr>
        <w:ind w:left="9"/>
        <w:spacing w:after="0"/>
        <w:tabs>
          <w:tab w:leader="none" w:pos="3169" w:val="left"/>
          <w:tab w:leader="none" w:pos="5489" w:val="left"/>
        </w:tabs>
        <w:rPr>
          <w:sz w:val="20"/>
          <w:szCs w:val="20"/>
          <w:color w:val="auto"/>
        </w:rPr>
      </w:pPr>
      <w:r>
        <w:rPr>
          <w:rFonts w:ascii="Courier New" w:cs="Courier New" w:eastAsia="Courier New" w:hAnsi="Courier New"/>
          <w:sz w:val="15"/>
          <w:szCs w:val="15"/>
          <w:color w:val="auto"/>
        </w:rPr>
        <w:t>Name/Principal Position</w:t>
      </w:r>
      <w:r>
        <w:rPr>
          <w:sz w:val="20"/>
          <w:szCs w:val="20"/>
          <w:color w:val="auto"/>
        </w:rPr>
        <w:tab/>
      </w: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4"/>
          <w:szCs w:val="14"/>
          <w:color w:val="auto"/>
        </w:rPr>
        <w:t>Salary</w:t>
      </w:r>
    </w:p>
    <w:p>
      <w:pPr>
        <w:spacing w:after="0" w:line="1" w:lineRule="exact"/>
        <w:rPr>
          <w:sz w:val="20"/>
          <w:szCs w:val="20"/>
          <w:color w:val="auto"/>
        </w:rPr>
      </w:pPr>
    </w:p>
    <w:p>
      <w:pPr>
        <w:ind w:left="9"/>
        <w:spacing w:after="0"/>
        <w:tabs>
          <w:tab w:leader="none" w:pos="3529" w:val="left"/>
          <w:tab w:leader="none" w:pos="582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9"/>
        <w:spacing w:after="0"/>
        <w:tabs>
          <w:tab w:leader="none" w:pos="3169" w:val="left"/>
          <w:tab w:leader="none" w:pos="5489" w:val="left"/>
        </w:tabs>
        <w:rPr>
          <w:sz w:val="20"/>
          <w:szCs w:val="20"/>
          <w:color w:val="auto"/>
        </w:rPr>
      </w:pPr>
      <w:r>
        <w:rPr>
          <w:rFonts w:ascii="Courier New" w:cs="Courier New" w:eastAsia="Courier New" w:hAnsi="Courier New"/>
          <w:sz w:val="15"/>
          <w:szCs w:val="15"/>
          <w:color w:val="auto"/>
        </w:rPr>
        <w:t>David Blum</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4"/>
          <w:szCs w:val="14"/>
          <w:color w:val="auto"/>
        </w:rPr>
        <w:t>$10,548(1)</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Vice-President</w:t>
      </w:r>
    </w:p>
    <w:p>
      <w:pPr>
        <w:spacing w:after="0" w:line="200" w:lineRule="exact"/>
        <w:rPr>
          <w:sz w:val="20"/>
          <w:szCs w:val="20"/>
          <w:color w:val="auto"/>
        </w:rPr>
      </w:pPr>
    </w:p>
    <w:p>
      <w:pPr>
        <w:spacing w:after="0" w:line="316" w:lineRule="exact"/>
        <w:rPr>
          <w:sz w:val="20"/>
          <w:szCs w:val="20"/>
          <w:color w:val="auto"/>
        </w:rPr>
      </w:pPr>
    </w:p>
    <w:p>
      <w:pPr>
        <w:ind w:left="9" w:firstLine="799"/>
        <w:spacing w:after="0"/>
        <w:rPr>
          <w:sz w:val="20"/>
          <w:szCs w:val="20"/>
          <w:color w:val="auto"/>
        </w:rPr>
      </w:pPr>
      <w:r>
        <w:rPr>
          <w:rFonts w:ascii="Courier New" w:cs="Courier New" w:eastAsia="Courier New" w:hAnsi="Courier New"/>
          <w:sz w:val="15"/>
          <w:szCs w:val="15"/>
          <w:color w:val="auto"/>
        </w:rPr>
        <w:t>Mr. David Blum entered into an Employment Agreement dated December 7, 1999 with Kirk &amp; Blum. The Employment Agreement has a term through December 7, 2004. Either party may terminate the Employment Agreement for cause. Mr. Blum's base salary is set at $154,000 per year. In addition to his base salary, Mr. Blum is entitled to a bonus, depending upon whether the Company exceeds certain targets, and four weeks paid vacation.</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ind w:left="449" w:right="260" w:hanging="449"/>
        <w:spacing w:after="0" w:line="238"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an annual salary of $154,000; amount shown is from December 7, 1999, the date CECO Group acquired Kirk &amp; Blum.</w:t>
      </w:r>
    </w:p>
    <w:p>
      <w:pPr>
        <w:spacing w:after="0" w:line="345" w:lineRule="exact"/>
        <w:rPr>
          <w:rFonts w:ascii="Courier New" w:cs="Courier New" w:eastAsia="Courier New" w:hAnsi="Courier New"/>
          <w:sz w:val="15"/>
          <w:szCs w:val="15"/>
          <w:color w:val="auto"/>
        </w:rPr>
      </w:pPr>
    </w:p>
    <w:p>
      <w:pPr>
        <w:ind w:left="449" w:right="180" w:hanging="449"/>
        <w:spacing w:after="0" w:line="239"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Warrants to purchase 335,000 shares of the Company's stock granted in Mr. Richard Blum's Employment Agreement. Such Warrants become exercisable at the rate of 25% per year over the four years following December 7, 1999 at a price per share of $2.9375.</w:t>
      </w:r>
    </w:p>
    <w:p>
      <w:pPr>
        <w:spacing w:after="0" w:line="200" w:lineRule="exact"/>
        <w:rPr>
          <w:sz w:val="20"/>
          <w:szCs w:val="20"/>
          <w:color w:val="auto"/>
        </w:rPr>
      </w:pPr>
    </w:p>
    <w:p>
      <w:pPr>
        <w:spacing w:after="0" w:line="31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559"/>
        <w:spacing w:after="0" w:line="258" w:lineRule="auto"/>
        <w:rPr>
          <w:sz w:val="20"/>
          <w:szCs w:val="20"/>
          <w:color w:val="auto"/>
        </w:rPr>
      </w:pPr>
      <w:r>
        <w:rPr>
          <w:rFonts w:ascii="Courier New" w:cs="Courier New" w:eastAsia="Courier New" w:hAnsi="Courier New"/>
          <w:sz w:val="14"/>
          <w:szCs w:val="14"/>
          <w:color w:val="auto"/>
        </w:rPr>
        <w:t>Long Term Compensation Options (#)</w:t>
      </w:r>
    </w:p>
    <w:p>
      <w:pPr>
        <w:ind w:left="360"/>
        <w:spacing w:after="0" w:line="236" w:lineRule="auto"/>
        <w:rPr>
          <w:sz w:val="20"/>
          <w:szCs w:val="20"/>
          <w:color w:val="auto"/>
        </w:rPr>
      </w:pPr>
      <w:r>
        <w:rPr>
          <w:rFonts w:ascii="Courier New" w:cs="Courier New" w:eastAsia="Courier New" w:hAnsi="Courier New"/>
          <w:sz w:val="15"/>
          <w:szCs w:val="15"/>
          <w:color w:val="auto"/>
        </w:rPr>
        <w: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335,000(2)</w:t>
      </w:r>
    </w:p>
    <w:p>
      <w:pPr>
        <w:sectPr>
          <w:pgSz w:w="11900" w:h="16838" w:orient="portrait"/>
          <w:cols w:equalWidth="0" w:num="2">
            <w:col w:w="7009" w:space="620"/>
            <w:col w:w="2519"/>
          </w:cols>
          <w:pgMar w:left="311" w:top="631" w:right="1440" w:bottom="1440" w:gutter="0" w:footer="0" w:header="0"/>
        </w:sectPr>
      </w:pPr>
    </w:p>
    <w:bookmarkStart w:id="35" w:name="page36"/>
    <w:bookmarkEnd w:id="35"/>
    <w:p>
      <w:pPr>
        <w:ind w:left="9"/>
        <w:spacing w:after="0"/>
        <w:rPr>
          <w:sz w:val="20"/>
          <w:szCs w:val="20"/>
          <w:color w:val="auto"/>
        </w:rPr>
      </w:pPr>
      <w:r>
        <w:rPr>
          <w:rFonts w:ascii="Courier New" w:cs="Courier New" w:eastAsia="Courier New" w:hAnsi="Courier New"/>
          <w:sz w:val="15"/>
          <w:szCs w:val="15"/>
          <w:color w:val="auto"/>
        </w:rPr>
        <w:t>Item 11. Security Ownership of Certain Beneficial Owners and Management</w:t>
      </w:r>
    </w:p>
    <w:p>
      <w:pPr>
        <w:spacing w:after="0" w:line="171" w:lineRule="exact"/>
        <w:rPr>
          <w:sz w:val="20"/>
          <w:szCs w:val="20"/>
          <w:color w:val="auto"/>
        </w:rPr>
      </w:pPr>
    </w:p>
    <w:p>
      <w:pPr>
        <w:ind w:left="789" w:hanging="789"/>
        <w:spacing w:after="0"/>
        <w:tabs>
          <w:tab w:leader="none" w:pos="78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Ownership of Certain Beneficial Owners</w:t>
      </w:r>
    </w:p>
    <w:p>
      <w:pPr>
        <w:spacing w:after="0" w:line="345" w:lineRule="exact"/>
        <w:rPr>
          <w:sz w:val="20"/>
          <w:szCs w:val="20"/>
          <w:color w:val="auto"/>
        </w:rPr>
      </w:pPr>
    </w:p>
    <w:p>
      <w:pPr>
        <w:ind w:left="9" w:right="3039" w:firstLine="799"/>
        <w:spacing w:after="0" w:line="262" w:lineRule="auto"/>
        <w:rPr>
          <w:sz w:val="20"/>
          <w:szCs w:val="20"/>
          <w:color w:val="auto"/>
        </w:rPr>
      </w:pPr>
      <w:r>
        <w:rPr>
          <w:rFonts w:ascii="Courier New" w:cs="Courier New" w:eastAsia="Courier New" w:hAnsi="Courier New"/>
          <w:sz w:val="14"/>
          <w:szCs w:val="14"/>
          <w:color w:val="auto"/>
        </w:rPr>
        <w:t>The following table sets forth the name and address of each beneficial owner of more than five percent (5%) of the Company's common stock known to the Company, the number of shares of common stock of the Company beneficially owned as of March 22, 2000, and the percent of the class so owned by each such person.</w:t>
      </w:r>
    </w:p>
    <w:p>
      <w:pPr>
        <w:spacing w:after="0" w:line="158"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340" w:type="dxa"/>
            <w:vAlign w:val="bottom"/>
          </w:tcPr>
          <w:p>
            <w:pPr>
              <w:ind w:left="480"/>
              <w:spacing w:after="0"/>
              <w:rPr>
                <w:sz w:val="20"/>
                <w:szCs w:val="20"/>
                <w:color w:val="auto"/>
              </w:rPr>
            </w:pPr>
            <w:r>
              <w:rPr>
                <w:rFonts w:ascii="Courier New" w:cs="Courier New" w:eastAsia="Courier New" w:hAnsi="Courier New"/>
                <w:sz w:val="15"/>
                <w:szCs w:val="15"/>
                <w:color w:val="auto"/>
              </w:rPr>
              <w:t>No. of Shares</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of Total CEC</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Name and Address</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2340" w:type="dxa"/>
            <w:vAlign w:val="bottom"/>
          </w:tcPr>
          <w:p>
            <w:pPr>
              <w:ind w:left="400"/>
              <w:spacing w:after="0"/>
              <w:rPr>
                <w:sz w:val="20"/>
                <w:szCs w:val="20"/>
                <w:color w:val="auto"/>
              </w:rPr>
            </w:pPr>
            <w:r>
              <w:rPr>
                <w:rFonts w:ascii="Courier New" w:cs="Courier New" w:eastAsia="Courier New" w:hAnsi="Courier New"/>
                <w:sz w:val="15"/>
                <w:szCs w:val="15"/>
                <w:color w:val="auto"/>
              </w:rPr>
              <w:t>of Common Stock</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Common Shares</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1740" w:type="dxa"/>
            <w:vAlign w:val="bottom"/>
          </w:tcPr>
          <w:p>
            <w:pPr>
              <w:spacing w:after="0"/>
              <w:rPr>
                <w:sz w:val="14"/>
                <w:szCs w:val="14"/>
                <w:color w:val="auto"/>
              </w:rPr>
            </w:pPr>
          </w:p>
        </w:tc>
        <w:tc>
          <w:tcPr>
            <w:tcW w:w="2340" w:type="dxa"/>
            <w:vAlign w:val="bottom"/>
          </w:tcPr>
          <w:p>
            <w:pPr>
              <w:ind w:left="300"/>
              <w:spacing w:after="0"/>
              <w:rPr>
                <w:sz w:val="20"/>
                <w:szCs w:val="20"/>
                <w:color w:val="auto"/>
              </w:rPr>
            </w:pPr>
            <w:r>
              <w:rPr>
                <w:rFonts w:ascii="Courier New" w:cs="Courier New" w:eastAsia="Courier New" w:hAnsi="Courier New"/>
                <w:sz w:val="15"/>
                <w:szCs w:val="15"/>
                <w:color w:val="auto"/>
              </w:rPr>
              <w:t>Beneficially Owned</w:t>
            </w: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Outstanding(1)</w:t>
            </w:r>
          </w:p>
        </w:tc>
      </w:tr>
      <w:tr>
        <w:trPr>
          <w:trHeight w:val="171"/>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 - -------------------</w:t>
            </w:r>
          </w:p>
        </w:tc>
        <w:tc>
          <w:tcPr>
            <w:tcW w:w="234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Icarus Investment Corp.(2,9)</w:t>
            </w:r>
          </w:p>
        </w:tc>
        <w:tc>
          <w:tcPr>
            <w:tcW w:w="23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1"/>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505 University Avenue,</w:t>
            </w:r>
          </w:p>
        </w:tc>
        <w:tc>
          <w:tcPr>
            <w:tcW w:w="23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Suite 1400</w:t>
            </w:r>
          </w:p>
        </w:tc>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Toronto, Ontario</w:t>
            </w:r>
          </w:p>
        </w:tc>
        <w:tc>
          <w:tcPr>
            <w:tcW w:w="1740" w:type="dxa"/>
            <w:vAlign w:val="bottom"/>
          </w:tcPr>
          <w:p>
            <w:pPr>
              <w:jc w:val="center"/>
              <w:ind w:right="1046"/>
              <w:spacing w:after="0"/>
              <w:rPr>
                <w:sz w:val="20"/>
                <w:szCs w:val="20"/>
                <w:color w:val="auto"/>
              </w:rPr>
            </w:pPr>
            <w:r>
              <w:rPr>
                <w:rFonts w:ascii="Courier New" w:cs="Courier New" w:eastAsia="Courier New" w:hAnsi="Courier New"/>
                <w:sz w:val="15"/>
                <w:szCs w:val="15"/>
                <w:color w:val="auto"/>
                <w:w w:val="98"/>
              </w:rPr>
              <w:t>M5G 1X3</w:t>
            </w:r>
          </w:p>
        </w:tc>
        <w:tc>
          <w:tcPr>
            <w:tcW w:w="2340" w:type="dxa"/>
            <w:vAlign w:val="bottom"/>
          </w:tcPr>
          <w:p>
            <w:pPr>
              <w:ind w:left="560"/>
              <w:spacing w:after="0"/>
              <w:rPr>
                <w:sz w:val="20"/>
                <w:szCs w:val="20"/>
                <w:color w:val="auto"/>
              </w:rPr>
            </w:pPr>
            <w:r>
              <w:rPr>
                <w:rFonts w:ascii="Courier New" w:cs="Courier New" w:eastAsia="Courier New" w:hAnsi="Courier New"/>
                <w:sz w:val="15"/>
                <w:szCs w:val="15"/>
                <w:color w:val="auto"/>
              </w:rPr>
              <w:t>2,334,360</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6"/>
              </w:rPr>
              <w:t>24.86%</w:t>
            </w:r>
          </w:p>
        </w:tc>
      </w:tr>
      <w:tr>
        <w:trPr>
          <w:trHeight w:val="341"/>
        </w:trPr>
        <w:tc>
          <w:tcPr>
            <w:tcW w:w="1500" w:type="dxa"/>
            <w:vAlign w:val="bottom"/>
          </w:tcPr>
          <w:p>
            <w:pPr>
              <w:spacing w:after="0"/>
              <w:rPr>
                <w:sz w:val="20"/>
                <w:szCs w:val="20"/>
                <w:color w:val="auto"/>
              </w:rPr>
            </w:pPr>
            <w:r>
              <w:rPr>
                <w:rFonts w:ascii="Courier New" w:cs="Courier New" w:eastAsia="Courier New" w:hAnsi="Courier New"/>
                <w:sz w:val="15"/>
                <w:szCs w:val="15"/>
                <w:color w:val="auto"/>
              </w:rPr>
              <w:t>Phillip DeZwirek</w:t>
            </w:r>
          </w:p>
        </w:tc>
        <w:tc>
          <w:tcPr>
            <w:tcW w:w="1740" w:type="dxa"/>
            <w:vAlign w:val="bottom"/>
          </w:tcPr>
          <w:p>
            <w:pPr>
              <w:jc w:val="center"/>
              <w:ind w:right="1046"/>
              <w:spacing w:after="0"/>
              <w:rPr>
                <w:sz w:val="20"/>
                <w:szCs w:val="20"/>
                <w:color w:val="auto"/>
              </w:rPr>
            </w:pPr>
            <w:r>
              <w:rPr>
                <w:rFonts w:ascii="Courier New" w:cs="Courier New" w:eastAsia="Courier New" w:hAnsi="Courier New"/>
                <w:sz w:val="15"/>
                <w:szCs w:val="15"/>
                <w:color w:val="auto"/>
                <w:w w:val="98"/>
              </w:rPr>
              <w:t>(2,3,4)</w:t>
            </w:r>
          </w:p>
        </w:tc>
        <w:tc>
          <w:tcPr>
            <w:tcW w:w="2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1"/>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505 University Avenue, Suite 1400</w:t>
            </w:r>
          </w:p>
        </w:tc>
        <w:tc>
          <w:tcPr>
            <w:tcW w:w="23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Toronto, Ontario</w:t>
            </w:r>
          </w:p>
        </w:tc>
        <w:tc>
          <w:tcPr>
            <w:tcW w:w="1740" w:type="dxa"/>
            <w:vAlign w:val="bottom"/>
          </w:tcPr>
          <w:p>
            <w:pPr>
              <w:jc w:val="center"/>
              <w:ind w:right="1046"/>
              <w:spacing w:after="0"/>
              <w:rPr>
                <w:sz w:val="20"/>
                <w:szCs w:val="20"/>
                <w:color w:val="auto"/>
              </w:rPr>
            </w:pPr>
            <w:r>
              <w:rPr>
                <w:rFonts w:ascii="Courier New" w:cs="Courier New" w:eastAsia="Courier New" w:hAnsi="Courier New"/>
                <w:sz w:val="15"/>
                <w:szCs w:val="15"/>
                <w:color w:val="auto"/>
                <w:w w:val="98"/>
              </w:rPr>
              <w:t>M5G 1P7</w:t>
            </w:r>
          </w:p>
        </w:tc>
        <w:tc>
          <w:tcPr>
            <w:tcW w:w="2340" w:type="dxa"/>
            <w:vAlign w:val="bottom"/>
          </w:tcPr>
          <w:p>
            <w:pPr>
              <w:ind w:left="560"/>
              <w:spacing w:after="0"/>
              <w:rPr>
                <w:sz w:val="20"/>
                <w:szCs w:val="20"/>
                <w:color w:val="auto"/>
              </w:rPr>
            </w:pPr>
            <w:r>
              <w:rPr>
                <w:rFonts w:ascii="Courier New" w:cs="Courier New" w:eastAsia="Courier New" w:hAnsi="Courier New"/>
                <w:sz w:val="15"/>
                <w:szCs w:val="15"/>
                <w:color w:val="auto"/>
              </w:rPr>
              <w:t>4,089,857</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6"/>
              </w:rPr>
              <w:t>36.72%</w:t>
            </w:r>
          </w:p>
        </w:tc>
      </w:tr>
      <w:tr>
        <w:trPr>
          <w:trHeight w:val="512"/>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IntroTech Investments, Inc.(5)</w:t>
            </w:r>
          </w:p>
        </w:tc>
        <w:tc>
          <w:tcPr>
            <w:tcW w:w="2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1"/>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195 Hillsdale Avenue East</w:t>
            </w:r>
          </w:p>
        </w:tc>
        <w:tc>
          <w:tcPr>
            <w:tcW w:w="23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Toronto, Ontario</w:t>
            </w:r>
          </w:p>
        </w:tc>
        <w:tc>
          <w:tcPr>
            <w:tcW w:w="1740" w:type="dxa"/>
            <w:vAlign w:val="bottom"/>
          </w:tcPr>
          <w:p>
            <w:pPr>
              <w:jc w:val="center"/>
              <w:ind w:right="1046"/>
              <w:spacing w:after="0"/>
              <w:rPr>
                <w:sz w:val="20"/>
                <w:szCs w:val="20"/>
                <w:color w:val="auto"/>
              </w:rPr>
            </w:pPr>
            <w:r>
              <w:rPr>
                <w:rFonts w:ascii="Courier New" w:cs="Courier New" w:eastAsia="Courier New" w:hAnsi="Courier New"/>
                <w:sz w:val="15"/>
                <w:szCs w:val="15"/>
                <w:color w:val="auto"/>
                <w:w w:val="98"/>
              </w:rPr>
              <w:t>M5S 1T4</w:t>
            </w:r>
          </w:p>
        </w:tc>
        <w:tc>
          <w:tcPr>
            <w:tcW w:w="2340" w:type="dxa"/>
            <w:vAlign w:val="bottom"/>
          </w:tcPr>
          <w:p>
            <w:pPr>
              <w:ind w:left="560"/>
              <w:spacing w:after="0"/>
              <w:rPr>
                <w:sz w:val="20"/>
                <w:szCs w:val="20"/>
                <w:color w:val="auto"/>
              </w:rPr>
            </w:pPr>
            <w:r>
              <w:rPr>
                <w:rFonts w:ascii="Courier New" w:cs="Courier New" w:eastAsia="Courier New" w:hAnsi="Courier New"/>
                <w:sz w:val="15"/>
                <w:szCs w:val="15"/>
                <w:color w:val="auto"/>
              </w:rPr>
              <w:t>1,598,666</w:t>
            </w:r>
          </w:p>
        </w:tc>
        <w:tc>
          <w:tcPr>
            <w:tcW w:w="16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19.0%</w:t>
            </w:r>
          </w:p>
        </w:tc>
      </w:tr>
      <w:tr>
        <w:trPr>
          <w:trHeight w:val="341"/>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Jason Louis DeZwirek(2,5)</w:t>
            </w:r>
          </w:p>
        </w:tc>
        <w:tc>
          <w:tcPr>
            <w:tcW w:w="2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1"/>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195 Hillsdale Avenue East</w:t>
            </w:r>
          </w:p>
        </w:tc>
        <w:tc>
          <w:tcPr>
            <w:tcW w:w="23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Toronto, Ontario</w:t>
            </w:r>
          </w:p>
        </w:tc>
        <w:tc>
          <w:tcPr>
            <w:tcW w:w="1740" w:type="dxa"/>
            <w:vAlign w:val="bottom"/>
          </w:tcPr>
          <w:p>
            <w:pPr>
              <w:jc w:val="center"/>
              <w:ind w:right="1046"/>
              <w:spacing w:after="0"/>
              <w:rPr>
                <w:sz w:val="20"/>
                <w:szCs w:val="20"/>
                <w:color w:val="auto"/>
              </w:rPr>
            </w:pPr>
            <w:r>
              <w:rPr>
                <w:rFonts w:ascii="Courier New" w:cs="Courier New" w:eastAsia="Courier New" w:hAnsi="Courier New"/>
                <w:sz w:val="15"/>
                <w:szCs w:val="15"/>
                <w:color w:val="auto"/>
                <w:w w:val="98"/>
              </w:rPr>
              <w:t>M5S 1T4</w:t>
            </w:r>
          </w:p>
        </w:tc>
        <w:tc>
          <w:tcPr>
            <w:tcW w:w="2340" w:type="dxa"/>
            <w:vAlign w:val="bottom"/>
          </w:tcPr>
          <w:p>
            <w:pPr>
              <w:ind w:left="560"/>
              <w:spacing w:after="0"/>
              <w:rPr>
                <w:sz w:val="20"/>
                <w:szCs w:val="20"/>
                <w:color w:val="auto"/>
              </w:rPr>
            </w:pPr>
            <w:r>
              <w:rPr>
                <w:rFonts w:ascii="Courier New" w:cs="Courier New" w:eastAsia="Courier New" w:hAnsi="Courier New"/>
                <w:sz w:val="15"/>
                <w:szCs w:val="15"/>
                <w:color w:val="auto"/>
              </w:rPr>
              <w:t>3,933,026</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6"/>
              </w:rPr>
              <w:t>41.89%</w:t>
            </w:r>
          </w:p>
        </w:tc>
      </w:tr>
      <w:tr>
        <w:trPr>
          <w:trHeight w:val="341"/>
        </w:trPr>
        <w:tc>
          <w:tcPr>
            <w:tcW w:w="1500" w:type="dxa"/>
            <w:vAlign w:val="bottom"/>
          </w:tcPr>
          <w:p>
            <w:pPr>
              <w:spacing w:after="0"/>
              <w:rPr>
                <w:sz w:val="20"/>
                <w:szCs w:val="20"/>
                <w:color w:val="auto"/>
              </w:rPr>
            </w:pPr>
            <w:r>
              <w:rPr>
                <w:rFonts w:ascii="Courier New" w:cs="Courier New" w:eastAsia="Courier New" w:hAnsi="Courier New"/>
                <w:sz w:val="15"/>
                <w:szCs w:val="15"/>
                <w:color w:val="auto"/>
              </w:rPr>
              <w:t>Steven Taub(6)</w:t>
            </w:r>
          </w:p>
        </w:tc>
        <w:tc>
          <w:tcPr>
            <w:tcW w:w="1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1"/>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CECO Filters, Inc.</w:t>
            </w:r>
          </w:p>
        </w:tc>
        <w:tc>
          <w:tcPr>
            <w:tcW w:w="23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1"/>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1027-29 Conshohocken road</w:t>
            </w:r>
          </w:p>
        </w:tc>
        <w:tc>
          <w:tcPr>
            <w:tcW w:w="23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Conshohocken, PA</w:t>
            </w:r>
          </w:p>
        </w:tc>
        <w:tc>
          <w:tcPr>
            <w:tcW w:w="1740" w:type="dxa"/>
            <w:vAlign w:val="bottom"/>
          </w:tcPr>
          <w:p>
            <w:pPr>
              <w:jc w:val="center"/>
              <w:ind w:right="1046"/>
              <w:spacing w:after="0"/>
              <w:rPr>
                <w:sz w:val="20"/>
                <w:szCs w:val="20"/>
                <w:color w:val="auto"/>
              </w:rPr>
            </w:pPr>
            <w:r>
              <w:rPr>
                <w:rFonts w:ascii="Courier New" w:cs="Courier New" w:eastAsia="Courier New" w:hAnsi="Courier New"/>
                <w:sz w:val="15"/>
                <w:szCs w:val="15"/>
                <w:color w:val="auto"/>
              </w:rPr>
              <w:t>19428</w:t>
            </w:r>
          </w:p>
        </w:tc>
        <w:tc>
          <w:tcPr>
            <w:tcW w:w="2340" w:type="dxa"/>
            <w:vAlign w:val="bottom"/>
          </w:tcPr>
          <w:p>
            <w:pPr>
              <w:ind w:left="560"/>
              <w:spacing w:after="0"/>
              <w:rPr>
                <w:sz w:val="20"/>
                <w:szCs w:val="20"/>
                <w:color w:val="auto"/>
              </w:rPr>
            </w:pPr>
            <w:r>
              <w:rPr>
                <w:rFonts w:ascii="Courier New" w:cs="Courier New" w:eastAsia="Courier New" w:hAnsi="Courier New"/>
                <w:sz w:val="15"/>
                <w:szCs w:val="15"/>
                <w:color w:val="auto"/>
              </w:rPr>
              <w:t>638,708</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9"/>
              </w:rPr>
              <w:t>7.5%</w:t>
            </w:r>
          </w:p>
        </w:tc>
      </w:tr>
      <w:tr>
        <w:trPr>
          <w:trHeight w:val="341"/>
        </w:trPr>
        <w:tc>
          <w:tcPr>
            <w:tcW w:w="1500" w:type="dxa"/>
            <w:vAlign w:val="bottom"/>
          </w:tcPr>
          <w:p>
            <w:pPr>
              <w:spacing w:after="0"/>
              <w:rPr>
                <w:sz w:val="20"/>
                <w:szCs w:val="20"/>
                <w:color w:val="auto"/>
              </w:rPr>
            </w:pPr>
            <w:r>
              <w:rPr>
                <w:rFonts w:ascii="Courier New" w:cs="Courier New" w:eastAsia="Courier New" w:hAnsi="Courier New"/>
                <w:sz w:val="15"/>
                <w:szCs w:val="15"/>
                <w:color w:val="auto"/>
              </w:rPr>
              <w:t>Brinker Pioneer,</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L.P.</w:t>
            </w:r>
          </w:p>
        </w:tc>
        <w:tc>
          <w:tcPr>
            <w:tcW w:w="2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1"/>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259 Radnor-Chester Road</w:t>
            </w:r>
          </w:p>
        </w:tc>
        <w:tc>
          <w:tcPr>
            <w:tcW w:w="23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w w:val="96"/>
              </w:rPr>
              <w:t>Radnor, PA  19087</w:t>
            </w:r>
          </w:p>
        </w:tc>
        <w:tc>
          <w:tcPr>
            <w:tcW w:w="1740" w:type="dxa"/>
            <w:vAlign w:val="bottom"/>
          </w:tcPr>
          <w:p>
            <w:pPr>
              <w:spacing w:after="0"/>
              <w:rPr>
                <w:sz w:val="14"/>
                <w:szCs w:val="14"/>
                <w:color w:val="auto"/>
              </w:rPr>
            </w:pPr>
          </w:p>
        </w:tc>
        <w:tc>
          <w:tcPr>
            <w:tcW w:w="2340" w:type="dxa"/>
            <w:vAlign w:val="bottom"/>
          </w:tcPr>
          <w:p>
            <w:pPr>
              <w:ind w:left="560"/>
              <w:spacing w:after="0"/>
              <w:rPr>
                <w:sz w:val="20"/>
                <w:szCs w:val="20"/>
                <w:color w:val="auto"/>
              </w:rPr>
            </w:pPr>
            <w:r>
              <w:rPr>
                <w:rFonts w:ascii="Courier New" w:cs="Courier New" w:eastAsia="Courier New" w:hAnsi="Courier New"/>
                <w:sz w:val="15"/>
                <w:szCs w:val="15"/>
                <w:color w:val="auto"/>
              </w:rPr>
              <w:t>580,266</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9"/>
              </w:rPr>
              <w:t>6.9%</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ind w:left="449" w:right="3219" w:hanging="449"/>
        <w:spacing w:after="0" w:line="238" w:lineRule="auto"/>
        <w:tabs>
          <w:tab w:leader="none" w:pos="4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8,388,816 shares of common stock of the Company outstanding as of March 22, 2000.</w:t>
      </w:r>
    </w:p>
    <w:p>
      <w:pPr>
        <w:spacing w:after="0" w:line="175" w:lineRule="exact"/>
        <w:rPr>
          <w:rFonts w:ascii="Courier New" w:cs="Courier New" w:eastAsia="Courier New" w:hAnsi="Courier New"/>
          <w:sz w:val="15"/>
          <w:szCs w:val="15"/>
          <w:color w:val="auto"/>
        </w:rPr>
      </w:pPr>
    </w:p>
    <w:p>
      <w:pPr>
        <w:ind w:left="449" w:right="3039" w:hanging="449"/>
        <w:spacing w:after="0"/>
        <w:tabs>
          <w:tab w:leader="none" w:pos="4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Icarus Investment Corp. ("Icarus") is owned 50% by Phillip DeZwirek and 50% by Jason Louis DeZwirek. Ownership of the shares of common stock of the Company owned by Icarus Investment Corp. also are attributed to both Messrs. Phillip DeZwirek and Jason Louis DeZwirek. With respect to the shares owned by Icarus, Icarus has sole dispositive and voting power and Phillip DeZwirek and Jason Louis DeZwirek are deemed to have shared voting and shared dispositive power.</w:t>
      </w:r>
    </w:p>
    <w:p>
      <w:pPr>
        <w:spacing w:after="0" w:line="176" w:lineRule="exact"/>
        <w:rPr>
          <w:rFonts w:ascii="Courier New" w:cs="Courier New" w:eastAsia="Courier New" w:hAnsi="Courier New"/>
          <w:sz w:val="15"/>
          <w:szCs w:val="15"/>
          <w:color w:val="auto"/>
        </w:rPr>
      </w:pPr>
    </w:p>
    <w:p>
      <w:pPr>
        <w:ind w:left="449" w:right="3219" w:hanging="449"/>
        <w:spacing w:after="0" w:line="238" w:lineRule="auto"/>
        <w:tabs>
          <w:tab w:leader="none" w:pos="4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Phillip DeZwirek is the Chief Executive Officer and Chairman of the Board of Directors of the Company.</w:t>
      </w:r>
    </w:p>
    <w:p>
      <w:pPr>
        <w:spacing w:after="0" w:line="175" w:lineRule="exact"/>
        <w:rPr>
          <w:rFonts w:ascii="Courier New" w:cs="Courier New" w:eastAsia="Courier New" w:hAnsi="Courier New"/>
          <w:sz w:val="15"/>
          <w:szCs w:val="15"/>
          <w:color w:val="auto"/>
        </w:rPr>
      </w:pPr>
    </w:p>
    <w:p>
      <w:pPr>
        <w:ind w:left="449" w:right="3039" w:hanging="449"/>
        <w:spacing w:after="0" w:line="258" w:lineRule="auto"/>
        <w:tabs>
          <w:tab w:leader="none" w:pos="44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750,000 shares of the Company's common stock that Phillip DeZwirek can purchase on or prior to November 7, 2006 from the Company at a price of $1.75 per share pursuant to Warrants granted to Mr. DeZwirek by the Company on November 7, 1996; (ii) 250,000 shares that may be purchased pursuant to Warrants granted January 14, 1998 at a price of $2.75 per share prior to January 14, 2008; (iii) 250,000 shares of the Company's common stock that may be purchased pursuant to Warrants granted September 14, 1998 at a price of $1.625 per share prior to September 14, 2008; and (iv)</w:t>
      </w:r>
    </w:p>
    <w:p>
      <w:pPr>
        <w:spacing w:after="0" w:line="1" w:lineRule="exact"/>
        <w:rPr>
          <w:rFonts w:ascii="Courier New" w:cs="Courier New" w:eastAsia="Courier New" w:hAnsi="Courier New"/>
          <w:sz w:val="14"/>
          <w:szCs w:val="14"/>
          <w:color w:val="auto"/>
        </w:rPr>
      </w:pPr>
    </w:p>
    <w:p>
      <w:pPr>
        <w:jc w:val="both"/>
        <w:ind w:left="449" w:right="331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500,000 shares that may be purchased pursuant to Warrants granted to Mr. DeZwirek by the Company January 22, 1999, which are exercisable prior to January 22, 2009 at a price of $3.00 per share.</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148"/>
          </w:cols>
          <w:pgMar w:left="311" w:top="969" w:right="1440" w:bottom="1440" w:gutter="0" w:footer="0" w:header="0"/>
        </w:sectPr>
      </w:pPr>
    </w:p>
    <w:bookmarkStart w:id="36" w:name="page37"/>
    <w:bookmarkEnd w:id="36"/>
    <w:tbl>
      <w:tblPr>
        <w:tblLayout w:type="fixed"/>
        <w:tblInd w:w="9" w:type="dxa"/>
        <w:tblCellMar>
          <w:top w:w="0" w:type="dxa"/>
          <w:left w:w="0" w:type="dxa"/>
          <w:bottom w:w="0" w:type="dxa"/>
          <w:right w:w="0" w:type="dxa"/>
        </w:tblCellMar>
      </w:tblPr>
      <w:tr>
        <w:trPr>
          <w:trHeight w:val="170"/>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Richard Paul Genovese(7)</w:t>
            </w:r>
          </w:p>
        </w:tc>
        <w:tc>
          <w:tcPr>
            <w:tcW w:w="23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700,000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341"/>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IRG Investor(8)</w:t>
            </w:r>
          </w:p>
        </w:tc>
        <w:tc>
          <w:tcPr>
            <w:tcW w:w="2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Relations Group, Ltd.</w:t>
            </w:r>
          </w:p>
        </w:tc>
        <w:tc>
          <w:tcPr>
            <w:tcW w:w="23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1286 Homer</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Street, 4th fl.</w:t>
            </w:r>
          </w:p>
        </w:tc>
        <w:tc>
          <w:tcPr>
            <w:tcW w:w="23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Vancouver,</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B.C.  V6B 2Y5</w:t>
            </w:r>
          </w:p>
        </w:tc>
        <w:tc>
          <w:tcPr>
            <w:tcW w:w="23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500,000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341"/>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Can-Med Technology, Inc.(9)</w:t>
            </w:r>
          </w:p>
        </w:tc>
        <w:tc>
          <w:tcPr>
            <w:tcW w:w="2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d/b/a Green Diamond Corp.</w:t>
            </w:r>
          </w:p>
        </w:tc>
        <w:tc>
          <w:tcPr>
            <w:tcW w:w="23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505 University Avenue</w:t>
            </w:r>
          </w:p>
        </w:tc>
        <w:tc>
          <w:tcPr>
            <w:tcW w:w="23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Suite 1400</w:t>
            </w:r>
          </w:p>
        </w:tc>
        <w:tc>
          <w:tcPr>
            <w:tcW w:w="2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Toronto, Ontario</w:t>
            </w:r>
          </w:p>
        </w:tc>
        <w:tc>
          <w:tcPr>
            <w:tcW w:w="23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Canada M5G</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1X3</w:t>
            </w:r>
          </w:p>
        </w:tc>
        <w:tc>
          <w:tcPr>
            <w:tcW w:w="23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1,000,000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ind w:left="449" w:right="3139" w:hanging="449"/>
        <w:spacing w:after="0"/>
        <w:tabs>
          <w:tab w:leader="none" w:pos="4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Introtech Investments, Inc. ("IntroTech") is owned 100% by Jason Louis DeZwirek. Ownership of the shares of common stock of the Company owned by IntroTech also are attributed to Jason Louis DeZwirek. IntroTech and Jason Louis DeZwirek are each deemed to have sole dispositive and sole voting power with respect to such shares.</w:t>
      </w:r>
    </w:p>
    <w:p>
      <w:pPr>
        <w:spacing w:after="0" w:line="174" w:lineRule="exact"/>
        <w:rPr>
          <w:rFonts w:ascii="Courier New" w:cs="Courier New" w:eastAsia="Courier New" w:hAnsi="Courier New"/>
          <w:sz w:val="15"/>
          <w:szCs w:val="15"/>
          <w:color w:val="auto"/>
        </w:rPr>
      </w:pPr>
    </w:p>
    <w:p>
      <w:pPr>
        <w:ind w:left="449" w:right="3499" w:hanging="449"/>
        <w:spacing w:after="0" w:line="238" w:lineRule="auto"/>
        <w:tabs>
          <w:tab w:leader="none" w:pos="4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84,208 shares of the Company's common stock that Dr. Taub may purchase by the exercise of options.</w:t>
      </w:r>
    </w:p>
    <w:p>
      <w:pPr>
        <w:spacing w:after="0" w:line="175" w:lineRule="exact"/>
        <w:rPr>
          <w:rFonts w:ascii="Courier New" w:cs="Courier New" w:eastAsia="Courier New" w:hAnsi="Courier New"/>
          <w:sz w:val="15"/>
          <w:szCs w:val="15"/>
          <w:color w:val="auto"/>
        </w:rPr>
      </w:pPr>
    </w:p>
    <w:p>
      <w:pPr>
        <w:ind w:left="449" w:right="3219" w:hanging="449"/>
        <w:spacing w:after="0" w:line="238" w:lineRule="auto"/>
        <w:tabs>
          <w:tab w:leader="none" w:pos="4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700,000 shares of the Company's common stock that Mr. Genovese may purchase by the exercise of warrants.</w:t>
      </w:r>
    </w:p>
    <w:p>
      <w:pPr>
        <w:spacing w:after="0" w:line="175" w:lineRule="exact"/>
        <w:rPr>
          <w:rFonts w:ascii="Courier New" w:cs="Courier New" w:eastAsia="Courier New" w:hAnsi="Courier New"/>
          <w:sz w:val="15"/>
          <w:szCs w:val="15"/>
          <w:color w:val="auto"/>
        </w:rPr>
      </w:pPr>
    </w:p>
    <w:p>
      <w:pPr>
        <w:ind w:left="449" w:right="3219" w:hanging="449"/>
        <w:spacing w:after="0" w:line="238" w:lineRule="auto"/>
        <w:tabs>
          <w:tab w:leader="none" w:pos="4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500,000 shares of the Company's common stock that IRG Investor Relations Group Ltd. may purchase by the exercise of warrants.</w:t>
      </w:r>
    </w:p>
    <w:p>
      <w:pPr>
        <w:spacing w:after="0" w:line="175" w:lineRule="exact"/>
        <w:rPr>
          <w:rFonts w:ascii="Courier New" w:cs="Courier New" w:eastAsia="Courier New" w:hAnsi="Courier New"/>
          <w:sz w:val="15"/>
          <w:szCs w:val="15"/>
          <w:color w:val="auto"/>
        </w:rPr>
      </w:pPr>
    </w:p>
    <w:p>
      <w:pPr>
        <w:ind w:left="449" w:right="3039" w:hanging="449"/>
        <w:spacing w:after="0"/>
        <w:tabs>
          <w:tab w:leader="none" w:pos="4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50.1% of the shares of Can-Med are owned by Icarus. Ownership of the shares of common stock owned by Can-Med also are attributed to Icarus. Icarus has voting and dispositive power, with respect to such shares which is shared with the other shareholders of Can-Med. Represents 1,000, 000 shares of the Company's common stock that Can-Med may purchase by the exercise of warrants. Excludes 800,000 shares of stock that may be purchased by warrants that are not exercisable until April 7, 2000.</w:t>
      </w:r>
    </w:p>
    <w:p>
      <w:pPr>
        <w:spacing w:after="0" w:line="200" w:lineRule="exact"/>
        <w:rPr>
          <w:sz w:val="20"/>
          <w:szCs w:val="20"/>
          <w:color w:val="auto"/>
        </w:rPr>
      </w:pPr>
    </w:p>
    <w:p>
      <w:pPr>
        <w:spacing w:after="0" w:line="31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148"/>
          </w:cols>
          <w:pgMar w:left="311" w:top="799" w:right="1440" w:bottom="1440" w:gutter="0" w:footer="0" w:header="0"/>
        </w:sectPr>
      </w:pPr>
    </w:p>
    <w:bookmarkStart w:id="37" w:name="page38"/>
    <w:bookmarkEnd w:id="37"/>
    <w:p>
      <w:pPr>
        <w:ind w:left="1580" w:hanging="790"/>
        <w:spacing w:after="0"/>
        <w:tabs>
          <w:tab w:leader="none" w:pos="15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Ownership of Management</w:t>
      </w:r>
    </w:p>
    <w:p>
      <w:pPr>
        <w:spacing w:after="0" w:line="174" w:lineRule="exact"/>
        <w:rPr>
          <w:sz w:val="20"/>
          <w:szCs w:val="20"/>
          <w:color w:val="auto"/>
        </w:rPr>
      </w:pPr>
    </w:p>
    <w:p>
      <w:pPr>
        <w:jc w:val="both"/>
        <w:ind w:right="3219" w:firstLine="799"/>
        <w:spacing w:after="0" w:line="239" w:lineRule="auto"/>
        <w:rPr>
          <w:sz w:val="20"/>
          <w:szCs w:val="20"/>
          <w:color w:val="auto"/>
        </w:rPr>
      </w:pPr>
      <w:r>
        <w:rPr>
          <w:rFonts w:ascii="Courier New" w:cs="Courier New" w:eastAsia="Courier New" w:hAnsi="Courier New"/>
          <w:sz w:val="15"/>
          <w:szCs w:val="15"/>
          <w:color w:val="auto"/>
        </w:rPr>
        <w:t>As of March 22, 2000, the present directors and executive officers of the Company are the beneficial owners of the numbers of shares of common stock of the Company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23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Number of</w:t>
            </w:r>
          </w:p>
        </w:tc>
        <w:tc>
          <w:tcPr>
            <w:tcW w:w="1940" w:type="dxa"/>
            <w:vAlign w:val="bottom"/>
          </w:tcPr>
          <w:p>
            <w:pPr>
              <w:spacing w:after="0"/>
              <w:rPr>
                <w:sz w:val="14"/>
                <w:szCs w:val="14"/>
                <w:color w:val="auto"/>
              </w:rPr>
            </w:pP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Name of</w:t>
            </w:r>
          </w:p>
        </w:tc>
        <w:tc>
          <w:tcPr>
            <w:tcW w:w="23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Shares of</w:t>
            </w:r>
          </w:p>
        </w:tc>
        <w:tc>
          <w:tcPr>
            <w:tcW w:w="1940" w:type="dxa"/>
            <w:vAlign w:val="bottom"/>
          </w:tcPr>
          <w:p>
            <w:pPr>
              <w:jc w:val="center"/>
              <w:ind w:left="546"/>
              <w:spacing w:after="0"/>
              <w:rPr>
                <w:sz w:val="20"/>
                <w:szCs w:val="20"/>
                <w:color w:val="auto"/>
              </w:rPr>
            </w:pPr>
            <w:r>
              <w:rPr>
                <w:rFonts w:ascii="Courier New" w:cs="Courier New" w:eastAsia="Courier New" w:hAnsi="Courier New"/>
                <w:sz w:val="15"/>
                <w:szCs w:val="15"/>
                <w:color w:val="auto"/>
              </w:rPr>
              <w:t>% Total</w:t>
            </w:r>
          </w:p>
        </w:tc>
      </w:tr>
      <w:tr>
        <w:trPr>
          <w:trHeight w:val="171"/>
        </w:trPr>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Beneficial</w:t>
            </w:r>
          </w:p>
        </w:tc>
        <w:tc>
          <w:tcPr>
            <w:tcW w:w="2320" w:type="dxa"/>
            <w:vAlign w:val="bottom"/>
          </w:tcPr>
          <w:p>
            <w:pPr>
              <w:ind w:left="540"/>
              <w:spacing w:after="0"/>
              <w:rPr>
                <w:sz w:val="20"/>
                <w:szCs w:val="20"/>
                <w:color w:val="auto"/>
              </w:rPr>
            </w:pPr>
            <w:r>
              <w:rPr>
                <w:rFonts w:ascii="Courier New" w:cs="Courier New" w:eastAsia="Courier New" w:hAnsi="Courier New"/>
                <w:sz w:val="15"/>
                <w:szCs w:val="15"/>
                <w:color w:val="auto"/>
              </w:rPr>
              <w:t>Common Stock</w:t>
            </w:r>
          </w:p>
        </w:tc>
        <w:tc>
          <w:tcPr>
            <w:tcW w:w="1940" w:type="dxa"/>
            <w:vAlign w:val="bottom"/>
          </w:tcPr>
          <w:p>
            <w:pPr>
              <w:jc w:val="center"/>
              <w:ind w:left="546"/>
              <w:spacing w:after="0"/>
              <w:rPr>
                <w:sz w:val="20"/>
                <w:szCs w:val="20"/>
                <w:color w:val="auto"/>
              </w:rPr>
            </w:pPr>
            <w:r>
              <w:rPr>
                <w:rFonts w:ascii="Courier New" w:cs="Courier New" w:eastAsia="Courier New" w:hAnsi="Courier New"/>
                <w:sz w:val="15"/>
                <w:szCs w:val="15"/>
                <w:color w:val="auto"/>
              </w:rPr>
              <w:t>Company</w:t>
            </w:r>
          </w:p>
        </w:tc>
      </w:tr>
      <w:tr>
        <w:trPr>
          <w:trHeight w:val="171"/>
        </w:trPr>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Owner and</w:t>
            </w:r>
          </w:p>
        </w:tc>
        <w:tc>
          <w:tcPr>
            <w:tcW w:w="2320" w:type="dxa"/>
            <w:vAlign w:val="bottom"/>
          </w:tcPr>
          <w:p>
            <w:pPr>
              <w:ind w:left="540"/>
              <w:spacing w:after="0"/>
              <w:rPr>
                <w:sz w:val="20"/>
                <w:szCs w:val="20"/>
                <w:color w:val="auto"/>
              </w:rPr>
            </w:pPr>
            <w:r>
              <w:rPr>
                <w:rFonts w:ascii="Courier New" w:cs="Courier New" w:eastAsia="Courier New" w:hAnsi="Courier New"/>
                <w:sz w:val="15"/>
                <w:szCs w:val="15"/>
                <w:color w:val="auto"/>
              </w:rPr>
              <w:t>Beneficially</w:t>
            </w:r>
          </w:p>
        </w:tc>
        <w:tc>
          <w:tcPr>
            <w:tcW w:w="1940" w:type="dxa"/>
            <w:vAlign w:val="bottom"/>
          </w:tcPr>
          <w:p>
            <w:pPr>
              <w:jc w:val="center"/>
              <w:ind w:left="546"/>
              <w:spacing w:after="0"/>
              <w:rPr>
                <w:sz w:val="20"/>
                <w:szCs w:val="20"/>
                <w:color w:val="auto"/>
              </w:rPr>
            </w:pPr>
            <w:r>
              <w:rPr>
                <w:rFonts w:ascii="Courier New" w:cs="Courier New" w:eastAsia="Courier New" w:hAnsi="Courier New"/>
                <w:sz w:val="15"/>
                <w:szCs w:val="15"/>
                <w:color w:val="auto"/>
                <w:w w:val="99"/>
              </w:rPr>
              <w:t>Common Shares</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Position Held</w:t>
            </w:r>
          </w:p>
        </w:tc>
        <w:tc>
          <w:tcPr>
            <w:tcW w:w="2320" w:type="dxa"/>
            <w:vAlign w:val="bottom"/>
          </w:tcPr>
          <w:p>
            <w:pPr>
              <w:ind w:left="540"/>
              <w:spacing w:after="0"/>
              <w:rPr>
                <w:sz w:val="20"/>
                <w:szCs w:val="20"/>
                <w:color w:val="auto"/>
              </w:rPr>
            </w:pPr>
            <w:r>
              <w:rPr>
                <w:rFonts w:ascii="Courier New" w:cs="Courier New" w:eastAsia="Courier New" w:hAnsi="Courier New"/>
                <w:sz w:val="15"/>
                <w:szCs w:val="15"/>
                <w:color w:val="auto"/>
              </w:rPr>
              <w:t>Owned</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Outstanding(1)</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Phillip DeZwirek</w:t>
            </w:r>
          </w:p>
        </w:tc>
        <w:tc>
          <w:tcPr>
            <w:tcW w:w="23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Chief</w:t>
            </w: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Executive Officer,</w:t>
            </w: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Chairman of the</w:t>
            </w: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Board of Directors</w:t>
            </w:r>
          </w:p>
        </w:tc>
        <w:tc>
          <w:tcPr>
            <w:tcW w:w="23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4,089,857(2)</w:t>
            </w:r>
          </w:p>
        </w:tc>
        <w:tc>
          <w:tcPr>
            <w:tcW w:w="1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36.72%</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Jason Louis DeZwirek</w:t>
            </w:r>
          </w:p>
        </w:tc>
        <w:tc>
          <w:tcPr>
            <w:tcW w:w="23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 Secretary</w:t>
            </w:r>
          </w:p>
        </w:tc>
        <w:tc>
          <w:tcPr>
            <w:tcW w:w="23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3,933,026(3)</w:t>
            </w:r>
          </w:p>
        </w:tc>
        <w:tc>
          <w:tcPr>
            <w:tcW w:w="1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41.89%</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Josephine Grivas</w:t>
            </w:r>
          </w:p>
        </w:tc>
        <w:tc>
          <w:tcPr>
            <w:tcW w:w="23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2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Donald Wright</w:t>
            </w:r>
          </w:p>
        </w:tc>
        <w:tc>
          <w:tcPr>
            <w:tcW w:w="23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31,000(4)</w:t>
            </w:r>
          </w:p>
        </w:tc>
        <w:tc>
          <w:tcPr>
            <w:tcW w:w="1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Steven Taub</w:t>
            </w:r>
          </w:p>
        </w:tc>
        <w:tc>
          <w:tcPr>
            <w:tcW w:w="23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638,708(5)</w:t>
            </w:r>
          </w:p>
        </w:tc>
        <w:tc>
          <w:tcPr>
            <w:tcW w:w="1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of Filters</w:t>
            </w: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Richard Blum(6)</w:t>
            </w:r>
          </w:p>
        </w:tc>
        <w:tc>
          <w:tcPr>
            <w:tcW w:w="2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_</w:t>
            </w:r>
          </w:p>
        </w:tc>
        <w:tc>
          <w:tcPr>
            <w:tcW w:w="19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_</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President and Chief</w:t>
            </w: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Executive Officer of</w:t>
            </w: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CECO Group</w:t>
            </w: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Marshall J. Morris</w:t>
            </w:r>
          </w:p>
        </w:tc>
        <w:tc>
          <w:tcPr>
            <w:tcW w:w="2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_</w:t>
            </w:r>
          </w:p>
        </w:tc>
        <w:tc>
          <w:tcPr>
            <w:tcW w:w="19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_</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Chief Financial Officer</w:t>
            </w: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David Blum(7)</w:t>
            </w:r>
          </w:p>
        </w:tc>
        <w:tc>
          <w:tcPr>
            <w:tcW w:w="23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Vice President of</w:t>
            </w:r>
          </w:p>
        </w:tc>
        <w:tc>
          <w:tcPr>
            <w:tcW w:w="2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_</w:t>
            </w:r>
          </w:p>
        </w:tc>
        <w:tc>
          <w:tcPr>
            <w:tcW w:w="19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_</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Kirk &amp; Blum</w:t>
            </w: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Officers and</w:t>
            </w:r>
          </w:p>
        </w:tc>
        <w:tc>
          <w:tcPr>
            <w:tcW w:w="23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Directors as a</w:t>
            </w: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group (8 persons)</w:t>
            </w:r>
          </w:p>
        </w:tc>
        <w:tc>
          <w:tcPr>
            <w:tcW w:w="2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6,358,231</w:t>
            </w:r>
          </w:p>
        </w:tc>
        <w:tc>
          <w:tcPr>
            <w:tcW w:w="1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56.6%</w:t>
            </w:r>
          </w:p>
        </w:tc>
      </w:tr>
      <w:tr>
        <w:trPr>
          <w:trHeight w:val="512"/>
        </w:trPr>
        <w:tc>
          <w:tcPr>
            <w:tcW w:w="2560" w:type="dxa"/>
            <w:vAlign w:val="bottom"/>
          </w:tcPr>
          <w:p>
            <w:pPr>
              <w:spacing w:after="0"/>
              <w:rPr>
                <w:sz w:val="24"/>
                <w:szCs w:val="24"/>
                <w:color w:val="auto"/>
              </w:rPr>
            </w:pPr>
          </w:p>
        </w:tc>
        <w:tc>
          <w:tcPr>
            <w:tcW w:w="232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38</w:t>
            </w:r>
          </w:p>
        </w:tc>
        <w:tc>
          <w:tcPr>
            <w:tcW w:w="1940" w:type="dxa"/>
            <w:vAlign w:val="bottom"/>
          </w:tcPr>
          <w:p>
            <w:pPr>
              <w:spacing w:after="0"/>
              <w:rPr>
                <w:sz w:val="24"/>
                <w:szCs w:val="24"/>
                <w:color w:val="auto"/>
              </w:rPr>
            </w:pPr>
          </w:p>
        </w:tc>
      </w:tr>
    </w:tbl>
    <w:p>
      <w:pPr>
        <w:sectPr>
          <w:pgSz w:w="11900" w:h="16838" w:orient="portrait"/>
          <w:cols w:equalWidth="0" w:num="1">
            <w:col w:w="10139"/>
          </w:cols>
          <w:pgMar w:left="320" w:top="969" w:right="1440" w:bottom="1440" w:gutter="0" w:footer="0" w:header="0"/>
        </w:sectPr>
      </w:pPr>
    </w:p>
    <w:bookmarkStart w:id="38" w:name="page39"/>
    <w:bookmarkEnd w:id="38"/>
    <w:p>
      <w:pPr>
        <w:ind w:left="169" w:hanging="169"/>
        <w:spacing w:after="0"/>
        <w:tabs>
          <w:tab w:leader="none" w:pos="16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1" w:lineRule="exact"/>
        <w:rPr>
          <w:rFonts w:ascii="Courier New" w:cs="Courier New" w:eastAsia="Courier New" w:hAnsi="Courier New"/>
          <w:sz w:val="15"/>
          <w:szCs w:val="15"/>
          <w:color w:val="auto"/>
        </w:rPr>
      </w:pPr>
    </w:p>
    <w:p>
      <w:pPr>
        <w:ind w:left="1149" w:hanging="350"/>
        <w:spacing w:after="0"/>
        <w:tabs>
          <w:tab w:leader="none" w:pos="1149"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 to the foregoing table.</w:t>
      </w:r>
    </w:p>
    <w:p>
      <w:pPr>
        <w:ind w:left="1149" w:hanging="350"/>
        <w:spacing w:after="0"/>
        <w:tabs>
          <w:tab w:leader="none" w:pos="1149"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2, 3, and 4 to the foregoing table.</w:t>
      </w:r>
    </w:p>
    <w:p>
      <w:pPr>
        <w:ind w:left="1149" w:hanging="350"/>
        <w:spacing w:after="0"/>
        <w:tabs>
          <w:tab w:leader="none" w:pos="1149"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2 and 5 to the foregoing table.</w:t>
      </w:r>
    </w:p>
    <w:p>
      <w:pPr>
        <w:spacing w:after="0" w:line="3" w:lineRule="exact"/>
        <w:rPr>
          <w:rFonts w:ascii="Courier New" w:cs="Courier New" w:eastAsia="Courier New" w:hAnsi="Courier New"/>
          <w:sz w:val="15"/>
          <w:szCs w:val="15"/>
          <w:color w:val="auto"/>
        </w:rPr>
      </w:pPr>
    </w:p>
    <w:p>
      <w:pPr>
        <w:ind w:left="9" w:right="3319" w:firstLine="790"/>
        <w:spacing w:after="0" w:line="239" w:lineRule="auto"/>
        <w:tabs>
          <w:tab w:leader="none" w:pos="1163"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10,000 shares of the Company's common stock that may be purchased pursuant to Options granted June 30, 1998 at a price of $2.75 per share prior to June 30, 2008.</w:t>
      </w:r>
    </w:p>
    <w:p>
      <w:pPr>
        <w:spacing w:after="0" w:line="1" w:lineRule="exact"/>
        <w:rPr>
          <w:rFonts w:ascii="Courier New" w:cs="Courier New" w:eastAsia="Courier New" w:hAnsi="Courier New"/>
          <w:sz w:val="15"/>
          <w:szCs w:val="15"/>
          <w:color w:val="auto"/>
        </w:rPr>
      </w:pPr>
    </w:p>
    <w:p>
      <w:pPr>
        <w:ind w:left="1149" w:hanging="350"/>
        <w:spacing w:after="0"/>
        <w:tabs>
          <w:tab w:leader="none" w:pos="1149"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6 to the foregoing table.</w:t>
      </w:r>
    </w:p>
    <w:p>
      <w:pPr>
        <w:spacing w:after="0" w:line="3" w:lineRule="exact"/>
        <w:rPr>
          <w:rFonts w:ascii="Courier New" w:cs="Courier New" w:eastAsia="Courier New" w:hAnsi="Courier New"/>
          <w:sz w:val="15"/>
          <w:szCs w:val="15"/>
          <w:color w:val="auto"/>
        </w:rPr>
      </w:pPr>
    </w:p>
    <w:p>
      <w:pPr>
        <w:ind w:left="9" w:right="3039" w:firstLine="790"/>
        <w:spacing w:after="0"/>
        <w:tabs>
          <w:tab w:leader="none" w:pos="1163"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448,000 shares of the Company's common stock that Mr. Blum has the right to purchase for $2.9375 per share pursuant to a warrant granted to Mr. Blum on December 7, 1999 in connection with the acquisition of Kirk &amp; Blum and kbd/Technics. This warrant only becomes exercisable on December 7, 2000 with respect to 25% of such shares with an additional 25% becoming exercisable on each of the next three anniversaries of such date.</w:t>
      </w:r>
    </w:p>
    <w:p>
      <w:pPr>
        <w:spacing w:after="0" w:line="4" w:lineRule="exact"/>
        <w:rPr>
          <w:rFonts w:ascii="Courier New" w:cs="Courier New" w:eastAsia="Courier New" w:hAnsi="Courier New"/>
          <w:sz w:val="15"/>
          <w:szCs w:val="15"/>
          <w:color w:val="auto"/>
        </w:rPr>
      </w:pPr>
    </w:p>
    <w:p>
      <w:pPr>
        <w:ind w:left="9" w:right="3039" w:firstLine="790"/>
        <w:spacing w:after="0"/>
        <w:tabs>
          <w:tab w:leader="none" w:pos="1163"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335,000 shares of the Company's common stock that Mr. Blum has the right to purchase for $2.9375 per share pursuant to a warrant granted to Mr. Blum on December 7, 1999 in connection with the acquisition of Kirk &amp; Blum and kbd/Technics. This warrant only becomes exercisable on December 7, 2000 with respect to 25% of such shares with an additional 25% becoming exercisable on each of the next three anniversaries of such date.</w:t>
      </w:r>
    </w:p>
    <w:p>
      <w:pPr>
        <w:spacing w:after="0" w:line="17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148"/>
          </w:cols>
          <w:pgMar w:left="311" w:top="628" w:right="1440" w:bottom="1440" w:gutter="0" w:footer="0" w:header="0"/>
        </w:sectPr>
      </w:pPr>
    </w:p>
    <w:bookmarkStart w:id="39" w:name="page40"/>
    <w:bookmarkEnd w:id="39"/>
    <w:p>
      <w:pPr>
        <w:ind w:left="780"/>
        <w:spacing w:after="0"/>
        <w:rPr>
          <w:sz w:val="20"/>
          <w:szCs w:val="20"/>
          <w:color w:val="auto"/>
        </w:rPr>
      </w:pPr>
      <w:r>
        <w:rPr>
          <w:rFonts w:ascii="Courier New" w:cs="Courier New" w:eastAsia="Courier New" w:hAnsi="Courier New"/>
          <w:sz w:val="15"/>
          <w:szCs w:val="15"/>
          <w:color w:val="auto"/>
        </w:rPr>
        <w:t>(c) Changes in Control</w:t>
      </w:r>
    </w:p>
    <w:p>
      <w:pPr>
        <w:spacing w:after="0" w:line="174" w:lineRule="exact"/>
        <w:rPr>
          <w:sz w:val="20"/>
          <w:szCs w:val="20"/>
          <w:color w:val="auto"/>
        </w:rPr>
      </w:pPr>
    </w:p>
    <w:p>
      <w:pPr>
        <w:ind w:right="3139" w:firstLine="799"/>
        <w:spacing w:after="0" w:line="238" w:lineRule="auto"/>
        <w:rPr>
          <w:sz w:val="20"/>
          <w:szCs w:val="20"/>
          <w:color w:val="auto"/>
        </w:rPr>
      </w:pPr>
      <w:r>
        <w:rPr>
          <w:rFonts w:ascii="Courier New" w:cs="Courier New" w:eastAsia="Courier New" w:hAnsi="Courier New"/>
          <w:sz w:val="15"/>
          <w:szCs w:val="15"/>
          <w:color w:val="auto"/>
        </w:rPr>
        <w:t>The Company is not aware of any current arrangement(s) that may result in a change in control of the Company.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Certain Relationships and Related Transactions</w:t>
      </w:r>
    </w:p>
    <w:p>
      <w:pPr>
        <w:spacing w:after="0" w:line="174" w:lineRule="exact"/>
        <w:rPr>
          <w:sz w:val="20"/>
          <w:szCs w:val="20"/>
          <w:color w:val="auto"/>
        </w:rPr>
      </w:pPr>
    </w:p>
    <w:p>
      <w:pPr>
        <w:ind w:right="3039" w:firstLine="799"/>
        <w:spacing w:after="0" w:line="239" w:lineRule="auto"/>
        <w:rPr>
          <w:sz w:val="20"/>
          <w:szCs w:val="20"/>
          <w:color w:val="auto"/>
        </w:rPr>
      </w:pPr>
      <w:r>
        <w:rPr>
          <w:rFonts w:ascii="Courier New" w:cs="Courier New" w:eastAsia="Courier New" w:hAnsi="Courier New"/>
          <w:sz w:val="15"/>
          <w:szCs w:val="15"/>
          <w:color w:val="auto"/>
        </w:rPr>
        <w:t>Since January 1, 1998, the following transactions have occurred in which persons who, at the time of such transactions, were directors, officers or owners of more than 5% of the Company's common stock, had a direct or indirect material interest.</w:t>
      </w:r>
    </w:p>
    <w:p>
      <w:pPr>
        <w:spacing w:after="0" w:line="177"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Andrew Halapin, President of Busch, is the beneficial owner of the building in which Busch leases its principal office. The lease is a triple net lease, with annual rent in the amount of $82,398.</w:t>
      </w:r>
    </w:p>
    <w:p>
      <w:pPr>
        <w:spacing w:after="0" w:line="175"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The Company purchased shares of Peerless stock. Part of the funds used to purchase such stock were borrowed from Can-Med. Can-Med is owned 50.1% by Icarus, which is owned 50% by Phillip DeZwirek (the Chairman of the Board of Directors and Chief Executive Officer of the Company) and 50% by Jason DeZwirek (a director and the Secretary of the Company). As of December 31, 1999 the amount of principal outstanding on such loan was $800,000. The loan is payable upon demand and accrues interest at a rate of 10%. The Company believes that such interest rate is below market rate for such type of loan and therefore the Company issued to Can-Med for $10, warrants to purchase 1,000,000 shares of the Company's stock. The exercise price of each warrant is $2.50 per share. They are exercisable from February 26, 2000 to August 26, 2009. The issue of the warrants was approved by the Board of Directors.</w:t>
      </w:r>
    </w:p>
    <w:p>
      <w:pPr>
        <w:spacing w:after="0" w:line="180"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As a condition to obtaining the Bank Facility, the Company placed $5 million of subordinated debt. Can-Med provided $4,000,000 of the subordinated debt. The promissory notes which were issued to evidence the subordinated debt provide that they accrue interest at the rate of 12% per annum, payable semi-annually, subject to the subordination agreement with the banks providing the Bank Facility.</w:t>
      </w:r>
    </w:p>
    <w:p>
      <w:pPr>
        <w:spacing w:after="0" w:line="175"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In consideration for the subordinated lenders making the Company the subordinated loans, the Company issued to the subordinated lenders warrants to purchase up to 1,000,000 shares of the Company's common stock for $2.25 per share, the closing price of the Company's common stock on the day that the subordinated lenders entered into an agreement with the Company to provide the subordinated loans. Can-Med was issued 800,000 of such warrants. The warrants are exercisable from June 6, 2000 until December 7, 2009. In connection with such warrants, the subordinated lenders, including Can-Med, were granted certain registration rights with respect to their warrants and shares of common stock of the Company into which the warrants are convertible.</w:t>
      </w:r>
    </w:p>
    <w:p>
      <w:pPr>
        <w:spacing w:after="0" w:line="200" w:lineRule="exact"/>
        <w:rPr>
          <w:sz w:val="20"/>
          <w:szCs w:val="20"/>
          <w:color w:val="auto"/>
        </w:rPr>
      </w:pPr>
    </w:p>
    <w:p>
      <w:pPr>
        <w:spacing w:after="0" w:line="31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139"/>
          </w:cols>
          <w:pgMar w:left="320" w:top="799"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Item 13. Exhibits, Financial Statement Schedules and Reports on Form 8-K</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 Exhibits</w:t>
      </w:r>
    </w:p>
    <w:p>
      <w:pPr>
        <w:spacing w:after="0" w:line="174" w:lineRule="exact"/>
        <w:rPr>
          <w:sz w:val="20"/>
          <w:szCs w:val="20"/>
          <w:color w:val="auto"/>
        </w:rPr>
      </w:pPr>
    </w:p>
    <w:p>
      <w:pPr>
        <w:ind w:right="3139" w:firstLine="799"/>
        <w:spacing w:after="0" w:line="239" w:lineRule="auto"/>
        <w:rPr>
          <w:sz w:val="20"/>
          <w:szCs w:val="20"/>
          <w:color w:val="auto"/>
        </w:rPr>
      </w:pPr>
      <w:r>
        <w:rPr>
          <w:rFonts w:ascii="Courier New" w:cs="Courier New" w:eastAsia="Courier New" w:hAnsi="Courier New"/>
          <w:sz w:val="15"/>
          <w:szCs w:val="15"/>
          <w:color w:val="auto"/>
        </w:rPr>
        <w:t>2.1 Agreement and Plan of Reorganization dated August 13, 1997 between CECO, the Company and Steven I. Taub. (Incorporated by reference from Form 10-KSB dated December 31, 1997 of the Company)</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3(i) Articles of Incorporation (Incorporated by reference from Form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10-KSB dated December 31, 1993 of the Company)</w:t>
      </w:r>
    </w:p>
    <w:p>
      <w:pPr>
        <w:spacing w:after="0" w:line="174" w:lineRule="exact"/>
        <w:rPr>
          <w:sz w:val="20"/>
          <w:szCs w:val="20"/>
          <w:color w:val="auto"/>
        </w:rPr>
      </w:pPr>
    </w:p>
    <w:p>
      <w:pPr>
        <w:ind w:right="3039" w:firstLine="799"/>
        <w:spacing w:after="0" w:line="238" w:lineRule="auto"/>
        <w:rPr>
          <w:sz w:val="20"/>
          <w:szCs w:val="20"/>
          <w:color w:val="auto"/>
        </w:rPr>
      </w:pPr>
      <w:r>
        <w:rPr>
          <w:rFonts w:ascii="Courier New" w:cs="Courier New" w:eastAsia="Courier New" w:hAnsi="Courier New"/>
          <w:sz w:val="15"/>
          <w:szCs w:val="15"/>
          <w:color w:val="auto"/>
        </w:rPr>
        <w:t>3(ii) Bylaws (Incorporated by reference from Form 10-KSB dated December 31, 1993 of the Company) and Amendment to Bylaws.</w:t>
      </w:r>
    </w:p>
    <w:p>
      <w:pPr>
        <w:spacing w:after="0" w:line="175" w:lineRule="exact"/>
        <w:rPr>
          <w:sz w:val="20"/>
          <w:szCs w:val="20"/>
          <w:color w:val="auto"/>
        </w:rPr>
      </w:pPr>
    </w:p>
    <w:p>
      <w:pPr>
        <w:ind w:right="3319" w:firstLine="799"/>
        <w:spacing w:after="0" w:line="239" w:lineRule="auto"/>
        <w:rPr>
          <w:sz w:val="20"/>
          <w:szCs w:val="20"/>
          <w:color w:val="auto"/>
        </w:rPr>
      </w:pPr>
      <w:r>
        <w:rPr>
          <w:rFonts w:ascii="Courier New" w:cs="Courier New" w:eastAsia="Courier New" w:hAnsi="Courier New"/>
          <w:sz w:val="15"/>
          <w:szCs w:val="15"/>
          <w:color w:val="auto"/>
        </w:rPr>
        <w:t>4.1 CECO Filters, Inc. Savings and Retirement Plan. (Incorporated by reference from CECO's Annual Report on Form 10-K for the fiscal year ended December 31, 1990)</w:t>
      </w:r>
    </w:p>
    <w:p>
      <w:pPr>
        <w:spacing w:after="0" w:line="175" w:lineRule="exact"/>
        <w:rPr>
          <w:sz w:val="20"/>
          <w:szCs w:val="20"/>
          <w:color w:val="auto"/>
        </w:rPr>
      </w:pPr>
    </w:p>
    <w:p>
      <w:pPr>
        <w:ind w:right="3039" w:firstLine="799"/>
        <w:spacing w:after="0" w:line="271" w:lineRule="auto"/>
        <w:rPr>
          <w:sz w:val="20"/>
          <w:szCs w:val="20"/>
          <w:color w:val="auto"/>
        </w:rPr>
      </w:pPr>
      <w:r>
        <w:rPr>
          <w:rFonts w:ascii="Courier New" w:cs="Courier New" w:eastAsia="Courier New" w:hAnsi="Courier New"/>
          <w:sz w:val="14"/>
          <w:szCs w:val="14"/>
          <w:color w:val="auto"/>
        </w:rPr>
        <w:t>4.2 CECO Environmental Corp. 1997 Stock Option Plan. (Incorporated by reference from Form 10-KSB, exhibit 4.4, dated December 31, 1997 of the Company)</w:t>
      </w:r>
    </w:p>
    <w:p>
      <w:pPr>
        <w:spacing w:after="0" w:line="154" w:lineRule="exact"/>
        <w:rPr>
          <w:sz w:val="20"/>
          <w:szCs w:val="20"/>
          <w:color w:val="auto"/>
        </w:rPr>
      </w:pPr>
    </w:p>
    <w:p>
      <w:pPr>
        <w:ind w:right="3659" w:firstLine="799"/>
        <w:spacing w:after="0" w:line="239" w:lineRule="auto"/>
        <w:rPr>
          <w:sz w:val="20"/>
          <w:szCs w:val="20"/>
          <w:color w:val="auto"/>
        </w:rPr>
      </w:pPr>
      <w:r>
        <w:rPr>
          <w:rFonts w:ascii="Courier New" w:cs="Courier New" w:eastAsia="Courier New" w:hAnsi="Courier New"/>
          <w:sz w:val="15"/>
          <w:szCs w:val="15"/>
          <w:color w:val="auto"/>
        </w:rPr>
        <w:t>4.3 1999 CECO Environmental Corp. Employee Stock Purchase Plan (Incorporated by reference from Form S-8, filed September 22, 1999 of the Company).</w:t>
      </w:r>
    </w:p>
    <w:p>
      <w:pPr>
        <w:spacing w:after="0" w:line="175" w:lineRule="exact"/>
        <w:rPr>
          <w:sz w:val="20"/>
          <w:szCs w:val="20"/>
          <w:color w:val="auto"/>
        </w:rPr>
      </w:pPr>
    </w:p>
    <w:p>
      <w:pPr>
        <w:ind w:right="3139" w:firstLine="799"/>
        <w:spacing w:after="0" w:line="264" w:lineRule="auto"/>
        <w:rPr>
          <w:sz w:val="20"/>
          <w:szCs w:val="20"/>
          <w:color w:val="auto"/>
        </w:rPr>
      </w:pPr>
      <w:r>
        <w:rPr>
          <w:rFonts w:ascii="Courier New" w:cs="Courier New" w:eastAsia="Courier New" w:hAnsi="Courier New"/>
          <w:sz w:val="14"/>
          <w:szCs w:val="14"/>
          <w:color w:val="auto"/>
        </w:rPr>
        <w:t>10.1 Mortgage dated October 28, 1991 by CECO and the Montgomery County Industrial Development Corporation ("MCIDC") (Incorporated by reference from CECO's Annual Report on Form 10-K for the fiscal year ended December 31, 1991)</w:t>
      </w:r>
    </w:p>
    <w:p>
      <w:pPr>
        <w:spacing w:after="0" w:line="159" w:lineRule="exact"/>
        <w:rPr>
          <w:sz w:val="20"/>
          <w:szCs w:val="20"/>
          <w:color w:val="auto"/>
        </w:rPr>
      </w:pPr>
    </w:p>
    <w:p>
      <w:pPr>
        <w:ind w:right="3039" w:firstLine="799"/>
        <w:spacing w:after="0" w:line="239" w:lineRule="auto"/>
        <w:rPr>
          <w:sz w:val="20"/>
          <w:szCs w:val="20"/>
          <w:color w:val="auto"/>
        </w:rPr>
      </w:pPr>
      <w:r>
        <w:rPr>
          <w:rFonts w:ascii="Courier New" w:cs="Courier New" w:eastAsia="Courier New" w:hAnsi="Courier New"/>
          <w:sz w:val="15"/>
          <w:szCs w:val="15"/>
          <w:color w:val="auto"/>
        </w:rPr>
        <w:t>10.2 Installment Sale Agreement dated October 28, 1991 between CECO and MCIDC (Incorporated by reference from CECO's Annual Report on Form 10-K for the fiscal year ended December 31, 1991)</w:t>
      </w:r>
    </w:p>
    <w:p>
      <w:pPr>
        <w:spacing w:after="0" w:line="175" w:lineRule="exact"/>
        <w:rPr>
          <w:sz w:val="20"/>
          <w:szCs w:val="20"/>
          <w:color w:val="auto"/>
        </w:rPr>
      </w:pPr>
    </w:p>
    <w:p>
      <w:pPr>
        <w:ind w:right="3139" w:firstLine="799"/>
        <w:spacing w:after="0" w:line="239" w:lineRule="auto"/>
        <w:rPr>
          <w:sz w:val="20"/>
          <w:szCs w:val="20"/>
          <w:color w:val="auto"/>
        </w:rPr>
      </w:pPr>
      <w:r>
        <w:rPr>
          <w:rFonts w:ascii="Courier New" w:cs="Courier New" w:eastAsia="Courier New" w:hAnsi="Courier New"/>
          <w:sz w:val="15"/>
          <w:szCs w:val="15"/>
          <w:color w:val="auto"/>
        </w:rPr>
        <w:t>10.3 Lease dated as of March 10, 1992 between CECO and BTR North America, Inc. (Incorporated by reference from CECO's Annual Report on Form 10-K for the fiscal year ended December 31, 1991)</w:t>
      </w:r>
    </w:p>
    <w:p>
      <w:pPr>
        <w:spacing w:after="0" w:line="175" w:lineRule="exact"/>
        <w:rPr>
          <w:sz w:val="20"/>
          <w:szCs w:val="20"/>
          <w:color w:val="auto"/>
        </w:rPr>
      </w:pPr>
    </w:p>
    <w:p>
      <w:pPr>
        <w:jc w:val="both"/>
        <w:ind w:right="3139" w:firstLine="799"/>
        <w:spacing w:after="0" w:line="239" w:lineRule="auto"/>
        <w:rPr>
          <w:sz w:val="20"/>
          <w:szCs w:val="20"/>
          <w:color w:val="auto"/>
        </w:rPr>
      </w:pPr>
      <w:r>
        <w:rPr>
          <w:rFonts w:ascii="Courier New" w:cs="Courier New" w:eastAsia="Courier New" w:hAnsi="Courier New"/>
          <w:sz w:val="15"/>
          <w:szCs w:val="15"/>
          <w:color w:val="auto"/>
        </w:rPr>
        <w:t>10.4 Consulting Agreement dated as of January 1, 1994 and effective as of July 1, 1994 between the Company and CECO (Incorporated by reference to Form 10-QSB dated September 30, 1994 of the Company)</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139"/>
          </w:cols>
          <w:pgMar w:left="320" w:top="628" w:right="1440" w:bottom="1440" w:gutter="0" w:footer="0" w:header="0"/>
        </w:sectPr>
      </w:pPr>
    </w:p>
    <w:bookmarkStart w:id="41" w:name="page42"/>
    <w:bookmarkEnd w:id="41"/>
    <w:p>
      <w:pPr>
        <w:ind w:right="3039" w:firstLine="799"/>
        <w:spacing w:after="0" w:line="239" w:lineRule="auto"/>
        <w:rPr>
          <w:sz w:val="20"/>
          <w:szCs w:val="20"/>
          <w:color w:val="auto"/>
        </w:rPr>
      </w:pPr>
      <w:r>
        <w:rPr>
          <w:rFonts w:ascii="Courier New" w:cs="Courier New" w:eastAsia="Courier New" w:hAnsi="Courier New"/>
          <w:sz w:val="15"/>
          <w:szCs w:val="15"/>
          <w:color w:val="auto"/>
        </w:rPr>
        <w:t>10.5 Warrant Agreement dated as of November 7, 1996 between the Company and Phillip DeZwirek. (Incorporated by reference from the Company's Form 10-KSB dated December 31, 1996)</w:t>
      </w:r>
    </w:p>
    <w:p>
      <w:pPr>
        <w:spacing w:after="0" w:line="175" w:lineRule="exact"/>
        <w:rPr>
          <w:sz w:val="20"/>
          <w:szCs w:val="20"/>
          <w:color w:val="auto"/>
        </w:rPr>
      </w:pPr>
    </w:p>
    <w:p>
      <w:pPr>
        <w:ind w:right="3039" w:firstLine="799"/>
        <w:spacing w:after="0" w:line="239" w:lineRule="auto"/>
        <w:rPr>
          <w:sz w:val="20"/>
          <w:szCs w:val="20"/>
          <w:color w:val="auto"/>
        </w:rPr>
      </w:pPr>
      <w:r>
        <w:rPr>
          <w:rFonts w:ascii="Courier New" w:cs="Courier New" w:eastAsia="Courier New" w:hAnsi="Courier New"/>
          <w:sz w:val="15"/>
          <w:szCs w:val="15"/>
          <w:color w:val="auto"/>
        </w:rPr>
        <w:t>10.6 Warrant Agreement dated as of January 14, 1998 between the Company and Phillip DeZwirek. (Incorporated by reference from the Company's Form 10-KSB dated December 31, 1998)</w:t>
      </w:r>
    </w:p>
    <w:p>
      <w:pPr>
        <w:spacing w:after="0" w:line="175" w:lineRule="exact"/>
        <w:rPr>
          <w:sz w:val="20"/>
          <w:szCs w:val="20"/>
          <w:color w:val="auto"/>
        </w:rPr>
      </w:pPr>
    </w:p>
    <w:p>
      <w:pPr>
        <w:ind w:right="3039" w:firstLine="799"/>
        <w:spacing w:after="0" w:line="239" w:lineRule="auto"/>
        <w:rPr>
          <w:sz w:val="20"/>
          <w:szCs w:val="20"/>
          <w:color w:val="auto"/>
        </w:rPr>
      </w:pPr>
      <w:r>
        <w:rPr>
          <w:rFonts w:ascii="Courier New" w:cs="Courier New" w:eastAsia="Courier New" w:hAnsi="Courier New"/>
          <w:sz w:val="15"/>
          <w:szCs w:val="15"/>
          <w:color w:val="auto"/>
        </w:rPr>
        <w:t>10.7 Asset Purchase Agreement among New Busch Co., Inc., Busch Co. and Andrew Halapin dated September 9, 1997. (Incorporated by reference from the Form 8-K filed by CECO on October 9, 1997 with respect to event of September 25, 1997)</w:t>
      </w:r>
    </w:p>
    <w:p>
      <w:pPr>
        <w:spacing w:after="0" w:line="177" w:lineRule="exact"/>
        <w:rPr>
          <w:sz w:val="20"/>
          <w:szCs w:val="20"/>
          <w:color w:val="auto"/>
        </w:rPr>
      </w:pPr>
    </w:p>
    <w:p>
      <w:pPr>
        <w:ind w:right="3039" w:firstLine="799"/>
        <w:spacing w:after="0" w:line="239" w:lineRule="auto"/>
        <w:rPr>
          <w:sz w:val="20"/>
          <w:szCs w:val="20"/>
          <w:color w:val="auto"/>
        </w:rPr>
      </w:pPr>
      <w:r>
        <w:rPr>
          <w:rFonts w:ascii="Courier New" w:cs="Courier New" w:eastAsia="Courier New" w:hAnsi="Courier New"/>
          <w:sz w:val="15"/>
          <w:szCs w:val="15"/>
          <w:color w:val="auto"/>
        </w:rPr>
        <w:t>10.8 Employment, Non-Compete and Confidentiality Agreement between New Busch Co., Inc. and Andrew M. Halapin dated September 25, 1997. (Incorporated by reference from the Form 8-K filed by CECO on October 9, 1997 with respect to event of September 25, 1997)</w:t>
      </w:r>
    </w:p>
    <w:p>
      <w:pPr>
        <w:spacing w:after="0" w:line="177" w:lineRule="exact"/>
        <w:rPr>
          <w:sz w:val="20"/>
          <w:szCs w:val="20"/>
          <w:color w:val="auto"/>
        </w:rPr>
      </w:pPr>
    </w:p>
    <w:p>
      <w:pPr>
        <w:ind w:right="3139" w:firstLine="799"/>
        <w:spacing w:after="0" w:line="239" w:lineRule="auto"/>
        <w:rPr>
          <w:sz w:val="20"/>
          <w:szCs w:val="20"/>
          <w:color w:val="auto"/>
        </w:rPr>
      </w:pPr>
      <w:r>
        <w:rPr>
          <w:rFonts w:ascii="Courier New" w:cs="Courier New" w:eastAsia="Courier New" w:hAnsi="Courier New"/>
          <w:sz w:val="15"/>
          <w:szCs w:val="15"/>
          <w:color w:val="auto"/>
        </w:rPr>
        <w:t>10.9 Employment Agreement and Addendum to Employment Agreement between CECO and Steven I. Taub dated September 30, 1997. (Incorporated by reference from the Company's Quarterly Report on Form 10-QSB for quarter ended September 30, 1997)</w:t>
      </w:r>
    </w:p>
    <w:p>
      <w:pPr>
        <w:spacing w:after="0" w:line="177" w:lineRule="exact"/>
        <w:rPr>
          <w:sz w:val="20"/>
          <w:szCs w:val="20"/>
          <w:color w:val="auto"/>
        </w:rPr>
      </w:pPr>
    </w:p>
    <w:p>
      <w:pPr>
        <w:ind w:right="3139" w:firstLine="799"/>
        <w:spacing w:after="0"/>
        <w:rPr>
          <w:sz w:val="20"/>
          <w:szCs w:val="20"/>
          <w:color w:val="auto"/>
        </w:rPr>
      </w:pPr>
      <w:r>
        <w:rPr>
          <w:rFonts w:ascii="Courier New" w:cs="Courier New" w:eastAsia="Courier New" w:hAnsi="Courier New"/>
          <w:sz w:val="15"/>
          <w:szCs w:val="15"/>
          <w:color w:val="auto"/>
        </w:rPr>
        <w:t>10.10 Lease between Busch Co. and Richard Roos dated January 10, 1980, Amendment to Lease dated August 1, 1988 between Busch Co. and Richard Roos, Amendment to Lease dated May 21, 1991 between Richard A. Roos and Busch Co. and Amendment to Lease dated June 1, 1991 between JDA, Inc. and Busch Co. (Incorporated by reference from the Company's Form 10-KSB dated December 31, 1997)</w:t>
      </w:r>
    </w:p>
    <w:p>
      <w:pPr>
        <w:spacing w:after="0" w:line="175" w:lineRule="exact"/>
        <w:rPr>
          <w:sz w:val="20"/>
          <w:szCs w:val="20"/>
          <w:color w:val="auto"/>
        </w:rPr>
      </w:pPr>
    </w:p>
    <w:p>
      <w:pPr>
        <w:jc w:val="both"/>
        <w:ind w:right="3319" w:firstLine="799"/>
        <w:spacing w:after="0" w:line="239" w:lineRule="auto"/>
        <w:rPr>
          <w:sz w:val="20"/>
          <w:szCs w:val="20"/>
          <w:color w:val="auto"/>
        </w:rPr>
      </w:pPr>
      <w:r>
        <w:rPr>
          <w:rFonts w:ascii="Courier New" w:cs="Courier New" w:eastAsia="Courier New" w:hAnsi="Courier New"/>
          <w:sz w:val="15"/>
          <w:szCs w:val="15"/>
          <w:color w:val="auto"/>
        </w:rPr>
        <w:t>10.11 Assignment of Lease dated September 25, 1997 among Richard A. Roos, JDA, Inc., Busch Co. and New Busch Co., Inc. (Incorporated by reference from the Company's Form 10-KSB dated December 31, 1998)</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10.12 Lease between Joseph V. Salvucci and Busch Co. dated October 17,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(Incorporated by reference from the Company's Form 10-KSB dated December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31, 1997)</w:t>
      </w:r>
    </w:p>
    <w:p>
      <w:pPr>
        <w:spacing w:after="0" w:line="174" w:lineRule="exact"/>
        <w:rPr>
          <w:sz w:val="20"/>
          <w:szCs w:val="20"/>
          <w:color w:val="auto"/>
        </w:rPr>
      </w:pPr>
    </w:p>
    <w:p>
      <w:pPr>
        <w:ind w:right="3039" w:firstLine="799"/>
        <w:spacing w:after="0" w:line="239" w:lineRule="auto"/>
        <w:rPr>
          <w:sz w:val="20"/>
          <w:szCs w:val="20"/>
          <w:color w:val="auto"/>
        </w:rPr>
      </w:pPr>
      <w:r>
        <w:rPr>
          <w:rFonts w:ascii="Courier New" w:cs="Courier New" w:eastAsia="Courier New" w:hAnsi="Courier New"/>
          <w:sz w:val="15"/>
          <w:szCs w:val="15"/>
          <w:color w:val="auto"/>
        </w:rPr>
        <w:t>10.13 Warrant Agreement dated as of September 14, 1998 between the Company and Phillip DeZwirek. (Incorporated by reference from the Company's Form 10-KSB dated December 31, 1998)</w:t>
      </w:r>
    </w:p>
    <w:p>
      <w:pPr>
        <w:spacing w:after="0" w:line="175" w:lineRule="exact"/>
        <w:rPr>
          <w:sz w:val="20"/>
          <w:szCs w:val="20"/>
          <w:color w:val="auto"/>
        </w:rPr>
      </w:pPr>
    </w:p>
    <w:p>
      <w:pPr>
        <w:ind w:right="3039" w:firstLine="799"/>
        <w:spacing w:after="0" w:line="239" w:lineRule="auto"/>
        <w:rPr>
          <w:sz w:val="20"/>
          <w:szCs w:val="20"/>
          <w:color w:val="auto"/>
        </w:rPr>
      </w:pPr>
      <w:r>
        <w:rPr>
          <w:rFonts w:ascii="Courier New" w:cs="Courier New" w:eastAsia="Courier New" w:hAnsi="Courier New"/>
          <w:sz w:val="15"/>
          <w:szCs w:val="15"/>
          <w:color w:val="auto"/>
        </w:rPr>
        <w:t>10.14 Warrant Agreement dated as of January 22, 1999 between the Company and Phillip DeZwirek. (Incorporated by reference from the Company's Form 10-KSB dated December 31, 1998)</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139"/>
          </w:cols>
          <w:pgMar w:left="320" w:top="631" w:right="1440" w:bottom="1440" w:gutter="0" w:footer="0" w:header="0"/>
        </w:sectPr>
      </w:pPr>
    </w:p>
    <w:bookmarkStart w:id="42" w:name="page43"/>
    <w:bookmarkEnd w:id="42"/>
    <w:p>
      <w:pPr>
        <w:ind w:right="3139" w:firstLine="799"/>
        <w:spacing w:after="0" w:line="239" w:lineRule="auto"/>
        <w:rPr>
          <w:sz w:val="20"/>
          <w:szCs w:val="20"/>
          <w:color w:val="auto"/>
        </w:rPr>
      </w:pPr>
      <w:r>
        <w:rPr>
          <w:rFonts w:ascii="Courier New" w:cs="Courier New" w:eastAsia="Courier New" w:hAnsi="Courier New"/>
          <w:sz w:val="15"/>
          <w:szCs w:val="15"/>
          <w:color w:val="auto"/>
        </w:rPr>
        <w:t>10.15 Warrant Agreement between the Company and IRG Investor Relations Group Ltd. and Warrant Certificates (Incorporated by reference from the Company's Form S-8 dated December 8, 1998)</w:t>
      </w:r>
    </w:p>
    <w:p>
      <w:pPr>
        <w:spacing w:after="0" w:line="175" w:lineRule="exact"/>
        <w:rPr>
          <w:sz w:val="20"/>
          <w:szCs w:val="20"/>
          <w:color w:val="auto"/>
        </w:rPr>
      </w:pPr>
    </w:p>
    <w:p>
      <w:pPr>
        <w:ind w:right="3139" w:firstLine="799"/>
        <w:spacing w:after="0" w:line="239" w:lineRule="auto"/>
        <w:rPr>
          <w:sz w:val="20"/>
          <w:szCs w:val="20"/>
          <w:color w:val="auto"/>
        </w:rPr>
      </w:pPr>
      <w:r>
        <w:rPr>
          <w:rFonts w:ascii="Courier New" w:cs="Courier New" w:eastAsia="Courier New" w:hAnsi="Courier New"/>
          <w:sz w:val="15"/>
          <w:szCs w:val="15"/>
          <w:color w:val="auto"/>
        </w:rPr>
        <w:t>10.16 Consulting Agreement between the Company and IRG Investor Relations Group Ltd. dated November 1, 1998 (Incorporated by reference from the Company's Form S-8 dated December 8, 1998)</w:t>
      </w:r>
    </w:p>
    <w:p>
      <w:pPr>
        <w:spacing w:after="0" w:line="175" w:lineRule="exact"/>
        <w:rPr>
          <w:sz w:val="20"/>
          <w:szCs w:val="20"/>
          <w:color w:val="auto"/>
        </w:rPr>
      </w:pPr>
    </w:p>
    <w:p>
      <w:pPr>
        <w:ind w:right="3139" w:firstLine="799"/>
        <w:spacing w:after="0" w:line="239" w:lineRule="auto"/>
        <w:rPr>
          <w:sz w:val="20"/>
          <w:szCs w:val="20"/>
          <w:color w:val="auto"/>
        </w:rPr>
      </w:pPr>
      <w:r>
        <w:rPr>
          <w:rFonts w:ascii="Courier New" w:cs="Courier New" w:eastAsia="Courier New" w:hAnsi="Courier New"/>
          <w:sz w:val="15"/>
          <w:szCs w:val="15"/>
          <w:color w:val="auto"/>
        </w:rPr>
        <w:t>10.17 Warrant Agreement between the Company and Richard Genovese dated November 2, 1998 and Warrant Certificates. (Incorporated by reference from the Company's Form 10-KSB dated December 31, 1998)</w:t>
      </w:r>
    </w:p>
    <w:p>
      <w:pPr>
        <w:spacing w:after="0" w:line="175"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10.18 Option for the Purchase of Shares of Common Stock for Donald Wright dated June 30, 1998. (Incorporated by reference from the Company's Form 10-KSB dated December 31, 1998)</w:t>
      </w:r>
    </w:p>
    <w:p>
      <w:pPr>
        <w:spacing w:after="0" w:line="175" w:lineRule="exact"/>
        <w:rPr>
          <w:sz w:val="20"/>
          <w:szCs w:val="20"/>
          <w:color w:val="auto"/>
        </w:rPr>
      </w:pPr>
    </w:p>
    <w:p>
      <w:pPr>
        <w:ind w:right="3139" w:firstLine="799"/>
        <w:spacing w:after="0"/>
        <w:rPr>
          <w:sz w:val="20"/>
          <w:szCs w:val="20"/>
          <w:color w:val="auto"/>
        </w:rPr>
      </w:pPr>
      <w:r>
        <w:rPr>
          <w:rFonts w:ascii="Courier New" w:cs="Courier New" w:eastAsia="Courier New" w:hAnsi="Courier New"/>
          <w:sz w:val="15"/>
          <w:szCs w:val="15"/>
          <w:color w:val="auto"/>
        </w:rPr>
        <w:t>10.19 Stock Purchase Agreement, dated as of December 7, 1999, among CECO Environmental Corp., CECO Filters, Inc. and the Stockholders of The Kirk &amp; Blum Manufacturing Company and kbd/Technic, Inc. and Richard J. Blum, Lawrence J. Blum and David D. Blum. (Incorporated by reference from the Company's Form 8-K filed December 22, 1999 with respect to event that occurred December 7, 1999.)</w:t>
      </w:r>
    </w:p>
    <w:p>
      <w:pPr>
        <w:spacing w:after="0" w:line="175"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10.20 Employment Agreement, dated as of December 7, 1999, between Richard J. Blum and CECO Group, Inc. (Incorporated by reference from the Company's Form 8-K filed December 22, 1999 with respect to event that occurred December 7, 1999.)</w:t>
      </w:r>
    </w:p>
    <w:p>
      <w:pPr>
        <w:spacing w:after="0" w:line="177" w:lineRule="exact"/>
        <w:rPr>
          <w:sz w:val="20"/>
          <w:szCs w:val="20"/>
          <w:color w:val="auto"/>
        </w:rPr>
      </w:pPr>
    </w:p>
    <w:p>
      <w:pPr>
        <w:ind w:right="3039" w:firstLine="799"/>
        <w:spacing w:after="0" w:line="239" w:lineRule="auto"/>
        <w:rPr>
          <w:sz w:val="20"/>
          <w:szCs w:val="20"/>
          <w:color w:val="auto"/>
        </w:rPr>
      </w:pPr>
      <w:r>
        <w:rPr>
          <w:rFonts w:ascii="Courier New" w:cs="Courier New" w:eastAsia="Courier New" w:hAnsi="Courier New"/>
          <w:sz w:val="15"/>
          <w:szCs w:val="15"/>
          <w:color w:val="auto"/>
        </w:rPr>
        <w:t>10.21 Stock Purchase Warrant, dated as of December 7, 1999, granted by CECO Environmental Corp. to Richard J. Blum. (Incorporated by reference from the Company's Form 8-K filed December 22, 1999 with respect to event that occurred December 7, 1999.)</w:t>
      </w:r>
    </w:p>
    <w:p>
      <w:pPr>
        <w:spacing w:after="0" w:line="177" w:lineRule="exact"/>
        <w:rPr>
          <w:sz w:val="20"/>
          <w:szCs w:val="20"/>
          <w:color w:val="auto"/>
        </w:rPr>
      </w:pPr>
    </w:p>
    <w:p>
      <w:pPr>
        <w:ind w:right="3319" w:firstLine="799"/>
        <w:spacing w:after="0" w:line="239" w:lineRule="auto"/>
        <w:rPr>
          <w:sz w:val="20"/>
          <w:szCs w:val="20"/>
          <w:color w:val="auto"/>
        </w:rPr>
      </w:pPr>
      <w:r>
        <w:rPr>
          <w:rFonts w:ascii="Courier New" w:cs="Courier New" w:eastAsia="Courier New" w:hAnsi="Courier New"/>
          <w:sz w:val="15"/>
          <w:szCs w:val="15"/>
          <w:color w:val="auto"/>
        </w:rPr>
        <w:t>10.22 Employment Agreement, dated as of December 7, 1999, between Lawrence J. Blum and The Kirk &amp; Blum Manufacturing Company. (Incorporated by reference from the Company's Form 8-K filed December 22, 1999 with respect to event that occurred December 7, 1999.)</w:t>
      </w:r>
    </w:p>
    <w:p>
      <w:pPr>
        <w:spacing w:after="0" w:line="177" w:lineRule="exact"/>
        <w:rPr>
          <w:sz w:val="20"/>
          <w:szCs w:val="20"/>
          <w:color w:val="auto"/>
        </w:rPr>
      </w:pPr>
    </w:p>
    <w:p>
      <w:pPr>
        <w:ind w:right="3139" w:firstLine="799"/>
        <w:spacing w:after="0" w:line="239" w:lineRule="auto"/>
        <w:rPr>
          <w:sz w:val="20"/>
          <w:szCs w:val="20"/>
          <w:color w:val="auto"/>
        </w:rPr>
      </w:pPr>
      <w:r>
        <w:rPr>
          <w:rFonts w:ascii="Courier New" w:cs="Courier New" w:eastAsia="Courier New" w:hAnsi="Courier New"/>
          <w:sz w:val="15"/>
          <w:szCs w:val="15"/>
          <w:color w:val="auto"/>
        </w:rPr>
        <w:t>10.23 Stock Purchase Warrant, dated as of December 7, 1999, granted by CECO Environmental Corp. to Lawrence J. Blum. (Incorporated by reference from the Company's Form 8-K filed December 22, 1999 with respect to event that occurred December 7, 1999.)</w:t>
      </w:r>
    </w:p>
    <w:p>
      <w:pPr>
        <w:spacing w:after="0" w:line="177" w:lineRule="exact"/>
        <w:rPr>
          <w:sz w:val="20"/>
          <w:szCs w:val="20"/>
          <w:color w:val="auto"/>
        </w:rPr>
      </w:pPr>
    </w:p>
    <w:p>
      <w:pPr>
        <w:ind w:right="3039" w:firstLine="799"/>
        <w:spacing w:after="0" w:line="239" w:lineRule="auto"/>
        <w:rPr>
          <w:sz w:val="20"/>
          <w:szCs w:val="20"/>
          <w:color w:val="auto"/>
        </w:rPr>
      </w:pPr>
      <w:r>
        <w:rPr>
          <w:rFonts w:ascii="Courier New" w:cs="Courier New" w:eastAsia="Courier New" w:hAnsi="Courier New"/>
          <w:sz w:val="15"/>
          <w:szCs w:val="15"/>
          <w:color w:val="auto"/>
        </w:rPr>
        <w:t>10.24 Employment Agreement, dated as of December 7, 1999, between David D. Blum and The Kirk &amp; Blum Manufacturing Company. (Incorporated by reference from the Company's Form 8-K filed December 22, 1999 with respect to event that occurred December 7, 1999.)</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139"/>
          </w:cols>
          <w:pgMar w:left="320" w:top="631" w:right="1440" w:bottom="1440" w:gutter="0" w:footer="0" w:header="0"/>
        </w:sectPr>
      </w:pPr>
    </w:p>
    <w:bookmarkStart w:id="43" w:name="page44"/>
    <w:bookmarkEnd w:id="43"/>
    <w:p>
      <w:pPr>
        <w:ind w:right="3139" w:firstLine="799"/>
        <w:spacing w:after="0" w:line="239" w:lineRule="auto"/>
        <w:rPr>
          <w:sz w:val="20"/>
          <w:szCs w:val="20"/>
          <w:color w:val="auto"/>
        </w:rPr>
      </w:pPr>
      <w:r>
        <w:rPr>
          <w:rFonts w:ascii="Courier New" w:cs="Courier New" w:eastAsia="Courier New" w:hAnsi="Courier New"/>
          <w:sz w:val="15"/>
          <w:szCs w:val="15"/>
          <w:color w:val="auto"/>
        </w:rPr>
        <w:t>10.25 Stock Purchase Warrant, dated as of December 7, 1999, granted by CECO Environmental Corp. to David D. Blum. (Incorporated by reference from the Company's Form 8-K filed December 22, 1999 with respect to event that occurred December 7, 1999.)</w:t>
      </w:r>
    </w:p>
    <w:p>
      <w:pPr>
        <w:spacing w:after="0" w:line="177" w:lineRule="exact"/>
        <w:rPr>
          <w:sz w:val="20"/>
          <w:szCs w:val="20"/>
          <w:color w:val="auto"/>
        </w:rPr>
      </w:pPr>
    </w:p>
    <w:p>
      <w:pPr>
        <w:ind w:right="3139" w:firstLine="799"/>
        <w:spacing w:after="0" w:line="260" w:lineRule="auto"/>
        <w:rPr>
          <w:sz w:val="20"/>
          <w:szCs w:val="20"/>
          <w:color w:val="auto"/>
        </w:rPr>
      </w:pPr>
      <w:r>
        <w:rPr>
          <w:rFonts w:ascii="Courier New" w:cs="Courier New" w:eastAsia="Courier New" w:hAnsi="Courier New"/>
          <w:sz w:val="14"/>
          <w:szCs w:val="14"/>
          <w:color w:val="auto"/>
        </w:rPr>
        <w:t>10.26 Credit Agreement, dated as of December 7, 1999, among PNC Bank, National Association, The Fifth Third Bank, and Bank One, N.A. and PNC Bank, National Association as agent, and CECO Group, Inc., CECO Filters, Inc., Air Purator Corporation, New Busch Co., Inc., The Kirk &amp; Blum Manufacturing Company and kbd\Technic, Inc. (Incorporated by reference from the Company's Form 8-K filed December 22, 1999 with respect to event that occurred December 7, 1999.)</w:t>
      </w:r>
    </w:p>
    <w:p>
      <w:pPr>
        <w:spacing w:after="0" w:line="164" w:lineRule="exact"/>
        <w:rPr>
          <w:sz w:val="20"/>
          <w:szCs w:val="20"/>
          <w:color w:val="auto"/>
        </w:rPr>
      </w:pPr>
    </w:p>
    <w:p>
      <w:pPr>
        <w:ind w:right="3139" w:firstLine="1154"/>
        <w:spacing w:after="0" w:line="262" w:lineRule="auto"/>
        <w:rPr>
          <w:sz w:val="20"/>
          <w:szCs w:val="20"/>
          <w:color w:val="auto"/>
        </w:rPr>
      </w:pPr>
      <w:r>
        <w:rPr>
          <w:rFonts w:ascii="Courier New" w:cs="Courier New" w:eastAsia="Courier New" w:hAnsi="Courier New"/>
          <w:sz w:val="14"/>
          <w:szCs w:val="14"/>
          <w:color w:val="auto"/>
        </w:rPr>
        <w:t>10.27 Promissory Note in the amount of $4,000,000, dated as of December 7, 1999, made by CECO Environmental Corp. and payable to Green Diamond Oil Corp. (Incorporated by reference from the Company's Form 8-K filed December 22, 1999 with respect to event that occurred December 7, 1999.)</w:t>
      </w:r>
    </w:p>
    <w:p>
      <w:pPr>
        <w:spacing w:after="0" w:line="161" w:lineRule="exact"/>
        <w:rPr>
          <w:sz w:val="20"/>
          <w:szCs w:val="20"/>
          <w:color w:val="auto"/>
        </w:rPr>
      </w:pPr>
    </w:p>
    <w:p>
      <w:pPr>
        <w:ind w:right="3219" w:firstLine="1154"/>
        <w:spacing w:after="0" w:line="239" w:lineRule="auto"/>
        <w:rPr>
          <w:sz w:val="20"/>
          <w:szCs w:val="20"/>
          <w:color w:val="auto"/>
        </w:rPr>
      </w:pPr>
      <w:r>
        <w:rPr>
          <w:rFonts w:ascii="Courier New" w:cs="Courier New" w:eastAsia="Courier New" w:hAnsi="Courier New"/>
          <w:sz w:val="15"/>
          <w:szCs w:val="15"/>
          <w:color w:val="auto"/>
        </w:rPr>
        <w:t>10.28 Promissory Note in the amount of $500,000, dated as of December 7, 1999, made by CECO Environmental Corp. and payable to Harvey Sandler. (Incorporated by reference from the Company's Form 8-K filed December 22, 1999 with respect to event that occurred December 7, 1999.)</w:t>
      </w:r>
    </w:p>
    <w:p>
      <w:pPr>
        <w:spacing w:after="0" w:line="177" w:lineRule="exact"/>
        <w:rPr>
          <w:sz w:val="20"/>
          <w:szCs w:val="20"/>
          <w:color w:val="auto"/>
        </w:rPr>
      </w:pPr>
    </w:p>
    <w:p>
      <w:pPr>
        <w:ind w:right="3319" w:firstLine="1154"/>
        <w:spacing w:after="0" w:line="262" w:lineRule="auto"/>
        <w:rPr>
          <w:sz w:val="20"/>
          <w:szCs w:val="20"/>
          <w:color w:val="auto"/>
        </w:rPr>
      </w:pPr>
      <w:r>
        <w:rPr>
          <w:rFonts w:ascii="Courier New" w:cs="Courier New" w:eastAsia="Courier New" w:hAnsi="Courier New"/>
          <w:sz w:val="14"/>
          <w:szCs w:val="14"/>
          <w:color w:val="auto"/>
        </w:rPr>
        <w:t>10.29 Promissory Note in the amount of $500,000, dated as of December 7, 1999, made by CECO Environmental Corp. and payable to ICS Trustee Services, Ltd. (Incorporated by reference from the Company's Form 8-K filed December 22, 1999 with respect to event that occurred December 7, 1999.)</w:t>
      </w:r>
    </w:p>
    <w:p>
      <w:pPr>
        <w:spacing w:after="0" w:line="161" w:lineRule="exact"/>
        <w:rPr>
          <w:sz w:val="20"/>
          <w:szCs w:val="20"/>
          <w:color w:val="auto"/>
        </w:rPr>
      </w:pPr>
    </w:p>
    <w:p>
      <w:pPr>
        <w:ind w:right="3139" w:firstLine="799"/>
        <w:spacing w:after="0" w:line="262" w:lineRule="auto"/>
        <w:rPr>
          <w:sz w:val="20"/>
          <w:szCs w:val="20"/>
          <w:color w:val="auto"/>
        </w:rPr>
      </w:pPr>
      <w:r>
        <w:rPr>
          <w:rFonts w:ascii="Courier New" w:cs="Courier New" w:eastAsia="Courier New" w:hAnsi="Courier New"/>
          <w:sz w:val="14"/>
          <w:szCs w:val="14"/>
          <w:color w:val="auto"/>
        </w:rPr>
        <w:t>10.30 Warrant Agreement, dated as of December 7, 1999, among CECO Environmental Corp. and Green Diamond Oil Corp., Harvey Sandler and ICS Trustee Services, Ltd. (Incorporated by reference from the Company's Form 8-K filed December 22, 1999 with respect to event that occurred December 7, 1999.)</w:t>
      </w:r>
    </w:p>
    <w:p>
      <w:pPr>
        <w:spacing w:after="0" w:line="161" w:lineRule="exact"/>
        <w:rPr>
          <w:sz w:val="20"/>
          <w:szCs w:val="20"/>
          <w:color w:val="auto"/>
        </w:rPr>
      </w:pPr>
    </w:p>
    <w:p>
      <w:pPr>
        <w:ind w:right="3139" w:firstLine="1154"/>
        <w:spacing w:after="0" w:line="239" w:lineRule="auto"/>
        <w:rPr>
          <w:sz w:val="20"/>
          <w:szCs w:val="20"/>
          <w:color w:val="auto"/>
        </w:rPr>
      </w:pPr>
      <w:r>
        <w:rPr>
          <w:rFonts w:ascii="Courier New" w:cs="Courier New" w:eastAsia="Courier New" w:hAnsi="Courier New"/>
          <w:sz w:val="15"/>
          <w:szCs w:val="15"/>
          <w:color w:val="auto"/>
        </w:rPr>
        <w:t>10.31 KDB\Technic, Inc. Voting Trust Agreement, dated as of December 7, 1999, Richard J. Blum, trustee. (Incorporated by reference from the Company's Form 8-K filed December 22, 1999 with respect to event that occurred December 7, 1999.)</w:t>
      </w:r>
    </w:p>
    <w:p>
      <w:pPr>
        <w:spacing w:after="0" w:line="177" w:lineRule="exact"/>
        <w:rPr>
          <w:sz w:val="20"/>
          <w:szCs w:val="20"/>
          <w:color w:val="auto"/>
        </w:rPr>
      </w:pPr>
    </w:p>
    <w:p>
      <w:pPr>
        <w:ind w:right="3139" w:firstLine="1154"/>
        <w:spacing w:after="0" w:line="239" w:lineRule="auto"/>
        <w:rPr>
          <w:sz w:val="20"/>
          <w:szCs w:val="20"/>
          <w:color w:val="auto"/>
        </w:rPr>
      </w:pPr>
      <w:r>
        <w:rPr>
          <w:rFonts w:ascii="Courier New" w:cs="Courier New" w:eastAsia="Courier New" w:hAnsi="Courier New"/>
          <w:sz w:val="15"/>
          <w:szCs w:val="15"/>
          <w:color w:val="auto"/>
        </w:rPr>
        <w:t>10.32 Consulting Agreement, dated as of June 1, 1999, between CECO Environmental Corp. and CECO Filters, Inc. (Incorporated by reference from the Company's Form 8-K filed December 22, 1999 with respect to event that occurred December 7, 1999.)</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139"/>
          </w:cols>
          <w:pgMar w:left="320" w:top="631" w:right="1440" w:bottom="1440" w:gutter="0" w:footer="0" w:header="0"/>
        </w:sectPr>
      </w:pPr>
    </w:p>
    <w:bookmarkStart w:id="44" w:name="page45"/>
    <w:bookmarkEnd w:id="44"/>
    <w:p>
      <w:pPr>
        <w:ind w:right="3139" w:firstLine="799"/>
        <w:spacing w:after="0" w:line="238" w:lineRule="auto"/>
        <w:rPr>
          <w:sz w:val="20"/>
          <w:szCs w:val="20"/>
          <w:color w:val="auto"/>
        </w:rPr>
      </w:pPr>
      <w:r>
        <w:rPr>
          <w:rFonts w:ascii="Courier New" w:cs="Courier New" w:eastAsia="Courier New" w:hAnsi="Courier New"/>
          <w:sz w:val="15"/>
          <w:szCs w:val="15"/>
          <w:color w:val="auto"/>
        </w:rPr>
        <w:t>10.33 Warrant Agreement dated August 26, 1999 between the Company and Can-Med Technology, Inc.</w:t>
      </w:r>
    </w:p>
    <w:p>
      <w:pPr>
        <w:spacing w:after="0" w:line="172" w:lineRule="exact"/>
        <w:rPr>
          <w:sz w:val="20"/>
          <w:szCs w:val="20"/>
          <w:color w:val="auto"/>
        </w:rPr>
      </w:pPr>
    </w:p>
    <w:p>
      <w:pPr>
        <w:ind w:left="780"/>
        <w:spacing w:after="0"/>
        <w:tabs>
          <w:tab w:leader="none" w:pos="1400" w:val="left"/>
        </w:tabs>
        <w:rPr>
          <w:sz w:val="20"/>
          <w:szCs w:val="20"/>
          <w:color w:val="auto"/>
        </w:rPr>
      </w:pPr>
      <w:r>
        <w:rPr>
          <w:rFonts w:ascii="Courier New" w:cs="Courier New" w:eastAsia="Courier New" w:hAnsi="Courier New"/>
          <w:sz w:val="15"/>
          <w:szCs w:val="15"/>
          <w:color w:val="auto"/>
        </w:rPr>
        <w:t>10.34</w:t>
      </w:r>
      <w:r>
        <w:rPr>
          <w:sz w:val="20"/>
          <w:szCs w:val="20"/>
          <w:color w:val="auto"/>
        </w:rPr>
        <w:tab/>
      </w:r>
      <w:r>
        <w:rPr>
          <w:rFonts w:ascii="Courier New" w:cs="Courier New" w:eastAsia="Courier New" w:hAnsi="Courier New"/>
          <w:sz w:val="14"/>
          <w:szCs w:val="14"/>
          <w:color w:val="auto"/>
        </w:rPr>
        <w:t>Amendment to Credit Agreement dated March 28, 2000.</w:t>
      </w:r>
    </w:p>
    <w:p>
      <w:pPr>
        <w:spacing w:after="0" w:line="171" w:lineRule="exact"/>
        <w:rPr>
          <w:sz w:val="20"/>
          <w:szCs w:val="20"/>
          <w:color w:val="auto"/>
        </w:rPr>
      </w:pPr>
    </w:p>
    <w:p>
      <w:pPr>
        <w:ind w:left="1420" w:hanging="630"/>
        <w:spacing w:after="0"/>
        <w:tabs>
          <w:tab w:leader="none" w:pos="14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Company.</w:t>
      </w:r>
    </w:p>
    <w:p>
      <w:pPr>
        <w:spacing w:after="0" w:line="171" w:lineRule="exact"/>
        <w:rPr>
          <w:rFonts w:ascii="Courier New" w:cs="Courier New" w:eastAsia="Courier New" w:hAnsi="Courier New"/>
          <w:sz w:val="15"/>
          <w:szCs w:val="15"/>
          <w:color w:val="auto"/>
        </w:rPr>
      </w:pPr>
    </w:p>
    <w:p>
      <w:pPr>
        <w:ind w:left="1420" w:hanging="630"/>
        <w:spacing w:after="0"/>
        <w:tabs>
          <w:tab w:leader="none" w:pos="14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71" w:lineRule="exact"/>
        <w:rPr>
          <w:sz w:val="20"/>
          <w:szCs w:val="20"/>
          <w:color w:val="auto"/>
        </w:rPr>
      </w:pPr>
    </w:p>
    <w:p>
      <w:pPr>
        <w:ind w:left="1420" w:hanging="630"/>
        <w:spacing w:after="0"/>
        <w:tabs>
          <w:tab w:leader="none" w:pos="14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sz w:val="20"/>
          <w:szCs w:val="20"/>
          <w:color w:val="auto"/>
        </w:rPr>
      </w:pPr>
    </w:p>
    <w:p>
      <w:pPr>
        <w:ind w:right="3139" w:firstLine="799"/>
        <w:spacing w:after="0" w:line="264" w:lineRule="auto"/>
        <w:rPr>
          <w:sz w:val="20"/>
          <w:szCs w:val="20"/>
          <w:color w:val="auto"/>
        </w:rPr>
      </w:pPr>
      <w:r>
        <w:rPr>
          <w:rFonts w:ascii="Courier New" w:cs="Courier New" w:eastAsia="Courier New" w:hAnsi="Courier New"/>
          <w:sz w:val="14"/>
          <w:szCs w:val="14"/>
          <w:color w:val="auto"/>
        </w:rPr>
        <w:t>The Company filed a report on Form 8-K during the fiscal quarter ended December 31, 1999. Such report was filed December 22, 1999 with respect to the Company's acquisition of Kirk &amp; Blum and kbd/Technic on December 7, 1999.</w:t>
      </w:r>
    </w:p>
    <w:p>
      <w:pPr>
        <w:spacing w:after="0" w:line="32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139"/>
          </w:cols>
          <w:pgMar w:left="320" w:top="631" w:right="1440" w:bottom="1440" w:gutter="0" w:footer="0" w:header="0"/>
        </w:sectPr>
      </w:pPr>
    </w:p>
    <w:bookmarkStart w:id="45" w:name="page46"/>
    <w:bookmarkEnd w:id="45"/>
    <w:p>
      <w:pPr>
        <w:ind w:left="310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left="9" w:right="3039" w:firstLine="799"/>
        <w:spacing w:after="0" w:line="239"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343"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CECO ENVIRONMENTAL CORP.</w:t>
      </w:r>
    </w:p>
    <w:p>
      <w:pPr>
        <w:spacing w:after="0" w:line="171" w:lineRule="exact"/>
        <w:rPr>
          <w:sz w:val="20"/>
          <w:szCs w:val="20"/>
          <w:color w:val="auto"/>
        </w:rPr>
      </w:pPr>
    </w:p>
    <w:p>
      <w:pPr>
        <w:ind w:left="2389"/>
        <w:spacing w:after="0"/>
        <w:tabs>
          <w:tab w:leader="none" w:pos="2829" w:val="left"/>
        </w:tabs>
        <w:rPr>
          <w:sz w:val="20"/>
          <w:szCs w:val="20"/>
          <w:color w:val="auto"/>
        </w:rPr>
      </w:pPr>
      <w:r>
        <w:rPr>
          <w:rFonts w:ascii="Courier New" w:cs="Courier New" w:eastAsia="Courier New" w:hAnsi="Courier New"/>
          <w:sz w:val="15"/>
          <w:szCs w:val="15"/>
          <w:color w:val="auto"/>
        </w:rPr>
        <w:t>By:</w:t>
        <w:tab/>
        <w:t>/s/ Phillip DeZwirek</w:t>
      </w:r>
    </w:p>
    <w:p>
      <w:pPr>
        <w:spacing w:after="0" w:line="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Phillip DeZwirek,</w:t>
      </w:r>
    </w:p>
    <w:p>
      <w:pPr>
        <w:spacing w:after="0" w:line="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Chief Executive Officer</w:t>
      </w:r>
    </w:p>
    <w:p>
      <w:pPr>
        <w:spacing w:after="0" w:line="1" w:lineRule="exact"/>
        <w:rPr>
          <w:sz w:val="20"/>
          <w:szCs w:val="20"/>
          <w:color w:val="auto"/>
        </w:rPr>
      </w:pPr>
    </w:p>
    <w:p>
      <w:pPr>
        <w:ind w:left="2849"/>
        <w:spacing w:after="0"/>
        <w:tabs>
          <w:tab w:leader="none" w:pos="3529" w:val="left"/>
        </w:tabs>
        <w:rPr>
          <w:sz w:val="20"/>
          <w:szCs w:val="20"/>
          <w:color w:val="auto"/>
        </w:rPr>
      </w:pPr>
      <w:r>
        <w:rPr>
          <w:rFonts w:ascii="Courier New" w:cs="Courier New" w:eastAsia="Courier New" w:hAnsi="Courier New"/>
          <w:sz w:val="15"/>
          <w:szCs w:val="15"/>
          <w:color w:val="auto"/>
        </w:rPr>
        <w:t>Dated:</w:t>
        <w:tab/>
        <w:t>March 27, 2000</w:t>
      </w:r>
    </w:p>
    <w:p>
      <w:pPr>
        <w:spacing w:after="0" w:line="345" w:lineRule="exact"/>
        <w:rPr>
          <w:sz w:val="20"/>
          <w:szCs w:val="20"/>
          <w:color w:val="auto"/>
        </w:rPr>
      </w:pPr>
    </w:p>
    <w:p>
      <w:pPr>
        <w:ind w:left="9" w:right="3319" w:firstLine="79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Principal Executive Officer</w:t>
      </w:r>
    </w:p>
    <w:p>
      <w:pPr>
        <w:spacing w:after="0" w:line="342" w:lineRule="exact"/>
        <w:rPr>
          <w:sz w:val="20"/>
          <w:szCs w:val="20"/>
          <w:color w:val="auto"/>
        </w:rPr>
      </w:pPr>
    </w:p>
    <w:p>
      <w:pPr>
        <w:ind w:left="89"/>
        <w:spacing w:after="0"/>
        <w:tabs>
          <w:tab w:leader="none" w:pos="4689" w:val="left"/>
        </w:tabs>
        <w:rPr>
          <w:sz w:val="20"/>
          <w:szCs w:val="20"/>
          <w:color w:val="auto"/>
        </w:rPr>
      </w:pPr>
      <w:r>
        <w:rPr>
          <w:rFonts w:ascii="Courier New" w:cs="Courier New" w:eastAsia="Courier New" w:hAnsi="Courier New"/>
          <w:sz w:val="15"/>
          <w:szCs w:val="15"/>
          <w:color w:val="auto"/>
        </w:rPr>
        <w:t>/s/ Phillip DeZwirek</w:t>
      </w:r>
      <w:r>
        <w:rPr>
          <w:sz w:val="20"/>
          <w:szCs w:val="20"/>
          <w:color w:val="auto"/>
        </w:rPr>
        <w:tab/>
      </w:r>
      <w:r>
        <w:rPr>
          <w:rFonts w:ascii="Courier New" w:cs="Courier New" w:eastAsia="Courier New" w:hAnsi="Courier New"/>
          <w:sz w:val="14"/>
          <w:szCs w:val="14"/>
          <w:color w:val="auto"/>
        </w:rPr>
        <w:t>March 27, 2000</w:t>
      </w:r>
    </w:p>
    <w:p>
      <w:pPr>
        <w:spacing w:after="0" w:line="1" w:lineRule="exact"/>
        <w:rPr>
          <w:sz w:val="20"/>
          <w:szCs w:val="20"/>
          <w:color w:val="auto"/>
        </w:rPr>
      </w:pPr>
    </w:p>
    <w:p>
      <w:pPr>
        <w:ind w:left="169" w:hanging="169"/>
        <w:spacing w:after="0"/>
        <w:tabs>
          <w:tab w:leader="none" w:pos="16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9" w:right="72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Phillip DeZwirek, Chairman of the Board, Director and</w:t>
      </w:r>
    </w:p>
    <w:p>
      <w:pPr>
        <w:spacing w:after="0" w:line="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Executive Officer</w:t>
      </w:r>
    </w:p>
    <w:p>
      <w:pPr>
        <w:spacing w:after="0" w:line="342" w:lineRule="exact"/>
        <w:rPr>
          <w:sz w:val="20"/>
          <w:szCs w:val="20"/>
          <w:color w:val="auto"/>
        </w:rPr>
      </w:pPr>
    </w:p>
    <w:p>
      <w:pPr>
        <w:ind w:left="9"/>
        <w:spacing w:after="0"/>
        <w:tabs>
          <w:tab w:leader="none" w:pos="4689" w:val="left"/>
        </w:tabs>
        <w:rPr>
          <w:sz w:val="20"/>
          <w:szCs w:val="20"/>
          <w:color w:val="auto"/>
        </w:rPr>
      </w:pPr>
      <w:r>
        <w:rPr>
          <w:rFonts w:ascii="Courier New" w:cs="Courier New" w:eastAsia="Courier New" w:hAnsi="Courier New"/>
          <w:sz w:val="15"/>
          <w:szCs w:val="15"/>
          <w:color w:val="auto"/>
        </w:rPr>
        <w:t>/s/ Jason Louis DeZwirek</w:t>
      </w:r>
      <w:r>
        <w:rPr>
          <w:sz w:val="20"/>
          <w:szCs w:val="20"/>
          <w:color w:val="auto"/>
        </w:rPr>
        <w:tab/>
      </w:r>
      <w:r>
        <w:rPr>
          <w:rFonts w:ascii="Courier New" w:cs="Courier New" w:eastAsia="Courier New" w:hAnsi="Courier New"/>
          <w:sz w:val="14"/>
          <w:szCs w:val="14"/>
          <w:color w:val="auto"/>
        </w:rPr>
        <w:t>March 27, 2000</w:t>
      </w:r>
    </w:p>
    <w:p>
      <w:pPr>
        <w:spacing w:after="0" w:line="1" w:lineRule="exact"/>
        <w:rPr>
          <w:sz w:val="20"/>
          <w:szCs w:val="20"/>
          <w:color w:val="auto"/>
        </w:rPr>
      </w:pPr>
    </w:p>
    <w:p>
      <w:pPr>
        <w:ind w:left="169" w:hanging="169"/>
        <w:spacing w:after="0"/>
        <w:tabs>
          <w:tab w:leader="none" w:pos="16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Jason Louis DeZwirek, Director</w:t>
      </w:r>
    </w:p>
    <w:p>
      <w:pPr>
        <w:spacing w:after="0" w:line="342" w:lineRule="exact"/>
        <w:rPr>
          <w:sz w:val="20"/>
          <w:szCs w:val="20"/>
          <w:color w:val="auto"/>
        </w:rPr>
      </w:pPr>
    </w:p>
    <w:p>
      <w:pPr>
        <w:ind w:left="9"/>
        <w:spacing w:after="0"/>
        <w:tabs>
          <w:tab w:leader="none" w:pos="4689" w:val="left"/>
        </w:tabs>
        <w:rPr>
          <w:sz w:val="20"/>
          <w:szCs w:val="20"/>
          <w:color w:val="auto"/>
        </w:rPr>
      </w:pPr>
      <w:r>
        <w:rPr>
          <w:rFonts w:ascii="Courier New" w:cs="Courier New" w:eastAsia="Courier New" w:hAnsi="Courier New"/>
          <w:sz w:val="15"/>
          <w:szCs w:val="15"/>
          <w:color w:val="auto"/>
        </w:rPr>
        <w:t>/s/ Josephine Grivas</w:t>
      </w:r>
      <w:r>
        <w:rPr>
          <w:sz w:val="20"/>
          <w:szCs w:val="20"/>
          <w:color w:val="auto"/>
        </w:rPr>
        <w:tab/>
      </w:r>
      <w:r>
        <w:rPr>
          <w:rFonts w:ascii="Courier New" w:cs="Courier New" w:eastAsia="Courier New" w:hAnsi="Courier New"/>
          <w:sz w:val="14"/>
          <w:szCs w:val="14"/>
          <w:color w:val="auto"/>
        </w:rPr>
        <w:t>March 27, 2000</w:t>
      </w:r>
    </w:p>
    <w:p>
      <w:pPr>
        <w:spacing w:after="0" w:line="1" w:lineRule="exact"/>
        <w:rPr>
          <w:sz w:val="20"/>
          <w:szCs w:val="20"/>
          <w:color w:val="auto"/>
        </w:rPr>
      </w:pPr>
    </w:p>
    <w:p>
      <w:pPr>
        <w:ind w:left="169" w:hanging="169"/>
        <w:spacing w:after="0"/>
        <w:tabs>
          <w:tab w:leader="none" w:pos="16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Josephine Grivas, Director</w:t>
      </w:r>
    </w:p>
    <w:p>
      <w:pPr>
        <w:spacing w:after="0" w:line="342" w:lineRule="exact"/>
        <w:rPr>
          <w:sz w:val="20"/>
          <w:szCs w:val="20"/>
          <w:color w:val="auto"/>
        </w:rPr>
      </w:pPr>
    </w:p>
    <w:p>
      <w:pPr>
        <w:ind w:left="9"/>
        <w:spacing w:after="0"/>
        <w:tabs>
          <w:tab w:leader="none" w:pos="4689" w:val="left"/>
        </w:tabs>
        <w:rPr>
          <w:sz w:val="20"/>
          <w:szCs w:val="20"/>
          <w:color w:val="auto"/>
        </w:rPr>
      </w:pPr>
      <w:r>
        <w:rPr>
          <w:rFonts w:ascii="Courier New" w:cs="Courier New" w:eastAsia="Courier New" w:hAnsi="Courier New"/>
          <w:sz w:val="15"/>
          <w:szCs w:val="15"/>
          <w:color w:val="auto"/>
        </w:rPr>
        <w:t>/s/ Donald Wright</w:t>
      </w:r>
      <w:r>
        <w:rPr>
          <w:sz w:val="20"/>
          <w:szCs w:val="20"/>
          <w:color w:val="auto"/>
        </w:rPr>
        <w:tab/>
      </w:r>
      <w:r>
        <w:rPr>
          <w:rFonts w:ascii="Courier New" w:cs="Courier New" w:eastAsia="Courier New" w:hAnsi="Courier New"/>
          <w:sz w:val="14"/>
          <w:szCs w:val="14"/>
          <w:color w:val="auto"/>
        </w:rPr>
        <w:t>March 27, 2000</w:t>
      </w:r>
    </w:p>
    <w:p>
      <w:pPr>
        <w:spacing w:after="0" w:line="1" w:lineRule="exact"/>
        <w:rPr>
          <w:sz w:val="20"/>
          <w:szCs w:val="20"/>
          <w:color w:val="auto"/>
        </w:rPr>
      </w:pPr>
    </w:p>
    <w:p>
      <w:pPr>
        <w:ind w:left="169" w:hanging="169"/>
        <w:spacing w:after="0"/>
        <w:tabs>
          <w:tab w:leader="none" w:pos="16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jc w:val="both"/>
        <w:ind w:left="9" w:right="809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Donald Wright, Director Principal Financial and Accounting Officer</w:t>
      </w:r>
    </w:p>
    <w:p>
      <w:pPr>
        <w:spacing w:after="0" w:line="157" w:lineRule="exact"/>
        <w:rPr>
          <w:sz w:val="20"/>
          <w:szCs w:val="20"/>
          <w:color w:val="auto"/>
        </w:rPr>
      </w:pPr>
    </w:p>
    <w:p>
      <w:pPr>
        <w:ind w:left="9"/>
        <w:spacing w:after="0"/>
        <w:tabs>
          <w:tab w:leader="none" w:pos="4689" w:val="left"/>
        </w:tabs>
        <w:rPr>
          <w:sz w:val="20"/>
          <w:szCs w:val="20"/>
          <w:color w:val="auto"/>
        </w:rPr>
      </w:pPr>
      <w:r>
        <w:rPr>
          <w:rFonts w:ascii="Courier New" w:cs="Courier New" w:eastAsia="Courier New" w:hAnsi="Courier New"/>
          <w:sz w:val="15"/>
          <w:szCs w:val="15"/>
          <w:color w:val="auto"/>
        </w:rPr>
        <w:t>/s/ Marshall J. Morris</w:t>
      </w:r>
      <w:r>
        <w:rPr>
          <w:sz w:val="20"/>
          <w:szCs w:val="20"/>
          <w:color w:val="auto"/>
        </w:rPr>
        <w:tab/>
      </w:r>
      <w:r>
        <w:rPr>
          <w:rFonts w:ascii="Courier New" w:cs="Courier New" w:eastAsia="Courier New" w:hAnsi="Courier New"/>
          <w:sz w:val="14"/>
          <w:szCs w:val="14"/>
          <w:color w:val="auto"/>
        </w:rPr>
        <w:t>March 27, 2000</w:t>
      </w:r>
    </w:p>
    <w:p>
      <w:pPr>
        <w:spacing w:after="0" w:line="1" w:lineRule="exact"/>
        <w:rPr>
          <w:sz w:val="20"/>
          <w:szCs w:val="20"/>
          <w:color w:val="auto"/>
        </w:rPr>
      </w:pPr>
    </w:p>
    <w:p>
      <w:pPr>
        <w:ind w:left="169" w:hanging="169"/>
        <w:spacing w:after="0"/>
        <w:tabs>
          <w:tab w:leader="none" w:pos="16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9" w:right="809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Marshall J. Morris, Chief Financial Officer</w:t>
      </w:r>
    </w:p>
    <w:p>
      <w:pPr>
        <w:spacing w:after="0" w:line="32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148"/>
          </w:cols>
          <w:pgMar w:left="311" w:top="458" w:right="1440" w:bottom="1440" w:gutter="0" w:footer="0" w:header="0"/>
        </w:sectPr>
      </w:pPr>
    </w:p>
    <w:bookmarkStart w:id="46" w:name="page47"/>
    <w:bookmarkEnd w:id="46"/>
    <w:p>
      <w:pPr>
        <w:ind w:left="1360"/>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left="100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12" w:lineRule="exact"/>
        <w:rPr>
          <w:sz w:val="20"/>
          <w:szCs w:val="20"/>
          <w:color w:val="auto"/>
        </w:rPr>
      </w:pPr>
    </w:p>
    <w:p>
      <w:pPr>
        <w:ind w:left="1000"/>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 THE YEARS ENDED</w:t>
      </w:r>
    </w:p>
    <w:p>
      <w:pPr>
        <w:spacing w:after="0" w:line="1"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DECEMBER 31, 1999 AND 1998</w:t>
      </w:r>
    </w:p>
    <w:p>
      <w:pPr>
        <w:spacing w:after="0" w:line="1"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9019"/>
          </w:cols>
          <w:pgMar w:left="1440" w:top="970" w:right="1440" w:bottom="1440" w:gutter="0" w:footer="0" w:header="0"/>
        </w:sectPr>
      </w:pPr>
    </w:p>
    <w:bookmarkStart w:id="47" w:name="page48"/>
    <w:bookmarkEnd w:id="47"/>
    <w:p>
      <w:pPr>
        <w:ind w:left="2480"/>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TABLE OF CONTENTS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FOR THE YEARS ENDED DECEMBER 31, 1999 AND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1"/>
        </w:trPr>
        <w:tc>
          <w:tcPr>
            <w:tcW w:w="438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NUMBER</w:t>
            </w:r>
          </w:p>
        </w:tc>
        <w:tc>
          <w:tcPr>
            <w:tcW w:w="400" w:type="dxa"/>
            <w:vAlign w:val="bottom"/>
          </w:tcPr>
          <w:p>
            <w:pPr>
              <w:spacing w:after="0"/>
              <w:rPr>
                <w:sz w:val="14"/>
                <w:szCs w:val="14"/>
                <w:color w:val="auto"/>
              </w:rPr>
            </w:pPr>
          </w:p>
        </w:tc>
      </w:tr>
      <w:tr>
        <w:trPr>
          <w:trHeight w:val="171"/>
        </w:trPr>
        <w:tc>
          <w:tcPr>
            <w:tcW w:w="438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r>
      <w:tr>
        <w:trPr>
          <w:trHeight w:val="341"/>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Independent Auditor's Report</w:t>
            </w:r>
          </w:p>
        </w:tc>
        <w:tc>
          <w:tcPr>
            <w:tcW w:w="2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 -</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3</w:t>
            </w:r>
          </w:p>
        </w:tc>
        <w:tc>
          <w:tcPr>
            <w:tcW w:w="400" w:type="dxa"/>
            <w:vAlign w:val="bottom"/>
          </w:tcPr>
          <w:p>
            <w:pPr>
              <w:spacing w:after="0"/>
              <w:rPr>
                <w:sz w:val="24"/>
                <w:szCs w:val="24"/>
                <w:color w:val="auto"/>
              </w:rPr>
            </w:pPr>
          </w:p>
        </w:tc>
      </w:tr>
      <w:tr>
        <w:trPr>
          <w:trHeight w:val="34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Consolidated Financial Statements:</w:t>
            </w: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1"/>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Balance sheet</w:t>
            </w:r>
          </w:p>
        </w:tc>
        <w:tc>
          <w:tcPr>
            <w:tcW w:w="2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 -</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4</w:t>
            </w:r>
          </w:p>
        </w:tc>
        <w:tc>
          <w:tcPr>
            <w:tcW w:w="400" w:type="dxa"/>
            <w:vAlign w:val="bottom"/>
          </w:tcPr>
          <w:p>
            <w:pPr>
              <w:spacing w:after="0"/>
              <w:rPr>
                <w:sz w:val="14"/>
                <w:szCs w:val="14"/>
                <w:color w:val="auto"/>
              </w:rPr>
            </w:pPr>
          </w:p>
        </w:tc>
      </w:tr>
      <w:tr>
        <w:trPr>
          <w:trHeight w:val="171"/>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Operations</w:t>
            </w:r>
          </w:p>
        </w:tc>
        <w:tc>
          <w:tcPr>
            <w:tcW w:w="2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 -</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400" w:type="dxa"/>
            <w:vAlign w:val="bottom"/>
          </w:tcPr>
          <w:p>
            <w:pPr>
              <w:spacing w:after="0"/>
              <w:rPr>
                <w:sz w:val="14"/>
                <w:szCs w:val="14"/>
                <w:color w:val="auto"/>
              </w:rPr>
            </w:pPr>
          </w:p>
        </w:tc>
      </w:tr>
      <w:tr>
        <w:trPr>
          <w:trHeight w:val="171"/>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Shareholders' equity</w:t>
            </w:r>
          </w:p>
        </w:tc>
        <w:tc>
          <w:tcPr>
            <w:tcW w:w="2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 -</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400" w:type="dxa"/>
            <w:vAlign w:val="bottom"/>
          </w:tcPr>
          <w:p>
            <w:pPr>
              <w:spacing w:after="0"/>
              <w:rPr>
                <w:sz w:val="14"/>
                <w:szCs w:val="14"/>
                <w:color w:val="auto"/>
              </w:rPr>
            </w:pPr>
          </w:p>
        </w:tc>
      </w:tr>
      <w:tr>
        <w:trPr>
          <w:trHeight w:val="171"/>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Cash flows</w:t>
            </w:r>
          </w:p>
        </w:tc>
        <w:tc>
          <w:tcPr>
            <w:tcW w:w="2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F-7&amp;</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F</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  8</w:t>
            </w:r>
          </w:p>
        </w:tc>
      </w:tr>
      <w:tr>
        <w:trPr>
          <w:trHeight w:val="171"/>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Notes to financial statements</w:t>
            </w:r>
          </w:p>
        </w:tc>
        <w:tc>
          <w:tcPr>
            <w:tcW w:w="2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 - 9 to</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F</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- 28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139"/>
          </w:cols>
          <w:pgMar w:left="320" w:top="1140" w:right="1440" w:bottom="1440" w:gutter="0" w:footer="0" w:header="0"/>
        </w:sectPr>
      </w:pPr>
    </w:p>
    <w:bookmarkStart w:id="48" w:name="page49"/>
    <w:bookmarkEnd w:id="48"/>
    <w:p>
      <w:pPr>
        <w:ind w:left="2300"/>
        <w:spacing w:after="0"/>
        <w:rPr>
          <w:sz w:val="20"/>
          <w:szCs w:val="20"/>
          <w:color w:val="auto"/>
        </w:rPr>
      </w:pPr>
      <w:r>
        <w:rPr>
          <w:rFonts w:ascii="Courier New" w:cs="Courier New" w:eastAsia="Courier New" w:hAnsi="Courier New"/>
          <w:sz w:val="15"/>
          <w:szCs w:val="15"/>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Toronto, Ontario Canada</w:t>
      </w:r>
    </w:p>
    <w:p>
      <w:pPr>
        <w:spacing w:after="0" w:line="174" w:lineRule="exact"/>
        <w:rPr>
          <w:sz w:val="20"/>
          <w:szCs w:val="20"/>
          <w:color w:val="auto"/>
        </w:rPr>
      </w:pPr>
    </w:p>
    <w:p>
      <w:pPr>
        <w:ind w:right="3139"/>
        <w:spacing w:after="0"/>
        <w:rPr>
          <w:sz w:val="20"/>
          <w:szCs w:val="20"/>
          <w:color w:val="auto"/>
        </w:rPr>
      </w:pPr>
      <w:r>
        <w:rPr>
          <w:rFonts w:ascii="Courier New" w:cs="Courier New" w:eastAsia="Courier New" w:hAnsi="Courier New"/>
          <w:sz w:val="15"/>
          <w:szCs w:val="15"/>
          <w:color w:val="auto"/>
        </w:rPr>
        <w:t>We have audited the accompanying consolidated balance sheet of CECO Environmental Corp. and subsidiaries as of December 31, 1999 and 1998, and the related consolidated statements of operations, shareholders' equity, and cash flows for the years then ended. These financial statements are the responsibility of the Company's management. Our responsibility is to express an opinion on these financial statements based on our audits.</w:t>
      </w:r>
    </w:p>
    <w:p>
      <w:pPr>
        <w:spacing w:after="0" w:line="175"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2" w:lineRule="exact"/>
        <w:rPr>
          <w:sz w:val="20"/>
          <w:szCs w:val="20"/>
          <w:color w:val="auto"/>
        </w:rPr>
      </w:pPr>
    </w:p>
    <w:p>
      <w:pPr>
        <w:ind w:right="3319"/>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CECO Environmental Corp. and subsidiaries as of December 31, 1999 and 1998, and the results of their operations and their cash flows for the years then ended in conformity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5"/>
          <w:szCs w:val="15"/>
          <w:color w:val="auto"/>
        </w:rPr>
        <w:t>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 Cynwyd, PA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24, 2000</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 - 3</w:t>
      </w:r>
    </w:p>
    <w:p>
      <w:pPr>
        <w:sectPr>
          <w:pgSz w:w="11900" w:h="16838" w:orient="portrait"/>
          <w:cols w:equalWidth="0" w:num="1">
            <w:col w:w="10139"/>
          </w:cols>
          <w:pgMar w:left="320" w:top="1140" w:right="1440" w:bottom="1440" w:gutter="0" w:footer="0" w:header="0"/>
        </w:sectPr>
      </w:pPr>
    </w:p>
    <w:bookmarkStart w:id="49" w:name="page50"/>
    <w:bookmarkEnd w:id="49"/>
    <w:p>
      <w:pPr>
        <w:ind w:left="3980"/>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CONSOLIDATED BALANCE SHEET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274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6740" w:type="dxa"/>
            <w:vAlign w:val="bottom"/>
          </w:tcPr>
          <w:p>
            <w:pPr>
              <w:spacing w:after="0"/>
              <w:rPr>
                <w:sz w:val="14"/>
                <w:szCs w:val="14"/>
                <w:color w:val="auto"/>
              </w:rPr>
            </w:pP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1999</w:t>
            </w:r>
          </w:p>
        </w:tc>
        <w:tc>
          <w:tcPr>
            <w:tcW w:w="13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674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6740" w:type="dxa"/>
            <w:vAlign w:val="bottom"/>
          </w:tcPr>
          <w:p>
            <w:pPr>
              <w:ind w:left="4780"/>
              <w:spacing w:after="0"/>
              <w:rPr>
                <w:sz w:val="20"/>
                <w:szCs w:val="20"/>
                <w:color w:val="auto"/>
              </w:rPr>
            </w:pPr>
            <w:r>
              <w:rPr>
                <w:rFonts w:ascii="Courier New" w:cs="Courier New" w:eastAsia="Courier New" w:hAnsi="Courier New"/>
                <w:sz w:val="15"/>
                <w:szCs w:val="15"/>
                <w:color w:val="auto"/>
              </w:rPr>
              <w:t>ASSETS</w:t>
            </w: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67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41"/>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$ 1,134,792</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364,648</w:t>
            </w:r>
          </w:p>
        </w:tc>
      </w:tr>
      <w:tr>
        <w:trPr>
          <w:trHeight w:val="171"/>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Marketable securities - trading</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2,690,919</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695,944</w:t>
            </w:r>
          </w:p>
        </w:tc>
      </w:tr>
      <w:tr>
        <w:trPr>
          <w:trHeight w:val="171"/>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17,204,539</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4,068,640</w:t>
            </w:r>
          </w:p>
        </w:tc>
      </w:tr>
      <w:tr>
        <w:trPr>
          <w:trHeight w:val="171"/>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Costs and estimated earnings in excess of</w:t>
            </w: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billings on uncompleted contracts</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2,951,773</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226,504</w:t>
            </w:r>
          </w:p>
        </w:tc>
      </w:tr>
      <w:tr>
        <w:trPr>
          <w:trHeight w:val="171"/>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2,173,010</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541,315</w:t>
            </w:r>
          </w:p>
        </w:tc>
      </w:tr>
      <w:tr>
        <w:trPr>
          <w:trHeight w:val="171"/>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635,423</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588,300</w:t>
            </w:r>
          </w:p>
        </w:tc>
      </w:tr>
      <w:tr>
        <w:trPr>
          <w:trHeight w:val="171"/>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485,800</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84,500</w:t>
            </w:r>
          </w:p>
        </w:tc>
      </w:tr>
      <w:tr>
        <w:trPr>
          <w:trHeight w:val="171"/>
        </w:trPr>
        <w:tc>
          <w:tcPr>
            <w:tcW w:w="674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740" w:type="dxa"/>
            <w:vAlign w:val="bottom"/>
          </w:tcPr>
          <w:p>
            <w:pPr>
              <w:ind w:left="1060"/>
              <w:spacing w:after="0"/>
              <w:rPr>
                <w:sz w:val="20"/>
                <w:szCs w:val="20"/>
                <w:color w:val="auto"/>
              </w:rPr>
            </w:pPr>
            <w:r>
              <w:rPr>
                <w:rFonts w:ascii="Courier New" w:cs="Courier New" w:eastAsia="Courier New" w:hAnsi="Courier New"/>
                <w:sz w:val="15"/>
                <w:szCs w:val="15"/>
                <w:color w:val="auto"/>
              </w:rPr>
              <w:t>Total current assets</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27,276,256</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6,569,851</w:t>
            </w:r>
          </w:p>
        </w:tc>
      </w:tr>
      <w:tr>
        <w:trPr>
          <w:trHeight w:val="341"/>
        </w:trPr>
        <w:tc>
          <w:tcPr>
            <w:tcW w:w="674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14,244,457</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2,062,452</w:t>
            </w:r>
          </w:p>
        </w:tc>
      </w:tr>
      <w:tr>
        <w:trPr>
          <w:trHeight w:val="171"/>
        </w:trPr>
        <w:tc>
          <w:tcPr>
            <w:tcW w:w="6740" w:type="dxa"/>
            <w:vAlign w:val="bottom"/>
          </w:tcPr>
          <w:p>
            <w:pPr>
              <w:spacing w:after="0"/>
              <w:rPr>
                <w:sz w:val="20"/>
                <w:szCs w:val="20"/>
                <w:color w:val="auto"/>
              </w:rPr>
            </w:pPr>
            <w:r>
              <w:rPr>
                <w:rFonts w:ascii="Courier New" w:cs="Courier New" w:eastAsia="Courier New" w:hAnsi="Courier New"/>
                <w:sz w:val="15"/>
                <w:szCs w:val="15"/>
                <w:color w:val="auto"/>
              </w:rPr>
              <w:t>Goodwill, net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6,545,389</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5,169,353</w:t>
            </w:r>
          </w:p>
        </w:tc>
      </w:tr>
      <w:tr>
        <w:trPr>
          <w:trHeight w:val="171"/>
        </w:trPr>
        <w:tc>
          <w:tcPr>
            <w:tcW w:w="6740" w:type="dxa"/>
            <w:vAlign w:val="bottom"/>
          </w:tcPr>
          <w:p>
            <w:pPr>
              <w:spacing w:after="0"/>
              <w:rPr>
                <w:sz w:val="20"/>
                <w:szCs w:val="20"/>
                <w:color w:val="auto"/>
              </w:rPr>
            </w:pPr>
            <w:r>
              <w:rPr>
                <w:rFonts w:ascii="Courier New" w:cs="Courier New" w:eastAsia="Courier New" w:hAnsi="Courier New"/>
                <w:sz w:val="15"/>
                <w:szCs w:val="15"/>
                <w:color w:val="auto"/>
              </w:rPr>
              <w:t>Other intangible assets, net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1,225,070</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1,270,780</w:t>
            </w:r>
          </w:p>
        </w:tc>
      </w:tr>
      <w:tr>
        <w:trPr>
          <w:trHeight w:val="171"/>
        </w:trPr>
        <w:tc>
          <w:tcPr>
            <w:tcW w:w="6740" w:type="dxa"/>
            <w:vAlign w:val="bottom"/>
          </w:tcPr>
          <w:p>
            <w:pPr>
              <w:spacing w:after="0"/>
              <w:rPr>
                <w:sz w:val="20"/>
                <w:szCs w:val="20"/>
                <w:color w:val="auto"/>
              </w:rPr>
            </w:pPr>
            <w:r>
              <w:rPr>
                <w:rFonts w:ascii="Courier New" w:cs="Courier New" w:eastAsia="Courier New" w:hAnsi="Courier New"/>
                <w:sz w:val="15"/>
                <w:szCs w:val="15"/>
                <w:color w:val="auto"/>
              </w:rPr>
              <w:t>Deferred charges and other assets</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1,473,054</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333,900</w:t>
            </w:r>
          </w:p>
        </w:tc>
      </w:tr>
      <w:tr>
        <w:trPr>
          <w:trHeight w:val="171"/>
        </w:trPr>
        <w:tc>
          <w:tcPr>
            <w:tcW w:w="67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309,200</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68,500</w:t>
            </w:r>
          </w:p>
        </w:tc>
      </w:tr>
      <w:tr>
        <w:trPr>
          <w:trHeight w:val="171"/>
        </w:trPr>
        <w:tc>
          <w:tcPr>
            <w:tcW w:w="674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740" w:type="dxa"/>
            <w:vAlign w:val="bottom"/>
          </w:tcPr>
          <w:p>
            <w:pPr>
              <w:spacing w:after="0"/>
              <w:rPr>
                <w:sz w:val="24"/>
                <w:szCs w:val="2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$51,073,426</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$15,474,836</w:t>
            </w:r>
          </w:p>
        </w:tc>
      </w:tr>
      <w:tr>
        <w:trPr>
          <w:trHeight w:val="171"/>
        </w:trPr>
        <w:tc>
          <w:tcPr>
            <w:tcW w:w="674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740" w:type="dxa"/>
            <w:vAlign w:val="bottom"/>
          </w:tcPr>
          <w:p>
            <w:pPr>
              <w:ind w:left="3460"/>
              <w:spacing w:after="0"/>
              <w:rPr>
                <w:sz w:val="20"/>
                <w:szCs w:val="20"/>
                <w:color w:val="auto"/>
              </w:rPr>
            </w:pPr>
            <w:r>
              <w:rPr>
                <w:rFonts w:ascii="Courier New" w:cs="Courier New" w:eastAsia="Courier New" w:hAnsi="Courier New"/>
                <w:sz w:val="15"/>
                <w:szCs w:val="15"/>
                <w:color w:val="auto"/>
              </w:rPr>
              <w:t>LIABILITIES AND SHAREHOLDERS' EQUITY</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1"/>
        </w:trPr>
        <w:tc>
          <w:tcPr>
            <w:tcW w:w="67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Debt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$ 2,788,054</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$ 1,585,149</w:t>
            </w:r>
          </w:p>
        </w:tc>
      </w:tr>
      <w:tr>
        <w:trPr>
          <w:trHeight w:val="171"/>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9,569,882</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3,104,004</w:t>
            </w:r>
          </w:p>
        </w:tc>
      </w:tr>
      <w:tr>
        <w:trPr>
          <w:trHeight w:val="171"/>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Billings in excess of costs and estimated</w:t>
            </w: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earnings on uncompleted contracts</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460,092</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1,174,427</w:t>
            </w:r>
          </w:p>
        </w:tc>
      </w:tr>
      <w:tr>
        <w:trPr>
          <w:trHeight w:val="171"/>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Other current liabilities</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116,056</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334,323</w:t>
            </w:r>
          </w:p>
        </w:tc>
      </w:tr>
      <w:tr>
        <w:trPr>
          <w:trHeight w:val="171"/>
        </w:trPr>
        <w:tc>
          <w:tcPr>
            <w:tcW w:w="674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740" w:type="dxa"/>
            <w:vAlign w:val="bottom"/>
          </w:tcPr>
          <w:p>
            <w:pPr>
              <w:ind w:left="1060"/>
              <w:spacing w:after="0"/>
              <w:rPr>
                <w:sz w:val="20"/>
                <w:szCs w:val="20"/>
                <w:color w:val="auto"/>
              </w:rPr>
            </w:pPr>
            <w:r>
              <w:rPr>
                <w:rFonts w:ascii="Courier New" w:cs="Courier New" w:eastAsia="Courier New" w:hAnsi="Courier New"/>
                <w:sz w:val="15"/>
                <w:szCs w:val="15"/>
                <w:color w:val="auto"/>
              </w:rPr>
              <w:t>Total current liabilities</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12,934,084</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6,197,903</w:t>
            </w:r>
          </w:p>
        </w:tc>
      </w:tr>
      <w:tr>
        <w:trPr>
          <w:trHeight w:val="341"/>
        </w:trPr>
        <w:tc>
          <w:tcPr>
            <w:tcW w:w="6740" w:type="dxa"/>
            <w:vAlign w:val="bottom"/>
          </w:tcPr>
          <w:p>
            <w:pPr>
              <w:spacing w:after="0"/>
              <w:rPr>
                <w:sz w:val="20"/>
                <w:szCs w:val="20"/>
                <w:color w:val="auto"/>
              </w:rPr>
            </w:pPr>
            <w:r>
              <w:rPr>
                <w:rFonts w:ascii="Courier New" w:cs="Courier New" w:eastAsia="Courier New" w:hAnsi="Courier New"/>
                <w:sz w:val="15"/>
                <w:szCs w:val="15"/>
                <w:color w:val="auto"/>
              </w:rPr>
              <w:t>Debt, less current portion</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28,289,680</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1,569,713</w:t>
            </w:r>
          </w:p>
        </w:tc>
      </w:tr>
      <w:tr>
        <w:trPr>
          <w:trHeight w:val="171"/>
        </w:trPr>
        <w:tc>
          <w:tcPr>
            <w:tcW w:w="674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713,003</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74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740" w:type="dxa"/>
            <w:vAlign w:val="bottom"/>
          </w:tcPr>
          <w:p>
            <w:pPr>
              <w:ind w:left="1060"/>
              <w:spacing w:after="0"/>
              <w:rPr>
                <w:sz w:val="20"/>
                <w:szCs w:val="20"/>
                <w:color w:val="auto"/>
              </w:rPr>
            </w:pPr>
            <w:r>
              <w:rPr>
                <w:rFonts w:ascii="Courier New" w:cs="Courier New" w:eastAsia="Courier New" w:hAnsi="Courier New"/>
                <w:sz w:val="15"/>
                <w:szCs w:val="15"/>
                <w:color w:val="auto"/>
              </w:rPr>
              <w:t>Total liabilities</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41,936,767</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7,767,616</w:t>
            </w:r>
          </w:p>
        </w:tc>
      </w:tr>
      <w:tr>
        <w:trPr>
          <w:trHeight w:val="171"/>
        </w:trPr>
        <w:tc>
          <w:tcPr>
            <w:tcW w:w="674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7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98,541</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149,941</w:t>
            </w:r>
          </w:p>
        </w:tc>
      </w:tr>
      <w:tr>
        <w:trPr>
          <w:trHeight w:val="171"/>
        </w:trPr>
        <w:tc>
          <w:tcPr>
            <w:tcW w:w="674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7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1"/>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 $.01 par value; 10,000,000 shares</w:t>
            </w: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authorized, none issued</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Common stock, $.01 par value; 100,000,000 shares</w:t>
            </w: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authorized, 8,388,816 shares issued and outstanding</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83,888</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83,888</w:t>
            </w:r>
          </w:p>
        </w:tc>
      </w:tr>
      <w:tr>
        <w:trPr>
          <w:trHeight w:val="171"/>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Capital in excess of par value</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11,986,013</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10,139,013</w:t>
            </w:r>
          </w:p>
        </w:tc>
      </w:tr>
      <w:tr>
        <w:trPr>
          <w:trHeight w:val="171"/>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Accumulated deficit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(2,683,114)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(2,316,953)</w:t>
            </w:r>
          </w:p>
        </w:tc>
      </w:tr>
      <w:tr>
        <w:trPr>
          <w:trHeight w:val="171"/>
        </w:trPr>
        <w:tc>
          <w:tcPr>
            <w:tcW w:w="674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74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9,386,787</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7,905,948</w:t>
            </w:r>
          </w:p>
        </w:tc>
      </w:tr>
      <w:tr>
        <w:trPr>
          <w:trHeight w:val="171"/>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Less treasury stock, at cost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(348,669)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(348,669)</w:t>
            </w:r>
          </w:p>
        </w:tc>
      </w:tr>
      <w:tr>
        <w:trPr>
          <w:trHeight w:val="171"/>
        </w:trPr>
        <w:tc>
          <w:tcPr>
            <w:tcW w:w="674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740" w:type="dxa"/>
            <w:vAlign w:val="bottom"/>
          </w:tcPr>
          <w:p>
            <w:pPr>
              <w:ind w:left="1060"/>
              <w:spacing w:after="0"/>
              <w:rPr>
                <w:sz w:val="20"/>
                <w:szCs w:val="20"/>
                <w:color w:val="auto"/>
              </w:rPr>
            </w:pPr>
            <w:r>
              <w:rPr>
                <w:rFonts w:ascii="Courier New" w:cs="Courier New" w:eastAsia="Courier New" w:hAnsi="Courier New"/>
                <w:sz w:val="15"/>
                <w:szCs w:val="15"/>
                <w:color w:val="auto"/>
              </w:rPr>
              <w:t>Net shareholders' equity</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9,038,118</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7,557,279</w:t>
            </w:r>
          </w:p>
        </w:tc>
      </w:tr>
      <w:tr>
        <w:trPr>
          <w:trHeight w:val="171"/>
        </w:trPr>
        <w:tc>
          <w:tcPr>
            <w:tcW w:w="674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740" w:type="dxa"/>
            <w:vAlign w:val="bottom"/>
          </w:tcPr>
          <w:p>
            <w:pPr>
              <w:spacing w:after="0"/>
              <w:rPr>
                <w:sz w:val="24"/>
                <w:szCs w:val="2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$51,073,426</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$15,474,836</w:t>
            </w:r>
          </w:p>
        </w:tc>
      </w:tr>
      <w:tr>
        <w:trPr>
          <w:trHeight w:val="171"/>
        </w:trPr>
        <w:tc>
          <w:tcPr>
            <w:tcW w:w="674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460"/>
        <w:spacing w:after="0" w:line="238" w:lineRule="auto"/>
        <w:rPr>
          <w:sz w:val="20"/>
          <w:szCs w:val="20"/>
          <w:color w:val="auto"/>
        </w:rPr>
      </w:pPr>
      <w:r>
        <w:rPr>
          <w:rFonts w:ascii="Courier New" w:cs="Courier New" w:eastAsia="Courier New" w:hAnsi="Courier New"/>
          <w:sz w:val="15"/>
          <w:szCs w:val="15"/>
          <w:color w:val="auto"/>
        </w:rPr>
        <w:t>The notes to consolidated financial statements are an integral part of the above statement.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 - 4</w:t>
      </w:r>
    </w:p>
    <w:p>
      <w:pPr>
        <w:sectPr>
          <w:pgSz w:w="11900" w:h="16838" w:orient="portrait"/>
          <w:cols w:equalWidth="0" w:num="1">
            <w:col w:w="10560"/>
          </w:cols>
          <w:pgMar w:left="320" w:top="1140" w:right="1019" w:bottom="1440" w:gutter="0" w:footer="0" w:header="0"/>
        </w:sectPr>
      </w:pPr>
    </w:p>
    <w:bookmarkStart w:id="50" w:name="page51"/>
    <w:bookmarkEnd w:id="50"/>
    <w:p>
      <w:pPr>
        <w:ind w:left="3980"/>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CONSOLIDATED STATEMENT OF OPERATIONS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56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5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980" w:type="dxa"/>
            <w:vAlign w:val="bottom"/>
          </w:tcPr>
          <w:p>
            <w:pPr>
              <w:spacing w:after="0"/>
              <w:rPr>
                <w:sz w:val="14"/>
                <w:szCs w:val="14"/>
                <w:color w:val="auto"/>
              </w:rPr>
            </w:pPr>
          </w:p>
        </w:tc>
        <w:tc>
          <w:tcPr>
            <w:tcW w:w="21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41"/>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Net sales - products</w:t>
            </w:r>
          </w:p>
        </w:tc>
        <w:tc>
          <w:tcPr>
            <w:tcW w:w="21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$10,050,851</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$11,263,385</w:t>
            </w:r>
          </w:p>
        </w:tc>
      </w:tr>
      <w:tr>
        <w:trPr>
          <w:trHeight w:val="171"/>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Contract revenues</w:t>
            </w:r>
          </w:p>
        </w:tc>
        <w:tc>
          <w:tcPr>
            <w:tcW w:w="94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13,810,931</w:t>
            </w:r>
          </w:p>
        </w:tc>
        <w:tc>
          <w:tcPr>
            <w:tcW w:w="4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10,489,908</w:t>
            </w:r>
          </w:p>
        </w:tc>
      </w:tr>
      <w:tr>
        <w:trPr>
          <w:trHeight w:val="171"/>
        </w:trPr>
        <w:tc>
          <w:tcPr>
            <w:tcW w:w="5980" w:type="dxa"/>
            <w:vAlign w:val="bottom"/>
          </w:tcPr>
          <w:p>
            <w:pPr>
              <w:spacing w:after="0"/>
              <w:rPr>
                <w:sz w:val="14"/>
                <w:szCs w:val="14"/>
                <w:color w:val="auto"/>
              </w:rPr>
            </w:pPr>
          </w:p>
        </w:tc>
        <w:tc>
          <w:tcPr>
            <w:tcW w:w="21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940" w:type="dxa"/>
            <w:vAlign w:val="bottom"/>
          </w:tcPr>
          <w:p>
            <w:pPr>
              <w:spacing w:after="0"/>
              <w:rPr>
                <w:sz w:val="24"/>
                <w:szCs w:val="2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23,861,782</w:t>
            </w:r>
          </w:p>
        </w:tc>
        <w:tc>
          <w:tcPr>
            <w:tcW w:w="400" w:type="dxa"/>
            <w:vAlign w:val="bottom"/>
          </w:tcPr>
          <w:p>
            <w:pPr>
              <w:spacing w:after="0"/>
              <w:rPr>
                <w:sz w:val="24"/>
                <w:szCs w:val="2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21,753,293</w:t>
            </w:r>
          </w:p>
        </w:tc>
      </w:tr>
      <w:tr>
        <w:trPr>
          <w:trHeight w:val="171"/>
        </w:trPr>
        <w:tc>
          <w:tcPr>
            <w:tcW w:w="5980" w:type="dxa"/>
            <w:vAlign w:val="bottom"/>
          </w:tcPr>
          <w:p>
            <w:pPr>
              <w:spacing w:after="0"/>
              <w:rPr>
                <w:sz w:val="14"/>
                <w:szCs w:val="14"/>
                <w:color w:val="auto"/>
              </w:rPr>
            </w:pPr>
          </w:p>
        </w:tc>
        <w:tc>
          <w:tcPr>
            <w:tcW w:w="21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Cost of sales - products</w:t>
            </w:r>
          </w:p>
        </w:tc>
        <w:tc>
          <w:tcPr>
            <w:tcW w:w="94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5,636,317</w:t>
            </w:r>
          </w:p>
        </w:tc>
        <w:tc>
          <w:tcPr>
            <w:tcW w:w="4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6,430,141</w:t>
            </w:r>
          </w:p>
        </w:tc>
      </w:tr>
      <w:tr>
        <w:trPr>
          <w:trHeight w:val="171"/>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Cost of revenues - contracts</w:t>
            </w:r>
          </w:p>
        </w:tc>
        <w:tc>
          <w:tcPr>
            <w:tcW w:w="94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9,838,413</w:t>
            </w:r>
          </w:p>
        </w:tc>
        <w:tc>
          <w:tcPr>
            <w:tcW w:w="4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7,088,304</w:t>
            </w:r>
          </w:p>
        </w:tc>
      </w:tr>
      <w:tr>
        <w:trPr>
          <w:trHeight w:val="171"/>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Selling and administrative</w:t>
            </w:r>
          </w:p>
        </w:tc>
        <w:tc>
          <w:tcPr>
            <w:tcW w:w="94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7,216,148</w:t>
            </w:r>
          </w:p>
        </w:tc>
        <w:tc>
          <w:tcPr>
            <w:tcW w:w="4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5,771,434</w:t>
            </w:r>
          </w:p>
        </w:tc>
      </w:tr>
      <w:tr>
        <w:trPr>
          <w:trHeight w:val="171"/>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94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729,333</w:t>
            </w:r>
          </w:p>
        </w:tc>
        <w:tc>
          <w:tcPr>
            <w:tcW w:w="4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581,894</w:t>
            </w:r>
          </w:p>
        </w:tc>
      </w:tr>
      <w:tr>
        <w:trPr>
          <w:trHeight w:val="171"/>
        </w:trPr>
        <w:tc>
          <w:tcPr>
            <w:tcW w:w="5980" w:type="dxa"/>
            <w:vAlign w:val="bottom"/>
          </w:tcPr>
          <w:p>
            <w:pPr>
              <w:spacing w:after="0"/>
              <w:rPr>
                <w:sz w:val="14"/>
                <w:szCs w:val="14"/>
                <w:color w:val="auto"/>
              </w:rPr>
            </w:pPr>
          </w:p>
        </w:tc>
        <w:tc>
          <w:tcPr>
            <w:tcW w:w="21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23,420,211</w:t>
            </w:r>
          </w:p>
        </w:tc>
        <w:tc>
          <w:tcPr>
            <w:tcW w:w="400" w:type="dxa"/>
            <w:vAlign w:val="bottom"/>
          </w:tcPr>
          <w:p>
            <w:pPr>
              <w:spacing w:after="0"/>
              <w:rPr>
                <w:sz w:val="24"/>
                <w:szCs w:val="2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19,871,773</w:t>
            </w:r>
          </w:p>
        </w:tc>
      </w:tr>
      <w:tr>
        <w:trPr>
          <w:trHeight w:val="171"/>
        </w:trPr>
        <w:tc>
          <w:tcPr>
            <w:tcW w:w="5980" w:type="dxa"/>
            <w:vAlign w:val="bottom"/>
          </w:tcPr>
          <w:p>
            <w:pPr>
              <w:spacing w:after="0"/>
              <w:rPr>
                <w:sz w:val="14"/>
                <w:szCs w:val="14"/>
                <w:color w:val="auto"/>
              </w:rPr>
            </w:pPr>
          </w:p>
        </w:tc>
        <w:tc>
          <w:tcPr>
            <w:tcW w:w="21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investment income and interest expense</w:t>
            </w:r>
          </w:p>
        </w:tc>
        <w:tc>
          <w:tcPr>
            <w:tcW w:w="94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441,571</w:t>
            </w:r>
          </w:p>
        </w:tc>
        <w:tc>
          <w:tcPr>
            <w:tcW w:w="4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1,881,520</w:t>
            </w:r>
          </w:p>
        </w:tc>
      </w:tr>
      <w:tr>
        <w:trPr>
          <w:trHeight w:val="341"/>
        </w:trPr>
        <w:tc>
          <w:tcPr>
            <w:tcW w:w="598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940" w:type="dxa"/>
            <w:vAlign w:val="bottom"/>
          </w:tcPr>
          <w:p>
            <w:pPr>
              <w:spacing w:after="0"/>
              <w:rPr>
                <w:sz w:val="24"/>
                <w:szCs w:val="2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497,938</w:t>
            </w:r>
          </w:p>
        </w:tc>
        <w:tc>
          <w:tcPr>
            <w:tcW w:w="400" w:type="dxa"/>
            <w:vAlign w:val="bottom"/>
          </w:tcPr>
          <w:p>
            <w:pPr>
              <w:spacing w:after="0"/>
              <w:rPr>
                <w:sz w:val="24"/>
                <w:szCs w:val="2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67,815</w:t>
            </w:r>
          </w:p>
        </w:tc>
      </w:tr>
      <w:tr>
        <w:trPr>
          <w:trHeight w:val="341"/>
        </w:trPr>
        <w:tc>
          <w:tcPr>
            <w:tcW w:w="59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940" w:type="dxa"/>
            <w:vAlign w:val="bottom"/>
          </w:tcPr>
          <w:p>
            <w:pPr>
              <w:spacing w:after="0"/>
              <w:rPr>
                <w:sz w:val="24"/>
                <w:szCs w:val="2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643,795</w:t>
            </w:r>
          </w:p>
        </w:tc>
        <w:tc>
          <w:tcPr>
            <w:tcW w:w="400" w:type="dxa"/>
            <w:vAlign w:val="bottom"/>
          </w:tcPr>
          <w:p>
            <w:pPr>
              <w:spacing w:after="0"/>
              <w:rPr>
                <w:sz w:val="24"/>
                <w:szCs w:val="2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255,689</w:t>
            </w:r>
          </w:p>
        </w:tc>
      </w:tr>
      <w:tr>
        <w:trPr>
          <w:trHeight w:val="171"/>
        </w:trPr>
        <w:tc>
          <w:tcPr>
            <w:tcW w:w="5980" w:type="dxa"/>
            <w:vAlign w:val="bottom"/>
          </w:tcPr>
          <w:p>
            <w:pPr>
              <w:spacing w:after="0"/>
              <w:rPr>
                <w:sz w:val="14"/>
                <w:szCs w:val="14"/>
                <w:color w:val="auto"/>
              </w:rPr>
            </w:pPr>
          </w:p>
        </w:tc>
        <w:tc>
          <w:tcPr>
            <w:tcW w:w="21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provision for income taxes and minority interest</w:t>
            </w:r>
          </w:p>
        </w:tc>
        <w:tc>
          <w:tcPr>
            <w:tcW w:w="94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295,714</w:t>
            </w:r>
          </w:p>
        </w:tc>
        <w:tc>
          <w:tcPr>
            <w:tcW w:w="4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1,693,646</w:t>
            </w:r>
          </w:p>
        </w:tc>
      </w:tr>
      <w:tr>
        <w:trPr>
          <w:trHeight w:val="341"/>
        </w:trPr>
        <w:tc>
          <w:tcPr>
            <w:tcW w:w="59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940" w:type="dxa"/>
            <w:vAlign w:val="bottom"/>
          </w:tcPr>
          <w:p>
            <w:pPr>
              <w:spacing w:after="0"/>
              <w:rPr>
                <w:sz w:val="24"/>
                <w:szCs w:val="2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151,362</w:t>
            </w:r>
          </w:p>
        </w:tc>
        <w:tc>
          <w:tcPr>
            <w:tcW w:w="400" w:type="dxa"/>
            <w:vAlign w:val="bottom"/>
          </w:tcPr>
          <w:p>
            <w:pPr>
              <w:spacing w:after="0"/>
              <w:rPr>
                <w:sz w:val="24"/>
                <w:szCs w:val="2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673,122</w:t>
            </w:r>
          </w:p>
        </w:tc>
      </w:tr>
      <w:tr>
        <w:trPr>
          <w:trHeight w:val="171"/>
        </w:trPr>
        <w:tc>
          <w:tcPr>
            <w:tcW w:w="5980" w:type="dxa"/>
            <w:vAlign w:val="bottom"/>
          </w:tcPr>
          <w:p>
            <w:pPr>
              <w:spacing w:after="0"/>
              <w:rPr>
                <w:sz w:val="14"/>
                <w:szCs w:val="14"/>
                <w:color w:val="auto"/>
              </w:rPr>
            </w:pPr>
          </w:p>
        </w:tc>
        <w:tc>
          <w:tcPr>
            <w:tcW w:w="21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before minority interest</w:t>
            </w:r>
          </w:p>
        </w:tc>
        <w:tc>
          <w:tcPr>
            <w:tcW w:w="94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144,352</w:t>
            </w:r>
          </w:p>
        </w:tc>
        <w:tc>
          <w:tcPr>
            <w:tcW w:w="4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1,020,524</w:t>
            </w:r>
          </w:p>
        </w:tc>
      </w:tr>
      <w:tr>
        <w:trPr>
          <w:trHeight w:val="341"/>
        </w:trPr>
        <w:tc>
          <w:tcPr>
            <w:tcW w:w="59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940" w:type="dxa"/>
            <w:vAlign w:val="bottom"/>
          </w:tcPr>
          <w:p>
            <w:pPr>
              <w:spacing w:after="0"/>
              <w:rPr>
                <w:sz w:val="24"/>
                <w:szCs w:val="2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(1,112)</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(75,046)</w:t>
            </w:r>
          </w:p>
        </w:tc>
      </w:tr>
      <w:tr>
        <w:trPr>
          <w:trHeight w:val="171"/>
        </w:trPr>
        <w:tc>
          <w:tcPr>
            <w:tcW w:w="5980" w:type="dxa"/>
            <w:vAlign w:val="bottom"/>
          </w:tcPr>
          <w:p>
            <w:pPr>
              <w:spacing w:after="0"/>
              <w:rPr>
                <w:sz w:val="14"/>
                <w:szCs w:val="14"/>
                <w:color w:val="auto"/>
              </w:rPr>
            </w:pPr>
          </w:p>
        </w:tc>
        <w:tc>
          <w:tcPr>
            <w:tcW w:w="21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940" w:type="dxa"/>
            <w:vAlign w:val="bottom"/>
          </w:tcPr>
          <w:p>
            <w:pPr>
              <w:spacing w:after="0"/>
              <w:rPr>
                <w:sz w:val="24"/>
                <w:szCs w:val="2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143,240</w:t>
            </w:r>
          </w:p>
        </w:tc>
        <w:tc>
          <w:tcPr>
            <w:tcW w:w="400" w:type="dxa"/>
            <w:vAlign w:val="bottom"/>
          </w:tcPr>
          <w:p>
            <w:pPr>
              <w:spacing w:after="0"/>
              <w:rPr>
                <w:sz w:val="24"/>
                <w:szCs w:val="2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945,478</w:t>
            </w:r>
          </w:p>
        </w:tc>
      </w:tr>
      <w:tr>
        <w:trPr>
          <w:trHeight w:val="341"/>
        </w:trPr>
        <w:tc>
          <w:tcPr>
            <w:tcW w:w="5980" w:type="dxa"/>
            <w:vAlign w:val="bottom"/>
          </w:tcPr>
          <w:p>
            <w:pPr>
              <w:spacing w:after="0"/>
              <w:rPr>
                <w:sz w:val="20"/>
                <w:szCs w:val="20"/>
                <w:color w:val="auto"/>
              </w:rPr>
            </w:pPr>
            <w:r>
              <w:rPr>
                <w:rFonts w:ascii="Courier New" w:cs="Courier New" w:eastAsia="Courier New" w:hAnsi="Courier New"/>
                <w:sz w:val="15"/>
                <w:szCs w:val="15"/>
                <w:color w:val="auto"/>
              </w:rPr>
              <w:t>Loss from operations and disposal of discontinued division,</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net of income tax benefit and minority interest</w:t>
            </w:r>
          </w:p>
        </w:tc>
        <w:tc>
          <w:tcPr>
            <w:tcW w:w="9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(509,401)</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(412,552)</w:t>
            </w:r>
          </w:p>
        </w:tc>
      </w:tr>
      <w:tr>
        <w:trPr>
          <w:trHeight w:val="171"/>
        </w:trPr>
        <w:tc>
          <w:tcPr>
            <w:tcW w:w="5980" w:type="dxa"/>
            <w:vAlign w:val="bottom"/>
          </w:tcPr>
          <w:p>
            <w:pPr>
              <w:spacing w:after="0"/>
              <w:rPr>
                <w:sz w:val="14"/>
                <w:szCs w:val="14"/>
                <w:color w:val="auto"/>
              </w:rPr>
            </w:pPr>
          </w:p>
        </w:tc>
        <w:tc>
          <w:tcPr>
            <w:tcW w:w="21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366,161)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532,926</w:t>
            </w:r>
          </w:p>
        </w:tc>
      </w:tr>
      <w:tr>
        <w:trPr>
          <w:trHeight w:val="171"/>
        </w:trPr>
        <w:tc>
          <w:tcPr>
            <w:tcW w:w="5980" w:type="dxa"/>
            <w:vAlign w:val="bottom"/>
          </w:tcPr>
          <w:p>
            <w:pPr>
              <w:spacing w:after="0"/>
              <w:rPr>
                <w:sz w:val="14"/>
                <w:szCs w:val="14"/>
                <w:color w:val="auto"/>
              </w:rPr>
            </w:pPr>
          </w:p>
        </w:tc>
        <w:tc>
          <w:tcPr>
            <w:tcW w:w="21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80" w:type="dxa"/>
            <w:vAlign w:val="bottom"/>
          </w:tcPr>
          <w:p>
            <w:pPr>
              <w:spacing w:after="0"/>
              <w:rPr>
                <w:sz w:val="20"/>
                <w:szCs w:val="20"/>
                <w:color w:val="auto"/>
              </w:rPr>
            </w:pPr>
            <w:r>
              <w:rPr>
                <w:rFonts w:ascii="Courier New" w:cs="Courier New" w:eastAsia="Courier New" w:hAnsi="Courier New"/>
                <w:sz w:val="15"/>
                <w:szCs w:val="15"/>
                <w:color w:val="auto"/>
              </w:rPr>
              <w:t>Net income (loss) per share, basic:</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Income from continuing operations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w:t>
            </w:r>
          </w:p>
        </w:tc>
      </w:tr>
      <w:tr>
        <w:trPr>
          <w:trHeight w:val="171"/>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(Loss) from discontinued operations</w:t>
            </w:r>
          </w:p>
        </w:tc>
        <w:tc>
          <w:tcPr>
            <w:tcW w:w="9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(.06)</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1"/>
        </w:trPr>
        <w:tc>
          <w:tcPr>
            <w:tcW w:w="5980" w:type="dxa"/>
            <w:vAlign w:val="bottom"/>
          </w:tcPr>
          <w:p>
            <w:pPr>
              <w:spacing w:after="0"/>
              <w:rPr>
                <w:sz w:val="14"/>
                <w:szCs w:val="14"/>
                <w:color w:val="auto"/>
              </w:rPr>
            </w:pPr>
          </w:p>
        </w:tc>
        <w:tc>
          <w:tcPr>
            <w:tcW w:w="21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tcPr>
          <w:p>
            <w:pPr>
              <w:ind w:left="1060"/>
              <w:spacing w:after="0"/>
              <w:rPr>
                <w:sz w:val="20"/>
                <w:szCs w:val="20"/>
                <w:color w:val="auto"/>
              </w:rPr>
            </w:pPr>
            <w:r>
              <w:rPr>
                <w:rFonts w:ascii="Courier New" w:cs="Courier New" w:eastAsia="Courier New" w:hAnsi="Courier New"/>
                <w:sz w:val="15"/>
                <w:szCs w:val="15"/>
                <w:color w:val="auto"/>
              </w:rPr>
              <w:t>Net income (loss) per share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w:t>
            </w:r>
          </w:p>
        </w:tc>
      </w:tr>
      <w:tr>
        <w:trPr>
          <w:trHeight w:val="171"/>
        </w:trPr>
        <w:tc>
          <w:tcPr>
            <w:tcW w:w="5980" w:type="dxa"/>
            <w:vAlign w:val="bottom"/>
          </w:tcPr>
          <w:p>
            <w:pPr>
              <w:spacing w:after="0"/>
              <w:rPr>
                <w:sz w:val="14"/>
                <w:szCs w:val="14"/>
                <w:color w:val="auto"/>
              </w:rPr>
            </w:pPr>
          </w:p>
        </w:tc>
        <w:tc>
          <w:tcPr>
            <w:tcW w:w="21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80" w:type="dxa"/>
            <w:vAlign w:val="bottom"/>
          </w:tcPr>
          <w:p>
            <w:pPr>
              <w:spacing w:after="0"/>
              <w:rPr>
                <w:sz w:val="20"/>
                <w:szCs w:val="20"/>
                <w:color w:val="auto"/>
              </w:rPr>
            </w:pPr>
            <w:r>
              <w:rPr>
                <w:rFonts w:ascii="Courier New" w:cs="Courier New" w:eastAsia="Courier New" w:hAnsi="Courier New"/>
                <w:sz w:val="15"/>
                <w:szCs w:val="15"/>
                <w:color w:val="auto"/>
              </w:rPr>
              <w:t>Net income (loss) per share, diluted:</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Income from continuing operations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w:t>
            </w:r>
          </w:p>
        </w:tc>
      </w:tr>
      <w:tr>
        <w:trPr>
          <w:trHeight w:val="171"/>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(Loss) from discontinued operations</w:t>
            </w:r>
          </w:p>
        </w:tc>
        <w:tc>
          <w:tcPr>
            <w:tcW w:w="9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1"/>
        </w:trPr>
        <w:tc>
          <w:tcPr>
            <w:tcW w:w="5980" w:type="dxa"/>
            <w:vAlign w:val="bottom"/>
          </w:tcPr>
          <w:p>
            <w:pPr>
              <w:spacing w:after="0"/>
              <w:rPr>
                <w:sz w:val="14"/>
                <w:szCs w:val="14"/>
                <w:color w:val="auto"/>
              </w:rPr>
            </w:pPr>
          </w:p>
        </w:tc>
        <w:tc>
          <w:tcPr>
            <w:tcW w:w="21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tcPr>
          <w:p>
            <w:pPr>
              <w:ind w:left="1060"/>
              <w:spacing w:after="0"/>
              <w:rPr>
                <w:sz w:val="20"/>
                <w:szCs w:val="20"/>
                <w:color w:val="auto"/>
              </w:rPr>
            </w:pPr>
            <w:r>
              <w:rPr>
                <w:rFonts w:ascii="Courier New" w:cs="Courier New" w:eastAsia="Courier New" w:hAnsi="Courier New"/>
                <w:sz w:val="15"/>
                <w:szCs w:val="15"/>
                <w:color w:val="auto"/>
              </w:rPr>
              <w:t>Net income (loss) per share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w:t>
            </w:r>
          </w:p>
        </w:tc>
      </w:tr>
      <w:tr>
        <w:trPr>
          <w:trHeight w:val="171"/>
        </w:trPr>
        <w:tc>
          <w:tcPr>
            <w:tcW w:w="5980" w:type="dxa"/>
            <w:vAlign w:val="bottom"/>
          </w:tcPr>
          <w:p>
            <w:pPr>
              <w:spacing w:after="0"/>
              <w:rPr>
                <w:sz w:val="14"/>
                <w:szCs w:val="14"/>
                <w:color w:val="auto"/>
              </w:rPr>
            </w:pPr>
          </w:p>
        </w:tc>
        <w:tc>
          <w:tcPr>
            <w:tcW w:w="21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460"/>
        <w:spacing w:after="0" w:line="238" w:lineRule="auto"/>
        <w:rPr>
          <w:sz w:val="20"/>
          <w:szCs w:val="20"/>
          <w:color w:val="auto"/>
        </w:rPr>
      </w:pPr>
      <w:r>
        <w:rPr>
          <w:rFonts w:ascii="Courier New" w:cs="Courier New" w:eastAsia="Courier New" w:hAnsi="Courier New"/>
          <w:sz w:val="15"/>
          <w:szCs w:val="15"/>
          <w:color w:val="auto"/>
        </w:rPr>
        <w:t>The notes to consolidated financial statements are an integral part of the above statement.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 - 5</w:t>
      </w:r>
    </w:p>
    <w:p>
      <w:pPr>
        <w:sectPr>
          <w:pgSz w:w="11900" w:h="16838" w:orient="portrait"/>
          <w:cols w:equalWidth="0" w:num="1">
            <w:col w:w="10560"/>
          </w:cols>
          <w:pgMar w:left="320" w:top="1140" w:right="1019" w:bottom="1440" w:gutter="0" w:footer="0" w:header="0"/>
        </w:sectPr>
      </w:pPr>
    </w:p>
    <w:bookmarkStart w:id="51" w:name="page52"/>
    <w:bookmarkEnd w:id="51"/>
    <w:p>
      <w:pPr>
        <w:ind w:left="4780"/>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5"/>
          <w:szCs w:val="15"/>
          <w:color w:val="auto"/>
        </w:rPr>
        <w:t>CONSOLIDATED STATEMENT OF SHAREHOLDERS' EQUITY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CAPITAL IN</w:t>
            </w:r>
          </w:p>
        </w:tc>
        <w:tc>
          <w:tcPr>
            <w:tcW w:w="17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COMMON</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EXCESS OF</w:t>
            </w:r>
          </w:p>
        </w:tc>
        <w:tc>
          <w:tcPr>
            <w:tcW w:w="17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ACCUMULATED</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TREASURY</w:t>
            </w:r>
          </w:p>
        </w:tc>
      </w:tr>
      <w:tr>
        <w:trPr>
          <w:trHeight w:val="171"/>
        </w:trPr>
        <w:tc>
          <w:tcPr>
            <w:tcW w:w="4020" w:type="dxa"/>
            <w:vAlign w:val="bottom"/>
          </w:tcPr>
          <w:p>
            <w:pPr>
              <w:spacing w:after="0"/>
              <w:rPr>
                <w:sz w:val="14"/>
                <w:szCs w:val="14"/>
                <w:color w:val="auto"/>
              </w:rPr>
            </w:pP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TOTAL</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STOCK</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PAR VALUE</w:t>
            </w:r>
          </w:p>
        </w:tc>
        <w:tc>
          <w:tcPr>
            <w:tcW w:w="17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DEFICIT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STOCK</w:t>
            </w:r>
          </w:p>
        </w:tc>
      </w:tr>
      <w:tr>
        <w:trPr>
          <w:trHeight w:val="171"/>
        </w:trPr>
        <w:tc>
          <w:tcPr>
            <w:tcW w:w="4020" w:type="dxa"/>
            <w:vAlign w:val="bottom"/>
          </w:tcPr>
          <w:p>
            <w:pPr>
              <w:spacing w:after="0"/>
              <w:rPr>
                <w:sz w:val="14"/>
                <w:szCs w:val="14"/>
                <w:color w:val="auto"/>
              </w:rPr>
            </w:pPr>
          </w:p>
        </w:tc>
        <w:tc>
          <w:tcPr>
            <w:tcW w:w="1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683"/>
        </w:trPr>
        <w:tc>
          <w:tcPr>
            <w:tcW w:w="4020" w:type="dxa"/>
            <w:vAlign w:val="bottom"/>
          </w:tcPr>
          <w:p>
            <w:pPr>
              <w:spacing w:after="0"/>
              <w:rPr>
                <w:sz w:val="20"/>
                <w:szCs w:val="20"/>
                <w:color w:val="auto"/>
              </w:rPr>
            </w:pPr>
            <w:r>
              <w:rPr>
                <w:rFonts w:ascii="Courier New" w:cs="Courier New" w:eastAsia="Courier New" w:hAnsi="Courier New"/>
                <w:sz w:val="15"/>
                <w:szCs w:val="15"/>
                <w:color w:val="auto"/>
              </w:rPr>
              <w:t>Balance, December 31, 1997</w:t>
            </w:r>
          </w:p>
        </w:tc>
        <w:tc>
          <w:tcPr>
            <w:tcW w:w="1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$6,742,585</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$81,070</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$9,860,063</w:t>
            </w:r>
          </w:p>
        </w:tc>
        <w:tc>
          <w:tcPr>
            <w:tcW w:w="17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($2,849,879)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($348,669)</w:t>
            </w:r>
          </w:p>
        </w:tc>
      </w:tr>
      <w:tr>
        <w:trPr>
          <w:trHeight w:val="512"/>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Net income for the year ended</w:t>
            </w: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December 31, 1998</w:t>
            </w:r>
          </w:p>
        </w:tc>
        <w:tc>
          <w:tcPr>
            <w:tcW w:w="1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532,926</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532,926</w:t>
            </w:r>
          </w:p>
        </w:tc>
        <w:tc>
          <w:tcPr>
            <w:tcW w:w="1240" w:type="dxa"/>
            <w:vAlign w:val="bottom"/>
          </w:tcPr>
          <w:p>
            <w:pPr>
              <w:spacing w:after="0"/>
              <w:rPr>
                <w:sz w:val="14"/>
                <w:szCs w:val="14"/>
                <w:color w:val="auto"/>
              </w:rPr>
            </w:pPr>
          </w:p>
        </w:tc>
      </w:tr>
      <w:tr>
        <w:trPr>
          <w:trHeight w:val="512"/>
        </w:trPr>
        <w:tc>
          <w:tcPr>
            <w:tcW w:w="4020" w:type="dxa"/>
            <w:vAlign w:val="bottom"/>
          </w:tcPr>
          <w:p>
            <w:pPr>
              <w:spacing w:after="0"/>
              <w:rPr>
                <w:sz w:val="20"/>
                <w:szCs w:val="20"/>
                <w:color w:val="auto"/>
              </w:rPr>
            </w:pPr>
            <w:r>
              <w:rPr>
                <w:rFonts w:ascii="Courier New" w:cs="Courier New" w:eastAsia="Courier New" w:hAnsi="Courier New"/>
                <w:sz w:val="15"/>
                <w:szCs w:val="15"/>
                <w:color w:val="auto"/>
              </w:rPr>
              <w:t>Acquisition of 4.1% of CECO Filters, Inc.</w:t>
            </w: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common stock through issuance of</w:t>
            </w: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281,768 shares of common stock</w:t>
            </w:r>
          </w:p>
        </w:tc>
        <w:tc>
          <w:tcPr>
            <w:tcW w:w="1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281,768</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2,818</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278,950</w:t>
            </w:r>
          </w:p>
        </w:tc>
        <w:tc>
          <w:tcPr>
            <w:tcW w:w="17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1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4020" w:type="dxa"/>
            <w:vAlign w:val="bottom"/>
          </w:tcPr>
          <w:p>
            <w:pPr>
              <w:spacing w:after="0"/>
              <w:rPr>
                <w:sz w:val="20"/>
                <w:szCs w:val="20"/>
                <w:color w:val="auto"/>
              </w:rPr>
            </w:pPr>
            <w:r>
              <w:rPr>
                <w:rFonts w:ascii="Courier New" w:cs="Courier New" w:eastAsia="Courier New" w:hAnsi="Courier New"/>
                <w:sz w:val="15"/>
                <w:szCs w:val="15"/>
                <w:color w:val="auto"/>
              </w:rPr>
              <w:t>Balance, December 31, 1998</w:t>
            </w:r>
          </w:p>
        </w:tc>
        <w:tc>
          <w:tcPr>
            <w:tcW w:w="1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7,557,279</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83,888</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10,139,013</w:t>
            </w:r>
          </w:p>
        </w:tc>
        <w:tc>
          <w:tcPr>
            <w:tcW w:w="17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(2,316,953)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(348,669)</w:t>
            </w:r>
          </w:p>
        </w:tc>
      </w:tr>
      <w:tr>
        <w:trPr>
          <w:trHeight w:val="512"/>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Net loss for the year ended</w:t>
            </w: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December 31, 1999</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(366,161)</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(366,161)</w:t>
            </w:r>
          </w:p>
        </w:tc>
        <w:tc>
          <w:tcPr>
            <w:tcW w:w="1240" w:type="dxa"/>
            <w:vAlign w:val="bottom"/>
          </w:tcPr>
          <w:p>
            <w:pPr>
              <w:spacing w:after="0"/>
              <w:rPr>
                <w:sz w:val="14"/>
                <w:szCs w:val="14"/>
                <w:color w:val="auto"/>
              </w:rPr>
            </w:pPr>
          </w:p>
        </w:tc>
      </w:tr>
      <w:tr>
        <w:trPr>
          <w:trHeight w:val="512"/>
        </w:trPr>
        <w:tc>
          <w:tcPr>
            <w:tcW w:w="4020" w:type="dxa"/>
            <w:vAlign w:val="bottom"/>
          </w:tcPr>
          <w:p>
            <w:pPr>
              <w:spacing w:after="0"/>
              <w:rPr>
                <w:sz w:val="20"/>
                <w:szCs w:val="20"/>
                <w:color w:val="auto"/>
              </w:rPr>
            </w:pPr>
            <w:r>
              <w:rPr>
                <w:rFonts w:ascii="Courier New" w:cs="Courier New" w:eastAsia="Courier New" w:hAnsi="Courier New"/>
                <w:sz w:val="15"/>
                <w:szCs w:val="15"/>
                <w:color w:val="auto"/>
              </w:rPr>
              <w:t>Stock warrants issued to</w:t>
            </w: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subordinated lender</w:t>
            </w:r>
          </w:p>
        </w:tc>
        <w:tc>
          <w:tcPr>
            <w:tcW w:w="1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1,847,000</w:t>
            </w:r>
          </w:p>
        </w:tc>
        <w:tc>
          <w:tcPr>
            <w:tcW w:w="1200" w:type="dxa"/>
            <w:vAlign w:val="bottom"/>
          </w:tcPr>
          <w:p>
            <w:pPr>
              <w:spacing w:after="0"/>
              <w:rPr>
                <w:sz w:val="14"/>
                <w:szCs w:val="14"/>
                <w:color w:val="auto"/>
              </w:rPr>
            </w:pP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1,847,000</w:t>
            </w:r>
          </w:p>
        </w:tc>
        <w:tc>
          <w:tcPr>
            <w:tcW w:w="17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1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4020" w:type="dxa"/>
            <w:vAlign w:val="bottom"/>
          </w:tcPr>
          <w:p>
            <w:pPr>
              <w:spacing w:after="0"/>
              <w:rPr>
                <w:sz w:val="20"/>
                <w:szCs w:val="20"/>
                <w:color w:val="auto"/>
              </w:rPr>
            </w:pPr>
            <w:r>
              <w:rPr>
                <w:rFonts w:ascii="Courier New" w:cs="Courier New" w:eastAsia="Courier New" w:hAnsi="Courier New"/>
                <w:sz w:val="15"/>
                <w:szCs w:val="15"/>
                <w:color w:val="auto"/>
              </w:rPr>
              <w:t>Balance, December 31, 1999</w:t>
            </w:r>
          </w:p>
        </w:tc>
        <w:tc>
          <w:tcPr>
            <w:tcW w:w="1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$9,038,118</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$83,888</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$11,986,013</w:t>
            </w:r>
          </w:p>
        </w:tc>
        <w:tc>
          <w:tcPr>
            <w:tcW w:w="17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($2,683,114)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($348,669)</w:t>
            </w:r>
          </w:p>
        </w:tc>
      </w:tr>
      <w:tr>
        <w:trPr>
          <w:trHeight w:val="171"/>
        </w:trPr>
        <w:tc>
          <w:tcPr>
            <w:tcW w:w="4020" w:type="dxa"/>
            <w:vAlign w:val="bottom"/>
          </w:tcPr>
          <w:p>
            <w:pPr>
              <w:spacing w:after="0"/>
              <w:rPr>
                <w:sz w:val="14"/>
                <w:szCs w:val="14"/>
                <w:color w:val="auto"/>
              </w:rPr>
            </w:pPr>
          </w:p>
        </w:tc>
        <w:tc>
          <w:tcPr>
            <w:tcW w:w="1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240"/>
        <w:spacing w:after="0" w:line="238" w:lineRule="auto"/>
        <w:rPr>
          <w:sz w:val="20"/>
          <w:szCs w:val="20"/>
          <w:color w:val="auto"/>
        </w:rPr>
      </w:pPr>
      <w:r>
        <w:rPr>
          <w:rFonts w:ascii="Courier New" w:cs="Courier New" w:eastAsia="Courier New" w:hAnsi="Courier New"/>
          <w:sz w:val="15"/>
          <w:szCs w:val="15"/>
          <w:color w:val="auto"/>
        </w:rPr>
        <w:t>The notes to consolidated financial statements are an integral part of the above statement.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 - 6</w:t>
      </w:r>
    </w:p>
    <w:p>
      <w:pPr>
        <w:sectPr>
          <w:pgSz w:w="11900" w:h="16838" w:orient="portrait"/>
          <w:cols w:equalWidth="0" w:num="1">
            <w:col w:w="11340"/>
          </w:cols>
          <w:pgMar w:left="320" w:top="1140" w:right="239" w:bottom="1440" w:gutter="0" w:footer="0" w:header="0"/>
        </w:sectPr>
      </w:pPr>
    </w:p>
    <w:bookmarkStart w:id="52" w:name="page53"/>
    <w:bookmarkEnd w:id="52"/>
    <w:p>
      <w:pPr>
        <w:jc w:val="center"/>
        <w:ind w:right="-259"/>
        <w:spacing w:after="0"/>
        <w:rPr>
          <w:sz w:val="20"/>
          <w:szCs w:val="20"/>
          <w:color w:val="auto"/>
        </w:rPr>
      </w:pPr>
      <w:r>
        <w:rPr>
          <w:rFonts w:ascii="Courier New" w:cs="Courier New" w:eastAsia="Courier New" w:hAnsi="Courier New"/>
          <w:sz w:val="15"/>
          <w:szCs w:val="15"/>
          <w:color w:val="auto"/>
        </w:rPr>
        <w:t>CECO ENVIRONMENTAL CORP.</w:t>
      </w:r>
    </w:p>
    <w:p>
      <w:pPr>
        <w:spacing w:after="0" w:line="171"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440" w:type="dxa"/>
            <w:vAlign w:val="bottom"/>
            <w:gridSpan w:val="2"/>
          </w:tcPr>
          <w:p>
            <w:pPr>
              <w:ind w:left="1380"/>
              <w:spacing w:after="0"/>
              <w:rPr>
                <w:sz w:val="20"/>
                <w:szCs w:val="20"/>
                <w:color w:val="auto"/>
              </w:rPr>
            </w:pPr>
            <w:r>
              <w:rPr>
                <w:rFonts w:ascii="Courier New" w:cs="Courier New" w:eastAsia="Courier New" w:hAnsi="Courier New"/>
                <w:sz w:val="15"/>
                <w:szCs w:val="15"/>
                <w:color w:val="auto"/>
              </w:rPr>
              <w:t>YEAR ENDED</w:t>
            </w:r>
          </w:p>
        </w:tc>
        <w:tc>
          <w:tcPr>
            <w:tcW w:w="80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440" w:type="dxa"/>
            <w:vAlign w:val="bottom"/>
            <w:gridSpan w:val="2"/>
          </w:tcPr>
          <w:p>
            <w:pPr>
              <w:ind w:left="1380"/>
              <w:spacing w:after="0"/>
              <w:rPr>
                <w:sz w:val="20"/>
                <w:szCs w:val="20"/>
                <w:color w:val="auto"/>
              </w:rPr>
            </w:pPr>
            <w:r>
              <w:rPr>
                <w:rFonts w:ascii="Courier New" w:cs="Courier New" w:eastAsia="Courier New" w:hAnsi="Courier New"/>
                <w:sz w:val="15"/>
                <w:szCs w:val="15"/>
                <w:color w:val="auto"/>
                <w:w w:val="96"/>
              </w:rPr>
              <w:t>DECEMBER 31,</w:t>
            </w:r>
          </w:p>
        </w:tc>
        <w:tc>
          <w:tcPr>
            <w:tcW w:w="80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9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13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9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1360" w:type="dxa"/>
            <w:vAlign w:val="bottom"/>
          </w:tcPr>
          <w:p>
            <w:pPr>
              <w:spacing w:after="0"/>
              <w:rPr>
                <w:sz w:val="24"/>
                <w:szCs w:val="24"/>
                <w:color w:val="auto"/>
              </w:rPr>
            </w:pPr>
          </w:p>
        </w:tc>
        <w:tc>
          <w:tcPr>
            <w:tcW w:w="5680" w:type="dxa"/>
            <w:vAlign w:val="bottom"/>
          </w:tcPr>
          <w:p>
            <w:pPr>
              <w:ind w:left="2900"/>
              <w:spacing w:after="0"/>
              <w:rPr>
                <w:sz w:val="20"/>
                <w:szCs w:val="20"/>
                <w:color w:val="auto"/>
              </w:rPr>
            </w:pPr>
            <w:r>
              <w:rPr>
                <w:rFonts w:ascii="Courier New" w:cs="Courier New" w:eastAsia="Courier New" w:hAnsi="Courier New"/>
                <w:sz w:val="15"/>
                <w:szCs w:val="15"/>
                <w:color w:val="auto"/>
              </w:rPr>
              <w:t>INCREASE (DECREASE) IN CASH</w:t>
            </w:r>
          </w:p>
        </w:tc>
        <w:tc>
          <w:tcPr>
            <w:tcW w:w="1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12"/>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w w:val="96"/>
              </w:rPr>
              <w:t>Cash flows from</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operating activities:</w:t>
            </w:r>
          </w:p>
        </w:tc>
        <w:tc>
          <w:tcPr>
            <w:tcW w:w="1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70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income (loss)</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366,161)</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532,926</w:t>
            </w:r>
          </w:p>
        </w:tc>
      </w:tr>
      <w:tr>
        <w:trPr>
          <w:trHeight w:val="171"/>
        </w:trPr>
        <w:tc>
          <w:tcPr>
            <w:tcW w:w="70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Adjustments to reconcile net income (loss) to</w:t>
            </w:r>
          </w:p>
        </w:tc>
        <w:tc>
          <w:tcPr>
            <w:tcW w:w="1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net cash</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(used in) operating activities:</w:t>
            </w:r>
          </w:p>
        </w:tc>
        <w:tc>
          <w:tcPr>
            <w:tcW w:w="1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Loss from discontinued operations</w:t>
            </w:r>
          </w:p>
        </w:tc>
        <w:tc>
          <w:tcPr>
            <w:tcW w:w="1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509,401</w:t>
            </w:r>
          </w:p>
        </w:tc>
        <w:tc>
          <w:tcPr>
            <w:tcW w:w="5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412,552</w:t>
            </w:r>
          </w:p>
        </w:tc>
      </w:tr>
      <w:tr>
        <w:trPr>
          <w:trHeight w:val="171"/>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729,333</w:t>
            </w:r>
          </w:p>
        </w:tc>
        <w:tc>
          <w:tcPr>
            <w:tcW w:w="5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581,894</w:t>
            </w:r>
          </w:p>
        </w:tc>
      </w:tr>
      <w:tr>
        <w:trPr>
          <w:trHeight w:val="171"/>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(148,000)</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(95,627)</w:t>
            </w:r>
          </w:p>
        </w:tc>
      </w:tr>
      <w:tr>
        <w:trPr>
          <w:trHeight w:val="171"/>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Gain on sale of marketable securities, trading</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(95,684)</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(1,253)</w:t>
            </w:r>
          </w:p>
        </w:tc>
      </w:tr>
      <w:tr>
        <w:trPr>
          <w:trHeight w:val="171"/>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Changes in</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operating assets and liabilities,</w:t>
            </w:r>
          </w:p>
        </w:tc>
        <w:tc>
          <w:tcPr>
            <w:tcW w:w="1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net of</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acquired businesses:</w:t>
            </w:r>
          </w:p>
        </w:tc>
        <w:tc>
          <w:tcPr>
            <w:tcW w:w="1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0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Marketable securities</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(1,899,291)</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(60,541)</w:t>
            </w:r>
          </w:p>
        </w:tc>
      </w:tr>
      <w:tr>
        <w:trPr>
          <w:trHeight w:val="171"/>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Accounts</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receivable</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(807,546)</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(291,954)</w:t>
            </w:r>
          </w:p>
        </w:tc>
      </w:tr>
      <w:tr>
        <w:trPr>
          <w:trHeight w:val="171"/>
        </w:trPr>
        <w:tc>
          <w:tcPr>
            <w:tcW w:w="70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Inventories</w:t>
            </w:r>
          </w:p>
        </w:tc>
        <w:tc>
          <w:tcPr>
            <w:tcW w:w="1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1,568,999</w:t>
            </w:r>
          </w:p>
        </w:tc>
        <w:tc>
          <w:tcPr>
            <w:tcW w:w="5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215,470</w:t>
            </w:r>
          </w:p>
        </w:tc>
      </w:tr>
      <w:tr>
        <w:trPr>
          <w:trHeight w:val="171"/>
        </w:trPr>
        <w:tc>
          <w:tcPr>
            <w:tcW w:w="70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Costs and estimated earnings in excess of</w:t>
            </w:r>
          </w:p>
        </w:tc>
        <w:tc>
          <w:tcPr>
            <w:tcW w:w="1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0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billings on uncompleted contracts</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(458,274)</w:t>
            </w:r>
          </w:p>
        </w:tc>
        <w:tc>
          <w:tcPr>
            <w:tcW w:w="5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42,338</w:t>
            </w:r>
          </w:p>
        </w:tc>
      </w:tr>
      <w:tr>
        <w:trPr>
          <w:trHeight w:val="171"/>
        </w:trPr>
        <w:tc>
          <w:tcPr>
            <w:tcW w:w="70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90,319</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(193,665)</w:t>
            </w:r>
          </w:p>
        </w:tc>
      </w:tr>
      <w:tr>
        <w:trPr>
          <w:trHeight w:val="171"/>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Deferred</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charges and other assets</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(142,319)</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(333,900)</w:t>
            </w:r>
          </w:p>
        </w:tc>
      </w:tr>
      <w:tr>
        <w:trPr>
          <w:trHeight w:val="171"/>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Accounts</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payable and accrued expenses</w:t>
            </w:r>
          </w:p>
        </w:tc>
        <w:tc>
          <w:tcPr>
            <w:tcW w:w="1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1,532,080</w:t>
            </w:r>
          </w:p>
        </w:tc>
        <w:tc>
          <w:tcPr>
            <w:tcW w:w="5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684,157</w:t>
            </w:r>
          </w:p>
        </w:tc>
      </w:tr>
      <w:tr>
        <w:trPr>
          <w:trHeight w:val="171"/>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Billings</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in excess of costs and estimated</w:t>
            </w:r>
          </w:p>
        </w:tc>
        <w:tc>
          <w:tcPr>
            <w:tcW w:w="1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0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earnings on uncompleted contracts</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(1,196,709)</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(1,488,246)</w:t>
            </w:r>
          </w:p>
        </w:tc>
      </w:tr>
      <w:tr>
        <w:trPr>
          <w:trHeight w:val="171"/>
        </w:trPr>
        <w:tc>
          <w:tcPr>
            <w:tcW w:w="1360" w:type="dxa"/>
            <w:vAlign w:val="bottom"/>
          </w:tcPr>
          <w:p>
            <w:pPr>
              <w:ind w:left="620"/>
              <w:spacing w:after="0"/>
              <w:rPr>
                <w:sz w:val="20"/>
                <w:szCs w:val="20"/>
                <w:color w:val="auto"/>
              </w:rPr>
            </w:pPr>
            <w:r>
              <w:rPr>
                <w:rFonts w:ascii="Courier New" w:cs="Courier New" w:eastAsia="Courier New" w:hAnsi="Courier New"/>
                <w:sz w:val="15"/>
                <w:szCs w:val="15"/>
                <w:color w:val="auto"/>
              </w:rPr>
              <w:t>Other</w:t>
            </w:r>
          </w:p>
        </w:tc>
        <w:tc>
          <w:tcPr>
            <w:tcW w:w="5680" w:type="dxa"/>
            <w:vAlign w:val="bottom"/>
          </w:tcPr>
          <w:p>
            <w:pPr>
              <w:spacing w:after="0"/>
              <w:rPr>
                <w:sz w:val="14"/>
                <w:szCs w:val="14"/>
                <w:color w:val="auto"/>
              </w:rPr>
            </w:pP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(275,125)</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(153,281)</w:t>
            </w:r>
          </w:p>
        </w:tc>
      </w:tr>
      <w:tr>
        <w:trPr>
          <w:trHeight w:val="171"/>
        </w:trPr>
        <w:tc>
          <w:tcPr>
            <w:tcW w:w="13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cash (used in) continuing operations</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(958,977)</w:t>
            </w:r>
          </w:p>
        </w:tc>
        <w:tc>
          <w:tcPr>
            <w:tcW w:w="5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(149,130)</w:t>
            </w:r>
          </w:p>
        </w:tc>
      </w:tr>
      <w:tr>
        <w:trPr>
          <w:trHeight w:val="171"/>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cash provided by (used in) discontinued operations</w:t>
            </w:r>
          </w:p>
        </w:tc>
        <w:tc>
          <w:tcPr>
            <w:tcW w:w="1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121,768</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(609,937)</w:t>
            </w:r>
          </w:p>
        </w:tc>
      </w:tr>
      <w:tr>
        <w:trPr>
          <w:trHeight w:val="171"/>
        </w:trPr>
        <w:tc>
          <w:tcPr>
            <w:tcW w:w="13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cash (used in) operating activities</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(837,209)</w:t>
            </w:r>
          </w:p>
        </w:tc>
        <w:tc>
          <w:tcPr>
            <w:tcW w:w="5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(759,067)</w:t>
            </w:r>
          </w:p>
        </w:tc>
      </w:tr>
      <w:tr>
        <w:trPr>
          <w:trHeight w:val="171"/>
        </w:trPr>
        <w:tc>
          <w:tcPr>
            <w:tcW w:w="13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w w:val="96"/>
              </w:rPr>
              <w:t>Cash flows from</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investing activities:</w:t>
            </w:r>
          </w:p>
        </w:tc>
        <w:tc>
          <w:tcPr>
            <w:tcW w:w="1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Acquisitions</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of property and equipment</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(165,284)</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(102,914)</w:t>
            </w:r>
          </w:p>
        </w:tc>
      </w:tr>
      <w:tr>
        <w:trPr>
          <w:trHeight w:val="171"/>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Acquisitions</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of intangible assets</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(274,560)</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(357,462)</w:t>
            </w:r>
          </w:p>
        </w:tc>
      </w:tr>
      <w:tr>
        <w:trPr>
          <w:trHeight w:val="171"/>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Acquisitions</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of businesses, net of cash acquired</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(25,488,445)</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(94,851)</w:t>
            </w:r>
          </w:p>
        </w:tc>
      </w:tr>
      <w:tr>
        <w:trPr>
          <w:trHeight w:val="171"/>
        </w:trPr>
        <w:tc>
          <w:tcPr>
            <w:tcW w:w="13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cash (used in) continuing operations</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(25,928,289)</w:t>
            </w:r>
          </w:p>
        </w:tc>
        <w:tc>
          <w:tcPr>
            <w:tcW w:w="5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(555,227)</w:t>
            </w:r>
          </w:p>
        </w:tc>
      </w:tr>
      <w:tr>
        <w:trPr>
          <w:trHeight w:val="171"/>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cash (used in) discontinued operations</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(8,474)</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(138,082)</w:t>
            </w:r>
          </w:p>
        </w:tc>
      </w:tr>
      <w:tr>
        <w:trPr>
          <w:trHeight w:val="171"/>
        </w:trPr>
        <w:tc>
          <w:tcPr>
            <w:tcW w:w="13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cash (used in) investing activities</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($25,936,763)</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693,309)</w:t>
            </w:r>
          </w:p>
        </w:tc>
      </w:tr>
      <w:tr>
        <w:trPr>
          <w:trHeight w:val="171"/>
        </w:trPr>
        <w:tc>
          <w:tcPr>
            <w:tcW w:w="13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CONTINUED ON NEXT PAGE</w:t>
      </w:r>
    </w:p>
    <w:p>
      <w:pPr>
        <w:spacing w:after="0" w:line="200" w:lineRule="exact"/>
        <w:rPr>
          <w:sz w:val="20"/>
          <w:szCs w:val="20"/>
          <w:color w:val="auto"/>
        </w:rPr>
      </w:pPr>
    </w:p>
    <w:p>
      <w:pPr>
        <w:spacing w:after="0" w:line="316" w:lineRule="exact"/>
        <w:rPr>
          <w:sz w:val="20"/>
          <w:szCs w:val="20"/>
          <w:color w:val="auto"/>
        </w:rPr>
      </w:pPr>
    </w:p>
    <w:p>
      <w:pPr>
        <w:ind w:right="3460"/>
        <w:spacing w:after="0" w:line="238" w:lineRule="auto"/>
        <w:rPr>
          <w:sz w:val="20"/>
          <w:szCs w:val="20"/>
          <w:color w:val="auto"/>
        </w:rPr>
      </w:pPr>
      <w:r>
        <w:rPr>
          <w:rFonts w:ascii="Courier New" w:cs="Courier New" w:eastAsia="Courier New" w:hAnsi="Courier New"/>
          <w:sz w:val="15"/>
          <w:szCs w:val="15"/>
          <w:color w:val="auto"/>
        </w:rPr>
        <w:t>The notes to consolidated financial statements are an integral part of the above statement.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 - 7</w:t>
      </w:r>
    </w:p>
    <w:p>
      <w:pPr>
        <w:sectPr>
          <w:pgSz w:w="11900" w:h="16838" w:orient="portrait"/>
          <w:cols w:equalWidth="0" w:num="1">
            <w:col w:w="10560"/>
          </w:cols>
          <w:pgMar w:left="320" w:top="1140" w:right="1019" w:bottom="1440" w:gutter="0" w:footer="0" w:header="0"/>
        </w:sectPr>
      </w:pPr>
    </w:p>
    <w:bookmarkStart w:id="53" w:name="page54"/>
    <w:bookmarkEnd w:id="53"/>
    <w:p>
      <w:pPr>
        <w:ind w:left="4340"/>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CONSOLIDATED STATEMENT OF CASH FLOWS - CONTINUED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YEAR ENDED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6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6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1999</w:t>
            </w: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60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60" w:type="dxa"/>
            <w:vAlign w:val="bottom"/>
            <w:gridSpan w:val="3"/>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512"/>
        </w:trPr>
        <w:tc>
          <w:tcPr>
            <w:tcW w:w="60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41"/>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Change in short-term debt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987,609)</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$1,200,000</w:t>
            </w:r>
          </w:p>
        </w:tc>
      </w:tr>
      <w:tr>
        <w:trPr>
          <w:trHeight w:val="171"/>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Proceeds from issuance of long-term debt</w:t>
            </w:r>
          </w:p>
        </w:tc>
        <w:tc>
          <w:tcPr>
            <w:tcW w:w="1540" w:type="dxa"/>
            <w:vAlign w:val="bottom"/>
          </w:tcPr>
          <w:p>
            <w:pPr>
              <w:spacing w:after="0"/>
              <w:rPr>
                <w:sz w:val="14"/>
                <w:szCs w:val="14"/>
                <w:color w:val="auto"/>
              </w:rPr>
            </w:pP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37,499,840</w:t>
            </w:r>
          </w:p>
        </w:tc>
        <w:tc>
          <w:tcPr>
            <w:tcW w:w="12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230,000</w:t>
            </w:r>
          </w:p>
        </w:tc>
      </w:tr>
      <w:tr>
        <w:trPr>
          <w:trHeight w:val="171"/>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Repayments of long-term debt</w:t>
            </w:r>
          </w:p>
        </w:tc>
        <w:tc>
          <w:tcPr>
            <w:tcW w:w="1540" w:type="dxa"/>
            <w:vAlign w:val="bottom"/>
          </w:tcPr>
          <w:p>
            <w:pPr>
              <w:spacing w:after="0"/>
              <w:rPr>
                <w:sz w:val="14"/>
                <w:szCs w:val="14"/>
                <w:color w:val="auto"/>
              </w:rPr>
            </w:pPr>
          </w:p>
        </w:tc>
        <w:tc>
          <w:tcPr>
            <w:tcW w:w="1700" w:type="dxa"/>
            <w:vAlign w:val="bottom"/>
          </w:tcPr>
          <w:p>
            <w:pPr>
              <w:jc w:val="right"/>
              <w:ind w:right="566"/>
              <w:spacing w:after="0"/>
              <w:rPr>
                <w:sz w:val="20"/>
                <w:szCs w:val="20"/>
                <w:color w:val="auto"/>
              </w:rPr>
            </w:pPr>
            <w:r>
              <w:rPr>
                <w:rFonts w:ascii="Courier New" w:cs="Courier New" w:eastAsia="Courier New" w:hAnsi="Courier New"/>
                <w:sz w:val="15"/>
                <w:szCs w:val="15"/>
                <w:color w:val="auto"/>
                <w:w w:val="96"/>
              </w:rPr>
              <w:t>(11,741,283)</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(460,803)</w:t>
            </w:r>
          </w:p>
        </w:tc>
      </w:tr>
      <w:tr>
        <w:trPr>
          <w:trHeight w:val="171"/>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Proceeds from borrowing against cash surrender value</w:t>
            </w:r>
          </w:p>
        </w:tc>
        <w:tc>
          <w:tcPr>
            <w:tcW w:w="1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of life insurance</w:t>
            </w:r>
          </w:p>
        </w:tc>
        <w:tc>
          <w:tcPr>
            <w:tcW w:w="1540" w:type="dxa"/>
            <w:vAlign w:val="bottom"/>
          </w:tcPr>
          <w:p>
            <w:pPr>
              <w:spacing w:after="0"/>
              <w:rPr>
                <w:sz w:val="14"/>
                <w:szCs w:val="14"/>
                <w:color w:val="auto"/>
              </w:rPr>
            </w:pP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2,773,168</w:t>
            </w:r>
          </w:p>
        </w:tc>
        <w:tc>
          <w:tcPr>
            <w:tcW w:w="12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6080" w:type="dxa"/>
            <w:vAlign w:val="bottom"/>
          </w:tcPr>
          <w:p>
            <w:pPr>
              <w:ind w:left="106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540" w:type="dxa"/>
            <w:vAlign w:val="bottom"/>
          </w:tcPr>
          <w:p>
            <w:pPr>
              <w:spacing w:after="0"/>
              <w:rPr>
                <w:sz w:val="24"/>
                <w:szCs w:val="24"/>
                <w:color w:val="auto"/>
              </w:rPr>
            </w:pP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27,544,116</w:t>
            </w:r>
          </w:p>
        </w:tc>
        <w:tc>
          <w:tcPr>
            <w:tcW w:w="120" w:type="dxa"/>
            <w:vAlign w:val="bottom"/>
          </w:tcPr>
          <w:p>
            <w:pPr>
              <w:spacing w:after="0"/>
              <w:rPr>
                <w:sz w:val="24"/>
                <w:szCs w:val="2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969,197</w:t>
            </w:r>
          </w:p>
        </w:tc>
      </w:tr>
      <w:tr>
        <w:trPr>
          <w:trHeight w:val="171"/>
        </w:trPr>
        <w:tc>
          <w:tcPr>
            <w:tcW w:w="6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1540" w:type="dxa"/>
            <w:vAlign w:val="bottom"/>
          </w:tcPr>
          <w:p>
            <w:pPr>
              <w:spacing w:after="0"/>
              <w:rPr>
                <w:sz w:val="24"/>
                <w:szCs w:val="24"/>
                <w:color w:val="auto"/>
              </w:rPr>
            </w:pP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770,144</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(483,179)</w:t>
            </w: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1540" w:type="dxa"/>
            <w:vAlign w:val="bottom"/>
          </w:tcPr>
          <w:p>
            <w:pPr>
              <w:spacing w:after="0"/>
              <w:rPr>
                <w:sz w:val="24"/>
                <w:szCs w:val="24"/>
                <w:color w:val="auto"/>
              </w:rPr>
            </w:pP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364,648</w:t>
            </w:r>
          </w:p>
        </w:tc>
        <w:tc>
          <w:tcPr>
            <w:tcW w:w="120" w:type="dxa"/>
            <w:vAlign w:val="bottom"/>
          </w:tcPr>
          <w:p>
            <w:pPr>
              <w:spacing w:after="0"/>
              <w:rPr>
                <w:sz w:val="24"/>
                <w:szCs w:val="2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847,827</w:t>
            </w:r>
          </w:p>
        </w:tc>
      </w:tr>
      <w:tr>
        <w:trPr>
          <w:trHeight w:val="171"/>
        </w:trPr>
        <w:tc>
          <w:tcPr>
            <w:tcW w:w="6080" w:type="dxa"/>
            <w:vAlign w:val="bottom"/>
          </w:tcPr>
          <w:p>
            <w:pPr>
              <w:spacing w:after="0"/>
              <w:rPr>
                <w:sz w:val="14"/>
                <w:szCs w:val="14"/>
                <w:color w:val="auto"/>
              </w:rPr>
            </w:pPr>
          </w:p>
        </w:tc>
        <w:tc>
          <w:tcPr>
            <w:tcW w:w="324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1,134,792</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364,648</w:t>
            </w:r>
          </w:p>
        </w:tc>
      </w:tr>
      <w:tr>
        <w:trPr>
          <w:trHeight w:val="171"/>
        </w:trPr>
        <w:tc>
          <w:tcPr>
            <w:tcW w:w="6080" w:type="dxa"/>
            <w:vAlign w:val="bottom"/>
          </w:tcPr>
          <w:p>
            <w:pPr>
              <w:spacing w:after="0"/>
              <w:rPr>
                <w:sz w:val="14"/>
                <w:szCs w:val="14"/>
                <w:color w:val="auto"/>
              </w:rPr>
            </w:pPr>
          </w:p>
        </w:tc>
        <w:tc>
          <w:tcPr>
            <w:tcW w:w="324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r>
      <w:tr>
        <w:trPr>
          <w:trHeight w:val="683"/>
        </w:trPr>
        <w:tc>
          <w:tcPr>
            <w:tcW w:w="7620" w:type="dxa"/>
            <w:vAlign w:val="bottom"/>
            <w:gridSpan w:val="2"/>
          </w:tcPr>
          <w:p>
            <w:pPr>
              <w:ind w:left="3280"/>
              <w:spacing w:after="0"/>
              <w:rPr>
                <w:sz w:val="20"/>
                <w:szCs w:val="20"/>
                <w:color w:val="auto"/>
              </w:rPr>
            </w:pPr>
            <w:r>
              <w:rPr>
                <w:rFonts w:ascii="Courier New" w:cs="Courier New" w:eastAsia="Courier New" w:hAnsi="Courier New"/>
                <w:sz w:val="15"/>
                <w:szCs w:val="15"/>
                <w:color w:val="auto"/>
                <w:w w:val="97"/>
              </w:rPr>
              <w:t>SUPPLEMENTAL DISCLOSURES OF CASH FLOW INFORMATION</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Cash paid during the year for:</w:t>
            </w: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304,970</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260,567</w:t>
            </w:r>
          </w:p>
        </w:tc>
      </w:tr>
      <w:tr>
        <w:trPr>
          <w:trHeight w:val="171"/>
        </w:trPr>
        <w:tc>
          <w:tcPr>
            <w:tcW w:w="6080" w:type="dxa"/>
            <w:vAlign w:val="bottom"/>
          </w:tcPr>
          <w:p>
            <w:pPr>
              <w:spacing w:after="0"/>
              <w:rPr>
                <w:sz w:val="14"/>
                <w:szCs w:val="14"/>
                <w:color w:val="auto"/>
              </w:rPr>
            </w:pPr>
          </w:p>
        </w:tc>
        <w:tc>
          <w:tcPr>
            <w:tcW w:w="324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Income taxes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503,684</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118,000</w:t>
            </w:r>
          </w:p>
        </w:tc>
      </w:tr>
      <w:tr>
        <w:trPr>
          <w:trHeight w:val="171"/>
        </w:trPr>
        <w:tc>
          <w:tcPr>
            <w:tcW w:w="6080" w:type="dxa"/>
            <w:vAlign w:val="bottom"/>
          </w:tcPr>
          <w:p>
            <w:pPr>
              <w:spacing w:after="0"/>
              <w:rPr>
                <w:sz w:val="14"/>
                <w:szCs w:val="14"/>
                <w:color w:val="auto"/>
              </w:rPr>
            </w:pPr>
          </w:p>
        </w:tc>
        <w:tc>
          <w:tcPr>
            <w:tcW w:w="324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460"/>
        <w:spacing w:after="0" w:line="238" w:lineRule="auto"/>
        <w:rPr>
          <w:sz w:val="20"/>
          <w:szCs w:val="20"/>
          <w:color w:val="auto"/>
        </w:rPr>
      </w:pPr>
      <w:r>
        <w:rPr>
          <w:rFonts w:ascii="Courier New" w:cs="Courier New" w:eastAsia="Courier New" w:hAnsi="Courier New"/>
          <w:sz w:val="15"/>
          <w:szCs w:val="15"/>
          <w:color w:val="auto"/>
        </w:rPr>
        <w:t>The notes to consolidated financial statements are an integral part of the above statement.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 - 8</w:t>
      </w:r>
    </w:p>
    <w:p>
      <w:pPr>
        <w:sectPr>
          <w:pgSz w:w="11900" w:h="16838" w:orient="portrait"/>
          <w:cols w:equalWidth="0" w:num="1">
            <w:col w:w="10560"/>
          </w:cols>
          <w:pgMar w:left="320" w:top="970" w:right="1019" w:bottom="1440" w:gutter="0" w:footer="0" w:header="0"/>
        </w:sectPr>
      </w:pPr>
    </w:p>
    <w:bookmarkStart w:id="54" w:name="page55"/>
    <w:bookmarkEnd w:id="54"/>
    <w:p>
      <w:pPr>
        <w:ind w:left="2489"/>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FOR THE YEARS ENDED DECEMBER 31, 1999 AND 1998</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89" w:hanging="789"/>
        <w:spacing w:after="0"/>
        <w:tabs>
          <w:tab w:leader="none" w:pos="78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Business and Summary of Significant Accounting Policies</w:t>
      </w:r>
    </w:p>
    <w:p>
      <w:pPr>
        <w:spacing w:after="0" w:line="174" w:lineRule="exact"/>
        <w:rPr>
          <w:rFonts w:ascii="Courier New" w:cs="Courier New" w:eastAsia="Courier New" w:hAnsi="Courier New"/>
          <w:sz w:val="15"/>
          <w:szCs w:val="15"/>
          <w:color w:val="auto"/>
        </w:rPr>
      </w:pPr>
    </w:p>
    <w:p>
      <w:pPr>
        <w:ind w:left="78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business - The principal businesses of the Company's subsidiaries are to provide innovative solutions to industrial ventilation and air quality problems through dust, mist, fume control systems, particle, and chemical technologies to industrial and commercial customers, primarily in the United States.</w:t>
      </w:r>
    </w:p>
    <w:p>
      <w:pPr>
        <w:spacing w:after="0" w:line="174" w:lineRule="exact"/>
        <w:rPr>
          <w:rFonts w:ascii="Courier New" w:cs="Courier New" w:eastAsia="Courier New" w:hAnsi="Courier New"/>
          <w:sz w:val="15"/>
          <w:szCs w:val="15"/>
          <w:color w:val="auto"/>
        </w:rPr>
      </w:pPr>
    </w:p>
    <w:p>
      <w:pPr>
        <w:ind w:left="789" w:right="33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Principles of consolidation - The consolidated financial statements include the accounts of CECO Environmental Corp. (the "Company") and the following subsidiaries:</w:t>
      </w:r>
    </w:p>
    <w:p>
      <w:pPr>
        <w:spacing w:after="0" w:line="175" w:lineRule="exact"/>
        <w:rPr>
          <w:rFonts w:ascii="Courier New" w:cs="Courier New" w:eastAsia="Courier New" w:hAnsi="Courier New"/>
          <w:sz w:val="15"/>
          <w:szCs w:val="15"/>
          <w:color w:val="auto"/>
        </w:rPr>
      </w:pPr>
    </w:p>
    <w:p>
      <w:pPr>
        <w:ind w:left="5589" w:right="3039" w:firstLine="181"/>
        <w:spacing w:after="0" w:line="258" w:lineRule="auto"/>
        <w:tabs>
          <w:tab w:leader="none" w:pos="5944"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OWNED AS OF DECEMBER 31, 1999</w:t>
      </w:r>
    </w:p>
    <w:p>
      <w:pPr>
        <w:ind w:left="55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CECO Group, Inc. ("Group")</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840" w:type="dxa"/>
            <w:vAlign w:val="bottom"/>
          </w:tcPr>
          <w:p>
            <w:pPr>
              <w:spacing w:after="0"/>
              <w:rPr>
                <w:sz w:val="20"/>
                <w:szCs w:val="20"/>
                <w:color w:val="auto"/>
              </w:rPr>
            </w:pPr>
            <w:r>
              <w:rPr>
                <w:rFonts w:ascii="Courier New" w:cs="Courier New" w:eastAsia="Courier New" w:hAnsi="Courier New"/>
                <w:sz w:val="15"/>
                <w:szCs w:val="15"/>
                <w:color w:val="auto"/>
              </w:rPr>
              <w:t>CECO Filters, Inc. and Subsidiaries ("CFI")</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w:t>
            </w:r>
          </w:p>
        </w:tc>
      </w:tr>
      <w:tr>
        <w:trPr>
          <w:trHeight w:val="171"/>
        </w:trPr>
        <w:tc>
          <w:tcPr>
            <w:tcW w:w="4840" w:type="dxa"/>
            <w:vAlign w:val="bottom"/>
          </w:tcPr>
          <w:p>
            <w:pPr>
              <w:spacing w:after="0"/>
              <w:rPr>
                <w:sz w:val="20"/>
                <w:szCs w:val="20"/>
                <w:color w:val="auto"/>
              </w:rPr>
            </w:pPr>
            <w:r>
              <w:rPr>
                <w:rFonts w:ascii="Courier New" w:cs="Courier New" w:eastAsia="Courier New" w:hAnsi="Courier New"/>
                <w:sz w:val="15"/>
                <w:szCs w:val="15"/>
                <w:color w:val="auto"/>
              </w:rPr>
              <w:t>The Kirk &amp; Blum Manufacturing Company ("K &amp; B")</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840" w:type="dxa"/>
            <w:vAlign w:val="bottom"/>
          </w:tcPr>
          <w:p>
            <w:pPr>
              <w:spacing w:after="0"/>
              <w:rPr>
                <w:sz w:val="20"/>
                <w:szCs w:val="20"/>
                <w:color w:val="auto"/>
              </w:rPr>
            </w:pPr>
            <w:r>
              <w:rPr>
                <w:rFonts w:ascii="Courier New" w:cs="Courier New" w:eastAsia="Courier New" w:hAnsi="Courier New"/>
                <w:sz w:val="15"/>
                <w:szCs w:val="15"/>
                <w:color w:val="auto"/>
              </w:rPr>
              <w:t>kbd/Technic, Inc.</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w:t>
            </w:r>
          </w:p>
        </w:tc>
      </w:tr>
    </w:tbl>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CFI includes two wholly-owned subsidiaries:</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Air Purator Corporation</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New Busch Co., Inc. ("Busch")</w:t>
      </w:r>
    </w:p>
    <w:p>
      <w:pPr>
        <w:spacing w:after="0" w:line="174" w:lineRule="exact"/>
        <w:rPr>
          <w:sz w:val="20"/>
          <w:szCs w:val="20"/>
          <w:color w:val="auto"/>
        </w:rPr>
      </w:pPr>
    </w:p>
    <w:p>
      <w:pPr>
        <w:ind w:left="789" w:right="3939"/>
        <w:spacing w:after="0" w:line="238" w:lineRule="auto"/>
        <w:rPr>
          <w:sz w:val="20"/>
          <w:szCs w:val="20"/>
          <w:color w:val="auto"/>
        </w:rPr>
      </w:pPr>
      <w:r>
        <w:rPr>
          <w:rFonts w:ascii="Courier New" w:cs="Courier New" w:eastAsia="Courier New" w:hAnsi="Courier New"/>
          <w:sz w:val="15"/>
          <w:szCs w:val="15"/>
          <w:color w:val="auto"/>
        </w:rPr>
        <w:t>All material intercompany balances and transactions have been eliminated.</w:t>
      </w:r>
    </w:p>
    <w:p>
      <w:pPr>
        <w:spacing w:after="0" w:line="175" w:lineRule="exact"/>
        <w:rPr>
          <w:sz w:val="20"/>
          <w:szCs w:val="20"/>
          <w:color w:val="auto"/>
        </w:rPr>
      </w:pPr>
    </w:p>
    <w:p>
      <w:pPr>
        <w:ind w:left="789" w:right="3139"/>
        <w:spacing w:after="0"/>
        <w:rPr>
          <w:sz w:val="20"/>
          <w:szCs w:val="20"/>
          <w:color w:val="auto"/>
        </w:rPr>
      </w:pPr>
      <w:r>
        <w:rPr>
          <w:rFonts w:ascii="Courier New" w:cs="Courier New" w:eastAsia="Courier New" w:hAnsi="Courier New"/>
          <w:sz w:val="15"/>
          <w:szCs w:val="15"/>
          <w:color w:val="auto"/>
        </w:rPr>
        <w:t>Use of estimates - The presentation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ind w:left="789" w:right="3039"/>
        <w:spacing w:after="0" w:line="239" w:lineRule="auto"/>
        <w:rPr>
          <w:sz w:val="20"/>
          <w:szCs w:val="20"/>
          <w:color w:val="auto"/>
        </w:rPr>
      </w:pPr>
      <w:r>
        <w:rPr>
          <w:rFonts w:ascii="Courier New" w:cs="Courier New" w:eastAsia="Courier New" w:hAnsi="Courier New"/>
          <w:sz w:val="15"/>
          <w:szCs w:val="15"/>
          <w:color w:val="auto"/>
        </w:rPr>
        <w:t>Cash and cash equivalents - The Company considers all highly liquid investments with original maturities of three months or less to be cash equivalents.</w:t>
      </w:r>
    </w:p>
    <w:p>
      <w:pPr>
        <w:spacing w:after="0" w:line="175" w:lineRule="exact"/>
        <w:rPr>
          <w:sz w:val="20"/>
          <w:szCs w:val="20"/>
          <w:color w:val="auto"/>
        </w:rPr>
      </w:pPr>
    </w:p>
    <w:p>
      <w:pPr>
        <w:ind w:left="789" w:right="3139"/>
        <w:spacing w:after="0"/>
        <w:rPr>
          <w:sz w:val="20"/>
          <w:szCs w:val="20"/>
          <w:color w:val="auto"/>
        </w:rPr>
      </w:pPr>
      <w:r>
        <w:rPr>
          <w:rFonts w:ascii="Courier New" w:cs="Courier New" w:eastAsia="Courier New" w:hAnsi="Courier New"/>
          <w:sz w:val="15"/>
          <w:szCs w:val="15"/>
          <w:color w:val="auto"/>
        </w:rPr>
        <w:t>Investments in marketable securities - The Company's investments in marketable securities comprise corporate common stock and debt securities, all classified as trading securities, which are carried at their fair value based on the quoted market prices. Accordingly, net realized and unrealized gains and losses on trading securities and interest income are included in investment income.</w:t>
      </w:r>
    </w:p>
    <w:p>
      <w:pPr>
        <w:spacing w:after="0" w:line="173"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Inventories - The labor content of work-in-process and finished</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products and all inventories of steel of K &amp; B are valued at the lower</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of cost or market using the last-in, first-out (LIFO) method. All other</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inventories of K &amp; B are accounted for at the lower of cost or market.</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Inventories of the other subsidiaries are valued at the lower of cost,</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using the first-in, first-out (FIFO) method, or market. The FIFO</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method of inventory valuation for all classes of inventory approximated</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the LIFO value at December 31,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 - 9</w:t>
      </w:r>
    </w:p>
    <w:p>
      <w:pPr>
        <w:sectPr>
          <w:pgSz w:w="11900" w:h="16838" w:orient="portrait"/>
          <w:cols w:equalWidth="0" w:num="1">
            <w:col w:w="10148"/>
          </w:cols>
          <w:pgMar w:left="311" w:top="970" w:right="1440" w:bottom="1440" w:gutter="0" w:footer="0" w:header="0"/>
        </w:sectPr>
      </w:pPr>
    </w:p>
    <w:bookmarkStart w:id="55" w:name="page56"/>
    <w:bookmarkEnd w:id="55"/>
    <w:p>
      <w:pPr>
        <w:ind w:left="2489"/>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FOR THE YEARS ENDED DECEMBER 31, 1999 AND 1998</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89" w:right="3399" w:hanging="789"/>
        <w:spacing w:after="0" w:line="238" w:lineRule="auto"/>
        <w:tabs>
          <w:tab w:leader="none" w:pos="78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Business and Summary of Significant Accounting Policies - Continued</w:t>
      </w:r>
    </w:p>
    <w:p>
      <w:pPr>
        <w:spacing w:after="0" w:line="175" w:lineRule="exact"/>
        <w:rPr>
          <w:rFonts w:ascii="Courier New" w:cs="Courier New" w:eastAsia="Courier New" w:hAnsi="Courier New"/>
          <w:sz w:val="15"/>
          <w:szCs w:val="15"/>
          <w:color w:val="auto"/>
        </w:rPr>
      </w:pPr>
    </w:p>
    <w:p>
      <w:pPr>
        <w:ind w:left="78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 - Property and equipment are recorded at cost. Expenditures for repairs and maintenance are charged to income as incurred. Depreciation and amortization are computed using straight-line and accelerated methods over the estimated useful lives of the assets.</w:t>
      </w:r>
    </w:p>
    <w:p>
      <w:pPr>
        <w:spacing w:after="0" w:line="174" w:lineRule="exact"/>
        <w:rPr>
          <w:rFonts w:ascii="Courier New" w:cs="Courier New" w:eastAsia="Courier New" w:hAnsi="Courier New"/>
          <w:sz w:val="15"/>
          <w:szCs w:val="15"/>
          <w:color w:val="auto"/>
        </w:rPr>
      </w:pPr>
    </w:p>
    <w:p>
      <w:pPr>
        <w:ind w:left="789" w:right="30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 assets - Goodwill associated with the CFI and Busch acquisitions are being amortized on a straight-line basis over 40 years, and 20 years for the K &amp; B acquisition. The Company's policy is to continually monitor the recoverability of goodwill using a fair value approach. Other intangible assets are being amortized on a straight-line basis over their estimated useful lives, which range from 5 to 17 years.</w:t>
      </w:r>
    </w:p>
    <w:p>
      <w:pPr>
        <w:spacing w:after="0" w:line="176" w:lineRule="exact"/>
        <w:rPr>
          <w:rFonts w:ascii="Courier New" w:cs="Courier New" w:eastAsia="Courier New" w:hAnsi="Courier New"/>
          <w:sz w:val="15"/>
          <w:szCs w:val="15"/>
          <w:color w:val="auto"/>
        </w:rPr>
      </w:pPr>
    </w:p>
    <w:p>
      <w:pPr>
        <w:ind w:left="789" w:right="313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Revenue recognition - Revenues from manufactured products and products purchased for resale are recognized upon shipment to customers.</w:t>
      </w:r>
    </w:p>
    <w:p>
      <w:pPr>
        <w:spacing w:after="0" w:line="153" w:lineRule="exact"/>
        <w:rPr>
          <w:rFonts w:ascii="Courier New" w:cs="Courier New" w:eastAsia="Courier New" w:hAnsi="Courier New"/>
          <w:sz w:val="15"/>
          <w:szCs w:val="15"/>
          <w:color w:val="auto"/>
        </w:rPr>
      </w:pPr>
    </w:p>
    <w:p>
      <w:pPr>
        <w:ind w:left="789" w:right="321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Revenue from contracts are recognized on the percentage of completion method, measured by the percentage of contract costs incurred to date compared to estimated total contract costs for each contract. This method is used because management considers contract costs to be the best available measure of progress on these contracts.</w:t>
      </w:r>
    </w:p>
    <w:p>
      <w:pPr>
        <w:spacing w:after="0" w:line="161" w:lineRule="exact"/>
        <w:rPr>
          <w:rFonts w:ascii="Courier New" w:cs="Courier New" w:eastAsia="Courier New" w:hAnsi="Courier New"/>
          <w:sz w:val="15"/>
          <w:szCs w:val="15"/>
          <w:color w:val="auto"/>
        </w:rPr>
      </w:pPr>
    </w:p>
    <w:p>
      <w:pPr>
        <w:ind w:left="789" w:right="30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costs include direct material, labor cost and those indirect costs related to contract performance, such as indirect labor, supplies, tools and repairs. Selling and administrative costs are charged to expense as incurred. Provisions for estimated losses on uncompleted contracts are made in the period in which such losses are determined. Changes in job performance, job conditions and estimated profitability may result in revisions to contract revenue and costs and are recognized in the period in which the revisions are made.</w:t>
      </w:r>
    </w:p>
    <w:p>
      <w:pPr>
        <w:spacing w:after="0" w:line="176" w:lineRule="exact"/>
        <w:rPr>
          <w:rFonts w:ascii="Courier New" w:cs="Courier New" w:eastAsia="Courier New" w:hAnsi="Courier New"/>
          <w:sz w:val="15"/>
          <w:szCs w:val="15"/>
          <w:color w:val="auto"/>
        </w:rPr>
      </w:pPr>
    </w:p>
    <w:p>
      <w:pPr>
        <w:ind w:left="789" w:right="33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 "costs and estimated earnings in excess of billings on uncompleted contracts," represents revenues recognized in excess of amounts billed. The liability, "billings in excess of costs and estimated earnings on uncompleted contracts," represents billings in excess of revenues recognized.</w:t>
      </w:r>
    </w:p>
    <w:p>
      <w:pPr>
        <w:spacing w:after="0" w:line="174" w:lineRule="exact"/>
        <w:rPr>
          <w:rFonts w:ascii="Courier New" w:cs="Courier New" w:eastAsia="Courier New" w:hAnsi="Courier New"/>
          <w:sz w:val="15"/>
          <w:szCs w:val="15"/>
          <w:color w:val="auto"/>
        </w:rPr>
      </w:pPr>
    </w:p>
    <w:p>
      <w:pPr>
        <w:ind w:left="789" w:right="30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 The Company follows the provisions of Statement of Financial Accounting Standards ("SFAS") No. 109, "Accounting for Income Taxes", which requires the recognition of deferred tax liabilities and assets for the expected future tax consequences of events that have been included in the financial statements or tax returns. Under this method, deferred tax liabilities and assets are determined based on the differences between the financial statement and tax bases of assets and liabilities using tax rates in effect for the year in which the differences are expected to reverse.</w:t>
      </w:r>
    </w:p>
    <w:p>
      <w:pPr>
        <w:spacing w:after="0" w:line="177" w:lineRule="exact"/>
        <w:rPr>
          <w:rFonts w:ascii="Courier New" w:cs="Courier New" w:eastAsia="Courier New" w:hAnsi="Courier New"/>
          <w:sz w:val="15"/>
          <w:szCs w:val="15"/>
          <w:color w:val="auto"/>
        </w:rPr>
      </w:pPr>
    </w:p>
    <w:p>
      <w:pPr>
        <w:ind w:left="789" w:right="313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costs - Advertising costs are charged to operations in the year incurred and totaled $87,168 and $158,029 in 1999 and 1998, respectively.</w:t>
      </w:r>
    </w:p>
    <w:p>
      <w:pPr>
        <w:spacing w:after="0" w:line="343"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148"/>
          </w:cols>
          <w:pgMar w:left="311" w:top="970" w:right="1440" w:bottom="1440" w:gutter="0" w:footer="0" w:header="0"/>
        </w:sectPr>
      </w:pPr>
    </w:p>
    <w:bookmarkStart w:id="56" w:name="page57"/>
    <w:bookmarkEnd w:id="56"/>
    <w:p>
      <w:pPr>
        <w:jc w:val="center"/>
        <w:ind w:right="3030"/>
        <w:spacing w:after="0"/>
        <w:rPr>
          <w:sz w:val="20"/>
          <w:szCs w:val="20"/>
          <w:color w:val="auto"/>
        </w:rPr>
      </w:pPr>
      <w:r>
        <w:rPr>
          <w:rFonts w:ascii="Courier New" w:cs="Courier New" w:eastAsia="Courier New" w:hAnsi="Courier New"/>
          <w:sz w:val="15"/>
          <w:szCs w:val="15"/>
          <w:color w:val="auto"/>
        </w:rPr>
        <w:t>CECO ENVIRONMENTAL CORP.</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FOR THE YEARS ENDED DECEMBER 31, 1999 AND 1998</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89" w:right="3399" w:hanging="789"/>
        <w:spacing w:after="0" w:line="238" w:lineRule="auto"/>
        <w:tabs>
          <w:tab w:leader="none" w:pos="78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Business and Summary of Significant Accounting Policies - Continued</w:t>
      </w:r>
    </w:p>
    <w:p>
      <w:pPr>
        <w:spacing w:after="0" w:line="175" w:lineRule="exact"/>
        <w:rPr>
          <w:rFonts w:ascii="Courier New" w:cs="Courier New" w:eastAsia="Courier New" w:hAnsi="Courier New"/>
          <w:sz w:val="15"/>
          <w:szCs w:val="15"/>
          <w:color w:val="auto"/>
        </w:rPr>
      </w:pPr>
    </w:p>
    <w:p>
      <w:pPr>
        <w:ind w:left="789" w:right="303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 Research and development costs are charged to expense as incurred. The amounts charged were $32,873 and $97,090 in 1999 and 1998, respectively.</w:t>
      </w:r>
    </w:p>
    <w:p>
      <w:pPr>
        <w:spacing w:after="0" w:line="175" w:lineRule="exact"/>
        <w:rPr>
          <w:rFonts w:ascii="Courier New" w:cs="Courier New" w:eastAsia="Courier New" w:hAnsi="Courier New"/>
          <w:sz w:val="15"/>
          <w:szCs w:val="15"/>
          <w:color w:val="auto"/>
        </w:rPr>
      </w:pPr>
    </w:p>
    <w:p>
      <w:pPr>
        <w:ind w:left="789" w:right="30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data - The Company adopted Statement of Financial Accounting Standards No. 128, "Earnings per Share," which establishes standards for computing basic and diluted earnings per share. Per share data is computed using the weighted average number of common shares outstanding. The Company considers outstanding options and warrants in computing diluted net income (loss) per share only when they are dilutive. The weighted average number of common shares was 8,250,896 in 1999 and 1998 for basic and 9,706,228 in 1999 and 8,845,626 in 1998 for diluted net income (loss) per share.</w:t>
      </w:r>
    </w:p>
    <w:p>
      <w:pPr>
        <w:spacing w:after="0" w:line="177" w:lineRule="exact"/>
        <w:rPr>
          <w:rFonts w:ascii="Courier New" w:cs="Courier New" w:eastAsia="Courier New" w:hAnsi="Courier New"/>
          <w:sz w:val="15"/>
          <w:szCs w:val="15"/>
          <w:color w:val="auto"/>
        </w:rPr>
      </w:pPr>
    </w:p>
    <w:p>
      <w:pPr>
        <w:ind w:left="789" w:right="339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Reclassifications - Certain reclassifications have been made to the 1998 financial statements to conform with the 1999 presentation.</w:t>
      </w:r>
    </w:p>
    <w:p>
      <w:pPr>
        <w:spacing w:after="0" w:line="153" w:lineRule="exact"/>
        <w:rPr>
          <w:rFonts w:ascii="Courier New" w:cs="Courier New" w:eastAsia="Courier New" w:hAnsi="Courier New"/>
          <w:sz w:val="15"/>
          <w:szCs w:val="15"/>
          <w:color w:val="auto"/>
        </w:rPr>
      </w:pPr>
    </w:p>
    <w:p>
      <w:pPr>
        <w:ind w:left="789" w:right="313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Stock-based compensation - The Company has chosen to continue to use the method of accounting prescribed by Accounting Principles Board Opinion No. 25, "Accounting for Stock Issued to Employees" ("APB 25"). Under such method, compensation is measured by the quoted market price of the stock at the measurement date less the amount, if any, that the employee is required to pay. The measurement date is the first date on which the number of shares that an individual employee is entitled to receive and the option or purchase price, if any, are known. The Company did not incur any compensation expense in 1999 or 1998.</w:t>
      </w:r>
    </w:p>
    <w:p>
      <w:pPr>
        <w:spacing w:after="0" w:line="166" w:lineRule="exact"/>
        <w:rPr>
          <w:rFonts w:ascii="Courier New" w:cs="Courier New" w:eastAsia="Courier New" w:hAnsi="Courier New"/>
          <w:sz w:val="15"/>
          <w:szCs w:val="15"/>
          <w:color w:val="auto"/>
        </w:rPr>
      </w:pPr>
    </w:p>
    <w:p>
      <w:pPr>
        <w:ind w:left="789" w:right="30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Entities electing to remain with this method must make pro forma disclosures of net income (loss) and earnings (loss) per share as if the fair value based method of accounting defined in SFAS No. 123, "Accounting for Stock-Based Compensation" had been applied to all awards granted in fiscal years beginning after December 15, 1994. The Company has not presented the proforma disclosures required by SFAS No. 123 since the impact on the Company's income (loss) from operations for the periods presented was de minimis.</w:t>
      </w:r>
    </w:p>
    <w:p>
      <w:pPr>
        <w:spacing w:after="0" w:line="176" w:lineRule="exact"/>
        <w:rPr>
          <w:rFonts w:ascii="Courier New" w:cs="Courier New" w:eastAsia="Courier New" w:hAnsi="Courier New"/>
          <w:sz w:val="15"/>
          <w:szCs w:val="15"/>
          <w:color w:val="auto"/>
        </w:rPr>
      </w:pPr>
    </w:p>
    <w:p>
      <w:pPr>
        <w:ind w:left="789" w:right="30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 In June, 1998, the FASB issued SFAS No. 133, "Accounting for Derivative Instruments and Hedging Activities", effective for fiscal years beginning after June 15, 2000. The adoption of this pronouncement is not expected to have a significant impact on the Company's consolidated results of operations, financial position, or cash flows.</w:t>
      </w:r>
    </w:p>
    <w:p>
      <w:pPr>
        <w:spacing w:after="0" w:line="200" w:lineRule="exact"/>
        <w:rPr>
          <w:sz w:val="20"/>
          <w:szCs w:val="20"/>
          <w:color w:val="auto"/>
        </w:rPr>
      </w:pPr>
    </w:p>
    <w:p>
      <w:pPr>
        <w:spacing w:after="0" w:line="314"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148"/>
          </w:cols>
          <w:pgMar w:left="311" w:top="970" w:right="1440" w:bottom="1440" w:gutter="0" w:footer="0" w:header="0"/>
        </w:sectPr>
      </w:pPr>
    </w:p>
    <w:bookmarkStart w:id="57" w:name="page58"/>
    <w:bookmarkEnd w:id="57"/>
    <w:p>
      <w:pPr>
        <w:ind w:left="2489"/>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FOR THE YEARS ENDED DECEMBER 31, 1999 AND 1998</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342" w:lineRule="exact"/>
        <w:rPr>
          <w:sz w:val="20"/>
          <w:szCs w:val="20"/>
          <w:color w:val="auto"/>
        </w:rPr>
      </w:pPr>
    </w:p>
    <w:p>
      <w:pPr>
        <w:ind w:left="789" w:hanging="789"/>
        <w:spacing w:after="0"/>
        <w:tabs>
          <w:tab w:leader="none" w:pos="78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CFI</w:t>
      </w:r>
    </w:p>
    <w:p>
      <w:pPr>
        <w:spacing w:after="0" w:line="174" w:lineRule="exact"/>
        <w:rPr>
          <w:rFonts w:ascii="Courier New" w:cs="Courier New" w:eastAsia="Courier New" w:hAnsi="Courier New"/>
          <w:sz w:val="15"/>
          <w:szCs w:val="15"/>
          <w:color w:val="auto"/>
        </w:rPr>
      </w:pPr>
    </w:p>
    <w:p>
      <w:pPr>
        <w:ind w:left="789" w:right="30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1992, the Company exchanged 1,666,666 newly issued shares of its common stock for 1,666,666 restricted shares of CFI common stock. During 1993 through 1997, the Company exchanged 3,137,962 additional shares of its common stock for 3,137,962 shares of CFI's common stock with unrelated third parties. On August 13, 1997, the Company exchanged 582,500 shares of its common stock for 1,165,000 shares of CFI's common stock with an officer of CFI. During 1998, the Company exchanged</w:t>
      </w:r>
    </w:p>
    <w:p>
      <w:pPr>
        <w:spacing w:after="0" w:line="1" w:lineRule="exact"/>
        <w:rPr>
          <w:rFonts w:ascii="Courier New" w:cs="Courier New" w:eastAsia="Courier New" w:hAnsi="Courier New"/>
          <w:sz w:val="15"/>
          <w:szCs w:val="15"/>
          <w:color w:val="auto"/>
        </w:rPr>
      </w:pPr>
    </w:p>
    <w:p>
      <w:pPr>
        <w:ind w:left="789" w:right="31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281,768 additional shares of its common stock for 281,768 shares of CFI's common stock and acquired, for cash, 122,410 additional shares, all with unrelated third parties resulting in additional goodwill of approximately $285,000. During 1999, the Company acquired, for cash, 65,800 shares of CFI's common stock from unrelated third parties resulting in additional goodwill of approximately $34,000. As of December 31, 1999, the Company owned approximately 94% of CFI's common stock.</w:t>
      </w:r>
    </w:p>
    <w:p>
      <w:pPr>
        <w:spacing w:after="0" w:line="174"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Businesses</w:t>
      </w:r>
    </w:p>
    <w:p>
      <w:pPr>
        <w:spacing w:after="0" w:line="174" w:lineRule="exact"/>
        <w:rPr>
          <w:rFonts w:ascii="Courier New" w:cs="Courier New" w:eastAsia="Courier New" w:hAnsi="Courier New"/>
          <w:sz w:val="15"/>
          <w:szCs w:val="15"/>
          <w:color w:val="auto"/>
        </w:rPr>
      </w:pPr>
    </w:p>
    <w:p>
      <w:pPr>
        <w:ind w:left="789" w:right="30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7, 1999, the Company purchased all of the issued stock of The Kirk &amp; Blum Manufacturing Company ("K &amp; B") and kbd/Technic, Inc., two companies with related ownership. The purchase price was approximately $25 million plus the assumption of $5 million of existing indebtedness of the companies, in addition to acquisition costs the Company incurred. The transaction was accounted for as a purchase. K &amp; B, headquartered in Cincinnati, Ohio, is a leading provider of turnkey engineering, design, manufacturing and installation services in the air pollution control industry. K &amp; B's business is focused on designing, building and installing systems which remove airborne contaminants from industrial facilities, as well as equipment that control emissions from such facilities. K &amp; B serves its customers from offices and plants in Cincinnati, Ohio; Indianapolis, Indiana; Louisville and Lexington, Kentucky; Columbia, Tennessee; and Greensboro, North Carolina. kbd/Technic, Inc., is a specialty engineering firm concentrating in industrial ventilation. Services offered include air system testing and balancing, source emission testing, industrial ventilation, engineering, turnkey project engineering (civil/structural, electrical), sound and vibration system engineering and other special projects. The excess of the aggregate purchase price over the fair value of the net assets acquired was $1,653,613, based upon preliminary estimates of fair value. The 1999 consolidated statement of operations includes the operations of K &amp; B and kbd/Technic, Inc. since December 7, 1999.</w:t>
      </w:r>
    </w:p>
    <w:p>
      <w:pPr>
        <w:spacing w:after="0" w:line="189" w:lineRule="exact"/>
        <w:rPr>
          <w:rFonts w:ascii="Courier New" w:cs="Courier New" w:eastAsia="Courier New" w:hAnsi="Courier New"/>
          <w:sz w:val="15"/>
          <w:szCs w:val="15"/>
          <w:color w:val="auto"/>
        </w:rPr>
      </w:pPr>
    </w:p>
    <w:p>
      <w:pPr>
        <w:jc w:val="both"/>
        <w:ind w:left="789" w:right="33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basis, unaudited results of operations for the years ended December 31, 1999 and 1998 would have been as follows, if the acquisition had been made as of January 1, 1998:</w:t>
      </w:r>
    </w:p>
    <w:p>
      <w:pPr>
        <w:spacing w:after="0" w:line="200" w:lineRule="exact"/>
        <w:rPr>
          <w:sz w:val="20"/>
          <w:szCs w:val="20"/>
          <w:color w:val="auto"/>
        </w:rPr>
      </w:pPr>
    </w:p>
    <w:p>
      <w:pPr>
        <w:spacing w:after="0" w:line="314"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346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160" w:type="dxa"/>
            <w:vAlign w:val="bottom"/>
          </w:tcPr>
          <w:p>
            <w:pPr>
              <w:spacing w:after="0"/>
              <w:rPr>
                <w:sz w:val="14"/>
                <w:szCs w:val="14"/>
                <w:color w:val="auto"/>
              </w:rPr>
            </w:pPr>
          </w:p>
        </w:tc>
        <w:tc>
          <w:tcPr>
            <w:tcW w:w="21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160" w:type="dxa"/>
            <w:vAlign w:val="bottom"/>
          </w:tcPr>
          <w:p>
            <w:pPr>
              <w:spacing w:after="0"/>
              <w:rPr>
                <w:sz w:val="14"/>
                <w:szCs w:val="14"/>
                <w:color w:val="auto"/>
              </w:rPr>
            </w:pPr>
          </w:p>
        </w:tc>
        <w:tc>
          <w:tcPr>
            <w:tcW w:w="21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6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21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$89,891,680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$92,930,482</w:t>
            </w:r>
          </w:p>
        </w:tc>
      </w:tr>
      <w:tr>
        <w:trPr>
          <w:trHeight w:val="171"/>
        </w:trPr>
        <w:tc>
          <w:tcPr>
            <w:tcW w:w="516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2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160" w:type="dxa"/>
            <w:vAlign w:val="bottom"/>
          </w:tcPr>
          <w:p>
            <w:pPr>
              <w:ind w:left="360"/>
              <w:spacing w:after="0"/>
              <w:rPr>
                <w:sz w:val="20"/>
                <w:szCs w:val="20"/>
                <w:color w:val="auto"/>
              </w:rPr>
            </w:pPr>
            <w:r>
              <w:rPr>
                <w:rFonts w:ascii="Courier New" w:cs="Courier New" w:eastAsia="Courier New" w:hAnsi="Courier New"/>
                <w:sz w:val="15"/>
                <w:szCs w:val="15"/>
                <w:color w:val="auto"/>
              </w:rPr>
              <w:t>before taxes on income and minority interest</w:t>
            </w:r>
          </w:p>
        </w:tc>
        <w:tc>
          <w:tcPr>
            <w:tcW w:w="21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2,889,403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5,433,639</w:t>
            </w:r>
          </w:p>
        </w:tc>
      </w:tr>
      <w:tr>
        <w:trPr>
          <w:trHeight w:val="171"/>
        </w:trPr>
        <w:tc>
          <w:tcPr>
            <w:tcW w:w="51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1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2,180,225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4,210,348</w:t>
            </w:r>
          </w:p>
        </w:tc>
      </w:tr>
      <w:tr>
        <w:trPr>
          <w:trHeight w:val="171"/>
        </w:trPr>
        <w:tc>
          <w:tcPr>
            <w:tcW w:w="516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2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16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21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1"/>
        </w:trPr>
        <w:tc>
          <w:tcPr>
            <w:tcW w:w="516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21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148"/>
          </w:cols>
          <w:pgMar w:left="311" w:top="970"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65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8"/>
              </w:rPr>
              <w:t>CECO ENVIRONMENTAL CORP.</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480" w:type="dxa"/>
            <w:vAlign w:val="bottom"/>
          </w:tcPr>
          <w:p>
            <w:pPr>
              <w:spacing w:after="0"/>
              <w:rPr>
                <w:sz w:val="24"/>
                <w:szCs w:val="24"/>
                <w:color w:val="auto"/>
              </w:rPr>
            </w:pPr>
          </w:p>
        </w:tc>
        <w:tc>
          <w:tcPr>
            <w:tcW w:w="65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8"/>
              </w:rPr>
              <w:t>NOTES TO CONSOLIDATED FINANCIAL STATEMENTS - CONTINUED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80" w:type="dxa"/>
            <w:vAlign w:val="bottom"/>
          </w:tcPr>
          <w:p>
            <w:pPr>
              <w:spacing w:after="0"/>
              <w:rPr>
                <w:sz w:val="14"/>
                <w:szCs w:val="14"/>
                <w:color w:val="auto"/>
              </w:rPr>
            </w:pPr>
          </w:p>
        </w:tc>
        <w:tc>
          <w:tcPr>
            <w:tcW w:w="65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8"/>
              </w:rPr>
              <w:t>FOR THE YEARS ENDED DECEMBER 31, 1999 AND 1998</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8240" w:type="dxa"/>
            <w:vAlign w:val="bottom"/>
            <w:gridSpan w:val="4"/>
          </w:tcPr>
          <w:p>
            <w:pPr>
              <w:spacing w:after="0"/>
              <w:rPr>
                <w:sz w:val="20"/>
                <w:szCs w:val="20"/>
                <w:color w:val="auto"/>
              </w:rPr>
            </w:pPr>
            <w:r>
              <w:rPr>
                <w:rFonts w:ascii="Courier New" w:cs="Courier New" w:eastAsia="Courier New" w:hAnsi="Courier New"/>
                <w:sz w:val="15"/>
                <w:szCs w:val="15"/>
                <w:color w:val="auto"/>
              </w:rPr>
              <w:t>- - --------------------------------------------------------------------------------</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12"/>
        </w:trPr>
        <w:tc>
          <w:tcPr>
            <w:tcW w:w="48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Discontinued Operations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1"/>
        </w:trPr>
        <w:tc>
          <w:tcPr>
            <w:tcW w:w="480" w:type="dxa"/>
            <w:vAlign w:val="bottom"/>
          </w:tcPr>
          <w:p>
            <w:pPr>
              <w:spacing w:after="0"/>
              <w:rPr>
                <w:sz w:val="24"/>
                <w:szCs w:val="2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During March, 1998, pursuant to an Asset Purchase Agreement, the</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w w:val="98"/>
              </w:rPr>
              <w:t>Company acquired substantially all of the assets, and the business, of</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Integrated Facilities Management, Inc. ("IFM") for $150,000 in cash.</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The acquisition was accounted for as a purchase. The excess of the</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w w:val="99"/>
              </w:rPr>
              <w:t>aggregate purchase price over the fair market value of the net assets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w w:val="99"/>
              </w:rPr>
              <w:t>acquired of approximately $171,000 was being amortized over 40 years.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w w:val="98"/>
              </w:rPr>
              <w:t>The Asset Purchase Agreement provided that, notwithstanding the actual</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w w:val="99"/>
              </w:rPr>
              <w:t>closing date, the closing was deemed to be effective as of January 1,</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w w:val="98"/>
              </w:rPr>
              <w:t>1998 and the consolidated statement of operations, therefore, includes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the operations of IFM since January 1, 1998.</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480" w:type="dxa"/>
            <w:vAlign w:val="bottom"/>
          </w:tcPr>
          <w:p>
            <w:pPr>
              <w:spacing w:after="0"/>
              <w:rPr>
                <w:sz w:val="24"/>
                <w:szCs w:val="2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w w:val="98"/>
              </w:rPr>
              <w:t>On March 31, 1999, the Company sold the contracts and customer list of</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IFM for $250,000. The sales price was paid through a non-interest</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w w:val="98"/>
              </w:rPr>
              <w:t>bearing promissory note from the purchaser. Monthly principal payments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w w:val="99"/>
              </w:rPr>
              <w:t>of $1,500 were to commence October 1, 1999 with a balloon payment for</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the balance due on April 1, 2007. At December 31, 1999, the note has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been fully reserved.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480" w:type="dxa"/>
            <w:vAlign w:val="bottom"/>
          </w:tcPr>
          <w:p>
            <w:pPr>
              <w:spacing w:after="0"/>
              <w:rPr>
                <w:sz w:val="24"/>
                <w:szCs w:val="2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w w:val="98"/>
              </w:rPr>
              <w:t>The following is a summary of operating activity for this discontinued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division and the loss recorded in 1999 from the disposal of this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division:</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4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3"/>
          </w:tcPr>
          <w:p>
            <w:pPr>
              <w:jc w:val="right"/>
              <w:ind w:right="80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9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480" w:type="dxa"/>
            <w:vAlign w:val="bottom"/>
          </w:tcPr>
          <w:p>
            <w:pPr>
              <w:spacing w:after="0"/>
              <w:rPr>
                <w:sz w:val="24"/>
                <w:szCs w:val="2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Revenues</w:t>
            </w:r>
          </w:p>
        </w:tc>
        <w:tc>
          <w:tcPr>
            <w:tcW w:w="220" w:type="dxa"/>
            <w:vAlign w:val="bottom"/>
          </w:tcPr>
          <w:p>
            <w:pPr>
              <w:spacing w:after="0"/>
              <w:rPr>
                <w:sz w:val="24"/>
                <w:szCs w:val="2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$387,656</w:t>
            </w:r>
          </w:p>
        </w:tc>
        <w:tc>
          <w:tcPr>
            <w:tcW w:w="44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$4,628,329</w:t>
            </w: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Cost of revenues</w:t>
            </w:r>
          </w:p>
        </w:tc>
        <w:tc>
          <w:tcPr>
            <w:tcW w:w="2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(493,439)</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(4,433,667)</w:t>
            </w: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Selling and administrative</w:t>
            </w:r>
          </w:p>
        </w:tc>
        <w:tc>
          <w:tcPr>
            <w:tcW w:w="2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(422,985)</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(903,305)</w:t>
            </w: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(8,047)</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(36,070)</w:t>
            </w: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(4,878)</w:t>
            </w:r>
          </w:p>
        </w:tc>
      </w:tr>
      <w:tr>
        <w:trPr>
          <w:trHeight w:val="171"/>
        </w:trPr>
        <w:tc>
          <w:tcPr>
            <w:tcW w:w="4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80" w:type="dxa"/>
            <w:vAlign w:val="bottom"/>
          </w:tcPr>
          <w:p>
            <w:pPr>
              <w:spacing w:after="0"/>
              <w:rPr>
                <w:sz w:val="24"/>
                <w:szCs w:val="2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Loss from operations of discontinued division</w:t>
            </w:r>
          </w:p>
        </w:tc>
        <w:tc>
          <w:tcPr>
            <w:tcW w:w="220" w:type="dxa"/>
            <w:vAlign w:val="bottom"/>
          </w:tcPr>
          <w:p>
            <w:pPr>
              <w:spacing w:after="0"/>
              <w:rPr>
                <w:sz w:val="24"/>
                <w:szCs w:val="2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(536,815)</w:t>
            </w:r>
          </w:p>
        </w:tc>
        <w:tc>
          <w:tcPr>
            <w:tcW w:w="4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(749,591)</w:t>
            </w:r>
          </w:p>
        </w:tc>
      </w:tr>
      <w:tr>
        <w:trPr>
          <w:trHeight w:val="171"/>
        </w:trPr>
        <w:tc>
          <w:tcPr>
            <w:tcW w:w="4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80" w:type="dxa"/>
            <w:vAlign w:val="bottom"/>
          </w:tcPr>
          <w:p>
            <w:pPr>
              <w:spacing w:after="0"/>
              <w:rPr>
                <w:sz w:val="24"/>
                <w:szCs w:val="2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Impairment of goodwill</w:t>
            </w:r>
          </w:p>
        </w:tc>
        <w:tc>
          <w:tcPr>
            <w:tcW w:w="220" w:type="dxa"/>
            <w:vAlign w:val="bottom"/>
          </w:tcPr>
          <w:p>
            <w:pPr>
              <w:spacing w:after="0"/>
              <w:rPr>
                <w:sz w:val="24"/>
                <w:szCs w:val="2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(166,932)</w:t>
            </w:r>
          </w:p>
        </w:tc>
        <w:tc>
          <w:tcPr>
            <w:tcW w:w="44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Disposition costs</w:t>
            </w:r>
          </w:p>
        </w:tc>
        <w:tc>
          <w:tcPr>
            <w:tcW w:w="2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(19,543)</w:t>
            </w:r>
          </w:p>
        </w:tc>
        <w:tc>
          <w:tcPr>
            <w:tcW w:w="4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80" w:type="dxa"/>
            <w:vAlign w:val="bottom"/>
          </w:tcPr>
          <w:p>
            <w:pPr>
              <w:spacing w:after="0"/>
              <w:rPr>
                <w:sz w:val="24"/>
                <w:szCs w:val="2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Loss from disposal of discontinued division</w:t>
            </w:r>
          </w:p>
        </w:tc>
        <w:tc>
          <w:tcPr>
            <w:tcW w:w="220" w:type="dxa"/>
            <w:vAlign w:val="bottom"/>
          </w:tcPr>
          <w:p>
            <w:pPr>
              <w:spacing w:after="0"/>
              <w:rPr>
                <w:sz w:val="24"/>
                <w:szCs w:val="2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(186,475)</w:t>
            </w:r>
          </w:p>
        </w:tc>
        <w:tc>
          <w:tcPr>
            <w:tcW w:w="44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80" w:type="dxa"/>
            <w:vAlign w:val="bottom"/>
          </w:tcPr>
          <w:p>
            <w:pPr>
              <w:spacing w:after="0"/>
              <w:rPr>
                <w:sz w:val="24"/>
                <w:szCs w:val="2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Income tax benefit</w:t>
            </w:r>
          </w:p>
        </w:tc>
        <w:tc>
          <w:tcPr>
            <w:tcW w:w="220" w:type="dxa"/>
            <w:vAlign w:val="bottom"/>
          </w:tcPr>
          <w:p>
            <w:pPr>
              <w:spacing w:after="0"/>
              <w:rPr>
                <w:sz w:val="24"/>
                <w:szCs w:val="2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179,900</w:t>
            </w:r>
          </w:p>
        </w:tc>
        <w:tc>
          <w:tcPr>
            <w:tcW w:w="44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299,800</w:t>
            </w: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Minority interest</w:t>
            </w:r>
          </w:p>
        </w:tc>
        <w:tc>
          <w:tcPr>
            <w:tcW w:w="22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33,989</w:t>
            </w:r>
          </w:p>
        </w:tc>
        <w:tc>
          <w:tcPr>
            <w:tcW w:w="4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37,239</w:t>
            </w:r>
          </w:p>
        </w:tc>
      </w:tr>
      <w:tr>
        <w:trPr>
          <w:trHeight w:val="171"/>
        </w:trPr>
        <w:tc>
          <w:tcPr>
            <w:tcW w:w="4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($ 509,401)</w:t>
            </w:r>
          </w:p>
        </w:tc>
        <w:tc>
          <w:tcPr>
            <w:tcW w:w="4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($412,552)</w:t>
            </w:r>
          </w:p>
        </w:tc>
      </w:tr>
      <w:tr>
        <w:trPr>
          <w:trHeight w:val="171"/>
        </w:trPr>
        <w:tc>
          <w:tcPr>
            <w:tcW w:w="4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480" w:type="dxa"/>
            <w:vAlign w:val="bottom"/>
          </w:tcPr>
          <w:p>
            <w:pPr>
              <w:spacing w:after="0"/>
              <w:rPr>
                <w:sz w:val="24"/>
                <w:szCs w:val="2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The following is a summary of the balance sheet information for this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7000" w:type="dxa"/>
            <w:vAlign w:val="bottom"/>
            <w:gridSpan w:val="2"/>
          </w:tcPr>
          <w:p>
            <w:pPr>
              <w:spacing w:after="0"/>
              <w:rPr>
                <w:sz w:val="20"/>
                <w:szCs w:val="20"/>
                <w:color w:val="auto"/>
              </w:rPr>
            </w:pPr>
            <w:r>
              <w:rPr>
                <w:rFonts w:ascii="Courier New" w:cs="Courier New" w:eastAsia="Courier New" w:hAnsi="Courier New"/>
                <w:sz w:val="15"/>
                <w:szCs w:val="15"/>
                <w:color w:val="auto"/>
              </w:rPr>
              <w:t>discontinued division:</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4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3"/>
          </w:tcPr>
          <w:p>
            <w:pPr>
              <w:jc w:val="right"/>
              <w:ind w:right="80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9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512"/>
        </w:trPr>
        <w:tc>
          <w:tcPr>
            <w:tcW w:w="480" w:type="dxa"/>
            <w:vAlign w:val="bottom"/>
          </w:tcPr>
          <w:p>
            <w:pPr>
              <w:spacing w:after="0"/>
              <w:rPr>
                <w:sz w:val="24"/>
                <w:szCs w:val="2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$1,332,463</w:t>
            </w: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Property and equipment, net</w:t>
            </w:r>
          </w:p>
        </w:tc>
        <w:tc>
          <w:tcPr>
            <w:tcW w:w="22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233,740</w:t>
            </w: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166,932</w:t>
            </w:r>
          </w:p>
        </w:tc>
      </w:tr>
      <w:tr>
        <w:trPr>
          <w:trHeight w:val="171"/>
        </w:trPr>
        <w:tc>
          <w:tcPr>
            <w:tcW w:w="480" w:type="dxa"/>
            <w:vAlign w:val="bottom"/>
          </w:tcPr>
          <w:p>
            <w:pPr>
              <w:spacing w:after="0"/>
              <w:rPr>
                <w:sz w:val="14"/>
                <w:szCs w:val="1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(306,513)</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(992,384)</w:t>
            </w:r>
          </w:p>
        </w:tc>
      </w:tr>
      <w:tr>
        <w:trPr>
          <w:trHeight w:val="171"/>
        </w:trPr>
        <w:tc>
          <w:tcPr>
            <w:tcW w:w="4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480" w:type="dxa"/>
            <w:vAlign w:val="bottom"/>
          </w:tcPr>
          <w:p>
            <w:pPr>
              <w:spacing w:after="0"/>
              <w:rPr>
                <w:sz w:val="24"/>
                <w:szCs w:val="24"/>
                <w:color w:val="auto"/>
              </w:rPr>
            </w:pPr>
          </w:p>
        </w:tc>
        <w:tc>
          <w:tcPr>
            <w:tcW w:w="6520" w:type="dxa"/>
            <w:vAlign w:val="bottom"/>
          </w:tcPr>
          <w:p>
            <w:pPr>
              <w:ind w:left="300"/>
              <w:spacing w:after="0"/>
              <w:rPr>
                <w:sz w:val="20"/>
                <w:szCs w:val="20"/>
                <w:color w:val="auto"/>
              </w:rPr>
            </w:pPr>
            <w:r>
              <w:rPr>
                <w:rFonts w:ascii="Courier New" w:cs="Courier New" w:eastAsia="Courier New" w:hAnsi="Courier New"/>
                <w:sz w:val="15"/>
                <w:szCs w:val="15"/>
                <w:color w:val="auto"/>
              </w:rPr>
              <w:t>Net assets (liabilities) of discontinued operations</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($ 306,513)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740,751</w:t>
            </w:r>
          </w:p>
        </w:tc>
      </w:tr>
      <w:tr>
        <w:trPr>
          <w:trHeight w:val="171"/>
        </w:trPr>
        <w:tc>
          <w:tcPr>
            <w:tcW w:w="4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853"/>
        </w:trPr>
        <w:tc>
          <w:tcPr>
            <w:tcW w:w="480" w:type="dxa"/>
            <w:vAlign w:val="bottom"/>
          </w:tcPr>
          <w:p>
            <w:pPr>
              <w:spacing w:after="0"/>
              <w:rPr>
                <w:sz w:val="24"/>
                <w:szCs w:val="24"/>
                <w:color w:val="auto"/>
              </w:rPr>
            </w:pPr>
          </w:p>
        </w:tc>
        <w:tc>
          <w:tcPr>
            <w:tcW w:w="6520" w:type="dxa"/>
            <w:vAlign w:val="bottom"/>
          </w:tcPr>
          <w:p>
            <w:pPr>
              <w:jc w:val="center"/>
              <w:ind w:right="326"/>
              <w:spacing w:after="0"/>
              <w:rPr>
                <w:sz w:val="20"/>
                <w:szCs w:val="20"/>
                <w:color w:val="auto"/>
              </w:rPr>
            </w:pPr>
            <w:r>
              <w:rPr>
                <w:rFonts w:ascii="Courier New" w:cs="Courier New" w:eastAsia="Courier New" w:hAnsi="Courier New"/>
                <w:sz w:val="15"/>
                <w:szCs w:val="15"/>
                <w:color w:val="auto"/>
              </w:rPr>
              <w:t>F-13</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139"/>
          </w:cols>
          <w:pgMar w:left="320" w:top="970" w:right="1440" w:bottom="625" w:gutter="0" w:footer="0" w:header="0"/>
        </w:sectPr>
      </w:pPr>
    </w:p>
    <w:bookmarkStart w:id="59" w:name="page60"/>
    <w:bookmarkEnd w:id="59"/>
    <w:p>
      <w:pPr>
        <w:jc w:val="center"/>
        <w:ind w:right="3030"/>
        <w:spacing w:after="0"/>
        <w:rPr>
          <w:sz w:val="20"/>
          <w:szCs w:val="20"/>
          <w:color w:val="auto"/>
        </w:rPr>
      </w:pPr>
      <w:r>
        <w:rPr>
          <w:rFonts w:ascii="Courier New" w:cs="Courier New" w:eastAsia="Courier New" w:hAnsi="Courier New"/>
          <w:sz w:val="15"/>
          <w:szCs w:val="15"/>
          <w:color w:val="auto"/>
        </w:rPr>
        <w:t>CECO ENVIRONMENTAL CORP.</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FOR THE YEARS ENDED DECEMBER 31, 1999 AND 1998</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89" w:hanging="789"/>
        <w:spacing w:after="0"/>
        <w:tabs>
          <w:tab w:leader="none" w:pos="78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w:t>
      </w:r>
    </w:p>
    <w:p>
      <w:pPr>
        <w:spacing w:after="0" w:line="171"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of financial instruments:</w:t>
      </w:r>
    </w:p>
    <w:p>
      <w:pPr>
        <w:sectPr>
          <w:pgSz w:w="11900" w:h="16838" w:orient="portrait"/>
          <w:cols w:equalWidth="0" w:num="1">
            <w:col w:w="10148"/>
          </w:cols>
          <w:pgMar w:left="311" w:top="7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29"/>
        <w:spacing w:after="0"/>
        <w:rPr>
          <w:sz w:val="20"/>
          <w:szCs w:val="20"/>
          <w:color w:val="auto"/>
        </w:rPr>
      </w:pPr>
      <w:r>
        <w:rPr>
          <w:rFonts w:ascii="Courier New" w:cs="Courier New" w:eastAsia="Courier New" w:hAnsi="Courier New"/>
          <w:sz w:val="15"/>
          <w:szCs w:val="15"/>
          <w:color w:val="auto"/>
        </w:rPr>
        <w:t>1999</w:t>
      </w:r>
    </w:p>
    <w:p>
      <w:pPr>
        <w:spacing w:after="0" w:line="3" w:lineRule="exact"/>
        <w:rPr>
          <w:sz w:val="20"/>
          <w:szCs w:val="20"/>
          <w:color w:val="auto"/>
        </w:rPr>
      </w:pPr>
    </w:p>
    <w:p>
      <w:pPr>
        <w:ind w:left="45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429"/>
        <w:spacing w:after="0"/>
        <w:tabs>
          <w:tab w:leader="none" w:pos="5829" w:val="left"/>
        </w:tabs>
        <w:rPr>
          <w:sz w:val="20"/>
          <w:szCs w:val="20"/>
          <w:color w:val="auto"/>
        </w:rPr>
      </w:pP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p>
    <w:p>
      <w:pPr>
        <w:spacing w:after="0" w:line="1" w:lineRule="exact"/>
        <w:rPr>
          <w:sz w:val="20"/>
          <w:szCs w:val="20"/>
          <w:color w:val="auto"/>
        </w:rPr>
      </w:pPr>
    </w:p>
    <w:p>
      <w:pPr>
        <w:ind w:left="4529"/>
        <w:spacing w:after="0"/>
        <w:tabs>
          <w:tab w:leader="none" w:pos="5829"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VALUE</w:t>
      </w:r>
    </w:p>
    <w:p>
      <w:pPr>
        <w:spacing w:after="0" w:line="3" w:lineRule="exact"/>
        <w:rPr>
          <w:sz w:val="20"/>
          <w:szCs w:val="20"/>
          <w:color w:val="auto"/>
        </w:rPr>
      </w:pPr>
    </w:p>
    <w:p>
      <w:pPr>
        <w:ind w:left="4429"/>
        <w:spacing w:after="0"/>
        <w:tabs>
          <w:tab w:leader="none" w:pos="574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p>
    <w:p>
      <w:pPr>
        <w:spacing w:after="0" w:line="3" w:lineRule="exact"/>
        <w:rPr>
          <w:sz w:val="20"/>
          <w:szCs w:val="20"/>
          <w:color w:val="auto"/>
        </w:rPr>
      </w:pPr>
    </w:p>
    <w:p>
      <w:pPr>
        <w:ind w:left="180"/>
        <w:spacing w:after="0"/>
        <w:tabs>
          <w:tab w:leader="none" w:pos="150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VALUE</w:t>
      </w:r>
    </w:p>
    <w:p>
      <w:pPr>
        <w:spacing w:after="0" w:line="1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6729" w:space="720"/>
            <w:col w:w="2699"/>
          </w:cols>
          <w:pgMar w:left="311" w:top="799" w:right="1440" w:bottom="1440" w:gutter="0" w:footer="0" w:header="0"/>
          <w:type w:val="continuous"/>
        </w:sectPr>
      </w:pPr>
    </w:p>
    <w:p>
      <w:pPr>
        <w:spacing w:after="0" w:line="324" w:lineRule="exact"/>
        <w:rPr>
          <w:sz w:val="20"/>
          <w:szCs w:val="20"/>
          <w:color w:val="auto"/>
        </w:rPr>
      </w:pPr>
    </w:p>
    <w:p>
      <w:pPr>
        <w:ind w:left="789"/>
        <w:spacing w:after="0"/>
        <w:rPr>
          <w:sz w:val="20"/>
          <w:szCs w:val="20"/>
          <w:color w:val="auto"/>
        </w:rPr>
      </w:pPr>
      <w:r>
        <w:rPr>
          <w:rFonts w:ascii="Courier New" w:cs="Courier New" w:eastAsia="Courier New" w:hAnsi="Courier New"/>
          <w:sz w:val="14"/>
          <w:szCs w:val="14"/>
          <w:color w:val="auto"/>
        </w:rPr>
        <w:t>Financial assets:</w:t>
      </w:r>
    </w:p>
    <w:p>
      <w:pPr>
        <w:spacing w:after="0" w:line="9"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Cash and</w:t>
      </w:r>
    </w:p>
    <w:p>
      <w:pPr>
        <w:sectPr>
          <w:pgSz w:w="11900" w:h="16838" w:orient="portrait"/>
          <w:cols w:equalWidth="0" w:num="1">
            <w:col w:w="10148"/>
          </w:cols>
          <w:pgMar w:left="311" w:top="799" w:right="1440" w:bottom="1440" w:gutter="0" w:footer="0" w:header="0"/>
          <w:type w:val="continuous"/>
        </w:sectPr>
      </w:pPr>
    </w:p>
    <w:p>
      <w:pPr>
        <w:spacing w:after="0" w:line="1"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cash equivalents</w:t>
      </w:r>
    </w:p>
    <w:p>
      <w:pPr>
        <w:spacing w:after="0" w:line="3" w:lineRule="exact"/>
        <w:rPr>
          <w:sz w:val="20"/>
          <w:szCs w:val="20"/>
          <w:color w:val="auto"/>
        </w:rPr>
      </w:pPr>
    </w:p>
    <w:p>
      <w:pPr>
        <w:ind w:left="969"/>
        <w:spacing w:after="0"/>
        <w:rPr>
          <w:sz w:val="20"/>
          <w:szCs w:val="20"/>
          <w:color w:val="auto"/>
        </w:rPr>
      </w:pPr>
      <w:r>
        <w:rPr>
          <w:rFonts w:ascii="Courier New" w:cs="Courier New" w:eastAsia="Courier New" w:hAnsi="Courier New"/>
          <w:sz w:val="14"/>
          <w:szCs w:val="14"/>
          <w:color w:val="auto"/>
        </w:rPr>
        <w:t>Marketable securities</w:t>
      </w:r>
    </w:p>
    <w:p>
      <w:pPr>
        <w:spacing w:after="0" w:line="20" w:lineRule="exact"/>
        <w:rPr>
          <w:sz w:val="20"/>
          <w:szCs w:val="20"/>
          <w:color w:val="auto"/>
        </w:rPr>
      </w:pPr>
      <w:r>
        <w:rPr>
          <w:sz w:val="20"/>
          <w:szCs w:val="20"/>
          <w:color w:val="auto"/>
        </w:rPr>
        <w:br w:type="column"/>
      </w:r>
    </w:p>
    <w:p>
      <w:pPr>
        <w:jc w:val="both"/>
        <w:spacing w:after="0"/>
        <w:tabs>
          <w:tab w:leader="none" w:pos="260" w:val="left"/>
        </w:tabs>
        <w:rPr>
          <w:sz w:val="20"/>
          <w:szCs w:val="20"/>
          <w:color w:val="auto"/>
        </w:rPr>
      </w:pPr>
      <w:r>
        <w:rPr>
          <w:rFonts w:ascii="Courier New" w:cs="Courier New" w:eastAsia="Courier New" w:hAnsi="Courier New"/>
          <w:sz w:val="15"/>
          <w:szCs w:val="15"/>
          <w:color w:val="auto"/>
        </w:rPr>
        <w:t>$</w:t>
        <w:tab/>
        <w:t>1,134,792</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2,690,919</w:t>
      </w:r>
    </w:p>
    <w:p>
      <w:pPr>
        <w:spacing w:after="0" w:line="20" w:lineRule="exact"/>
        <w:rPr>
          <w:sz w:val="20"/>
          <w:szCs w:val="20"/>
          <w:color w:val="auto"/>
        </w:rPr>
      </w:pPr>
      <w:r>
        <w:rPr>
          <w:sz w:val="20"/>
          <w:szCs w:val="20"/>
          <w:color w:val="auto"/>
        </w:rPr>
        <w:br w:type="column"/>
      </w:r>
    </w:p>
    <w:p>
      <w:pPr>
        <w:jc w:val="both"/>
        <w:spacing w:after="0"/>
        <w:tabs>
          <w:tab w:leader="none" w:pos="260" w:val="left"/>
        </w:tabs>
        <w:rPr>
          <w:sz w:val="20"/>
          <w:szCs w:val="20"/>
          <w:color w:val="auto"/>
        </w:rPr>
      </w:pPr>
      <w:r>
        <w:rPr>
          <w:rFonts w:ascii="Courier New" w:cs="Courier New" w:eastAsia="Courier New" w:hAnsi="Courier New"/>
          <w:sz w:val="15"/>
          <w:szCs w:val="15"/>
          <w:color w:val="auto"/>
        </w:rPr>
        <w:t>$</w:t>
        <w:tab/>
        <w:t>1,134,792</w:t>
      </w:r>
    </w:p>
    <w:p>
      <w:pPr>
        <w:spacing w:after="0" w:line="1" w:lineRule="exact"/>
        <w:rPr>
          <w:sz w:val="20"/>
          <w:szCs w:val="20"/>
          <w:color w:val="auto"/>
        </w:rPr>
      </w:pPr>
    </w:p>
    <w:p>
      <w:pPr>
        <w:jc w:val="right"/>
        <w:ind w:right="60"/>
        <w:spacing w:after="0"/>
        <w:rPr>
          <w:sz w:val="20"/>
          <w:szCs w:val="20"/>
          <w:color w:val="auto"/>
        </w:rPr>
      </w:pPr>
      <w:r>
        <w:rPr>
          <w:rFonts w:ascii="Courier New" w:cs="Courier New" w:eastAsia="Courier New" w:hAnsi="Courier New"/>
          <w:sz w:val="15"/>
          <w:szCs w:val="15"/>
          <w:color w:val="auto"/>
        </w:rPr>
        <w:t>2,690,919</w:t>
      </w:r>
    </w:p>
    <w:p>
      <w:pPr>
        <w:spacing w:after="0" w:line="20" w:lineRule="exact"/>
        <w:rPr>
          <w:sz w:val="20"/>
          <w:szCs w:val="20"/>
          <w:color w:val="auto"/>
        </w:rPr>
      </w:pPr>
      <w:r>
        <w:rPr>
          <w:sz w:val="20"/>
          <w:szCs w:val="20"/>
          <w:color w:val="auto"/>
        </w:rPr>
        <w:br w:type="column"/>
      </w:r>
    </w:p>
    <w:p>
      <w:pPr>
        <w:jc w:val="both"/>
        <w:spacing w:after="0"/>
        <w:tabs>
          <w:tab w:leader="none" w:pos="340" w:val="left"/>
        </w:tabs>
        <w:rPr>
          <w:sz w:val="20"/>
          <w:szCs w:val="20"/>
          <w:color w:val="auto"/>
        </w:rPr>
      </w:pPr>
      <w:r>
        <w:rPr>
          <w:rFonts w:ascii="Courier New" w:cs="Courier New" w:eastAsia="Courier New" w:hAnsi="Courier New"/>
          <w:sz w:val="15"/>
          <w:szCs w:val="15"/>
          <w:color w:val="auto"/>
        </w:rPr>
        <w:t>$</w:t>
        <w:tab/>
        <w:t>364,648</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695,944</w:t>
      </w:r>
    </w:p>
    <w:p>
      <w:pPr>
        <w:spacing w:after="0" w:line="20" w:lineRule="exact"/>
        <w:rPr>
          <w:sz w:val="20"/>
          <w:szCs w:val="20"/>
          <w:color w:val="auto"/>
        </w:rPr>
      </w:pPr>
      <w:r>
        <w:rPr>
          <w:sz w:val="20"/>
          <w:szCs w:val="20"/>
          <w:color w:val="auto"/>
        </w:rPr>
        <w:br w:type="column"/>
      </w:r>
    </w:p>
    <w:p>
      <w:pPr>
        <w:jc w:val="both"/>
        <w:ind w:right="559" w:hanging="359"/>
        <w:spacing w:after="0" w:line="271" w:lineRule="auto"/>
        <w:rPr>
          <w:sz w:val="20"/>
          <w:szCs w:val="20"/>
          <w:color w:val="auto"/>
        </w:rPr>
      </w:pPr>
      <w:r>
        <w:rPr>
          <w:rFonts w:ascii="Courier New" w:cs="Courier New" w:eastAsia="Courier New" w:hAnsi="Courier New"/>
          <w:sz w:val="14"/>
          <w:szCs w:val="14"/>
          <w:color w:val="auto"/>
        </w:rPr>
        <w:t>$</w:t>
      </w:r>
      <w:r>
        <w:rPr>
          <w:sz w:val="20"/>
          <w:szCs w:val="20"/>
          <w:color w:val="auto"/>
        </w:rPr>
        <w:t xml:space="preserve"> </w:t>
      </w:r>
      <w:r>
        <w:rPr>
          <w:rFonts w:ascii="Courier New" w:cs="Courier New" w:eastAsia="Courier New" w:hAnsi="Courier New"/>
          <w:sz w:val="14"/>
          <w:szCs w:val="14"/>
          <w:color w:val="auto"/>
        </w:rPr>
        <w:t>364,648 695,944</w:t>
      </w:r>
    </w:p>
    <w:p>
      <w:pPr>
        <w:spacing w:after="0" w:line="154" w:lineRule="exact"/>
        <w:rPr>
          <w:sz w:val="20"/>
          <w:szCs w:val="20"/>
          <w:color w:val="auto"/>
        </w:rPr>
      </w:pPr>
    </w:p>
    <w:p>
      <w:pPr>
        <w:sectPr>
          <w:pgSz w:w="11900" w:h="16838" w:orient="portrait"/>
          <w:cols w:equalWidth="0" w:num="5">
            <w:col w:w="3269" w:space="720"/>
            <w:col w:w="1080" w:space="340"/>
            <w:col w:w="1140" w:space="720"/>
            <w:col w:w="980" w:space="720"/>
            <w:col w:w="1179"/>
          </w:cols>
          <w:pgMar w:left="311" w:top="799" w:right="1440" w:bottom="1440" w:gutter="0" w:footer="0" w:header="0"/>
          <w:type w:val="continuous"/>
        </w:sectPr>
      </w:pPr>
    </w:p>
    <w:p>
      <w:pPr>
        <w:ind w:left="789"/>
        <w:spacing w:after="0"/>
        <w:rPr>
          <w:sz w:val="20"/>
          <w:szCs w:val="20"/>
          <w:color w:val="auto"/>
        </w:rPr>
      </w:pPr>
      <w:r>
        <w:rPr>
          <w:rFonts w:ascii="Courier New" w:cs="Courier New" w:eastAsia="Courier New" w:hAnsi="Courier New"/>
          <w:sz w:val="14"/>
          <w:szCs w:val="14"/>
          <w:color w:val="auto"/>
        </w:rPr>
        <w:t>Financial liabilities:</w:t>
      </w:r>
    </w:p>
    <w:p>
      <w:pPr>
        <w:sectPr>
          <w:pgSz w:w="11900" w:h="16838" w:orient="portrait"/>
          <w:cols w:equalWidth="0" w:num="1">
            <w:col w:w="10148"/>
          </w:cols>
          <w:pgMar w:left="311" w:top="799" w:right="1440" w:bottom="1440" w:gutter="0" w:footer="0" w:header="0"/>
          <w:type w:val="continuous"/>
        </w:sectPr>
      </w:pPr>
    </w:p>
    <w:p>
      <w:pPr>
        <w:spacing w:after="0" w:line="12" w:lineRule="exact"/>
        <w:rPr>
          <w:sz w:val="20"/>
          <w:szCs w:val="20"/>
          <w:color w:val="auto"/>
        </w:rPr>
      </w:pPr>
    </w:p>
    <w:p>
      <w:pPr>
        <w:ind w:left="969"/>
        <w:spacing w:after="0"/>
        <w:rPr>
          <w:sz w:val="20"/>
          <w:szCs w:val="20"/>
          <w:color w:val="auto"/>
        </w:rPr>
      </w:pPr>
      <w:r>
        <w:rPr>
          <w:rFonts w:ascii="Courier New" w:cs="Courier New" w:eastAsia="Courier New" w:hAnsi="Courier New"/>
          <w:sz w:val="14"/>
          <w:szCs w:val="14"/>
          <w:color w:val="auto"/>
        </w:rPr>
        <w:t>Debt obligations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31,077,734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31,017,922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3,154,862</w:t>
      </w:r>
    </w:p>
    <w:p>
      <w:pPr>
        <w:spacing w:after="0" w:line="20" w:lineRule="exact"/>
        <w:rPr>
          <w:sz w:val="20"/>
          <w:szCs w:val="20"/>
          <w:color w:val="auto"/>
        </w:rPr>
      </w:pPr>
      <w:r>
        <w:rPr>
          <w:sz w:val="20"/>
          <w:szCs w:val="20"/>
          <w:color w:val="auto"/>
        </w:rPr>
        <w:br w:type="column"/>
      </w:r>
    </w:p>
    <w:p>
      <w:pPr>
        <w:jc w:val="center"/>
        <w:ind w:right="559"/>
        <w:spacing w:after="0"/>
        <w:rPr>
          <w:sz w:val="20"/>
          <w:szCs w:val="20"/>
          <w:color w:val="auto"/>
        </w:rPr>
      </w:pPr>
      <w:r>
        <w:rPr>
          <w:rFonts w:ascii="Courier New" w:cs="Courier New" w:eastAsia="Courier New" w:hAnsi="Courier New"/>
          <w:sz w:val="14"/>
          <w:szCs w:val="14"/>
          <w:color w:val="auto"/>
        </w:rPr>
        <w:t>3,046,759</w:t>
      </w:r>
    </w:p>
    <w:p>
      <w:pPr>
        <w:spacing w:after="0" w:line="208" w:lineRule="exact"/>
        <w:rPr>
          <w:sz w:val="20"/>
          <w:szCs w:val="20"/>
          <w:color w:val="auto"/>
        </w:rPr>
      </w:pPr>
    </w:p>
    <w:p>
      <w:pPr>
        <w:sectPr>
          <w:pgSz w:w="11900" w:h="16838" w:orient="portrait"/>
          <w:cols w:equalWidth="0" w:num="5">
            <w:col w:w="3449" w:space="720"/>
            <w:col w:w="900" w:space="520"/>
            <w:col w:w="1140" w:space="720"/>
            <w:col w:w="800" w:space="540"/>
            <w:col w:w="1359"/>
          </w:cols>
          <w:pgMar w:left="311" w:top="79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89" w:right="3039"/>
        <w:spacing w:after="0"/>
        <w:rPr>
          <w:sz w:val="20"/>
          <w:szCs w:val="20"/>
          <w:color w:val="auto"/>
        </w:rPr>
      </w:pPr>
      <w:r>
        <w:rPr>
          <w:rFonts w:ascii="Courier New" w:cs="Courier New" w:eastAsia="Courier New" w:hAnsi="Courier New"/>
          <w:sz w:val="15"/>
          <w:szCs w:val="15"/>
          <w:color w:val="auto"/>
        </w:rPr>
        <w:t>The fair values of cash and cash equivalents are assumed to be equal to their reported carrying amounts. Most of the debt obligations are also assumed to be equal to their reported carrying amounts based on future payments discounted at current interest rates for similar obligations or interest rates which fluctuate with the market.</w:t>
      </w:r>
    </w:p>
    <w:p>
      <w:pPr>
        <w:spacing w:after="0" w:line="175" w:lineRule="exact"/>
        <w:rPr>
          <w:sz w:val="20"/>
          <w:szCs w:val="20"/>
          <w:color w:val="auto"/>
        </w:rPr>
      </w:pPr>
    </w:p>
    <w:p>
      <w:pPr>
        <w:ind w:left="789" w:right="3399"/>
        <w:spacing w:after="0" w:line="238" w:lineRule="auto"/>
        <w:rPr>
          <w:sz w:val="20"/>
          <w:szCs w:val="20"/>
          <w:color w:val="auto"/>
        </w:rPr>
      </w:pPr>
      <w:r>
        <w:rPr>
          <w:rFonts w:ascii="Courier New" w:cs="Courier New" w:eastAsia="Courier New" w:hAnsi="Courier New"/>
          <w:sz w:val="15"/>
          <w:szCs w:val="15"/>
          <w:color w:val="auto"/>
        </w:rPr>
        <w:t>Valuations for marketable securities are determined based on quoted market prices.</w:t>
      </w:r>
    </w:p>
    <w:p>
      <w:pPr>
        <w:spacing w:after="0" w:line="175" w:lineRule="exact"/>
        <w:rPr>
          <w:sz w:val="20"/>
          <w:szCs w:val="20"/>
          <w:color w:val="auto"/>
        </w:rPr>
      </w:pPr>
    </w:p>
    <w:p>
      <w:pPr>
        <w:ind w:left="789" w:right="3759"/>
        <w:spacing w:after="0" w:line="238" w:lineRule="auto"/>
        <w:rPr>
          <w:sz w:val="20"/>
          <w:szCs w:val="20"/>
          <w:color w:val="auto"/>
        </w:rPr>
      </w:pPr>
      <w:r>
        <w:rPr>
          <w:rFonts w:ascii="Courier New" w:cs="Courier New" w:eastAsia="Courier New" w:hAnsi="Courier New"/>
          <w:sz w:val="15"/>
          <w:szCs w:val="15"/>
          <w:color w:val="auto"/>
        </w:rPr>
        <w:t>The Company does not hold any financial instruments for trading purposes, other than marketable securities.</w:t>
      </w:r>
    </w:p>
    <w:p>
      <w:pPr>
        <w:spacing w:after="0" w:line="175" w:lineRule="exact"/>
        <w:rPr>
          <w:sz w:val="20"/>
          <w:szCs w:val="20"/>
          <w:color w:val="auto"/>
        </w:rPr>
      </w:pPr>
    </w:p>
    <w:p>
      <w:pPr>
        <w:ind w:left="789" w:right="3039"/>
        <w:spacing w:after="0" w:line="259" w:lineRule="auto"/>
        <w:rPr>
          <w:sz w:val="20"/>
          <w:szCs w:val="20"/>
          <w:color w:val="auto"/>
        </w:rPr>
      </w:pPr>
      <w:r>
        <w:rPr>
          <w:rFonts w:ascii="Courier New" w:cs="Courier New" w:eastAsia="Courier New" w:hAnsi="Courier New"/>
          <w:sz w:val="14"/>
          <w:szCs w:val="14"/>
          <w:color w:val="auto"/>
        </w:rPr>
        <w:t>The Company is exposed to market risk from changes in interest rates. The Company's policy is to manage interest rate cost using a mix of fixed and variable rate debt. To manage this mix in a cost-efficient manner, the Company may enter into interest rate swaps or other hedge type arrangements, in which the Company agrees to exchange, at specified intervals, the difference between fixed and variable interest amounts calculated by reference to an agreed-upon notional principal amount. The Company has entered into an interest rate swap agreement to convert variable rate debt to a fixed rate (see Note 11). Interest payments receivable and payable under the terms of the interest rate swap agreement are accrued over the period to which the payment relates and the net difference is treated as an adjustment of interest expense related to the underlying liability. Changes in the underlying market value of the remaining swap payments are recognized in income when the underlying liability being hedged is extinguished or partially extinguished to a level less than the notional amount of the interest rate swap. There were no market value losses accrued in 1999 and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148"/>
          </w:cols>
          <w:pgMar w:left="311" w:top="799" w:right="1440" w:bottom="1440" w:gutter="0" w:footer="0" w:header="0"/>
          <w:type w:val="continuous"/>
        </w:sectPr>
      </w:pPr>
    </w:p>
    <w:bookmarkStart w:id="60" w:name="page61"/>
    <w:bookmarkEnd w:id="60"/>
    <w:p>
      <w:pPr>
        <w:ind w:left="2489"/>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FOR THE YEARS ENDED DECEMBER 31, 1999 AND 1998</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345" w:lineRule="exact"/>
        <w:rPr>
          <w:sz w:val="20"/>
          <w:szCs w:val="20"/>
          <w:color w:val="auto"/>
        </w:rPr>
      </w:pPr>
    </w:p>
    <w:p>
      <w:pPr>
        <w:ind w:left="789" w:right="6419" w:hanging="789"/>
        <w:spacing w:after="0" w:line="516" w:lineRule="auto"/>
        <w:tabs>
          <w:tab w:leader="none" w:pos="789"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Instruments - Continued Concentrations of credit risk:</w:t>
      </w:r>
    </w:p>
    <w:p>
      <w:pPr>
        <w:ind w:left="789" w:right="303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Financial instruments that potentially subject the Company to credit risk consist principally of cash and accounts receivable. The Company maintains cash and cash equivalents with various major financial institutions. The Company performs periodic evaluations of the financial institutions in which its cash is invested. Concentrations of credit risk with respect to trade and contract receivables are limited due to the large number of customers and various geographic areas. Additionally, the Company performs ongoing credit evaluations of its customers' financial condition.</w:t>
      </w:r>
    </w:p>
    <w:p>
      <w:pPr>
        <w:spacing w:after="0" w:line="175" w:lineRule="exact"/>
        <w:rPr>
          <w:rFonts w:ascii="Courier New" w:cs="Courier New" w:eastAsia="Courier New" w:hAnsi="Courier New"/>
          <w:sz w:val="14"/>
          <w:szCs w:val="14"/>
          <w:color w:val="auto"/>
        </w:rPr>
      </w:pPr>
    </w:p>
    <w:p>
      <w:pPr>
        <w:ind w:left="789" w:hanging="789"/>
        <w:spacing w:after="0"/>
        <w:tabs>
          <w:tab w:leader="none" w:pos="78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w:t>
      </w:r>
    </w:p>
    <w:p>
      <w:pPr>
        <w:spacing w:after="0" w:line="342"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1999</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280" w:type="dxa"/>
            <w:vAlign w:val="bottom"/>
          </w:tcPr>
          <w:p>
            <w:pPr>
              <w:spacing w:after="0"/>
              <w:rPr>
                <w:sz w:val="14"/>
                <w:szCs w:val="14"/>
                <w:color w:val="auto"/>
              </w:rPr>
            </w:pPr>
          </w:p>
        </w:tc>
        <w:tc>
          <w:tcPr>
            <w:tcW w:w="31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4280" w:type="dxa"/>
            <w:vAlign w:val="bottom"/>
          </w:tcPr>
          <w:p>
            <w:pPr>
              <w:spacing w:after="0"/>
              <w:rPr>
                <w:sz w:val="20"/>
                <w:szCs w:val="20"/>
                <w:color w:val="auto"/>
              </w:rPr>
            </w:pPr>
            <w:r>
              <w:rPr>
                <w:rFonts w:ascii="Courier New" w:cs="Courier New" w:eastAsia="Courier New" w:hAnsi="Courier New"/>
                <w:sz w:val="15"/>
                <w:szCs w:val="15"/>
                <w:color w:val="auto"/>
              </w:rPr>
              <w:t>Trade receivables</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3,418,326</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$ 1,402,085</w:t>
            </w:r>
          </w:p>
        </w:tc>
      </w:tr>
      <w:tr>
        <w:trPr>
          <w:trHeight w:val="341"/>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Contract receivables</w:t>
            </w:r>
          </w:p>
        </w:tc>
        <w:tc>
          <w:tcPr>
            <w:tcW w:w="1860" w:type="dxa"/>
            <w:vAlign w:val="bottom"/>
          </w:tcPr>
          <w:p>
            <w:pPr>
              <w:spacing w:after="0"/>
              <w:rPr>
                <w:sz w:val="24"/>
                <w:szCs w:val="2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13,911,213</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2,666,555</w:t>
            </w:r>
          </w:p>
        </w:tc>
      </w:tr>
      <w:tr>
        <w:trPr>
          <w:trHeight w:val="341"/>
        </w:trPr>
        <w:tc>
          <w:tcPr>
            <w:tcW w:w="428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860" w:type="dxa"/>
            <w:vAlign w:val="bottom"/>
          </w:tcPr>
          <w:p>
            <w:pPr>
              <w:spacing w:after="0"/>
              <w:rPr>
                <w:sz w:val="24"/>
                <w:szCs w:val="2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(125,000)</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280" w:type="dxa"/>
            <w:vAlign w:val="bottom"/>
          </w:tcPr>
          <w:p>
            <w:pPr>
              <w:spacing w:after="0"/>
              <w:rPr>
                <w:sz w:val="14"/>
                <w:szCs w:val="14"/>
                <w:color w:val="auto"/>
              </w:rPr>
            </w:pPr>
          </w:p>
        </w:tc>
        <w:tc>
          <w:tcPr>
            <w:tcW w:w="31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2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17,204,539</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$4,068,640</w:t>
            </w:r>
          </w:p>
        </w:tc>
      </w:tr>
      <w:tr>
        <w:trPr>
          <w:trHeight w:val="171"/>
        </w:trPr>
        <w:tc>
          <w:tcPr>
            <w:tcW w:w="4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789" w:hanging="789"/>
        <w:spacing w:after="0"/>
        <w:tabs>
          <w:tab w:leader="none" w:pos="78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1"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consisted of the following at December 31:</w:t>
      </w:r>
    </w:p>
    <w:p>
      <w:pPr>
        <w:spacing w:after="0" w:line="342"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2000" w:type="dxa"/>
            <w:vAlign w:val="bottom"/>
          </w:tcPr>
          <w:p>
            <w:pPr>
              <w:spacing w:after="0"/>
              <w:rPr>
                <w:sz w:val="14"/>
                <w:szCs w:val="14"/>
                <w:color w:val="auto"/>
              </w:rPr>
            </w:pPr>
          </w:p>
        </w:tc>
        <w:tc>
          <w:tcPr>
            <w:tcW w:w="53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2000" w:type="dxa"/>
            <w:vAlign w:val="bottom"/>
          </w:tcPr>
          <w:p>
            <w:pPr>
              <w:spacing w:after="0"/>
              <w:rPr>
                <w:sz w:val="14"/>
                <w:szCs w:val="14"/>
                <w:color w:val="auto"/>
              </w:rPr>
            </w:pPr>
          </w:p>
        </w:tc>
        <w:tc>
          <w:tcPr>
            <w:tcW w:w="5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2000" w:type="dxa"/>
            <w:vAlign w:val="bottom"/>
          </w:tcPr>
          <w:p>
            <w:pPr>
              <w:spacing w:after="0"/>
              <w:rPr>
                <w:sz w:val="20"/>
                <w:szCs w:val="20"/>
                <w:color w:val="auto"/>
              </w:rPr>
            </w:pPr>
            <w:r>
              <w:rPr>
                <w:rFonts w:ascii="Courier New" w:cs="Courier New" w:eastAsia="Courier New" w:hAnsi="Courier New"/>
                <w:sz w:val="15"/>
                <w:szCs w:val="15"/>
                <w:color w:val="auto"/>
              </w:rPr>
              <w:t>Raw material</w:t>
            </w:r>
          </w:p>
        </w:tc>
        <w:tc>
          <w:tcPr>
            <w:tcW w:w="5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$1,328,175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$380,477</w:t>
            </w:r>
          </w:p>
        </w:tc>
      </w:tr>
      <w:tr>
        <w:trPr>
          <w:trHeight w:val="171"/>
        </w:trPr>
        <w:tc>
          <w:tcPr>
            <w:tcW w:w="200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5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626,033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46,742</w:t>
            </w:r>
          </w:p>
        </w:tc>
      </w:tr>
      <w:tr>
        <w:trPr>
          <w:trHeight w:val="171"/>
        </w:trPr>
        <w:tc>
          <w:tcPr>
            <w:tcW w:w="2000" w:type="dxa"/>
            <w:vAlign w:val="bottom"/>
          </w:tcPr>
          <w:p>
            <w:pPr>
              <w:spacing w:after="0"/>
              <w:rPr>
                <w:sz w:val="20"/>
                <w:szCs w:val="20"/>
                <w:color w:val="auto"/>
              </w:rPr>
            </w:pPr>
            <w:r>
              <w:rPr>
                <w:rFonts w:ascii="Courier New" w:cs="Courier New" w:eastAsia="Courier New" w:hAnsi="Courier New"/>
                <w:sz w:val="15"/>
                <w:szCs w:val="15"/>
                <w:color w:val="auto"/>
              </w:rPr>
              <w:t>Parts for resale</w:t>
            </w:r>
          </w:p>
        </w:tc>
        <w:tc>
          <w:tcPr>
            <w:tcW w:w="5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218,802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114,096</w:t>
            </w:r>
          </w:p>
        </w:tc>
      </w:tr>
      <w:tr>
        <w:trPr>
          <w:trHeight w:val="171"/>
        </w:trPr>
        <w:tc>
          <w:tcPr>
            <w:tcW w:w="2000" w:type="dxa"/>
            <w:vAlign w:val="bottom"/>
          </w:tcPr>
          <w:p>
            <w:pPr>
              <w:spacing w:after="0"/>
              <w:rPr>
                <w:sz w:val="14"/>
                <w:szCs w:val="14"/>
                <w:color w:val="auto"/>
              </w:rPr>
            </w:pPr>
          </w:p>
        </w:tc>
        <w:tc>
          <w:tcPr>
            <w:tcW w:w="5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000" w:type="dxa"/>
            <w:vAlign w:val="bottom"/>
          </w:tcPr>
          <w:p>
            <w:pPr>
              <w:spacing w:after="0"/>
              <w:rPr>
                <w:sz w:val="24"/>
                <w:szCs w:val="24"/>
                <w:color w:val="auto"/>
              </w:rPr>
            </w:pPr>
          </w:p>
        </w:tc>
        <w:tc>
          <w:tcPr>
            <w:tcW w:w="5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$2,173,010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$541,315</w:t>
            </w:r>
          </w:p>
        </w:tc>
      </w:tr>
      <w:tr>
        <w:trPr>
          <w:trHeight w:val="171"/>
        </w:trPr>
        <w:tc>
          <w:tcPr>
            <w:tcW w:w="2000" w:type="dxa"/>
            <w:vAlign w:val="bottom"/>
          </w:tcPr>
          <w:p>
            <w:pPr>
              <w:spacing w:after="0"/>
              <w:rPr>
                <w:sz w:val="14"/>
                <w:szCs w:val="14"/>
                <w:color w:val="auto"/>
              </w:rPr>
            </w:pPr>
          </w:p>
        </w:tc>
        <w:tc>
          <w:tcPr>
            <w:tcW w:w="5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2000" w:type="dxa"/>
            <w:vAlign w:val="bottom"/>
          </w:tcPr>
          <w:p>
            <w:pPr>
              <w:spacing w:after="0"/>
              <w:rPr>
                <w:sz w:val="24"/>
                <w:szCs w:val="24"/>
                <w:color w:val="auto"/>
              </w:rPr>
            </w:pPr>
          </w:p>
        </w:tc>
        <w:tc>
          <w:tcPr>
            <w:tcW w:w="5380" w:type="dxa"/>
            <w:vAlign w:val="bottom"/>
          </w:tcPr>
          <w:p>
            <w:pPr>
              <w:jc w:val="right"/>
              <w:ind w:right="4366"/>
              <w:spacing w:after="0"/>
              <w:rPr>
                <w:sz w:val="20"/>
                <w:szCs w:val="20"/>
                <w:color w:val="auto"/>
              </w:rPr>
            </w:pPr>
            <w:r>
              <w:rPr>
                <w:rFonts w:ascii="Courier New" w:cs="Courier New" w:eastAsia="Courier New" w:hAnsi="Courier New"/>
                <w:sz w:val="15"/>
                <w:szCs w:val="15"/>
                <w:color w:val="auto"/>
              </w:rPr>
              <w:t>F-15</w:t>
            </w:r>
          </w:p>
        </w:tc>
        <w:tc>
          <w:tcPr>
            <w:tcW w:w="1240" w:type="dxa"/>
            <w:vAlign w:val="bottom"/>
          </w:tcPr>
          <w:p>
            <w:pPr>
              <w:spacing w:after="0"/>
              <w:rPr>
                <w:sz w:val="24"/>
                <w:szCs w:val="24"/>
                <w:color w:val="auto"/>
              </w:rPr>
            </w:pPr>
          </w:p>
        </w:tc>
      </w:tr>
    </w:tbl>
    <w:p>
      <w:pPr>
        <w:sectPr>
          <w:pgSz w:w="11900" w:h="16838" w:orient="portrait"/>
          <w:cols w:equalWidth="0" w:num="1">
            <w:col w:w="10148"/>
          </w:cols>
          <w:pgMar w:left="311" w:top="628" w:right="1440"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77"/>
              </w:rPr>
              <w:t>8.</w:t>
            </w:r>
          </w:p>
        </w:tc>
        <w:tc>
          <w:tcPr>
            <w:tcW w:w="5680" w:type="dxa"/>
            <w:vAlign w:val="bottom"/>
          </w:tcPr>
          <w:p>
            <w:pPr>
              <w:ind w:left="300"/>
              <w:spacing w:after="0"/>
              <w:rPr>
                <w:sz w:val="20"/>
                <w:szCs w:val="20"/>
                <w:color w:val="auto"/>
              </w:rPr>
            </w:pPr>
            <w:r>
              <w:rPr>
                <w:rFonts w:ascii="Courier New" w:cs="Courier New" w:eastAsia="Courier New" w:hAnsi="Courier New"/>
                <w:sz w:val="15"/>
                <w:szCs w:val="15"/>
                <w:color w:val="auto"/>
              </w:rPr>
              <w:t>Costs and Estimated Earnings on Uncompleted Contracts</w:t>
            </w:r>
          </w:p>
        </w:tc>
        <w:tc>
          <w:tcPr>
            <w:tcW w:w="19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83"/>
        </w:trPr>
        <w:tc>
          <w:tcPr>
            <w:tcW w:w="4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9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1999</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9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480" w:type="dxa"/>
            <w:vAlign w:val="bottom"/>
          </w:tcPr>
          <w:p>
            <w:pPr>
              <w:spacing w:after="0"/>
              <w:rPr>
                <w:sz w:val="24"/>
                <w:szCs w:val="24"/>
                <w:color w:val="auto"/>
              </w:rPr>
            </w:pPr>
          </w:p>
        </w:tc>
        <w:tc>
          <w:tcPr>
            <w:tcW w:w="5680" w:type="dxa"/>
            <w:vAlign w:val="bottom"/>
          </w:tcPr>
          <w:p>
            <w:pPr>
              <w:ind w:left="300"/>
              <w:spacing w:after="0"/>
              <w:rPr>
                <w:sz w:val="20"/>
                <w:szCs w:val="20"/>
                <w:color w:val="auto"/>
              </w:rPr>
            </w:pPr>
            <w:r>
              <w:rPr>
                <w:rFonts w:ascii="Courier New" w:cs="Courier New" w:eastAsia="Courier New" w:hAnsi="Courier New"/>
                <w:sz w:val="15"/>
                <w:szCs w:val="15"/>
                <w:color w:val="auto"/>
              </w:rPr>
              <w:t>Costs incurred on uncompleted contracts</w:t>
            </w:r>
          </w:p>
        </w:tc>
        <w:tc>
          <w:tcPr>
            <w:tcW w:w="19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$8,684,263</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9,140,606</w:t>
            </w:r>
          </w:p>
        </w:tc>
      </w:tr>
      <w:tr>
        <w:trPr>
          <w:trHeight w:val="171"/>
        </w:trPr>
        <w:tc>
          <w:tcPr>
            <w:tcW w:w="480" w:type="dxa"/>
            <w:vAlign w:val="bottom"/>
          </w:tcPr>
          <w:p>
            <w:pPr>
              <w:spacing w:after="0"/>
              <w:rPr>
                <w:sz w:val="14"/>
                <w:szCs w:val="14"/>
                <w:color w:val="auto"/>
              </w:rPr>
            </w:pPr>
          </w:p>
        </w:tc>
        <w:tc>
          <w:tcPr>
            <w:tcW w:w="5680" w:type="dxa"/>
            <w:vAlign w:val="bottom"/>
          </w:tcPr>
          <w:p>
            <w:pPr>
              <w:ind w:left="300"/>
              <w:spacing w:after="0"/>
              <w:rPr>
                <w:sz w:val="20"/>
                <w:szCs w:val="20"/>
                <w:color w:val="auto"/>
              </w:rPr>
            </w:pPr>
            <w:r>
              <w:rPr>
                <w:rFonts w:ascii="Courier New" w:cs="Courier New" w:eastAsia="Courier New" w:hAnsi="Courier New"/>
                <w:sz w:val="15"/>
                <w:szCs w:val="15"/>
                <w:color w:val="auto"/>
              </w:rPr>
              <w:t>Estimated earnings</w:t>
            </w:r>
          </w:p>
        </w:tc>
        <w:tc>
          <w:tcPr>
            <w:tcW w:w="19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2,582,427</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3,308,598</w:t>
            </w:r>
          </w:p>
        </w:tc>
      </w:tr>
      <w:tr>
        <w:trPr>
          <w:trHeight w:val="171"/>
        </w:trPr>
        <w:tc>
          <w:tcPr>
            <w:tcW w:w="4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9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9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11,266,690</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12,449,204</w:t>
            </w:r>
          </w:p>
        </w:tc>
      </w:tr>
      <w:tr>
        <w:trPr>
          <w:trHeight w:val="171"/>
        </w:trPr>
        <w:tc>
          <w:tcPr>
            <w:tcW w:w="480" w:type="dxa"/>
            <w:vAlign w:val="bottom"/>
          </w:tcPr>
          <w:p>
            <w:pPr>
              <w:spacing w:after="0"/>
              <w:rPr>
                <w:sz w:val="14"/>
                <w:szCs w:val="14"/>
                <w:color w:val="auto"/>
              </w:rPr>
            </w:pPr>
          </w:p>
        </w:tc>
        <w:tc>
          <w:tcPr>
            <w:tcW w:w="5680" w:type="dxa"/>
            <w:vAlign w:val="bottom"/>
          </w:tcPr>
          <w:p>
            <w:pPr>
              <w:ind w:left="300"/>
              <w:spacing w:after="0"/>
              <w:rPr>
                <w:sz w:val="20"/>
                <w:szCs w:val="20"/>
                <w:color w:val="auto"/>
              </w:rPr>
            </w:pPr>
            <w:r>
              <w:rPr>
                <w:rFonts w:ascii="Courier New" w:cs="Courier New" w:eastAsia="Courier New" w:hAnsi="Courier New"/>
                <w:sz w:val="15"/>
                <w:szCs w:val="15"/>
                <w:color w:val="auto"/>
              </w:rPr>
              <w:t>Less billings to date</w:t>
            </w:r>
          </w:p>
        </w:tc>
        <w:tc>
          <w:tcPr>
            <w:tcW w:w="19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8,775,009</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13,397,127</w:t>
            </w:r>
          </w:p>
        </w:tc>
      </w:tr>
      <w:tr>
        <w:trPr>
          <w:trHeight w:val="171"/>
        </w:trPr>
        <w:tc>
          <w:tcPr>
            <w:tcW w:w="4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9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9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$2,491,681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947,923)</w:t>
            </w:r>
          </w:p>
        </w:tc>
      </w:tr>
      <w:tr>
        <w:trPr>
          <w:trHeight w:val="171"/>
        </w:trPr>
        <w:tc>
          <w:tcPr>
            <w:tcW w:w="4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9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Included in the accompanying balance sheet under the following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captions:</w:t>
      </w:r>
    </w:p>
    <w:p>
      <w:pPr>
        <w:spacing w:after="0" w:line="200" w:lineRule="exact"/>
        <w:rPr>
          <w:sz w:val="20"/>
          <w:szCs w:val="20"/>
          <w:color w:val="auto"/>
        </w:rPr>
      </w:pPr>
    </w:p>
    <w:p>
      <w:pPr>
        <w:spacing w:after="0" w:line="313"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Costs and estimated earnings in excess</w:t>
            </w:r>
          </w:p>
        </w:tc>
        <w:tc>
          <w:tcPr>
            <w:tcW w:w="2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of billings on uncompleted contracts</w:t>
            </w:r>
          </w:p>
        </w:tc>
        <w:tc>
          <w:tcPr>
            <w:tcW w:w="23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$2,951,773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226,504</w:t>
            </w:r>
          </w:p>
        </w:tc>
      </w:tr>
      <w:tr>
        <w:trPr>
          <w:trHeight w:val="171"/>
        </w:trPr>
        <w:tc>
          <w:tcPr>
            <w:tcW w:w="4800" w:type="dxa"/>
            <w:vAlign w:val="bottom"/>
          </w:tcPr>
          <w:p>
            <w:pPr>
              <w:spacing w:after="0"/>
              <w:rPr>
                <w:sz w:val="20"/>
                <w:szCs w:val="20"/>
                <w:color w:val="auto"/>
              </w:rPr>
            </w:pPr>
            <w:r>
              <w:rPr>
                <w:rFonts w:ascii="Courier New" w:cs="Courier New" w:eastAsia="Courier New" w:hAnsi="Courier New"/>
                <w:sz w:val="15"/>
                <w:szCs w:val="15"/>
                <w:color w:val="auto"/>
              </w:rPr>
              <w:t>Billings in excess of costs and estimated</w:t>
            </w:r>
          </w:p>
        </w:tc>
        <w:tc>
          <w:tcPr>
            <w:tcW w:w="2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earnings on uncompleted contracts</w:t>
            </w:r>
          </w:p>
        </w:tc>
        <w:tc>
          <w:tcPr>
            <w:tcW w:w="2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(460,092)</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(1,174,427)</w:t>
            </w:r>
          </w:p>
        </w:tc>
      </w:tr>
      <w:tr>
        <w:trPr>
          <w:trHeight w:val="171"/>
        </w:trPr>
        <w:tc>
          <w:tcPr>
            <w:tcW w:w="4800" w:type="dxa"/>
            <w:vAlign w:val="bottom"/>
          </w:tcPr>
          <w:p>
            <w:pPr>
              <w:spacing w:after="0"/>
              <w:rPr>
                <w:sz w:val="14"/>
                <w:szCs w:val="14"/>
                <w:color w:val="auto"/>
              </w:rPr>
            </w:pPr>
          </w:p>
        </w:tc>
        <w:tc>
          <w:tcPr>
            <w:tcW w:w="23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800" w:type="dxa"/>
            <w:vAlign w:val="bottom"/>
          </w:tcPr>
          <w:p>
            <w:pPr>
              <w:spacing w:after="0"/>
              <w:rPr>
                <w:sz w:val="24"/>
                <w:szCs w:val="24"/>
                <w:color w:val="auto"/>
              </w:rPr>
            </w:pPr>
          </w:p>
        </w:tc>
        <w:tc>
          <w:tcPr>
            <w:tcW w:w="23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$2,491,681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947,923)</w:t>
            </w:r>
          </w:p>
        </w:tc>
      </w:tr>
      <w:tr>
        <w:trPr>
          <w:trHeight w:val="171"/>
        </w:trPr>
        <w:tc>
          <w:tcPr>
            <w:tcW w:w="4800" w:type="dxa"/>
            <w:vAlign w:val="bottom"/>
          </w:tcPr>
          <w:p>
            <w:pPr>
              <w:spacing w:after="0"/>
              <w:rPr>
                <w:sz w:val="14"/>
                <w:szCs w:val="14"/>
                <w:color w:val="auto"/>
              </w:rPr>
            </w:pPr>
          </w:p>
        </w:tc>
        <w:tc>
          <w:tcPr>
            <w:tcW w:w="23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w:t>
            </w:r>
          </w:p>
        </w:tc>
      </w:tr>
      <w:tr>
        <w:trPr>
          <w:trHeight w:val="683"/>
        </w:trPr>
        <w:tc>
          <w:tcPr>
            <w:tcW w:w="4800" w:type="dxa"/>
            <w:vAlign w:val="bottom"/>
          </w:tcPr>
          <w:p>
            <w:pPr>
              <w:ind w:left="2320"/>
              <w:spacing w:after="0"/>
              <w:rPr>
                <w:sz w:val="20"/>
                <w:szCs w:val="20"/>
                <w:color w:val="auto"/>
              </w:rPr>
            </w:pPr>
            <w:r>
              <w:rPr>
                <w:rFonts w:ascii="Courier New" w:cs="Courier New" w:eastAsia="Courier New" w:hAnsi="Courier New"/>
                <w:sz w:val="15"/>
                <w:szCs w:val="15"/>
                <w:color w:val="auto"/>
              </w:rPr>
              <w:t>F-16</w:t>
            </w:r>
          </w:p>
        </w:tc>
        <w:tc>
          <w:tcPr>
            <w:tcW w:w="2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139"/>
          </w:cols>
          <w:pgMar w:left="320" w:top="799" w:right="1440" w:bottom="1440" w:gutter="0" w:footer="0" w:header="0"/>
        </w:sectPr>
      </w:pPr>
    </w:p>
    <w:bookmarkStart w:id="62" w:name="page63"/>
    <w:bookmarkEnd w:id="62"/>
    <w:p>
      <w:pPr>
        <w:ind w:left="2489"/>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FOR THE YEARS ENDED DECEMBER 31, 1999 AND 1998</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89" w:hanging="789"/>
        <w:spacing w:after="0"/>
        <w:tabs>
          <w:tab w:leader="none" w:pos="78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71"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 consisted of the following at December 31:</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520" w:type="dxa"/>
            <w:vAlign w:val="bottom"/>
          </w:tcPr>
          <w:p>
            <w:pPr>
              <w:spacing w:after="0"/>
              <w:rPr>
                <w:sz w:val="24"/>
                <w:szCs w:val="24"/>
                <w:color w:val="auto"/>
              </w:rPr>
            </w:pPr>
          </w:p>
        </w:tc>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Land</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$ 1,597,342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137,342</w:t>
            </w:r>
          </w:p>
        </w:tc>
      </w:tr>
      <w:tr>
        <w:trPr>
          <w:trHeight w:val="171"/>
        </w:trPr>
        <w:tc>
          <w:tcPr>
            <w:tcW w:w="520" w:type="dxa"/>
            <w:vAlign w:val="bottom"/>
          </w:tcPr>
          <w:p>
            <w:pPr>
              <w:spacing w:after="0"/>
              <w:rPr>
                <w:sz w:val="14"/>
                <w:szCs w:val="14"/>
                <w:color w:val="auto"/>
              </w:rPr>
            </w:pPr>
          </w:p>
        </w:tc>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Building and improvements</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5,725,069</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1,770,246</w:t>
            </w:r>
          </w:p>
        </w:tc>
      </w:tr>
      <w:tr>
        <w:trPr>
          <w:trHeight w:val="171"/>
        </w:trPr>
        <w:tc>
          <w:tcPr>
            <w:tcW w:w="520" w:type="dxa"/>
            <w:vAlign w:val="bottom"/>
          </w:tcPr>
          <w:p>
            <w:pPr>
              <w:spacing w:after="0"/>
              <w:rPr>
                <w:sz w:val="14"/>
                <w:szCs w:val="14"/>
                <w:color w:val="auto"/>
              </w:rPr>
            </w:pPr>
          </w:p>
        </w:tc>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Machinery and equipment</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9,220,480</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2,128,353</w:t>
            </w:r>
          </w:p>
        </w:tc>
      </w:tr>
      <w:tr>
        <w:trPr>
          <w:trHeight w:val="171"/>
        </w:trPr>
        <w:tc>
          <w:tcPr>
            <w:tcW w:w="5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16,542,891</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4,035,941</w:t>
            </w:r>
          </w:p>
        </w:tc>
      </w:tr>
      <w:tr>
        <w:trPr>
          <w:trHeight w:val="171"/>
        </w:trPr>
        <w:tc>
          <w:tcPr>
            <w:tcW w:w="520" w:type="dxa"/>
            <w:vAlign w:val="bottom"/>
          </w:tcPr>
          <w:p>
            <w:pPr>
              <w:spacing w:after="0"/>
              <w:rPr>
                <w:sz w:val="14"/>
                <w:szCs w:val="14"/>
                <w:color w:val="auto"/>
              </w:rPr>
            </w:pPr>
          </w:p>
        </w:tc>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Less accumulated depreciation</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2,298,434</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1,973,489</w:t>
            </w:r>
          </w:p>
        </w:tc>
      </w:tr>
      <w:tr>
        <w:trPr>
          <w:trHeight w:val="171"/>
        </w:trPr>
        <w:tc>
          <w:tcPr>
            <w:tcW w:w="5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5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$14,244,457</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$2,062,452</w:t>
            </w:r>
          </w:p>
        </w:tc>
      </w:tr>
      <w:tr>
        <w:trPr>
          <w:trHeight w:val="171"/>
        </w:trPr>
        <w:tc>
          <w:tcPr>
            <w:tcW w:w="5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683"/>
        </w:trPr>
        <w:tc>
          <w:tcPr>
            <w:tcW w:w="520" w:type="dxa"/>
            <w:vAlign w:val="bottom"/>
          </w:tcPr>
          <w:p>
            <w:pPr>
              <w:spacing w:after="0"/>
              <w:rPr>
                <w:sz w:val="24"/>
                <w:szCs w:val="24"/>
                <w:color w:val="auto"/>
              </w:rPr>
            </w:pPr>
          </w:p>
        </w:tc>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Depreciation expense was $316,941 and $185,241 for 1999 and 1998,</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52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Goodwill and Other Intangible Assets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1"/>
        </w:trPr>
        <w:tc>
          <w:tcPr>
            <w:tcW w:w="520" w:type="dxa"/>
            <w:vAlign w:val="bottom"/>
          </w:tcPr>
          <w:p>
            <w:pPr>
              <w:spacing w:after="0"/>
              <w:rPr>
                <w:sz w:val="24"/>
                <w:szCs w:val="24"/>
                <w:color w:val="auto"/>
              </w:rPr>
            </w:pPr>
          </w:p>
        </w:tc>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w w:val="99"/>
              </w:rPr>
              <w:t>Goodwill and other intangible assets consisted of the following at</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853"/>
        </w:trPr>
        <w:tc>
          <w:tcPr>
            <w:tcW w:w="5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24"/>
                <w:szCs w:val="2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520" w:type="dxa"/>
            <w:vAlign w:val="bottom"/>
          </w:tcPr>
          <w:p>
            <w:pPr>
              <w:spacing w:after="0"/>
              <w:rPr>
                <w:sz w:val="24"/>
                <w:szCs w:val="24"/>
                <w:color w:val="auto"/>
              </w:rPr>
            </w:pPr>
          </w:p>
        </w:tc>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Goodwill</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$ 7,184,069</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$5,666,958</w:t>
            </w:r>
          </w:p>
        </w:tc>
      </w:tr>
      <w:tr>
        <w:trPr>
          <w:trHeight w:val="171"/>
        </w:trPr>
        <w:tc>
          <w:tcPr>
            <w:tcW w:w="520" w:type="dxa"/>
            <w:vAlign w:val="bottom"/>
          </w:tcPr>
          <w:p>
            <w:pPr>
              <w:spacing w:after="0"/>
              <w:rPr>
                <w:sz w:val="14"/>
                <w:szCs w:val="14"/>
                <w:color w:val="auto"/>
              </w:rPr>
            </w:pPr>
          </w:p>
        </w:tc>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Less accumulated amortization</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638,680</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497,605</w:t>
            </w:r>
          </w:p>
        </w:tc>
      </w:tr>
      <w:tr>
        <w:trPr>
          <w:trHeight w:val="171"/>
        </w:trPr>
        <w:tc>
          <w:tcPr>
            <w:tcW w:w="5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$ 6,545,389</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$5,169,353</w:t>
            </w:r>
          </w:p>
        </w:tc>
      </w:tr>
      <w:tr>
        <w:trPr>
          <w:trHeight w:val="171"/>
        </w:trPr>
        <w:tc>
          <w:tcPr>
            <w:tcW w:w="5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520" w:type="dxa"/>
            <w:vAlign w:val="bottom"/>
          </w:tcPr>
          <w:p>
            <w:pPr>
              <w:spacing w:after="0"/>
              <w:rPr>
                <w:sz w:val="24"/>
                <w:szCs w:val="24"/>
                <w:color w:val="auto"/>
              </w:rPr>
            </w:pPr>
          </w:p>
        </w:tc>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Non-compete 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500,000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300,000</w:t>
            </w:r>
          </w:p>
        </w:tc>
      </w:tr>
      <w:tr>
        <w:trPr>
          <w:trHeight w:val="171"/>
        </w:trPr>
        <w:tc>
          <w:tcPr>
            <w:tcW w:w="520" w:type="dxa"/>
            <w:vAlign w:val="bottom"/>
          </w:tcPr>
          <w:p>
            <w:pPr>
              <w:spacing w:after="0"/>
              <w:rPr>
                <w:sz w:val="14"/>
                <w:szCs w:val="14"/>
                <w:color w:val="auto"/>
              </w:rPr>
            </w:pPr>
          </w:p>
        </w:tc>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Patents</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1,340,433</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1,318,806</w:t>
            </w:r>
          </w:p>
        </w:tc>
      </w:tr>
      <w:tr>
        <w:trPr>
          <w:trHeight w:val="171"/>
        </w:trPr>
        <w:tc>
          <w:tcPr>
            <w:tcW w:w="5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1,840,433</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1,618,806</w:t>
            </w:r>
          </w:p>
        </w:tc>
      </w:tr>
      <w:tr>
        <w:trPr>
          <w:trHeight w:val="171"/>
        </w:trPr>
        <w:tc>
          <w:tcPr>
            <w:tcW w:w="520" w:type="dxa"/>
            <w:vAlign w:val="bottom"/>
          </w:tcPr>
          <w:p>
            <w:pPr>
              <w:spacing w:after="0"/>
              <w:rPr>
                <w:sz w:val="14"/>
                <w:szCs w:val="14"/>
                <w:color w:val="auto"/>
              </w:rPr>
            </w:pPr>
          </w:p>
        </w:tc>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Less accumulated amortization</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615,363</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348,026</w:t>
            </w:r>
          </w:p>
        </w:tc>
      </w:tr>
      <w:tr>
        <w:trPr>
          <w:trHeight w:val="171"/>
        </w:trPr>
        <w:tc>
          <w:tcPr>
            <w:tcW w:w="5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$ 1,225,070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$1,270,780</w:t>
            </w:r>
          </w:p>
        </w:tc>
      </w:tr>
      <w:tr>
        <w:trPr>
          <w:trHeight w:val="171"/>
        </w:trPr>
        <w:tc>
          <w:tcPr>
            <w:tcW w:w="5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 w:right="3579" w:firstLine="799"/>
        <w:spacing w:after="0" w:line="238" w:lineRule="auto"/>
        <w:rPr>
          <w:sz w:val="20"/>
          <w:szCs w:val="20"/>
          <w:color w:val="auto"/>
        </w:rPr>
      </w:pPr>
      <w:r>
        <w:rPr>
          <w:rFonts w:ascii="Courier New" w:cs="Courier New" w:eastAsia="Courier New" w:hAnsi="Courier New"/>
          <w:sz w:val="15"/>
          <w:szCs w:val="15"/>
          <w:color w:val="auto"/>
        </w:rPr>
        <w:t>Amortization expense was $412,392 and $396,653 for 1999 and 1998,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148"/>
          </w:cols>
          <w:pgMar w:left="311" w:top="799" w:right="1440" w:bottom="1440" w:gutter="0" w:footer="0" w:header="0"/>
        </w:sectPr>
      </w:pPr>
    </w:p>
    <w:bookmarkStart w:id="63" w:name="page64"/>
    <w:bookmarkEnd w:id="63"/>
    <w:p>
      <w:pPr>
        <w:jc w:val="center"/>
        <w:ind w:right="3059"/>
        <w:spacing w:after="0"/>
        <w:rPr>
          <w:sz w:val="20"/>
          <w:szCs w:val="20"/>
          <w:color w:val="auto"/>
        </w:rPr>
      </w:pPr>
      <w:r>
        <w:rPr>
          <w:rFonts w:ascii="Courier New" w:cs="Courier New" w:eastAsia="Courier New" w:hAnsi="Courier New"/>
          <w:sz w:val="15"/>
          <w:szCs w:val="15"/>
          <w:color w:val="auto"/>
        </w:rPr>
        <w:t>CECO ENVIRONMENTAL CORP.</w:t>
      </w:r>
    </w:p>
    <w:p>
      <w:pPr>
        <w:spacing w:after="0" w:line="171"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FOR THE YEARS ENDED DECEMBER 31, 1999 AND 1998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20" w:type="dxa"/>
            <w:vAlign w:val="bottom"/>
            <w:gridSpan w:val="4"/>
          </w:tcPr>
          <w:p>
            <w:pPr>
              <w:spacing w:after="0"/>
              <w:rPr>
                <w:sz w:val="20"/>
                <w:szCs w:val="20"/>
                <w:color w:val="auto"/>
              </w:rPr>
            </w:pPr>
            <w:r>
              <w:rPr>
                <w:rFonts w:ascii="Courier New" w:cs="Courier New" w:eastAsia="Courier New" w:hAnsi="Courier New"/>
                <w:sz w:val="15"/>
                <w:szCs w:val="15"/>
                <w:color w:val="auto"/>
              </w:rPr>
              <w:t>- - --------------------------------------------------------------------------------</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12"/>
        </w:trPr>
        <w:tc>
          <w:tcPr>
            <w:tcW w:w="52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Debt</w:t>
            </w:r>
          </w:p>
        </w:tc>
        <w:tc>
          <w:tcPr>
            <w:tcW w:w="5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12"/>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24"/>
                <w:szCs w:val="2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8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52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Bank</w:t>
            </w:r>
          </w:p>
        </w:tc>
        <w:tc>
          <w:tcPr>
            <w:tcW w:w="5460" w:type="dxa"/>
            <w:vAlign w:val="bottom"/>
          </w:tcPr>
          <w:p>
            <w:pPr>
              <w:spacing w:after="0"/>
              <w:rPr>
                <w:sz w:val="20"/>
                <w:szCs w:val="20"/>
                <w:color w:val="auto"/>
              </w:rPr>
            </w:pPr>
            <w:r>
              <w:rPr>
                <w:rFonts w:ascii="Courier New" w:cs="Courier New" w:eastAsia="Courier New" w:hAnsi="Courier New"/>
                <w:sz w:val="15"/>
                <w:szCs w:val="15"/>
                <w:color w:val="auto"/>
              </w:rPr>
              <w:t>credit facilities</w:t>
            </w:r>
          </w:p>
        </w:tc>
        <w:tc>
          <w:tcPr>
            <w:tcW w:w="18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$26,673,384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Line</w:t>
            </w:r>
          </w:p>
        </w:tc>
        <w:tc>
          <w:tcPr>
            <w:tcW w:w="5460" w:type="dxa"/>
            <w:vAlign w:val="bottom"/>
          </w:tcPr>
          <w:p>
            <w:pPr>
              <w:spacing w:after="0"/>
              <w:rPr>
                <w:sz w:val="20"/>
                <w:szCs w:val="20"/>
                <w:color w:val="auto"/>
              </w:rPr>
            </w:pPr>
            <w:r>
              <w:rPr>
                <w:rFonts w:ascii="Courier New" w:cs="Courier New" w:eastAsia="Courier New" w:hAnsi="Courier New"/>
                <w:sz w:val="15"/>
                <w:szCs w:val="15"/>
                <w:color w:val="auto"/>
              </w:rPr>
              <w:t>of credit, effective interest at 8.25%, paid off in 1999</w:t>
            </w:r>
          </w:p>
        </w:tc>
        <w:tc>
          <w:tcPr>
            <w:tcW w:w="18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1,200,000</w:t>
            </w:r>
          </w:p>
        </w:tc>
      </w:tr>
      <w:tr>
        <w:trPr>
          <w:trHeight w:val="341"/>
        </w:trPr>
        <w:tc>
          <w:tcPr>
            <w:tcW w:w="520" w:type="dxa"/>
            <w:vAlign w:val="bottom"/>
          </w:tcPr>
          <w:p>
            <w:pPr>
              <w:spacing w:after="0"/>
              <w:rPr>
                <w:sz w:val="24"/>
                <w:szCs w:val="24"/>
                <w:color w:val="auto"/>
              </w:rPr>
            </w:pPr>
          </w:p>
        </w:tc>
        <w:tc>
          <w:tcPr>
            <w:tcW w:w="61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Pennsylvania Industrial Development Authority,</w:t>
            </w:r>
          </w:p>
        </w:tc>
        <w:tc>
          <w:tcPr>
            <w:tcW w:w="1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520" w:type="dxa"/>
            <w:vAlign w:val="bottom"/>
          </w:tcPr>
          <w:p>
            <w:pPr>
              <w:spacing w:after="0"/>
              <w:rPr>
                <w:sz w:val="14"/>
                <w:szCs w:val="14"/>
                <w:color w:val="auto"/>
              </w:rPr>
            </w:pPr>
          </w:p>
        </w:tc>
        <w:tc>
          <w:tcPr>
            <w:tcW w:w="61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interest at 3%, due May, 2007, collateralized by</w:t>
            </w: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61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mortgage on land and building</w:t>
            </w:r>
          </w:p>
        </w:tc>
        <w:tc>
          <w:tcPr>
            <w:tcW w:w="18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219,263</w:t>
            </w:r>
          </w:p>
        </w:tc>
        <w:tc>
          <w:tcPr>
            <w:tcW w:w="4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245,636</w:t>
            </w:r>
          </w:p>
        </w:tc>
      </w:tr>
      <w:tr>
        <w:trPr>
          <w:trHeight w:val="341"/>
        </w:trPr>
        <w:tc>
          <w:tcPr>
            <w:tcW w:w="52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Bank</w:t>
            </w:r>
          </w:p>
        </w:tc>
        <w:tc>
          <w:tcPr>
            <w:tcW w:w="5460" w:type="dxa"/>
            <w:vAlign w:val="bottom"/>
          </w:tcPr>
          <w:p>
            <w:pPr>
              <w:spacing w:after="0"/>
              <w:rPr>
                <w:sz w:val="20"/>
                <w:szCs w:val="20"/>
                <w:color w:val="auto"/>
              </w:rPr>
            </w:pPr>
            <w:r>
              <w:rPr>
                <w:rFonts w:ascii="Courier New" w:cs="Courier New" w:eastAsia="Courier New" w:hAnsi="Courier New"/>
                <w:sz w:val="15"/>
                <w:szCs w:val="15"/>
                <w:color w:val="auto"/>
              </w:rPr>
              <w:t>debt obligations, interest ranging from 7.75%</w:t>
            </w:r>
          </w:p>
        </w:tc>
        <w:tc>
          <w:tcPr>
            <w:tcW w:w="1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520" w:type="dxa"/>
            <w:vAlign w:val="bottom"/>
          </w:tcPr>
          <w:p>
            <w:pPr>
              <w:spacing w:after="0"/>
              <w:rPr>
                <w:sz w:val="14"/>
                <w:szCs w:val="14"/>
                <w:color w:val="auto"/>
              </w:rPr>
            </w:pPr>
          </w:p>
        </w:tc>
        <w:tc>
          <w:tcPr>
            <w:tcW w:w="720" w:type="dxa"/>
            <w:vAlign w:val="bottom"/>
          </w:tcPr>
          <w:p>
            <w:pPr>
              <w:ind w:left="440"/>
              <w:spacing w:after="0"/>
              <w:rPr>
                <w:sz w:val="20"/>
                <w:szCs w:val="20"/>
                <w:color w:val="auto"/>
              </w:rPr>
            </w:pPr>
            <w:r>
              <w:rPr>
                <w:rFonts w:ascii="Courier New" w:cs="Courier New" w:eastAsia="Courier New" w:hAnsi="Courier New"/>
                <w:sz w:val="15"/>
                <w:szCs w:val="15"/>
                <w:color w:val="auto"/>
              </w:rPr>
              <w:t>to</w:t>
            </w:r>
          </w:p>
        </w:tc>
        <w:tc>
          <w:tcPr>
            <w:tcW w:w="5460" w:type="dxa"/>
            <w:vAlign w:val="bottom"/>
          </w:tcPr>
          <w:p>
            <w:pPr>
              <w:spacing w:after="0"/>
              <w:rPr>
                <w:sz w:val="20"/>
                <w:szCs w:val="20"/>
                <w:color w:val="auto"/>
              </w:rPr>
            </w:pPr>
            <w:r>
              <w:rPr>
                <w:rFonts w:ascii="Courier New" w:cs="Courier New" w:eastAsia="Courier New" w:hAnsi="Courier New"/>
                <w:sz w:val="15"/>
                <w:szCs w:val="15"/>
                <w:color w:val="auto"/>
              </w:rPr>
              <w:t>prime plus 1/2%, paid off in 1999</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1,709,226</w:t>
            </w:r>
          </w:p>
        </w:tc>
      </w:tr>
      <w:tr>
        <w:trPr>
          <w:trHeight w:val="341"/>
        </w:trPr>
        <w:tc>
          <w:tcPr>
            <w:tcW w:w="520" w:type="dxa"/>
            <w:vAlign w:val="bottom"/>
          </w:tcPr>
          <w:p>
            <w:pPr>
              <w:spacing w:after="0"/>
              <w:rPr>
                <w:sz w:val="24"/>
                <w:szCs w:val="24"/>
                <w:color w:val="auto"/>
              </w:rPr>
            </w:pPr>
          </w:p>
        </w:tc>
        <w:tc>
          <w:tcPr>
            <w:tcW w:w="61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Subordinated debt, effective interest at 17.75%</w:t>
            </w:r>
          </w:p>
        </w:tc>
        <w:tc>
          <w:tcPr>
            <w:tcW w:w="18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3,172,695</w:t>
            </w:r>
          </w:p>
        </w:tc>
        <w:tc>
          <w:tcPr>
            <w:tcW w:w="440" w:type="dxa"/>
            <w:vAlign w:val="bottom"/>
          </w:tcPr>
          <w:p>
            <w:pPr>
              <w:spacing w:after="0"/>
              <w:rPr>
                <w:sz w:val="24"/>
                <w:szCs w:val="2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Loan</w:t>
            </w:r>
          </w:p>
        </w:tc>
        <w:tc>
          <w:tcPr>
            <w:tcW w:w="5460" w:type="dxa"/>
            <w:vAlign w:val="bottom"/>
          </w:tcPr>
          <w:p>
            <w:pPr>
              <w:spacing w:after="0"/>
              <w:rPr>
                <w:sz w:val="20"/>
                <w:szCs w:val="20"/>
                <w:color w:val="auto"/>
              </w:rPr>
            </w:pPr>
            <w:r>
              <w:rPr>
                <w:rFonts w:ascii="Courier New" w:cs="Courier New" w:eastAsia="Courier New" w:hAnsi="Courier New"/>
                <w:sz w:val="15"/>
                <w:szCs w:val="15"/>
                <w:color w:val="auto"/>
              </w:rPr>
              <w:t>payable to Green Diamond Oil Corp., interest at 10%,</w:t>
            </w:r>
          </w:p>
        </w:tc>
        <w:tc>
          <w:tcPr>
            <w:tcW w:w="18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800,000</w:t>
            </w:r>
          </w:p>
        </w:tc>
        <w:tc>
          <w:tcPr>
            <w:tcW w:w="440" w:type="dxa"/>
            <w:vAlign w:val="bottom"/>
          </w:tcPr>
          <w:p>
            <w:pPr>
              <w:spacing w:after="0"/>
              <w:rPr>
                <w:sz w:val="24"/>
                <w:szCs w:val="2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512"/>
        </w:trPr>
        <w:tc>
          <w:tcPr>
            <w:tcW w:w="52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w w:val="97"/>
              </w:rPr>
              <w:t>Other</w:t>
            </w:r>
          </w:p>
        </w:tc>
        <w:tc>
          <w:tcPr>
            <w:tcW w:w="5460" w:type="dxa"/>
            <w:vAlign w:val="bottom"/>
          </w:tcPr>
          <w:p>
            <w:pPr>
              <w:spacing w:after="0"/>
              <w:rPr>
                <w:sz w:val="24"/>
                <w:szCs w:val="24"/>
                <w:color w:val="auto"/>
              </w:rPr>
            </w:pPr>
          </w:p>
        </w:tc>
        <w:tc>
          <w:tcPr>
            <w:tcW w:w="18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212,392</w:t>
            </w:r>
          </w:p>
        </w:tc>
        <w:tc>
          <w:tcPr>
            <w:tcW w:w="440" w:type="dxa"/>
            <w:vAlign w:val="bottom"/>
          </w:tcPr>
          <w:p>
            <w:pPr>
              <w:spacing w:after="0"/>
              <w:rPr>
                <w:sz w:val="24"/>
                <w:szCs w:val="2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8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8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31,077,734</w:t>
            </w:r>
          </w:p>
        </w:tc>
        <w:tc>
          <w:tcPr>
            <w:tcW w:w="4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3,154,862</w:t>
            </w:r>
          </w:p>
        </w:tc>
      </w:tr>
      <w:tr>
        <w:trPr>
          <w:trHeight w:val="171"/>
        </w:trPr>
        <w:tc>
          <w:tcPr>
            <w:tcW w:w="52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Less</w:t>
            </w:r>
          </w:p>
        </w:tc>
        <w:tc>
          <w:tcPr>
            <w:tcW w:w="5460" w:type="dxa"/>
            <w:vAlign w:val="bottom"/>
          </w:tcPr>
          <w:p>
            <w:pPr>
              <w:spacing w:after="0"/>
              <w:rPr>
                <w:sz w:val="20"/>
                <w:szCs w:val="20"/>
                <w:color w:val="auto"/>
              </w:rPr>
            </w:pPr>
            <w:r>
              <w:rPr>
                <w:rFonts w:ascii="Courier New" w:cs="Courier New" w:eastAsia="Courier New" w:hAnsi="Courier New"/>
                <w:sz w:val="15"/>
                <w:szCs w:val="15"/>
                <w:color w:val="auto"/>
              </w:rPr>
              <w:t>current portion</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(2,788,054)</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(1,585,149)</w:t>
            </w:r>
          </w:p>
        </w:tc>
      </w:tr>
      <w:tr>
        <w:trPr>
          <w:trHeight w:val="171"/>
        </w:trPr>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8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8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$28,289,680</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$1,569,713</w:t>
            </w:r>
          </w:p>
        </w:tc>
      </w:tr>
      <w:tr>
        <w:trPr>
          <w:trHeight w:val="171"/>
        </w:trPr>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8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6" w:lineRule="exact"/>
        <w:rPr>
          <w:sz w:val="20"/>
          <w:szCs w:val="20"/>
          <w:color w:val="auto"/>
        </w:rPr>
      </w:pPr>
    </w:p>
    <w:p>
      <w:pPr>
        <w:ind w:left="780" w:right="3039"/>
        <w:spacing w:after="0"/>
        <w:rPr>
          <w:sz w:val="20"/>
          <w:szCs w:val="20"/>
          <w:color w:val="auto"/>
        </w:rPr>
      </w:pPr>
      <w:r>
        <w:rPr>
          <w:rFonts w:ascii="Courier New" w:cs="Courier New" w:eastAsia="Courier New" w:hAnsi="Courier New"/>
          <w:sz w:val="15"/>
          <w:szCs w:val="15"/>
          <w:color w:val="auto"/>
        </w:rPr>
        <w:t>The Company obtained in December, 1999, a bank loan facility aggregating $33,000,000 consisting of $23,000,000 in term loans and a $10,000,000 revolving credit facility. In addition, the Company obtained $5,000,000 of subordinated debt from other lenders. The proceeds were used to finance the acquisition of K &amp; B and kbd/Technic, Inc. (see Note 3) and refinance CFI's and K &amp; B's existing indebtedness.</w:t>
      </w:r>
    </w:p>
    <w:p>
      <w:pPr>
        <w:spacing w:after="0" w:line="176" w:lineRule="exact"/>
        <w:rPr>
          <w:sz w:val="20"/>
          <w:szCs w:val="20"/>
          <w:color w:val="auto"/>
        </w:rPr>
      </w:pPr>
    </w:p>
    <w:p>
      <w:pPr>
        <w:ind w:left="780" w:right="3039"/>
        <w:spacing w:after="0"/>
        <w:rPr>
          <w:sz w:val="20"/>
          <w:szCs w:val="20"/>
          <w:color w:val="auto"/>
        </w:rPr>
      </w:pPr>
      <w:r>
        <w:rPr>
          <w:rFonts w:ascii="Courier New" w:cs="Courier New" w:eastAsia="Courier New" w:hAnsi="Courier New"/>
          <w:sz w:val="15"/>
          <w:szCs w:val="15"/>
          <w:color w:val="auto"/>
        </w:rPr>
        <w:t>The revolving credit loan permits borrowings of up to the lesser of 1) $10,000,000, less outstanding letters of credit, or 2) borrowings which are limited to 75% of eligible accounts receivable, plus 50% of eligible inventory, plus the net cash surrender value of life insurance, minus outstanding letters of credit. Interest is charged based on the bank's prime or the Eurodollar base rate. The amount available on the revolving credit loan was approximately $6,327,000 at December 31, 1999. The effective interest rate was 9.4% at December 31, 1999.</w:t>
      </w:r>
    </w:p>
    <w:p>
      <w:pPr>
        <w:spacing w:after="0" w:line="178" w:lineRule="exact"/>
        <w:rPr>
          <w:sz w:val="20"/>
          <w:szCs w:val="20"/>
          <w:color w:val="auto"/>
        </w:rPr>
      </w:pPr>
    </w:p>
    <w:p>
      <w:pPr>
        <w:ind w:left="780" w:right="3039"/>
        <w:spacing w:after="0"/>
        <w:rPr>
          <w:sz w:val="20"/>
          <w:szCs w:val="20"/>
          <w:color w:val="auto"/>
        </w:rPr>
      </w:pPr>
      <w:r>
        <w:rPr>
          <w:rFonts w:ascii="Courier New" w:cs="Courier New" w:eastAsia="Courier New" w:hAnsi="Courier New"/>
          <w:sz w:val="15"/>
          <w:szCs w:val="15"/>
          <w:color w:val="auto"/>
        </w:rPr>
        <w:t>The term loans consist of a $14,500,000 and $8,500,000 term facility with quarterly principal installments of $437,500 commencing February 28, 2000, increasing to $700,000 in 2002, $875,000 in 2003 and $1,175,000 in 2004 with the final payment due November, 2004; and quarterly principal installments of $1,375,000 commencing February, 2005 increasing to $1,500,000 in 2006 with the final payment due May, 2006, respectively. Interest is charged based on the bank's prime or the Eurodollar base rate. The effective interest rate of the bank credit facilities was 9.7% at December 31, 1999. An additional $2 million term loan obtained as part of the initial bank loan facility was paid-off prior to December 31, 1999 by the proceeds borrowed on the Company's cash surrender value of life insurance that was acquired from K&amp;B.</w:t>
      </w:r>
    </w:p>
    <w:p>
      <w:pPr>
        <w:spacing w:after="0" w:line="34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139"/>
          </w:cols>
          <w:pgMar w:left="320" w:top="799" w:right="1440" w:bottom="1440" w:gutter="0" w:footer="0" w:header="0"/>
        </w:sectPr>
      </w:pPr>
    </w:p>
    <w:bookmarkStart w:id="64" w:name="page65"/>
    <w:bookmarkEnd w:id="64"/>
    <w:p>
      <w:pPr>
        <w:ind w:left="2489"/>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FOR THE YEARS ENDED DECEMBER 31, 1999 AND 1998</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21" w:lineRule="exact"/>
        <w:rPr>
          <w:sz w:val="20"/>
          <w:szCs w:val="20"/>
          <w:color w:val="auto"/>
        </w:rPr>
      </w:pPr>
    </w:p>
    <w:p>
      <w:pPr>
        <w:ind w:left="789" w:hanging="789"/>
        <w:spacing w:after="0"/>
        <w:tabs>
          <w:tab w:leader="none" w:pos="78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 Continued</w:t>
      </w:r>
    </w:p>
    <w:p>
      <w:pPr>
        <w:spacing w:after="0" w:line="174" w:lineRule="exact"/>
        <w:rPr>
          <w:rFonts w:ascii="Courier New" w:cs="Courier New" w:eastAsia="Courier New" w:hAnsi="Courier New"/>
          <w:sz w:val="15"/>
          <w:szCs w:val="15"/>
          <w:color w:val="auto"/>
        </w:rPr>
      </w:pPr>
    </w:p>
    <w:p>
      <w:pPr>
        <w:ind w:left="789" w:right="30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obtained $4,000,000 of subordinated debt financing from Can-Med Technology, Inc. D/B/A Green Diamond Oil Corp., a company beneficially-owned by two major shareholders of the Company, and an additional $1,000,000 of subordinated debt financing with two unrelated parties. The notes accrue interest at 12% payable semi-annually subject to the subordination agreement and provide for detachable stock warrants which expire December, 2009 (see Note 12). Management of the Company has discounted the subordinated debt for the value of the warrants in the amount of $1,847,000. The discount will be amortized as a component of interest expense over the life of the subordination which coincides with the bank's term loan maturity date of May, 2006. The amortization of the discount was approximately $20,000 for the year ended December 31, 1999. The effective annualized interest rate on the subordinated debt obligations is 17.75%.</w:t>
      </w:r>
    </w:p>
    <w:p>
      <w:pPr>
        <w:spacing w:after="0" w:line="181" w:lineRule="exact"/>
        <w:rPr>
          <w:rFonts w:ascii="Courier New" w:cs="Courier New" w:eastAsia="Courier New" w:hAnsi="Courier New"/>
          <w:sz w:val="15"/>
          <w:szCs w:val="15"/>
          <w:color w:val="auto"/>
        </w:rPr>
      </w:pPr>
    </w:p>
    <w:p>
      <w:pPr>
        <w:ind w:left="789" w:right="30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obtained $800,000 of debt financing from Green Diamond Oil Corp. to provide funds to purchase approximately 12% of Peerless Manufacturing Company's stock. The loan is payable on demand and accrues interest at a rate of 10%. The loan provides for stock warrants to purchase 1,000,000 shares of the Company's stock at an exercise price of $2.50 per share and expires August 2009.</w:t>
      </w:r>
    </w:p>
    <w:p>
      <w:pPr>
        <w:spacing w:after="0" w:line="175" w:lineRule="exact"/>
        <w:rPr>
          <w:rFonts w:ascii="Courier New" w:cs="Courier New" w:eastAsia="Courier New" w:hAnsi="Courier New"/>
          <w:sz w:val="15"/>
          <w:szCs w:val="15"/>
          <w:color w:val="auto"/>
        </w:rPr>
      </w:pPr>
    </w:p>
    <w:p>
      <w:pPr>
        <w:ind w:left="789" w:right="30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1999, the Company had an interest rate swap agreement outstanding with a notional amount of $11.5 million under which the Company paid a fixed rate of interest and received a floating rate of interest over the term of the interest rate swap agreement without the exchange of the underlying notional amounts. The interest rate swap agreement converted a portion of the credit facility from a floating rate obligation to a fixed rate obligation. The fair value of the $11.5 million of the interest rate swap agreement outstanding at December 31, 1999 was approximately $125,000. The fair value of the interest rate swap agreement was not recognized in the consolidated financial statements since the agreement was accounted for as a hedge.</w:t>
      </w:r>
    </w:p>
    <w:p>
      <w:pPr>
        <w:spacing w:after="0" w:line="179" w:lineRule="exact"/>
        <w:rPr>
          <w:rFonts w:ascii="Courier New" w:cs="Courier New" w:eastAsia="Courier New" w:hAnsi="Courier New"/>
          <w:sz w:val="15"/>
          <w:szCs w:val="15"/>
          <w:color w:val="auto"/>
        </w:rPr>
      </w:pPr>
    </w:p>
    <w:p>
      <w:pPr>
        <w:ind w:left="789" w:right="30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Between March and December, 1999, the Company was party to a formal financing arrangement with a bank which provided for a $5,000,000 line of credit, a $625,000 term loan, a $787,155 mortgage note payable and a $2,000,000 acquisition line of credit. A portion of the proceeds were used to repay the previous line of credit, term loan and mortgage note payable. These debt obligations were paid off with the new bank loan facility in December 1999.</w:t>
      </w:r>
    </w:p>
    <w:p>
      <w:pPr>
        <w:spacing w:after="0" w:line="176" w:lineRule="exact"/>
        <w:rPr>
          <w:sz w:val="20"/>
          <w:szCs w:val="20"/>
          <w:color w:val="auto"/>
        </w:rPr>
      </w:pPr>
    </w:p>
    <w:p>
      <w:pPr>
        <w:ind w:left="789" w:right="3939"/>
        <w:spacing w:after="0" w:line="238" w:lineRule="auto"/>
        <w:rPr>
          <w:sz w:val="20"/>
          <w:szCs w:val="20"/>
          <w:color w:val="auto"/>
        </w:rPr>
      </w:pPr>
      <w:r>
        <w:rPr>
          <w:rFonts w:ascii="Courier New" w:cs="Courier New" w:eastAsia="Courier New" w:hAnsi="Courier New"/>
          <w:sz w:val="15"/>
          <w:szCs w:val="15"/>
          <w:color w:val="auto"/>
        </w:rPr>
        <w:t>Maturities of all long-term debt over the next five years and thereafter are estimated as follows:</w:t>
      </w:r>
    </w:p>
    <w:p>
      <w:pPr>
        <w:spacing w:after="0" w:line="172" w:lineRule="exact"/>
        <w:rPr>
          <w:sz w:val="20"/>
          <w:szCs w:val="20"/>
          <w:color w:val="auto"/>
        </w:rPr>
      </w:pPr>
    </w:p>
    <w:tbl>
      <w:tblPr>
        <w:tblLayout w:type="fixed"/>
        <w:tblInd w:w="1949" w:type="dxa"/>
        <w:tblCellMar>
          <w:top w:w="0" w:type="dxa"/>
          <w:left w:w="0" w:type="dxa"/>
          <w:bottom w:w="0" w:type="dxa"/>
          <w:right w:w="0" w:type="dxa"/>
        </w:tblCellMar>
      </w:tblPr>
      <w:tr>
        <w:trPr>
          <w:trHeight w:val="170"/>
        </w:trPr>
        <w:tc>
          <w:tcPr>
            <w:tcW w:w="2180" w:type="dxa"/>
            <w:vAlign w:val="bottom"/>
          </w:tcPr>
          <w:p>
            <w:pPr>
              <w:jc w:val="center"/>
              <w:ind w:right="1206"/>
              <w:spacing w:after="0"/>
              <w:rPr>
                <w:sz w:val="20"/>
                <w:szCs w:val="20"/>
                <w:color w:val="auto"/>
              </w:rPr>
            </w:pPr>
            <w:r>
              <w:rPr>
                <w:rFonts w:ascii="Courier New" w:cs="Courier New" w:eastAsia="Courier New" w:hAnsi="Courier New"/>
                <w:sz w:val="15"/>
                <w:szCs w:val="15"/>
                <w:color w:val="auto"/>
                <w:w w:val="94"/>
              </w:rPr>
              <w:t>2000</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  2,788,054</w:t>
            </w:r>
          </w:p>
        </w:tc>
      </w:tr>
      <w:tr>
        <w:trPr>
          <w:trHeight w:val="171"/>
        </w:trPr>
        <w:tc>
          <w:tcPr>
            <w:tcW w:w="2180" w:type="dxa"/>
            <w:vAlign w:val="bottom"/>
          </w:tcPr>
          <w:p>
            <w:pPr>
              <w:jc w:val="center"/>
              <w:ind w:right="1206"/>
              <w:spacing w:after="0"/>
              <w:rPr>
                <w:sz w:val="20"/>
                <w:szCs w:val="20"/>
                <w:color w:val="auto"/>
              </w:rPr>
            </w:pPr>
            <w:r>
              <w:rPr>
                <w:rFonts w:ascii="Courier New" w:cs="Courier New" w:eastAsia="Courier New" w:hAnsi="Courier New"/>
                <w:sz w:val="15"/>
                <w:szCs w:val="15"/>
                <w:color w:val="auto"/>
                <w:w w:val="94"/>
              </w:rPr>
              <w:t>2001</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1,778,076</w:t>
            </w:r>
          </w:p>
        </w:tc>
      </w:tr>
      <w:tr>
        <w:trPr>
          <w:trHeight w:val="171"/>
        </w:trPr>
        <w:tc>
          <w:tcPr>
            <w:tcW w:w="2180" w:type="dxa"/>
            <w:vAlign w:val="bottom"/>
          </w:tcPr>
          <w:p>
            <w:pPr>
              <w:jc w:val="center"/>
              <w:ind w:right="1206"/>
              <w:spacing w:after="0"/>
              <w:rPr>
                <w:sz w:val="20"/>
                <w:szCs w:val="20"/>
                <w:color w:val="auto"/>
              </w:rPr>
            </w:pPr>
            <w:r>
              <w:rPr>
                <w:rFonts w:ascii="Courier New" w:cs="Courier New" w:eastAsia="Courier New" w:hAnsi="Courier New"/>
                <w:sz w:val="15"/>
                <w:szCs w:val="15"/>
                <w:color w:val="auto"/>
                <w:w w:val="94"/>
              </w:rPr>
              <w:t>2002</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2,828,930</w:t>
            </w:r>
          </w:p>
        </w:tc>
      </w:tr>
      <w:tr>
        <w:trPr>
          <w:trHeight w:val="171"/>
        </w:trPr>
        <w:tc>
          <w:tcPr>
            <w:tcW w:w="2180" w:type="dxa"/>
            <w:vAlign w:val="bottom"/>
          </w:tcPr>
          <w:p>
            <w:pPr>
              <w:jc w:val="center"/>
              <w:ind w:right="1206"/>
              <w:spacing w:after="0"/>
              <w:rPr>
                <w:sz w:val="20"/>
                <w:szCs w:val="20"/>
                <w:color w:val="auto"/>
              </w:rPr>
            </w:pPr>
            <w:r>
              <w:rPr>
                <w:rFonts w:ascii="Courier New" w:cs="Courier New" w:eastAsia="Courier New" w:hAnsi="Courier New"/>
                <w:sz w:val="15"/>
                <w:szCs w:val="15"/>
                <w:color w:val="auto"/>
                <w:w w:val="94"/>
              </w:rPr>
              <w:t>2003</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3,529,810</w:t>
            </w:r>
          </w:p>
        </w:tc>
      </w:tr>
      <w:tr>
        <w:trPr>
          <w:trHeight w:val="171"/>
        </w:trPr>
        <w:tc>
          <w:tcPr>
            <w:tcW w:w="2180" w:type="dxa"/>
            <w:vAlign w:val="bottom"/>
          </w:tcPr>
          <w:p>
            <w:pPr>
              <w:jc w:val="center"/>
              <w:ind w:right="1206"/>
              <w:spacing w:after="0"/>
              <w:rPr>
                <w:sz w:val="20"/>
                <w:szCs w:val="20"/>
                <w:color w:val="auto"/>
              </w:rPr>
            </w:pPr>
            <w:r>
              <w:rPr>
                <w:rFonts w:ascii="Courier New" w:cs="Courier New" w:eastAsia="Courier New" w:hAnsi="Courier New"/>
                <w:sz w:val="15"/>
                <w:szCs w:val="15"/>
                <w:color w:val="auto"/>
                <w:w w:val="94"/>
              </w:rPr>
              <w:t>2004</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8,404,100</w:t>
            </w:r>
          </w:p>
        </w:tc>
      </w:tr>
      <w:tr>
        <w:trPr>
          <w:trHeight w:val="171"/>
        </w:trPr>
        <w:tc>
          <w:tcPr>
            <w:tcW w:w="2180" w:type="dxa"/>
            <w:vAlign w:val="bottom"/>
          </w:tcPr>
          <w:p>
            <w:pPr>
              <w:jc w:val="center"/>
              <w:ind w:right="1206"/>
              <w:spacing w:after="0"/>
              <w:rPr>
                <w:sz w:val="20"/>
                <w:szCs w:val="20"/>
                <w:color w:val="auto"/>
              </w:rPr>
            </w:pPr>
            <w:r>
              <w:rPr>
                <w:rFonts w:ascii="Courier New" w:cs="Courier New" w:eastAsia="Courier New" w:hAnsi="Courier New"/>
                <w:sz w:val="15"/>
                <w:szCs w:val="15"/>
                <w:color w:val="auto"/>
                <w:w w:val="99"/>
              </w:rPr>
              <w:t>Thereafter</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11,748,764</w:t>
            </w:r>
          </w:p>
        </w:tc>
      </w:tr>
    </w:tbl>
    <w:p>
      <w:pPr>
        <w:spacing w:after="0" w:line="345" w:lineRule="exact"/>
        <w:rPr>
          <w:sz w:val="20"/>
          <w:szCs w:val="20"/>
          <w:color w:val="auto"/>
        </w:rPr>
      </w:pPr>
    </w:p>
    <w:p>
      <w:pPr>
        <w:ind w:left="789" w:right="3139"/>
        <w:spacing w:after="0" w:line="239" w:lineRule="auto"/>
        <w:rPr>
          <w:sz w:val="20"/>
          <w:szCs w:val="20"/>
          <w:color w:val="auto"/>
        </w:rPr>
      </w:pPr>
      <w:r>
        <w:rPr>
          <w:rFonts w:ascii="Courier New" w:cs="Courier New" w:eastAsia="Courier New" w:hAnsi="Courier New"/>
          <w:sz w:val="15"/>
          <w:szCs w:val="15"/>
          <w:color w:val="auto"/>
        </w:rPr>
        <w:t>The Company's property and equipment, accounts receivable, and inventory serve as collateral for its bank debt. The bank debt is also subject to certain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148"/>
          </w:cols>
          <w:pgMar w:left="311" w:top="970" w:right="1440" w:bottom="1440" w:gutter="0" w:footer="0" w:header="0"/>
        </w:sectPr>
      </w:pPr>
    </w:p>
    <w:bookmarkStart w:id="65" w:name="page66"/>
    <w:bookmarkEnd w:id="65"/>
    <w:p>
      <w:pPr>
        <w:ind w:left="2480"/>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FOR THE YEARS ENDED DECEMBER 31, 1999 AND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5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Shareholders' Equity</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Stock Option Plan</w:t>
      </w:r>
    </w:p>
    <w:p>
      <w:pPr>
        <w:spacing w:after="0" w:line="174" w:lineRule="exact"/>
        <w:rPr>
          <w:sz w:val="20"/>
          <w:szCs w:val="20"/>
          <w:color w:val="auto"/>
        </w:rPr>
      </w:pPr>
    </w:p>
    <w:p>
      <w:pPr>
        <w:ind w:left="780" w:right="3039"/>
        <w:spacing w:after="0"/>
        <w:rPr>
          <w:sz w:val="20"/>
          <w:szCs w:val="20"/>
          <w:color w:val="auto"/>
        </w:rPr>
      </w:pPr>
      <w:r>
        <w:rPr>
          <w:rFonts w:ascii="Courier New" w:cs="Courier New" w:eastAsia="Courier New" w:hAnsi="Courier New"/>
          <w:sz w:val="15"/>
          <w:szCs w:val="15"/>
          <w:color w:val="auto"/>
        </w:rPr>
        <w:t>CECO Environmental Corp. maintains a stock option plan for the employees of CFI. The options are generally exercisable one year from the date of grant, December 15, 1997, and expire between five and ten years of the date of grant with 20% of the options becoming exercisable each year over the following five years. There are 1,500,000 shares of CECO Environmental Corp.'s common stock that have been reserved for issuance under this plan.</w:t>
      </w:r>
    </w:p>
    <w:p>
      <w:pPr>
        <w:spacing w:after="0" w:line="176" w:lineRule="exact"/>
        <w:rPr>
          <w:sz w:val="20"/>
          <w:szCs w:val="20"/>
          <w:color w:val="auto"/>
        </w:rPr>
      </w:pPr>
    </w:p>
    <w:p>
      <w:pPr>
        <w:ind w:left="780" w:right="3499"/>
        <w:spacing w:after="0" w:line="238" w:lineRule="auto"/>
        <w:rPr>
          <w:sz w:val="20"/>
          <w:szCs w:val="20"/>
          <w:color w:val="auto"/>
        </w:rPr>
      </w:pPr>
      <w:r>
        <w:rPr>
          <w:rFonts w:ascii="Courier New" w:cs="Courier New" w:eastAsia="Courier New" w:hAnsi="Courier New"/>
          <w:sz w:val="15"/>
          <w:szCs w:val="15"/>
          <w:color w:val="auto"/>
        </w:rPr>
        <w:t>The status of the CECO Environmental Corp. stock option plan is as follows:</w:t>
      </w:r>
    </w:p>
    <w:p>
      <w:pPr>
        <w:sectPr>
          <w:pgSz w:w="11900" w:h="16838" w:orient="portrait"/>
          <w:cols w:equalWidth="0" w:num="1">
            <w:col w:w="10139"/>
          </w:cols>
          <w:pgMar w:left="320" w:top="970"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1999</w:t>
      </w:r>
    </w:p>
    <w:p>
      <w:pPr>
        <w:spacing w:after="0" w:line="1" w:lineRule="exact"/>
        <w:rPr>
          <w:sz w:val="20"/>
          <w:szCs w:val="20"/>
          <w:color w:val="auto"/>
        </w:rPr>
      </w:pPr>
    </w:p>
    <w:p>
      <w:pPr>
        <w:ind w:left="57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WEIGHTED</w:t>
      </w:r>
    </w:p>
    <w:p>
      <w:pPr>
        <w:spacing w:after="0" w:line="1" w:lineRule="exact"/>
        <w:rPr>
          <w:sz w:val="20"/>
          <w:szCs w:val="20"/>
          <w:color w:val="auto"/>
        </w:rPr>
      </w:pPr>
    </w:p>
    <w:p>
      <w:pPr>
        <w:ind w:left="7000"/>
        <w:spacing w:after="0"/>
        <w:rPr>
          <w:sz w:val="20"/>
          <w:szCs w:val="20"/>
          <w:color w:val="auto"/>
        </w:rPr>
      </w:pPr>
      <w:r>
        <w:rPr>
          <w:rFonts w:ascii="Courier New" w:cs="Courier New" w:eastAsia="Courier New" w:hAnsi="Courier New"/>
          <w:sz w:val="15"/>
          <w:szCs w:val="15"/>
          <w:color w:val="auto"/>
        </w:rPr>
        <w:t>AVERAGE</w:t>
      </w:r>
    </w:p>
    <w:p>
      <w:pPr>
        <w:spacing w:after="0" w:line="1"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EXERCISE</w:t>
      </w:r>
    </w:p>
    <w:p>
      <w:pPr>
        <w:spacing w:after="0" w:line="1" w:lineRule="exact"/>
        <w:rPr>
          <w:sz w:val="20"/>
          <w:szCs w:val="20"/>
          <w:color w:val="auto"/>
        </w:rPr>
      </w:pPr>
    </w:p>
    <w:p>
      <w:pPr>
        <w:ind w:left="5940"/>
        <w:spacing w:after="0"/>
        <w:tabs>
          <w:tab w:leader="none" w:pos="708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p>
    <w:p>
      <w:pPr>
        <w:spacing w:after="0" w:line="3" w:lineRule="exact"/>
        <w:rPr>
          <w:sz w:val="20"/>
          <w:szCs w:val="20"/>
          <w:color w:val="auto"/>
        </w:rPr>
      </w:pPr>
    </w:p>
    <w:p>
      <w:pPr>
        <w:ind w:left="5940"/>
        <w:spacing w:after="0"/>
        <w:tabs>
          <w:tab w:leader="none" w:pos="67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WEIGHTED</w:t>
      </w:r>
    </w:p>
    <w:p>
      <w:pPr>
        <w:spacing w:after="0" w:line="12"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AVERAGE</w:t>
      </w:r>
    </w:p>
    <w:p>
      <w:pPr>
        <w:spacing w:after="0" w:line="12"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EXERCISE</w:t>
      </w:r>
    </w:p>
    <w:p>
      <w:pPr>
        <w:spacing w:after="0" w:line="9" w:lineRule="exact"/>
        <w:rPr>
          <w:sz w:val="20"/>
          <w:szCs w:val="20"/>
          <w:color w:val="auto"/>
        </w:rPr>
      </w:pPr>
    </w:p>
    <w:p>
      <w:pPr>
        <w:ind w:left="180"/>
        <w:spacing w:after="0"/>
        <w:tabs>
          <w:tab w:leader="none" w:pos="132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p>
    <w:p>
      <w:pPr>
        <w:spacing w:after="0" w:line="1" w:lineRule="exact"/>
        <w:rPr>
          <w:sz w:val="20"/>
          <w:szCs w:val="20"/>
          <w:color w:val="auto"/>
        </w:rPr>
      </w:pPr>
    </w:p>
    <w:p>
      <w:pPr>
        <w:ind w:left="180"/>
        <w:spacing w:after="0"/>
        <w:tabs>
          <w:tab w:leader="none" w:pos="9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7900" w:space="80"/>
            <w:col w:w="2159"/>
          </w:cols>
          <w:pgMar w:left="320" w:top="970" w:right="1440" w:bottom="1440" w:gutter="0" w:footer="0" w:header="0"/>
          <w:type w:val="continuous"/>
        </w:sectPr>
      </w:pPr>
    </w:p>
    <w:p>
      <w:pPr>
        <w:spacing w:after="0" w:line="14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Outstanding, beginning of year</w:t>
      </w:r>
    </w:p>
    <w:p>
      <w:pPr>
        <w:spacing w:after="0" w:line="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Granted</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312,320</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$4.46</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312,320</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$4.46</w:t>
      </w:r>
    </w:p>
    <w:p>
      <w:pPr>
        <w:spacing w:after="0" w:line="182" w:lineRule="exact"/>
        <w:rPr>
          <w:sz w:val="20"/>
          <w:szCs w:val="20"/>
          <w:color w:val="auto"/>
        </w:rPr>
      </w:pPr>
    </w:p>
    <w:p>
      <w:pPr>
        <w:sectPr>
          <w:pgSz w:w="11900" w:h="16838" w:orient="portrait"/>
          <w:cols w:equalWidth="0" w:num="5">
            <w:col w:w="5220" w:space="720"/>
            <w:col w:w="620" w:space="540"/>
            <w:col w:w="440" w:space="620"/>
            <w:col w:w="620" w:space="540"/>
            <w:col w:w="819"/>
          </w:cols>
          <w:pgMar w:left="320" w:top="970"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Forfeited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(44,200)</w:t>
      </w:r>
    </w:p>
    <w:p>
      <w:pPr>
        <w:spacing w:after="0" w:line="12" w:lineRule="exact"/>
        <w:rPr>
          <w:sz w:val="20"/>
          <w:szCs w:val="20"/>
          <w:color w:val="auto"/>
        </w:rPr>
      </w:pPr>
    </w:p>
    <w:p>
      <w:pPr>
        <w:sectPr>
          <w:pgSz w:w="11900" w:h="16838" w:orient="portrait"/>
          <w:cols w:equalWidth="0" w:num="2">
            <w:col w:w="5220" w:space="720"/>
            <w:col w:w="4199"/>
          </w:cols>
          <w:pgMar w:left="320" w:top="970" w:right="1440" w:bottom="1440" w:gutter="0" w:footer="0" w:header="0"/>
          <w:type w:val="continuous"/>
        </w:sectPr>
      </w:pPr>
    </w:p>
    <w:p>
      <w:pPr>
        <w:ind w:left="57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7260" w:space="720"/>
            <w:col w:w="2159"/>
          </w:cols>
          <w:pgMar w:left="320" w:top="970" w:right="1440" w:bottom="1440" w:gutter="0" w:footer="0" w:header="0"/>
          <w:type w:val="continuous"/>
        </w:sectPr>
      </w:pPr>
    </w:p>
    <w:p>
      <w:pPr>
        <w:spacing w:after="0" w:line="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Outstanding, end of year</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268,120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spacing w:after="0" w:line="238" w:lineRule="auto"/>
        <w:rPr>
          <w:sz w:val="20"/>
          <w:szCs w:val="20"/>
          <w:color w:val="auto"/>
        </w:rPr>
      </w:pPr>
      <w:r>
        <w:rPr>
          <w:rFonts w:ascii="Courier New" w:cs="Courier New" w:eastAsia="Courier New" w:hAnsi="Courier New"/>
          <w:sz w:val="15"/>
          <w:szCs w:val="15"/>
          <w:color w:val="auto"/>
        </w:rPr>
        <w:t>4.56       312,320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4.46</w:t>
      </w:r>
    </w:p>
    <w:p>
      <w:pPr>
        <w:spacing w:after="0" w:line="341" w:lineRule="exact"/>
        <w:rPr>
          <w:sz w:val="20"/>
          <w:szCs w:val="20"/>
          <w:color w:val="auto"/>
        </w:rPr>
      </w:pPr>
    </w:p>
    <w:p>
      <w:pPr>
        <w:sectPr>
          <w:pgSz w:w="11900" w:h="16838" w:orient="portrait"/>
          <w:cols w:equalWidth="0" w:num="4">
            <w:col w:w="5040" w:space="720"/>
            <w:col w:w="800" w:space="620"/>
            <w:col w:w="1600" w:space="620"/>
            <w:col w:w="739"/>
          </w:cols>
          <w:pgMar w:left="320" w:top="970" w:right="1440" w:bottom="1440" w:gutter="0" w:footer="0" w:header="0"/>
          <w:type w:val="continuous"/>
        </w:sectPr>
      </w:pPr>
    </w:p>
    <w:p>
      <w:pPr>
        <w:spacing w:after="0" w:line="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Options exercisable at year end</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5"/>
          <w:szCs w:val="15"/>
          <w:color w:val="auto"/>
        </w:rPr>
        <w:t>86,190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135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ind w:right="1359"/>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4960" w:space="720"/>
            <w:col w:w="1580" w:space="720"/>
            <w:col w:w="2159"/>
          </w:cols>
          <w:pgMar w:left="320" w:top="970"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Available for grant at end of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1,231,880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1,187,680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040" w:space="720"/>
            <w:col w:w="1500" w:space="720"/>
            <w:col w:w="2159"/>
          </w:cols>
          <w:pgMar w:left="320" w:top="970" w:right="1440" w:bottom="1440" w:gutter="0" w:footer="0" w:header="0"/>
          <w:type w:val="continuous"/>
        </w:sectPr>
      </w:pP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Employee Stock Purchase Plan</w:t>
      </w:r>
    </w:p>
    <w:p>
      <w:pPr>
        <w:spacing w:after="0" w:line="174" w:lineRule="exact"/>
        <w:rPr>
          <w:sz w:val="20"/>
          <w:szCs w:val="20"/>
          <w:color w:val="auto"/>
        </w:rPr>
      </w:pPr>
    </w:p>
    <w:p>
      <w:pPr>
        <w:ind w:left="780" w:right="3219"/>
        <w:spacing w:after="0" w:line="258" w:lineRule="auto"/>
        <w:rPr>
          <w:sz w:val="20"/>
          <w:szCs w:val="20"/>
          <w:color w:val="auto"/>
        </w:rPr>
      </w:pPr>
      <w:r>
        <w:rPr>
          <w:rFonts w:ascii="Courier New" w:cs="Courier New" w:eastAsia="Courier New" w:hAnsi="Courier New"/>
          <w:sz w:val="14"/>
          <w:szCs w:val="14"/>
          <w:color w:val="auto"/>
        </w:rPr>
        <w:t>Effective October 1, 1998, the Company established an Employee Stock Purchase Plan for all employees meeting certain eligibility criteria. Under the Plan, eligible employees may purchase through the initial twelve month offering and through a series of semiannual offerings, each October and April, commencing October 1, 1999, shares of the Company's common stock, subject to certain limitations. The purchase price of each share is 85% of the lessor of its fair market value on the grant date or on the exercise date. The aggregate number of whole shares of common stock purchasable under the option shall not exceed</w:t>
      </w:r>
    </w:p>
    <w:p>
      <w:pPr>
        <w:spacing w:after="0" w:line="2" w:lineRule="exact"/>
        <w:rPr>
          <w:sz w:val="20"/>
          <w:szCs w:val="20"/>
          <w:color w:val="auto"/>
        </w:rPr>
      </w:pPr>
    </w:p>
    <w:p>
      <w:pPr>
        <w:ind w:left="780" w:right="3039"/>
        <w:spacing w:after="0" w:line="239" w:lineRule="auto"/>
        <w:rPr>
          <w:sz w:val="20"/>
          <w:szCs w:val="20"/>
          <w:color w:val="auto"/>
        </w:rPr>
      </w:pPr>
      <w:r>
        <w:rPr>
          <w:rFonts w:ascii="Courier New" w:cs="Courier New" w:eastAsia="Courier New" w:hAnsi="Courier New"/>
          <w:sz w:val="15"/>
          <w:szCs w:val="15"/>
          <w:color w:val="auto"/>
        </w:rPr>
        <w:t>10% of the employee's base compensation. At December 31, 1998, 250,000 shares were available for purchase under the plan. At December 31, 1999 and 1998, there have been no shares issued under this plan.</w:t>
      </w:r>
    </w:p>
    <w:p>
      <w:pPr>
        <w:spacing w:after="0" w:line="34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Warrants to Purchase Common Stock</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Former K &amp; B Shareholders:</w:t>
      </w:r>
    </w:p>
    <w:p>
      <w:pPr>
        <w:spacing w:after="0" w:line="174" w:lineRule="exact"/>
        <w:rPr>
          <w:sz w:val="20"/>
          <w:szCs w:val="20"/>
          <w:color w:val="auto"/>
        </w:rPr>
      </w:pPr>
    </w:p>
    <w:p>
      <w:pPr>
        <w:ind w:left="780" w:right="3139"/>
        <w:spacing w:after="0"/>
        <w:rPr>
          <w:sz w:val="20"/>
          <w:szCs w:val="20"/>
          <w:color w:val="auto"/>
        </w:rPr>
      </w:pPr>
      <w:r>
        <w:rPr>
          <w:rFonts w:ascii="Courier New" w:cs="Courier New" w:eastAsia="Courier New" w:hAnsi="Courier New"/>
          <w:sz w:val="15"/>
          <w:szCs w:val="15"/>
          <w:color w:val="auto"/>
        </w:rPr>
        <w:t>In December, 1999, as part of their employment contract, warrants were granted to three of the former owners of K &amp; B to purchase a total of 1,000,000 shares of the Company's common stock at an exercise price of $2.9375 per share which was the fair market value on the date granted. These warrants become exercisable at the rate of 25% per year over the four years following December, 1999. The warrants have a term of ten years.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139"/>
          </w:cols>
          <w:pgMar w:left="320" w:top="970" w:right="1440" w:bottom="1440" w:gutter="0" w:footer="0" w:header="0"/>
          <w:type w:val="continuous"/>
        </w:sectPr>
      </w:pPr>
    </w:p>
    <w:bookmarkStart w:id="66" w:name="page67"/>
    <w:bookmarkEnd w:id="66"/>
    <w:p>
      <w:pPr>
        <w:ind w:left="2489"/>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FOR THE YEARS ENDED DECEMBER 31, 1999 AND 1998</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22" w:lineRule="exact"/>
        <w:rPr>
          <w:sz w:val="20"/>
          <w:szCs w:val="20"/>
          <w:color w:val="auto"/>
        </w:rPr>
      </w:pPr>
    </w:p>
    <w:p>
      <w:pPr>
        <w:ind w:left="789" w:hanging="789"/>
        <w:spacing w:after="0"/>
        <w:tabs>
          <w:tab w:leader="none" w:pos="78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Equity - Continued</w:t>
      </w:r>
    </w:p>
    <w:p>
      <w:pPr>
        <w:spacing w:after="0" w:line="174" w:lineRule="exact"/>
        <w:rPr>
          <w:rFonts w:ascii="Courier New" w:cs="Courier New" w:eastAsia="Courier New" w:hAnsi="Courier New"/>
          <w:sz w:val="15"/>
          <w:szCs w:val="15"/>
          <w:color w:val="auto"/>
        </w:rPr>
      </w:pPr>
    </w:p>
    <w:p>
      <w:pPr>
        <w:ind w:left="789" w:right="5359"/>
        <w:spacing w:after="0" w:line="51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Warrants to Purchase Common Stock - Continued Subordinated and Related Party Lenders:</w:t>
      </w:r>
    </w:p>
    <w:p>
      <w:pPr>
        <w:ind w:left="789" w:right="30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1999, warrants were issued to the subordinated lenders (see Note 11) to purchase up to 1,000,000 shares of the Company's common stock for $2.25 per share which was the fair market value on the date granted. The warrants are exercisable from June, 2000 until December, 2009. In connection with such warrants, the subordinated lenders were granted certain registration rights with respect to their warrants and shares of the Company's common stock into which the warrants are convertible. Management of the Company valued the detachable stock warrants at $1,847,000 and accordingly discounted the subordinated debt obligations and recorded additional capital in excess of par value at December 31, 1999.</w:t>
      </w:r>
    </w:p>
    <w:p>
      <w:pPr>
        <w:spacing w:after="0" w:line="179" w:lineRule="exact"/>
        <w:rPr>
          <w:rFonts w:ascii="Courier New" w:cs="Courier New" w:eastAsia="Courier New" w:hAnsi="Courier New"/>
          <w:sz w:val="15"/>
          <w:szCs w:val="15"/>
          <w:color w:val="auto"/>
        </w:rPr>
      </w:pPr>
    </w:p>
    <w:p>
      <w:pPr>
        <w:ind w:left="789" w:right="303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August, 1999, warrants were issued to Green Diamond Oil Corp. (see Note 11) to purchase up to 1,000,000 shares of the Company's common stock for $2.50 per share, which was the fair market value on the date granted. The warrants are exercisable from February, 2000 until August, 2009. The value of the warrants is considered to be de minimis.</w:t>
      </w:r>
    </w:p>
    <w:p>
      <w:pPr>
        <w:spacing w:after="0" w:line="159"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Chief Executive Officer:</w:t>
      </w:r>
    </w:p>
    <w:p>
      <w:pPr>
        <w:spacing w:after="0" w:line="174" w:lineRule="exact"/>
        <w:rPr>
          <w:rFonts w:ascii="Courier New" w:cs="Courier New" w:eastAsia="Courier New" w:hAnsi="Courier New"/>
          <w:sz w:val="15"/>
          <w:szCs w:val="15"/>
          <w:color w:val="auto"/>
        </w:rPr>
      </w:pPr>
    </w:p>
    <w:p>
      <w:pPr>
        <w:ind w:left="789" w:right="31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1999 and 1998, warrants were issued to the Chief Executive Officer to purchase 500,000 and 250,000 shares of the Company's common stock at an exercise price of $3.00 and $2.75 per share, respectively. These warrants expire ten years from date of issuance. In September, 1998, warrants were issued to the Chief Executive Officer to purchase 250,000 shares of the Company's common stock. These warrants have an exercise price of $1.625 per share. The aforementioned warrants expire 10 years from date of issuance.</w:t>
      </w:r>
    </w:p>
    <w:p>
      <w:pPr>
        <w:spacing w:after="0" w:line="174"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Consulting Agreement:</w:t>
      </w:r>
    </w:p>
    <w:p>
      <w:pPr>
        <w:spacing w:after="0" w:line="174" w:lineRule="exact"/>
        <w:rPr>
          <w:rFonts w:ascii="Courier New" w:cs="Courier New" w:eastAsia="Courier New" w:hAnsi="Courier New"/>
          <w:sz w:val="15"/>
          <w:szCs w:val="15"/>
          <w:color w:val="auto"/>
        </w:rPr>
      </w:pPr>
    </w:p>
    <w:p>
      <w:pPr>
        <w:ind w:left="789" w:right="30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1998, the Company entered into a one year consulting agreement with an option to renew for an additional year with unrelated third party, to provide investor relations services to the Company. As compensation, the consultant received warrants to purchase 500,000 shares of the Company's common stock at $2 per warrant for the first 250,000 shares and $3 per warrant for the remaining 250,000 shares, with the warrants expiring November, 2000. In connection with this transaction, warrants were issued to an unrelated third party to purchase 700,000 shares of the Company's common stock at $2 per warrant for the first 450,000 shares and $3 per warrant for the remaining 250,000 shares, with warrants expiring November, 2000. The value of the warrants is considered to be de minimis.</w:t>
      </w:r>
    </w:p>
    <w:p>
      <w:pPr>
        <w:spacing w:after="0" w:line="180" w:lineRule="exact"/>
        <w:rPr>
          <w:rFonts w:ascii="Courier New" w:cs="Courier New" w:eastAsia="Courier New" w:hAnsi="Courier New"/>
          <w:sz w:val="15"/>
          <w:szCs w:val="15"/>
          <w:color w:val="auto"/>
        </w:rPr>
      </w:pPr>
    </w:p>
    <w:p>
      <w:pPr>
        <w:ind w:left="789" w:right="30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Company advanced $150,000 on November 1, 1998 and an additional $150,000 on January 1, 1999 towards expenses incurred for its public relations program. The Company amortized these prepaid public relation costs in the amount of $275,000 and $25,000 in 1999 and 1998, respectively.</w:t>
      </w:r>
    </w:p>
    <w:p>
      <w:pPr>
        <w:spacing w:after="0" w:line="171"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w:t>
      </w:r>
    </w:p>
    <w:p>
      <w:pPr>
        <w:spacing w:after="0" w:line="174" w:lineRule="exact"/>
        <w:rPr>
          <w:rFonts w:ascii="Courier New" w:cs="Courier New" w:eastAsia="Courier New" w:hAnsi="Courier New"/>
          <w:sz w:val="15"/>
          <w:szCs w:val="15"/>
          <w:color w:val="auto"/>
        </w:rPr>
      </w:pPr>
    </w:p>
    <w:p>
      <w:pPr>
        <w:ind w:left="789" w:right="30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the Company granted options to a member of the Board of Directors to purchase 10,000 shares of the Company's common stock at $2.75 per share. The options became exercisable on February 1, 1999 and extend through June 30, 2008. The value of the stock options are deemed de minimis.</w:t>
      </w:r>
    </w:p>
    <w:p>
      <w:pPr>
        <w:spacing w:after="0" w:line="200" w:lineRule="exact"/>
        <w:rPr>
          <w:sz w:val="20"/>
          <w:szCs w:val="20"/>
          <w:color w:val="auto"/>
        </w:rPr>
      </w:pPr>
    </w:p>
    <w:p>
      <w:pPr>
        <w:spacing w:after="0" w:line="313"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148"/>
          </w:cols>
          <w:pgMar w:left="311" w:top="970" w:right="1440" w:bottom="1440" w:gutter="0" w:footer="0" w:header="0"/>
        </w:sectPr>
      </w:pPr>
    </w:p>
    <w:bookmarkStart w:id="67" w:name="page68"/>
    <w:bookmarkEnd w:id="67"/>
    <w:p>
      <w:pPr>
        <w:ind w:left="2489"/>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691"/>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691"/>
        <w:spacing w:after="0"/>
        <w:rPr>
          <w:sz w:val="20"/>
          <w:szCs w:val="20"/>
          <w:color w:val="auto"/>
        </w:rPr>
      </w:pPr>
      <w:r>
        <w:rPr>
          <w:rFonts w:ascii="Courier New" w:cs="Courier New" w:eastAsia="Courier New" w:hAnsi="Courier New"/>
          <w:sz w:val="15"/>
          <w:szCs w:val="15"/>
          <w:color w:val="auto"/>
        </w:rPr>
        <w:t>FOR THE YEARS ENDED DECEMBER 31, 1999 AND 1998</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313" w:lineRule="exact"/>
        <w:rPr>
          <w:sz w:val="20"/>
          <w:szCs w:val="20"/>
          <w:color w:val="auto"/>
        </w:rPr>
      </w:pPr>
    </w:p>
    <w:p>
      <w:pPr>
        <w:ind w:left="789" w:hanging="789"/>
        <w:spacing w:after="0"/>
        <w:tabs>
          <w:tab w:leader="none" w:pos="78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to Major Customers</w:t>
      </w:r>
    </w:p>
    <w:p>
      <w:pPr>
        <w:spacing w:after="0" w:line="174" w:lineRule="exact"/>
        <w:rPr>
          <w:rFonts w:ascii="Courier New" w:cs="Courier New" w:eastAsia="Courier New" w:hAnsi="Courier New"/>
          <w:sz w:val="15"/>
          <w:szCs w:val="15"/>
          <w:color w:val="auto"/>
        </w:rPr>
      </w:pPr>
    </w:p>
    <w:p>
      <w:pPr>
        <w:ind w:left="789" w:right="124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CFI had one customer in 1998 representing 11% of consolidated net revenues.</w:t>
      </w:r>
    </w:p>
    <w:p>
      <w:pPr>
        <w:spacing w:after="0" w:line="343"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and Employee Benefits Plans</w:t>
      </w:r>
    </w:p>
    <w:p>
      <w:pPr>
        <w:spacing w:after="0" w:line="174" w:lineRule="exact"/>
        <w:rPr>
          <w:rFonts w:ascii="Courier New" w:cs="Courier New" w:eastAsia="Courier New" w:hAnsi="Courier New"/>
          <w:sz w:val="15"/>
          <w:szCs w:val="15"/>
          <w:color w:val="auto"/>
        </w:rPr>
      </w:pPr>
    </w:p>
    <w:p>
      <w:pPr>
        <w:ind w:left="789" w:right="800"/>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K &amp; B sponsors a non-contributory defined benefit pension plan for certain union employees. The plan is funded in accordance with the funding requirements of the Employee Retirement Income Security Act of 1974.</w:t>
      </w:r>
    </w:p>
    <w:p>
      <w:pPr>
        <w:spacing w:after="0" w:line="176" w:lineRule="exact"/>
        <w:rPr>
          <w:rFonts w:ascii="Courier New" w:cs="Courier New" w:eastAsia="Courier New" w:hAnsi="Courier New"/>
          <w:sz w:val="15"/>
          <w:szCs w:val="15"/>
          <w:color w:val="auto"/>
        </w:rPr>
      </w:pPr>
    </w:p>
    <w:p>
      <w:pPr>
        <w:ind w:left="789" w:righ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 &amp; B also sponsors a post-retirement health care plan for office employees. Effective January 1, 1990, the plan was amended and retirees after that date are not eligible to receive benefits under the plan. The plan allows retirees who have attained the age of 65 to elect the type of coverage desired.</w:t>
      </w:r>
    </w:p>
    <w:p>
      <w:pPr>
        <w:spacing w:after="0" w:line="174" w:lineRule="exact"/>
        <w:rPr>
          <w:rFonts w:ascii="Courier New" w:cs="Courier New" w:eastAsia="Courier New" w:hAnsi="Courier New"/>
          <w:sz w:val="15"/>
          <w:szCs w:val="15"/>
          <w:color w:val="auto"/>
        </w:rPr>
      </w:pPr>
    </w:p>
    <w:p>
      <w:pPr>
        <w:ind w:left="789" w:right="700"/>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amounts relate to the Company's defined benefit pension and post-retirement health care plans for 1999 as of December 31,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PENSION</w:t>
            </w:r>
          </w:p>
        </w:tc>
      </w:tr>
      <w:tr>
        <w:trPr>
          <w:trHeight w:val="171"/>
        </w:trPr>
        <w:tc>
          <w:tcPr>
            <w:tcW w:w="5340" w:type="dxa"/>
            <w:vAlign w:val="bottom"/>
          </w:tcPr>
          <w:p>
            <w:pPr>
              <w:spacing w:after="0"/>
              <w:rPr>
                <w:sz w:val="14"/>
                <w:szCs w:val="14"/>
                <w:color w:val="auto"/>
              </w:rPr>
            </w:pPr>
          </w:p>
        </w:tc>
        <w:tc>
          <w:tcPr>
            <w:tcW w:w="16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BENEFITS</w:t>
            </w:r>
          </w:p>
        </w:tc>
      </w:tr>
      <w:tr>
        <w:trPr>
          <w:trHeight w:val="171"/>
        </w:trPr>
        <w:tc>
          <w:tcPr>
            <w:tcW w:w="5340" w:type="dxa"/>
            <w:vAlign w:val="bottom"/>
          </w:tcPr>
          <w:p>
            <w:pPr>
              <w:spacing w:after="0"/>
              <w:rPr>
                <w:sz w:val="14"/>
                <w:szCs w:val="14"/>
                <w:color w:val="auto"/>
              </w:rPr>
            </w:pPr>
          </w:p>
        </w:tc>
        <w:tc>
          <w:tcPr>
            <w:tcW w:w="16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w:t>
            </w:r>
          </w:p>
        </w:tc>
      </w:tr>
      <w:tr>
        <w:trPr>
          <w:trHeight w:val="512"/>
        </w:trPr>
        <w:tc>
          <w:tcPr>
            <w:tcW w:w="5340" w:type="dxa"/>
            <w:vAlign w:val="bottom"/>
          </w:tcPr>
          <w:p>
            <w:pPr>
              <w:spacing w:after="0"/>
              <w:rPr>
                <w:sz w:val="20"/>
                <w:szCs w:val="20"/>
                <w:color w:val="auto"/>
              </w:rPr>
            </w:pPr>
            <w:r>
              <w:rPr>
                <w:rFonts w:ascii="Courier New" w:cs="Courier New" w:eastAsia="Courier New" w:hAnsi="Courier New"/>
                <w:sz w:val="15"/>
                <w:szCs w:val="15"/>
                <w:color w:val="auto"/>
              </w:rPr>
              <w:t>Benefit obligation at December 31, 1999</w:t>
            </w:r>
          </w:p>
        </w:tc>
        <w:tc>
          <w:tcPr>
            <w:tcW w:w="16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$3,743,941</w:t>
            </w:r>
          </w:p>
        </w:tc>
      </w:tr>
      <w:tr>
        <w:trPr>
          <w:trHeight w:val="171"/>
        </w:trPr>
        <w:tc>
          <w:tcPr>
            <w:tcW w:w="5340" w:type="dxa"/>
            <w:vAlign w:val="bottom"/>
          </w:tcPr>
          <w:p>
            <w:pPr>
              <w:spacing w:after="0"/>
              <w:rPr>
                <w:sz w:val="20"/>
                <w:szCs w:val="20"/>
                <w:color w:val="auto"/>
              </w:rPr>
            </w:pPr>
            <w:r>
              <w:rPr>
                <w:rFonts w:ascii="Courier New" w:cs="Courier New" w:eastAsia="Courier New" w:hAnsi="Courier New"/>
                <w:sz w:val="15"/>
                <w:szCs w:val="15"/>
                <w:color w:val="auto"/>
              </w:rPr>
              <w:t>Fair value of plan assets at</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4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1999</w:t>
            </w:r>
          </w:p>
        </w:tc>
        <w:tc>
          <w:tcPr>
            <w:tcW w:w="7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3,699,345</w:t>
            </w:r>
          </w:p>
        </w:tc>
      </w:tr>
      <w:tr>
        <w:trPr>
          <w:trHeight w:val="171"/>
        </w:trPr>
        <w:tc>
          <w:tcPr>
            <w:tcW w:w="5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5340" w:type="dxa"/>
            <w:vAlign w:val="bottom"/>
          </w:tcPr>
          <w:p>
            <w:pPr>
              <w:spacing w:after="0"/>
              <w:rPr>
                <w:sz w:val="20"/>
                <w:szCs w:val="20"/>
                <w:color w:val="auto"/>
              </w:rPr>
            </w:pPr>
            <w:r>
              <w:rPr>
                <w:rFonts w:ascii="Courier New" w:cs="Courier New" w:eastAsia="Courier New" w:hAnsi="Courier New"/>
                <w:sz w:val="15"/>
                <w:szCs w:val="15"/>
                <w:color w:val="auto"/>
              </w:rPr>
              <w:t>Funded status</w:t>
            </w:r>
          </w:p>
        </w:tc>
        <w:tc>
          <w:tcPr>
            <w:tcW w:w="7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(44,596)</w:t>
            </w:r>
          </w:p>
        </w:tc>
      </w:tr>
      <w:tr>
        <w:trPr>
          <w:trHeight w:val="341"/>
        </w:trPr>
        <w:tc>
          <w:tcPr>
            <w:tcW w:w="534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costs</w:t>
            </w:r>
          </w:p>
        </w:tc>
        <w:tc>
          <w:tcPr>
            <w:tcW w:w="700" w:type="dxa"/>
            <w:vAlign w:val="bottom"/>
          </w:tcPr>
          <w:p>
            <w:pPr>
              <w:spacing w:after="0"/>
              <w:rPr>
                <w:sz w:val="24"/>
                <w:szCs w:val="2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70,378</w:t>
            </w:r>
          </w:p>
        </w:tc>
      </w:tr>
      <w:tr>
        <w:trPr>
          <w:trHeight w:val="171"/>
        </w:trPr>
        <w:tc>
          <w:tcPr>
            <w:tcW w:w="5340" w:type="dxa"/>
            <w:vAlign w:val="bottom"/>
          </w:tcPr>
          <w:p>
            <w:pPr>
              <w:spacing w:after="0"/>
              <w:rPr>
                <w:sz w:val="20"/>
                <w:szCs w:val="20"/>
                <w:color w:val="auto"/>
              </w:rPr>
            </w:pPr>
            <w:r>
              <w:rPr>
                <w:rFonts w:ascii="Courier New" w:cs="Courier New" w:eastAsia="Courier New" w:hAnsi="Courier New"/>
                <w:sz w:val="15"/>
                <w:szCs w:val="15"/>
                <w:color w:val="auto"/>
              </w:rPr>
              <w:t>Net transition obligation</w:t>
            </w:r>
          </w:p>
        </w:tc>
        <w:tc>
          <w:tcPr>
            <w:tcW w:w="7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(37,900)</w:t>
            </w:r>
          </w:p>
        </w:tc>
      </w:tr>
      <w:tr>
        <w:trPr>
          <w:trHeight w:val="171"/>
        </w:trPr>
        <w:tc>
          <w:tcPr>
            <w:tcW w:w="5340" w:type="dxa"/>
            <w:vAlign w:val="bottom"/>
          </w:tcPr>
          <w:p>
            <w:pPr>
              <w:spacing w:after="0"/>
              <w:rPr>
                <w:sz w:val="20"/>
                <w:szCs w:val="20"/>
                <w:color w:val="auto"/>
              </w:rPr>
            </w:pPr>
            <w:r>
              <w:rPr>
                <w:rFonts w:ascii="Courier New" w:cs="Courier New" w:eastAsia="Courier New" w:hAnsi="Courier New"/>
                <w:sz w:val="15"/>
                <w:szCs w:val="15"/>
                <w:color w:val="auto"/>
              </w:rPr>
              <w:t>Unrecognized net actuarial loss</w:t>
            </w:r>
          </w:p>
        </w:tc>
        <w:tc>
          <w:tcPr>
            <w:tcW w:w="7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52,751</w:t>
            </w:r>
          </w:p>
        </w:tc>
      </w:tr>
      <w:tr>
        <w:trPr>
          <w:trHeight w:val="171"/>
        </w:trPr>
        <w:tc>
          <w:tcPr>
            <w:tcW w:w="5340" w:type="dxa"/>
            <w:vAlign w:val="bottom"/>
          </w:tcPr>
          <w:p>
            <w:pPr>
              <w:spacing w:after="0"/>
              <w:rPr>
                <w:sz w:val="14"/>
                <w:szCs w:val="14"/>
                <w:color w:val="auto"/>
              </w:rPr>
            </w:pPr>
          </w:p>
        </w:tc>
        <w:tc>
          <w:tcPr>
            <w:tcW w:w="16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40" w:type="dxa"/>
            <w:vAlign w:val="bottom"/>
          </w:tcPr>
          <w:p>
            <w:pPr>
              <w:spacing w:after="0"/>
              <w:rPr>
                <w:sz w:val="20"/>
                <w:szCs w:val="20"/>
                <w:color w:val="auto"/>
              </w:rPr>
            </w:pPr>
            <w:r>
              <w:rPr>
                <w:rFonts w:ascii="Courier New" w:cs="Courier New" w:eastAsia="Courier New" w:hAnsi="Courier New"/>
                <w:sz w:val="15"/>
                <w:szCs w:val="15"/>
                <w:color w:val="auto"/>
              </w:rPr>
              <w:t>Prepaid (accrued) benefit cost</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40,633</w:t>
            </w:r>
          </w:p>
        </w:tc>
      </w:tr>
      <w:tr>
        <w:trPr>
          <w:trHeight w:val="171"/>
        </w:trPr>
        <w:tc>
          <w:tcPr>
            <w:tcW w:w="5340" w:type="dxa"/>
            <w:vAlign w:val="bottom"/>
          </w:tcPr>
          <w:p>
            <w:pPr>
              <w:spacing w:after="0"/>
              <w:rPr>
                <w:sz w:val="14"/>
                <w:szCs w:val="14"/>
                <w:color w:val="auto"/>
              </w:rPr>
            </w:pPr>
          </w:p>
        </w:tc>
        <w:tc>
          <w:tcPr>
            <w:tcW w:w="16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40" w:type="dxa"/>
            <w:vAlign w:val="bottom"/>
          </w:tcPr>
          <w:p>
            <w:pPr>
              <w:spacing w:after="0"/>
              <w:rPr>
                <w:sz w:val="20"/>
                <w:szCs w:val="20"/>
                <w:color w:val="auto"/>
              </w:rPr>
            </w:pPr>
            <w:r>
              <w:rPr>
                <w:rFonts w:ascii="Courier New" w:cs="Courier New" w:eastAsia="Courier New" w:hAnsi="Courier New"/>
                <w:sz w:val="15"/>
                <w:szCs w:val="15"/>
                <w:color w:val="auto"/>
              </w:rPr>
              <w:t>Weighted average assumptions as of December 31, 1999:</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5340" w:type="dxa"/>
            <w:vAlign w:val="bottom"/>
          </w:tcPr>
          <w:p>
            <w:pPr>
              <w:ind w:left="180"/>
              <w:spacing w:after="0"/>
              <w:rPr>
                <w:sz w:val="20"/>
                <w:szCs w:val="20"/>
                <w:color w:val="auto"/>
              </w:rPr>
            </w:pPr>
            <w:r>
              <w:rPr>
                <w:rFonts w:ascii="Courier New" w:cs="Courier New" w:eastAsia="Courier New" w:hAnsi="Courier New"/>
                <w:sz w:val="15"/>
                <w:szCs w:val="15"/>
                <w:color w:val="auto"/>
              </w:rPr>
              <w:t>Discount rate</w:t>
            </w:r>
          </w:p>
        </w:tc>
        <w:tc>
          <w:tcPr>
            <w:tcW w:w="7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w:t>
            </w:r>
          </w:p>
        </w:tc>
      </w:tr>
      <w:tr>
        <w:trPr>
          <w:trHeight w:val="171"/>
        </w:trPr>
        <w:tc>
          <w:tcPr>
            <w:tcW w:w="5340" w:type="dxa"/>
            <w:vAlign w:val="bottom"/>
          </w:tcPr>
          <w:p>
            <w:pPr>
              <w:ind w:left="180"/>
              <w:spacing w:after="0"/>
              <w:rPr>
                <w:sz w:val="20"/>
                <w:szCs w:val="20"/>
                <w:color w:val="auto"/>
              </w:rPr>
            </w:pPr>
            <w:r>
              <w:rPr>
                <w:rFonts w:ascii="Courier New" w:cs="Courier New" w:eastAsia="Courier New" w:hAnsi="Courier New"/>
                <w:sz w:val="15"/>
                <w:szCs w:val="15"/>
                <w:color w:val="auto"/>
              </w:rPr>
              <w:t>Expected return on plan assets</w:t>
            </w:r>
          </w:p>
        </w:tc>
        <w:tc>
          <w:tcPr>
            <w:tcW w:w="7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89" w:right="800"/>
        <w:spacing w:after="0"/>
        <w:rPr>
          <w:sz w:val="20"/>
          <w:szCs w:val="20"/>
          <w:color w:val="auto"/>
        </w:rPr>
      </w:pPr>
      <w:r>
        <w:rPr>
          <w:rFonts w:ascii="Courier New" w:cs="Courier New" w:eastAsia="Courier New" w:hAnsi="Courier New"/>
          <w:sz w:val="15"/>
          <w:szCs w:val="15"/>
          <w:color w:val="auto"/>
        </w:rPr>
        <w:t>Benefits under the plans are not based on wages and, therefore, future wage adjustments have no effect on the projected benefit obligations. For measurement purposes, a 7% annual rate of increase in the per capita cost of covered health care benefits was assumed for 1999. The rate was assumed to increase through 2004 at 4% to 6%.</w:t>
      </w:r>
    </w:p>
    <w:p>
      <w:pPr>
        <w:spacing w:after="0" w:line="175" w:lineRule="exact"/>
        <w:rPr>
          <w:sz w:val="20"/>
          <w:szCs w:val="20"/>
          <w:color w:val="auto"/>
        </w:rPr>
      </w:pPr>
    </w:p>
    <w:p>
      <w:pPr>
        <w:ind w:left="789" w:right="880"/>
        <w:spacing w:after="0"/>
        <w:rPr>
          <w:sz w:val="20"/>
          <w:szCs w:val="20"/>
          <w:color w:val="auto"/>
        </w:rPr>
      </w:pPr>
      <w:r>
        <w:rPr>
          <w:rFonts w:ascii="Courier New" w:cs="Courier New" w:eastAsia="Courier New" w:hAnsi="Courier New"/>
          <w:sz w:val="15"/>
          <w:szCs w:val="15"/>
          <w:color w:val="auto"/>
        </w:rPr>
        <w:t>The Company acquired K &amp; B on December 7, 1999, including its pension and post- retirement benefit plans. No material changed in benefit obligation, plan assets and net period benefit costs were recognized from the date of acquisition of K &amp; B (December 7, 1999) through December 31, 1999.</w:t>
      </w:r>
    </w:p>
    <w:p>
      <w:pPr>
        <w:spacing w:after="0" w:line="200" w:lineRule="exact"/>
        <w:rPr>
          <w:sz w:val="20"/>
          <w:szCs w:val="20"/>
          <w:color w:val="auto"/>
        </w:rPr>
      </w:pPr>
    </w:p>
    <w:p>
      <w:pPr>
        <w:spacing w:after="0" w:line="313"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F-22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POST-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BENEFITS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jc w:val="right"/>
        <w:ind w:right="559"/>
        <w:spacing w:after="0"/>
        <w:rPr>
          <w:sz w:val="20"/>
          <w:szCs w:val="20"/>
          <w:color w:val="auto"/>
        </w:rPr>
      </w:pPr>
      <w:r>
        <w:rPr>
          <w:rFonts w:ascii="Courier New" w:cs="Courier New" w:eastAsia="Courier New" w:hAnsi="Courier New"/>
          <w:sz w:val="15"/>
          <w:szCs w:val="15"/>
          <w:color w:val="auto"/>
        </w:rPr>
        <w:t>($729,547)</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right"/>
        <w:ind w:right="559"/>
        <w:spacing w:after="0"/>
        <w:rPr>
          <w:sz w:val="20"/>
          <w:szCs w:val="20"/>
          <w:color w:val="auto"/>
        </w:rPr>
      </w:pPr>
      <w:r>
        <w:rPr>
          <w:rFonts w:ascii="Courier New" w:cs="Courier New" w:eastAsia="Courier New" w:hAnsi="Courier New"/>
          <w:sz w:val="15"/>
          <w:szCs w:val="15"/>
          <w:color w:val="auto"/>
        </w:rPr>
        <w:t>(729,547)</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5"/>
          <w:szCs w:val="15"/>
          <w:color w:val="auto"/>
        </w:rPr>
        <w:t>($729,597)</w:t>
      </w:r>
    </w:p>
    <w:p>
      <w:pPr>
        <w:spacing w:after="0" w:line="1"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jc w:val="right"/>
        <w:ind w:right="659"/>
        <w:spacing w:after="0"/>
        <w:rPr>
          <w:sz w:val="20"/>
          <w:szCs w:val="20"/>
          <w:color w:val="auto"/>
        </w:rPr>
      </w:pPr>
      <w:r>
        <w:rPr>
          <w:rFonts w:ascii="Courier New" w:cs="Courier New" w:eastAsia="Courier New" w:hAnsi="Courier New"/>
          <w:sz w:val="15"/>
          <w:szCs w:val="15"/>
          <w:color w:val="auto"/>
        </w:rPr>
        <w:t>7%</w:t>
      </w:r>
    </w:p>
    <w:p>
      <w:pPr>
        <w:spacing w:after="0" w:line="1" w:lineRule="exact"/>
        <w:rPr>
          <w:sz w:val="20"/>
          <w:szCs w:val="20"/>
          <w:color w:val="auto"/>
        </w:rPr>
      </w:pPr>
    </w:p>
    <w:p>
      <w:pPr>
        <w:jc w:val="right"/>
        <w:ind w:right="65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809" w:space="720"/>
            <w:col w:w="1619"/>
          </w:cols>
          <w:pgMar w:left="311" w:top="970" w:right="1440" w:bottom="1440" w:gutter="0" w:footer="0" w:header="0"/>
        </w:sectPr>
      </w:pPr>
    </w:p>
    <w:bookmarkStart w:id="68" w:name="page69"/>
    <w:bookmarkEnd w:id="68"/>
    <w:p>
      <w:pPr>
        <w:ind w:left="2489"/>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FOR THE YEARS ENDED DECEMBER 31, 1999 AND 1998</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22" w:lineRule="exact"/>
        <w:rPr>
          <w:sz w:val="20"/>
          <w:szCs w:val="20"/>
          <w:color w:val="auto"/>
        </w:rPr>
      </w:pPr>
    </w:p>
    <w:p>
      <w:pPr>
        <w:ind w:left="789" w:hanging="789"/>
        <w:spacing w:after="0"/>
        <w:tabs>
          <w:tab w:leader="none" w:pos="78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and Employee Benefits Plans - Continued</w:t>
      </w:r>
    </w:p>
    <w:p>
      <w:pPr>
        <w:spacing w:after="0" w:line="174" w:lineRule="exact"/>
        <w:rPr>
          <w:rFonts w:ascii="Courier New" w:cs="Courier New" w:eastAsia="Courier New" w:hAnsi="Courier New"/>
          <w:sz w:val="15"/>
          <w:szCs w:val="15"/>
          <w:color w:val="auto"/>
        </w:rPr>
      </w:pPr>
    </w:p>
    <w:p>
      <w:pPr>
        <w:ind w:left="789" w:right="30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collective bargaining agreements, K &amp; B participates with other companies in defined benefit pension plans. These plans cover substantially all of its contracted union employees not covered in the aforementioned plan. If K &amp; B were to withdraw from its participation in these multi-employer plans, K &amp; B would be required to contribute its share of the plans' unfunded benefit obligation. Management has no intention of withdrawing from any plan and, therefore, no liability has been provided in the accompanying financial statements.</w:t>
      </w:r>
    </w:p>
    <w:p>
      <w:pPr>
        <w:spacing w:after="0" w:line="177" w:lineRule="exact"/>
        <w:rPr>
          <w:rFonts w:ascii="Courier New" w:cs="Courier New" w:eastAsia="Courier New" w:hAnsi="Courier New"/>
          <w:sz w:val="15"/>
          <w:szCs w:val="15"/>
          <w:color w:val="auto"/>
        </w:rPr>
      </w:pPr>
    </w:p>
    <w:p>
      <w:pPr>
        <w:ind w:left="789" w:right="303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Amounts charged to pension expense under the above plans including the multi-employer plans totaled approximately $107,000 for the period from the date of acquisition of K &amp; B (December 7, 1999) through December 31, 1999.</w:t>
      </w:r>
    </w:p>
    <w:p>
      <w:pPr>
        <w:spacing w:after="0" w:line="176" w:lineRule="exact"/>
        <w:rPr>
          <w:rFonts w:ascii="Courier New" w:cs="Courier New" w:eastAsia="Courier New" w:hAnsi="Courier New"/>
          <w:sz w:val="15"/>
          <w:szCs w:val="15"/>
          <w:color w:val="auto"/>
        </w:rPr>
      </w:pPr>
    </w:p>
    <w:p>
      <w:pPr>
        <w:ind w:left="789" w:right="30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 &amp; B also sponsors a profit sharing and 401(k) savings retirement plan for non-union employees. The plan covers substantially all employees who have completed one year of service, completed 1,000 hours of service and who have attained 21 years of age. The Plan allows K &amp; B to make discretionary contributions and provides for employee salary reductions of up to 15%. K &amp; B provides matching contributions of 25% of the first 5% of employee contributions. Matching contributions and discretionary contributions during the period from the date of acquisition of K &amp; B (December 7, 1999) through December 31, 1999 was approximately $31,000.</w:t>
      </w:r>
    </w:p>
    <w:p>
      <w:pPr>
        <w:spacing w:after="0" w:line="178" w:lineRule="exact"/>
        <w:rPr>
          <w:rFonts w:ascii="Courier New" w:cs="Courier New" w:eastAsia="Courier New" w:hAnsi="Courier New"/>
          <w:sz w:val="15"/>
          <w:szCs w:val="15"/>
          <w:color w:val="auto"/>
        </w:rPr>
      </w:pPr>
    </w:p>
    <w:p>
      <w:pPr>
        <w:ind w:left="789" w:right="303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CFI has a 401(k) Savings and Retirement Plan which covers substantially all employees. Under the terms of the Plan, employees can contribute between 1% and 22% of their annual compensation to the Plan. CFI matches 50% of the first 6%. Plan expense for the years ended December 31, 1999 and 1998 was approximately $72,000 and $119,000, respectively.</w:t>
      </w:r>
    </w:p>
    <w:p>
      <w:pPr>
        <w:spacing w:after="0" w:line="161" w:lineRule="exact"/>
        <w:rPr>
          <w:rFonts w:ascii="Courier New" w:cs="Courier New" w:eastAsia="Courier New" w:hAnsi="Courier New"/>
          <w:sz w:val="15"/>
          <w:szCs w:val="15"/>
          <w:color w:val="auto"/>
        </w:rPr>
      </w:pPr>
    </w:p>
    <w:p>
      <w:pPr>
        <w:ind w:left="789" w:right="321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CFI also has a profit-sharing plan which covers substantially all employees. There were no contributions to the Plan for 1999 and 1998.</w:t>
      </w:r>
    </w:p>
    <w:p>
      <w:pPr>
        <w:spacing w:after="0" w:line="153" w:lineRule="exact"/>
        <w:rPr>
          <w:rFonts w:ascii="Courier New" w:cs="Courier New" w:eastAsia="Courier New" w:hAnsi="Courier New"/>
          <w:sz w:val="15"/>
          <w:szCs w:val="15"/>
          <w:color w:val="auto"/>
        </w:rPr>
      </w:pPr>
    </w:p>
    <w:p>
      <w:pPr>
        <w:ind w:left="789" w:right="8379" w:hanging="789"/>
        <w:spacing w:after="0" w:line="516" w:lineRule="auto"/>
        <w:tabs>
          <w:tab w:leader="none" w:pos="78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Rent</w:t>
      </w:r>
    </w:p>
    <w:p>
      <w:pPr>
        <w:spacing w:after="0" w:line="1" w:lineRule="exact"/>
        <w:rPr>
          <w:sz w:val="20"/>
          <w:szCs w:val="20"/>
          <w:color w:val="auto"/>
        </w:rPr>
      </w:pPr>
    </w:p>
    <w:p>
      <w:pPr>
        <w:ind w:left="789" w:right="3139"/>
        <w:spacing w:after="0" w:line="239" w:lineRule="auto"/>
        <w:rPr>
          <w:sz w:val="20"/>
          <w:szCs w:val="20"/>
          <w:color w:val="auto"/>
        </w:rPr>
      </w:pPr>
      <w:r>
        <w:rPr>
          <w:rFonts w:ascii="Courier New" w:cs="Courier New" w:eastAsia="Courier New" w:hAnsi="Courier New"/>
          <w:sz w:val="15"/>
          <w:szCs w:val="15"/>
          <w:color w:val="auto"/>
        </w:rPr>
        <w:t>CFI leases certain facilities on a year-to-year basis. CFI also has future annual minimum rental commitments under noncancelable operating leases as follows:</w:t>
      </w:r>
    </w:p>
    <w:p>
      <w:pPr>
        <w:spacing w:after="0" w:line="172" w:lineRule="exact"/>
        <w:rPr>
          <w:sz w:val="20"/>
          <w:szCs w:val="20"/>
          <w:color w:val="auto"/>
        </w:rPr>
      </w:pPr>
    </w:p>
    <w:tbl>
      <w:tblPr>
        <w:tblLayout w:type="fixed"/>
        <w:tblInd w:w="1949" w:type="dxa"/>
        <w:tblCellMar>
          <w:top w:w="0" w:type="dxa"/>
          <w:left w:w="0" w:type="dxa"/>
          <w:bottom w:w="0" w:type="dxa"/>
          <w:right w:w="0" w:type="dxa"/>
        </w:tblCellMar>
      </w:tblPr>
      <w:tr>
        <w:trPr>
          <w:trHeight w:val="170"/>
        </w:trPr>
        <w:tc>
          <w:tcPr>
            <w:tcW w:w="1560" w:type="dxa"/>
            <w:vAlign w:val="bottom"/>
          </w:tcPr>
          <w:p>
            <w:pPr>
              <w:jc w:val="right"/>
              <w:ind w:right="1126"/>
              <w:spacing w:after="0"/>
              <w:rPr>
                <w:sz w:val="20"/>
                <w:szCs w:val="20"/>
                <w:color w:val="auto"/>
              </w:rPr>
            </w:pPr>
            <w:r>
              <w:rPr>
                <w:rFonts w:ascii="Courier New" w:cs="Courier New" w:eastAsia="Courier New" w:hAnsi="Courier New"/>
                <w:sz w:val="15"/>
                <w:szCs w:val="15"/>
                <w:color w:val="auto"/>
                <w:w w:val="94"/>
              </w:rPr>
              <w:t>2000</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$234,892</w:t>
            </w:r>
          </w:p>
        </w:tc>
      </w:tr>
      <w:tr>
        <w:trPr>
          <w:trHeight w:val="171"/>
        </w:trPr>
        <w:tc>
          <w:tcPr>
            <w:tcW w:w="1560" w:type="dxa"/>
            <w:vAlign w:val="bottom"/>
          </w:tcPr>
          <w:p>
            <w:pPr>
              <w:jc w:val="right"/>
              <w:ind w:right="1126"/>
              <w:spacing w:after="0"/>
              <w:rPr>
                <w:sz w:val="20"/>
                <w:szCs w:val="20"/>
                <w:color w:val="auto"/>
              </w:rPr>
            </w:pPr>
            <w:r>
              <w:rPr>
                <w:rFonts w:ascii="Courier New" w:cs="Courier New" w:eastAsia="Courier New" w:hAnsi="Courier New"/>
                <w:sz w:val="15"/>
                <w:szCs w:val="15"/>
                <w:color w:val="auto"/>
                <w:w w:val="94"/>
              </w:rPr>
              <w:t>2001</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152,494</w:t>
            </w:r>
          </w:p>
        </w:tc>
      </w:tr>
      <w:tr>
        <w:trPr>
          <w:trHeight w:val="171"/>
        </w:trPr>
        <w:tc>
          <w:tcPr>
            <w:tcW w:w="1560" w:type="dxa"/>
            <w:vAlign w:val="bottom"/>
          </w:tcPr>
          <w:p>
            <w:pPr>
              <w:jc w:val="right"/>
              <w:ind w:right="1126"/>
              <w:spacing w:after="0"/>
              <w:rPr>
                <w:sz w:val="20"/>
                <w:szCs w:val="20"/>
                <w:color w:val="auto"/>
              </w:rPr>
            </w:pPr>
            <w:r>
              <w:rPr>
                <w:rFonts w:ascii="Courier New" w:cs="Courier New" w:eastAsia="Courier New" w:hAnsi="Courier New"/>
                <w:sz w:val="15"/>
                <w:szCs w:val="15"/>
                <w:color w:val="auto"/>
                <w:w w:val="94"/>
              </w:rPr>
              <w:t>2002</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89,155</w:t>
            </w:r>
          </w:p>
        </w:tc>
      </w:tr>
    </w:tbl>
    <w:p>
      <w:pPr>
        <w:spacing w:after="0" w:line="174" w:lineRule="exact"/>
        <w:rPr>
          <w:sz w:val="20"/>
          <w:szCs w:val="20"/>
          <w:color w:val="auto"/>
        </w:rPr>
      </w:pPr>
    </w:p>
    <w:p>
      <w:pPr>
        <w:jc w:val="both"/>
        <w:ind w:left="789" w:right="3319"/>
        <w:spacing w:after="0" w:line="264" w:lineRule="auto"/>
        <w:rPr>
          <w:sz w:val="20"/>
          <w:szCs w:val="20"/>
          <w:color w:val="auto"/>
        </w:rPr>
      </w:pPr>
      <w:r>
        <w:rPr>
          <w:rFonts w:ascii="Courier New" w:cs="Courier New" w:eastAsia="Courier New" w:hAnsi="Courier New"/>
          <w:sz w:val="14"/>
          <w:szCs w:val="14"/>
          <w:color w:val="auto"/>
        </w:rPr>
        <w:t>The Company leases a facility from the President and Chief Operating Officer of Busch who is the beneficial owner of the property with an annual base rental of approximately $82,000 expiring July, 2002.</w:t>
      </w:r>
    </w:p>
    <w:p>
      <w:pPr>
        <w:spacing w:after="0" w:line="159" w:lineRule="exact"/>
        <w:rPr>
          <w:sz w:val="20"/>
          <w:szCs w:val="20"/>
          <w:color w:val="auto"/>
        </w:rPr>
      </w:pPr>
    </w:p>
    <w:p>
      <w:pPr>
        <w:ind w:left="789" w:right="3399"/>
        <w:spacing w:after="0" w:line="238" w:lineRule="auto"/>
        <w:rPr>
          <w:sz w:val="20"/>
          <w:szCs w:val="20"/>
          <w:color w:val="auto"/>
        </w:rPr>
      </w:pPr>
      <w:r>
        <w:rPr>
          <w:rFonts w:ascii="Courier New" w:cs="Courier New" w:eastAsia="Courier New" w:hAnsi="Courier New"/>
          <w:sz w:val="15"/>
          <w:szCs w:val="15"/>
          <w:color w:val="auto"/>
        </w:rPr>
        <w:t>Total rent expense under all operating leases for 1999 and 1998 was approximately $340,000 and $342,000, respectively.</w:t>
      </w:r>
    </w:p>
    <w:p>
      <w:pPr>
        <w:spacing w:after="0" w:line="343"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148"/>
          </w:cols>
          <w:pgMar w:left="311" w:top="970" w:right="1440" w:bottom="1440" w:gutter="0" w:footer="0" w:header="0"/>
        </w:sectPr>
      </w:pPr>
    </w:p>
    <w:bookmarkStart w:id="69" w:name="page70"/>
    <w:bookmarkEnd w:id="69"/>
    <w:p>
      <w:pPr>
        <w:ind w:left="2489"/>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FOR THE YEARS ENDED DECEMBER 31, 1999 AND 1998</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89" w:right="7299" w:hanging="789"/>
        <w:spacing w:after="0" w:line="516" w:lineRule="auto"/>
        <w:tabs>
          <w:tab w:leader="none" w:pos="78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 Continued Non-Compete Agreement</w:t>
      </w:r>
    </w:p>
    <w:p>
      <w:pPr>
        <w:ind w:left="789" w:right="303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connection with the acquisition of Busch, the Company entered into a non-compete agreement with a former shareholder of Busch. In addition to the $100,000 paid at the closing date, the agreement requires annual payments of $200,000 from 1998 through 2001. The related cost is being amortized ratably over the four-year period.</w:t>
      </w:r>
    </w:p>
    <w:p>
      <w:pPr>
        <w:spacing w:after="0" w:line="174" w:lineRule="exact"/>
        <w:rPr>
          <w:rFonts w:ascii="Courier New" w:cs="Courier New" w:eastAsia="Courier New" w:hAnsi="Courier New"/>
          <w:sz w:val="14"/>
          <w:szCs w:val="14"/>
          <w:color w:val="auto"/>
        </w:rPr>
      </w:pPr>
    </w:p>
    <w:p>
      <w:pPr>
        <w:ind w:left="789" w:right="313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 contingent obligation to pay the former shareholder of Busch an incentive bonus based on certain targeted EBITDA (Earnings Before Interest, Income Taxes, Depreciation and Amortization) as defined in the Busch purchase agreement. The Company recorded a liability of $27,000 for the year ended December 31, 1999 and did not incur a liability in 1998 under the incentive bonus arrangement. Any amounts paid under this arrangement will be recorded as compensation.</w:t>
      </w:r>
    </w:p>
    <w:p>
      <w:pPr>
        <w:spacing w:after="0" w:line="330" w:lineRule="exact"/>
        <w:rPr>
          <w:rFonts w:ascii="Courier New" w:cs="Courier New" w:eastAsia="Courier New" w:hAnsi="Courier New"/>
          <w:sz w:val="14"/>
          <w:szCs w:val="14"/>
          <w:color w:val="auto"/>
        </w:rPr>
      </w:pPr>
    </w:p>
    <w:p>
      <w:pPr>
        <w:ind w:left="7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Employment Agreements</w:t>
      </w:r>
    </w:p>
    <w:p>
      <w:pPr>
        <w:spacing w:after="0" w:line="174" w:lineRule="exact"/>
        <w:rPr>
          <w:rFonts w:ascii="Courier New" w:cs="Courier New" w:eastAsia="Courier New" w:hAnsi="Courier New"/>
          <w:sz w:val="14"/>
          <w:szCs w:val="14"/>
          <w:color w:val="auto"/>
        </w:rPr>
      </w:pPr>
    </w:p>
    <w:p>
      <w:pPr>
        <w:ind w:left="789" w:right="313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connection with the acquisition of K &amp; B described in Note 3, Group and K &amp; B entered into five-year employment agreements with three of the former owners of K &amp; B. The agreements provide for agreed-upon annual salaries and a bonus, for each of the next five years, equal to 25% of the Company's net income before interest and taxes in excess of $4,000,000 less contributions made by the Company on behalf of the former owners to any profit sharing or 401(k) plan.</w:t>
      </w:r>
    </w:p>
    <w:p>
      <w:pPr>
        <w:spacing w:after="0" w:line="344" w:lineRule="exact"/>
        <w:rPr>
          <w:rFonts w:ascii="Courier New" w:cs="Courier New" w:eastAsia="Courier New" w:hAnsi="Courier New"/>
          <w:sz w:val="14"/>
          <w:szCs w:val="14"/>
          <w:color w:val="auto"/>
        </w:rPr>
      </w:pPr>
    </w:p>
    <w:p>
      <w:pPr>
        <w:ind w:left="789" w:hanging="789"/>
        <w:spacing w:after="0"/>
        <w:tabs>
          <w:tab w:leader="none" w:pos="78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Income taxes (benefit) consisted of the following for the year ended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December 31:</w:t>
      </w:r>
    </w:p>
    <w:p>
      <w:pPr>
        <w:spacing w:after="0" w:line="342"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1660" w:type="dxa"/>
            <w:vAlign w:val="bottom"/>
          </w:tcPr>
          <w:p>
            <w:pPr>
              <w:spacing w:after="0"/>
              <w:rPr>
                <w:sz w:val="14"/>
                <w:szCs w:val="14"/>
                <w:color w:val="auto"/>
              </w:rPr>
            </w:pPr>
          </w:p>
        </w:tc>
        <w:tc>
          <w:tcPr>
            <w:tcW w:w="30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1660" w:type="dxa"/>
            <w:vAlign w:val="bottom"/>
          </w:tcPr>
          <w:p>
            <w:pPr>
              <w:spacing w:after="0"/>
              <w:rPr>
                <w:sz w:val="14"/>
                <w:szCs w:val="14"/>
                <w:color w:val="auto"/>
              </w:rPr>
            </w:pPr>
          </w:p>
        </w:tc>
        <w:tc>
          <w:tcPr>
            <w:tcW w:w="30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6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3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Federal</w:t>
            </w:r>
          </w:p>
        </w:tc>
        <w:tc>
          <w:tcPr>
            <w:tcW w:w="30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$127,374</w:t>
            </w:r>
          </w:p>
        </w:tc>
        <w:tc>
          <w:tcPr>
            <w:tcW w:w="10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$542,965</w:t>
            </w:r>
          </w:p>
        </w:tc>
      </w:tr>
      <w:tr>
        <w:trPr>
          <w:trHeight w:val="171"/>
        </w:trPr>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State</w:t>
            </w:r>
          </w:p>
        </w:tc>
        <w:tc>
          <w:tcPr>
            <w:tcW w:w="30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68,088</w:t>
            </w:r>
          </w:p>
        </w:tc>
        <w:tc>
          <w:tcPr>
            <w:tcW w:w="10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182,747</w:t>
            </w:r>
          </w:p>
        </w:tc>
      </w:tr>
      <w:tr>
        <w:trPr>
          <w:trHeight w:val="171"/>
        </w:trPr>
        <w:tc>
          <w:tcPr>
            <w:tcW w:w="1660" w:type="dxa"/>
            <w:vAlign w:val="bottom"/>
          </w:tcPr>
          <w:p>
            <w:pPr>
              <w:spacing w:after="0"/>
              <w:rPr>
                <w:sz w:val="14"/>
                <w:szCs w:val="14"/>
                <w:color w:val="auto"/>
              </w:rPr>
            </w:pPr>
          </w:p>
        </w:tc>
        <w:tc>
          <w:tcPr>
            <w:tcW w:w="30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660" w:type="dxa"/>
            <w:vAlign w:val="bottom"/>
          </w:tcPr>
          <w:p>
            <w:pPr>
              <w:spacing w:after="0"/>
              <w:rPr>
                <w:sz w:val="24"/>
                <w:szCs w:val="24"/>
                <w:color w:val="auto"/>
              </w:rPr>
            </w:pPr>
          </w:p>
        </w:tc>
        <w:tc>
          <w:tcPr>
            <w:tcW w:w="30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195,462</w:t>
            </w:r>
          </w:p>
        </w:tc>
        <w:tc>
          <w:tcPr>
            <w:tcW w:w="10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725,712</w:t>
            </w:r>
          </w:p>
        </w:tc>
      </w:tr>
      <w:tr>
        <w:trPr>
          <w:trHeight w:val="171"/>
        </w:trPr>
        <w:tc>
          <w:tcPr>
            <w:tcW w:w="1660" w:type="dxa"/>
            <w:vAlign w:val="bottom"/>
          </w:tcPr>
          <w:p>
            <w:pPr>
              <w:spacing w:after="0"/>
              <w:rPr>
                <w:sz w:val="14"/>
                <w:szCs w:val="14"/>
                <w:color w:val="auto"/>
              </w:rPr>
            </w:pPr>
          </w:p>
        </w:tc>
        <w:tc>
          <w:tcPr>
            <w:tcW w:w="30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66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30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1"/>
        </w:trPr>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Federal</w:t>
            </w:r>
          </w:p>
        </w:tc>
        <w:tc>
          <w:tcPr>
            <w:tcW w:w="3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(39,655)</w:t>
            </w:r>
          </w:p>
        </w:tc>
      </w:tr>
      <w:tr>
        <w:trPr>
          <w:trHeight w:val="171"/>
        </w:trPr>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State</w:t>
            </w:r>
          </w:p>
        </w:tc>
        <w:tc>
          <w:tcPr>
            <w:tcW w:w="3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(34,500)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(12,935)</w:t>
            </w:r>
          </w:p>
        </w:tc>
      </w:tr>
      <w:tr>
        <w:trPr>
          <w:trHeight w:val="171"/>
        </w:trPr>
        <w:tc>
          <w:tcPr>
            <w:tcW w:w="1660" w:type="dxa"/>
            <w:vAlign w:val="bottom"/>
          </w:tcPr>
          <w:p>
            <w:pPr>
              <w:spacing w:after="0"/>
              <w:rPr>
                <w:sz w:val="14"/>
                <w:szCs w:val="14"/>
                <w:color w:val="auto"/>
              </w:rPr>
            </w:pPr>
          </w:p>
        </w:tc>
        <w:tc>
          <w:tcPr>
            <w:tcW w:w="30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660" w:type="dxa"/>
            <w:vAlign w:val="bottom"/>
          </w:tcPr>
          <w:p>
            <w:pPr>
              <w:spacing w:after="0"/>
              <w:rPr>
                <w:sz w:val="24"/>
                <w:szCs w:val="24"/>
                <w:color w:val="auto"/>
              </w:rPr>
            </w:pPr>
          </w:p>
        </w:tc>
        <w:tc>
          <w:tcPr>
            <w:tcW w:w="3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(44,100)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(52,590)</w:t>
            </w:r>
          </w:p>
        </w:tc>
      </w:tr>
      <w:tr>
        <w:trPr>
          <w:trHeight w:val="171"/>
        </w:trPr>
        <w:tc>
          <w:tcPr>
            <w:tcW w:w="1660" w:type="dxa"/>
            <w:vAlign w:val="bottom"/>
          </w:tcPr>
          <w:p>
            <w:pPr>
              <w:spacing w:after="0"/>
              <w:rPr>
                <w:sz w:val="14"/>
                <w:szCs w:val="14"/>
                <w:color w:val="auto"/>
              </w:rPr>
            </w:pPr>
          </w:p>
        </w:tc>
        <w:tc>
          <w:tcPr>
            <w:tcW w:w="30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660" w:type="dxa"/>
            <w:vAlign w:val="bottom"/>
          </w:tcPr>
          <w:p>
            <w:pPr>
              <w:spacing w:after="0"/>
              <w:rPr>
                <w:sz w:val="24"/>
                <w:szCs w:val="24"/>
                <w:color w:val="auto"/>
              </w:rPr>
            </w:pPr>
          </w:p>
        </w:tc>
        <w:tc>
          <w:tcPr>
            <w:tcW w:w="30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$151,362</w:t>
            </w:r>
          </w:p>
        </w:tc>
        <w:tc>
          <w:tcPr>
            <w:tcW w:w="10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$673,122</w:t>
            </w:r>
          </w:p>
        </w:tc>
      </w:tr>
      <w:tr>
        <w:trPr>
          <w:trHeight w:val="171"/>
        </w:trPr>
        <w:tc>
          <w:tcPr>
            <w:tcW w:w="1660" w:type="dxa"/>
            <w:vAlign w:val="bottom"/>
          </w:tcPr>
          <w:p>
            <w:pPr>
              <w:spacing w:after="0"/>
              <w:rPr>
                <w:sz w:val="14"/>
                <w:szCs w:val="14"/>
                <w:color w:val="auto"/>
              </w:rPr>
            </w:pPr>
          </w:p>
        </w:tc>
        <w:tc>
          <w:tcPr>
            <w:tcW w:w="30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853"/>
        </w:trPr>
        <w:tc>
          <w:tcPr>
            <w:tcW w:w="1660" w:type="dxa"/>
            <w:vAlign w:val="bottom"/>
          </w:tcPr>
          <w:p>
            <w:pPr>
              <w:spacing w:after="0"/>
              <w:rPr>
                <w:sz w:val="24"/>
                <w:szCs w:val="24"/>
                <w:color w:val="auto"/>
              </w:rPr>
            </w:pPr>
          </w:p>
        </w:tc>
        <w:tc>
          <w:tcPr>
            <w:tcW w:w="3000" w:type="dxa"/>
            <w:vAlign w:val="bottom"/>
          </w:tcPr>
          <w:p>
            <w:pPr>
              <w:jc w:val="right"/>
              <w:ind w:right="1566"/>
              <w:spacing w:after="0"/>
              <w:rPr>
                <w:sz w:val="20"/>
                <w:szCs w:val="20"/>
                <w:color w:val="auto"/>
              </w:rPr>
            </w:pPr>
            <w:r>
              <w:rPr>
                <w:rFonts w:ascii="Courier New" w:cs="Courier New" w:eastAsia="Courier New" w:hAnsi="Courier New"/>
                <w:sz w:val="15"/>
                <w:szCs w:val="15"/>
                <w:color w:val="auto"/>
              </w:rPr>
              <w:t>F-24</w:t>
            </w:r>
          </w:p>
        </w:tc>
        <w:tc>
          <w:tcPr>
            <w:tcW w:w="1040" w:type="dxa"/>
            <w:vAlign w:val="bottom"/>
          </w:tcPr>
          <w:p>
            <w:pPr>
              <w:spacing w:after="0"/>
              <w:rPr>
                <w:sz w:val="24"/>
                <w:szCs w:val="24"/>
                <w:color w:val="auto"/>
              </w:rPr>
            </w:pPr>
          </w:p>
        </w:tc>
      </w:tr>
    </w:tbl>
    <w:p>
      <w:pPr>
        <w:sectPr>
          <w:pgSz w:w="11900" w:h="16838" w:orient="portrait"/>
          <w:cols w:equalWidth="0" w:num="1">
            <w:col w:w="10148"/>
          </w:cols>
          <w:pgMar w:left="311" w:top="969" w:right="1440" w:bottom="1440" w:gutter="0" w:footer="0" w:header="0"/>
        </w:sectPr>
      </w:pPr>
    </w:p>
    <w:bookmarkStart w:id="70" w:name="page71"/>
    <w:bookmarkEnd w:id="70"/>
    <w:p>
      <w:pPr>
        <w:ind w:left="2480"/>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FOR THE YEARS ENDED DECEMBER 31, 1999 AND 1998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 - --------------------------------------------------------------------------------</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512"/>
        </w:trPr>
        <w:tc>
          <w:tcPr>
            <w:tcW w:w="520" w:type="dxa"/>
            <w:vAlign w:val="bottom"/>
          </w:tcPr>
          <w:p>
            <w:pPr>
              <w:spacing w:after="0"/>
              <w:rPr>
                <w:sz w:val="20"/>
                <w:szCs w:val="20"/>
                <w:color w:val="auto"/>
              </w:rPr>
            </w:pPr>
            <w:r>
              <w:rPr>
                <w:rFonts w:ascii="Courier New" w:cs="Courier New" w:eastAsia="Courier New" w:hAnsi="Courier New"/>
                <w:sz w:val="15"/>
                <w:szCs w:val="15"/>
                <w:color w:val="auto"/>
              </w:rPr>
              <w:t>16.</w:t>
            </w:r>
          </w:p>
        </w:tc>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Income Taxes - Continued</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1"/>
        </w:trPr>
        <w:tc>
          <w:tcPr>
            <w:tcW w:w="520" w:type="dxa"/>
            <w:vAlign w:val="bottom"/>
          </w:tcPr>
          <w:p>
            <w:pPr>
              <w:spacing w:after="0"/>
              <w:rPr>
                <w:sz w:val="24"/>
                <w:szCs w:val="24"/>
                <w:color w:val="auto"/>
              </w:rPr>
            </w:pPr>
          </w:p>
        </w:tc>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The provision for income taxes differs from the statutory rate due to</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520" w:type="dxa"/>
            <w:vAlign w:val="bottom"/>
          </w:tcPr>
          <w:p>
            <w:pPr>
              <w:spacing w:after="0"/>
              <w:rPr>
                <w:sz w:val="14"/>
                <w:szCs w:val="14"/>
                <w:color w:val="auto"/>
              </w:rPr>
            </w:pPr>
          </w:p>
        </w:tc>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the following:</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83"/>
        </w:trPr>
        <w:tc>
          <w:tcPr>
            <w:tcW w:w="5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2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24"/>
                <w:szCs w:val="2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1998</w:t>
            </w:r>
          </w:p>
        </w:tc>
      </w:tr>
      <w:tr>
        <w:trPr>
          <w:trHeight w:val="171"/>
        </w:trPr>
        <w:tc>
          <w:tcPr>
            <w:tcW w:w="5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520" w:type="dxa"/>
            <w:vAlign w:val="bottom"/>
          </w:tcPr>
          <w:p>
            <w:pPr>
              <w:spacing w:after="0"/>
              <w:rPr>
                <w:sz w:val="24"/>
                <w:szCs w:val="24"/>
                <w:color w:val="auto"/>
              </w:rPr>
            </w:pPr>
          </w:p>
        </w:tc>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Tax expense at statutory rate</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$100,542</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$575,840</w:t>
            </w:r>
          </w:p>
        </w:tc>
      </w:tr>
      <w:tr>
        <w:trPr>
          <w:trHeight w:val="171"/>
        </w:trPr>
        <w:tc>
          <w:tcPr>
            <w:tcW w:w="520" w:type="dxa"/>
            <w:vAlign w:val="bottom"/>
          </w:tcPr>
          <w:p>
            <w:pPr>
              <w:spacing w:after="0"/>
              <w:rPr>
                <w:sz w:val="14"/>
                <w:szCs w:val="14"/>
                <w:color w:val="auto"/>
              </w:rPr>
            </w:pPr>
          </w:p>
        </w:tc>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Increase (decrease) in tax resulting from:</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State income tax, net of federal benefit</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22,391</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112,076</w:t>
            </w:r>
          </w:p>
        </w:tc>
      </w:tr>
      <w:tr>
        <w:trPr>
          <w:trHeight w:val="171"/>
        </w:trPr>
        <w:tc>
          <w:tcPr>
            <w:tcW w:w="520" w:type="dxa"/>
            <w:vAlign w:val="bottom"/>
          </w:tcPr>
          <w:p>
            <w:pPr>
              <w:spacing w:after="0"/>
              <w:rPr>
                <w:sz w:val="14"/>
                <w:szCs w:val="14"/>
                <w:color w:val="auto"/>
              </w:rPr>
            </w:pPr>
          </w:p>
        </w:tc>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Change in tax versus book basis of assets/net operating loss</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(48,929)</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(68,663)</w:t>
            </w:r>
          </w:p>
        </w:tc>
      </w:tr>
      <w:tr>
        <w:trPr>
          <w:trHeight w:val="171"/>
        </w:trPr>
        <w:tc>
          <w:tcPr>
            <w:tcW w:w="520" w:type="dxa"/>
            <w:vAlign w:val="bottom"/>
          </w:tcPr>
          <w:p>
            <w:pPr>
              <w:spacing w:after="0"/>
              <w:rPr>
                <w:sz w:val="14"/>
                <w:szCs w:val="14"/>
                <w:color w:val="auto"/>
              </w:rPr>
            </w:pPr>
          </w:p>
        </w:tc>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Permanent differences, principally goodwill</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59,098</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53,869</w:t>
            </w:r>
          </w:p>
        </w:tc>
      </w:tr>
      <w:tr>
        <w:trPr>
          <w:trHeight w:val="171"/>
        </w:trPr>
        <w:tc>
          <w:tcPr>
            <w:tcW w:w="520" w:type="dxa"/>
            <w:vAlign w:val="bottom"/>
          </w:tcPr>
          <w:p>
            <w:pPr>
              <w:spacing w:after="0"/>
              <w:rPr>
                <w:sz w:val="14"/>
                <w:szCs w:val="14"/>
                <w:color w:val="auto"/>
              </w:rPr>
            </w:pPr>
          </w:p>
        </w:tc>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Under accrual of prior years' taxes</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18,260</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$151,362</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$673,122</w:t>
            </w:r>
          </w:p>
        </w:tc>
      </w:tr>
      <w:tr>
        <w:trPr>
          <w:trHeight w:val="171"/>
        </w:trPr>
        <w:tc>
          <w:tcPr>
            <w:tcW w:w="5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520" w:type="dxa"/>
            <w:vAlign w:val="bottom"/>
          </w:tcPr>
          <w:p>
            <w:pPr>
              <w:spacing w:after="0"/>
              <w:rPr>
                <w:sz w:val="24"/>
                <w:szCs w:val="24"/>
                <w:color w:val="auto"/>
              </w:rPr>
            </w:pPr>
          </w:p>
        </w:tc>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reflect the future tax consequences of temporary</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520" w:type="dxa"/>
            <w:vAlign w:val="bottom"/>
          </w:tcPr>
          <w:p>
            <w:pPr>
              <w:spacing w:after="0"/>
              <w:rPr>
                <w:sz w:val="14"/>
                <w:szCs w:val="14"/>
                <w:color w:val="auto"/>
              </w:rPr>
            </w:pPr>
          </w:p>
        </w:tc>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differences between the carrying amounts of assets and liabilities for</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financial reporting purposes and the amounts used for income tax</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purposes. The net deferred tax asset consisted of the following at</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December 31:</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83"/>
        </w:trPr>
        <w:tc>
          <w:tcPr>
            <w:tcW w:w="5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2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24"/>
                <w:szCs w:val="2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Deferred tax asset:</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520" w:type="dxa"/>
            <w:vAlign w:val="bottom"/>
          </w:tcPr>
          <w:p>
            <w:pPr>
              <w:spacing w:after="0"/>
              <w:rPr>
                <w:sz w:val="14"/>
                <w:szCs w:val="14"/>
                <w:color w:val="auto"/>
              </w:rPr>
            </w:pPr>
          </w:p>
        </w:tc>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Accrued vacation</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$181,400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Accrued salaries</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110,000</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Accrued expenses</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116,000</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Accrued warranty</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83,200</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Allowance for doubtful accounts</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50,000</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Note receivable allowance</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73,500</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Inventory capitalization and valuation</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72,500</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18,500</w:t>
            </w:r>
          </w:p>
        </w:tc>
      </w:tr>
      <w:tr>
        <w:trPr>
          <w:trHeight w:val="171"/>
        </w:trPr>
        <w:tc>
          <w:tcPr>
            <w:tcW w:w="520" w:type="dxa"/>
            <w:vAlign w:val="bottom"/>
          </w:tcPr>
          <w:p>
            <w:pPr>
              <w:spacing w:after="0"/>
              <w:rPr>
                <w:sz w:val="14"/>
                <w:szCs w:val="14"/>
                <w:color w:val="auto"/>
              </w:rPr>
            </w:pPr>
          </w:p>
        </w:tc>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Depreciation</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20,900</w:t>
            </w:r>
          </w:p>
        </w:tc>
      </w:tr>
      <w:tr>
        <w:trPr>
          <w:trHeight w:val="171"/>
        </w:trPr>
        <w:tc>
          <w:tcPr>
            <w:tcW w:w="520" w:type="dxa"/>
            <w:vAlign w:val="bottom"/>
          </w:tcPr>
          <w:p>
            <w:pPr>
              <w:spacing w:after="0"/>
              <w:rPr>
                <w:sz w:val="14"/>
                <w:szCs w:val="14"/>
                <w:color w:val="auto"/>
              </w:rPr>
            </w:pPr>
          </w:p>
        </w:tc>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Non-compete agreement</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142,700</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73,400</w:t>
            </w:r>
          </w:p>
        </w:tc>
      </w:tr>
      <w:tr>
        <w:trPr>
          <w:trHeight w:val="171"/>
        </w:trPr>
        <w:tc>
          <w:tcPr>
            <w:tcW w:w="520" w:type="dxa"/>
            <w:vAlign w:val="bottom"/>
          </w:tcPr>
          <w:p>
            <w:pPr>
              <w:spacing w:after="0"/>
              <w:rPr>
                <w:sz w:val="14"/>
                <w:szCs w:val="14"/>
                <w:color w:val="auto"/>
              </w:rPr>
            </w:pPr>
          </w:p>
        </w:tc>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State net operating loss carryforwards</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208,300</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120,000</w:t>
            </w:r>
          </w:p>
        </w:tc>
      </w:tr>
      <w:tr>
        <w:trPr>
          <w:trHeight w:val="171"/>
        </w:trPr>
        <w:tc>
          <w:tcPr>
            <w:tcW w:w="520" w:type="dxa"/>
            <w:vAlign w:val="bottom"/>
          </w:tcPr>
          <w:p>
            <w:pPr>
              <w:spacing w:after="0"/>
              <w:rPr>
                <w:sz w:val="14"/>
                <w:szCs w:val="14"/>
                <w:color w:val="auto"/>
              </w:rPr>
            </w:pPr>
          </w:p>
        </w:tc>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Federal net operating loss carryforwards</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26,900</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36,000</w:t>
            </w:r>
          </w:p>
        </w:tc>
      </w:tr>
      <w:tr>
        <w:trPr>
          <w:trHeight w:val="171"/>
        </w:trPr>
        <w:tc>
          <w:tcPr>
            <w:tcW w:w="520" w:type="dxa"/>
            <w:vAlign w:val="bottom"/>
          </w:tcPr>
          <w:p>
            <w:pPr>
              <w:spacing w:after="0"/>
              <w:rPr>
                <w:sz w:val="14"/>
                <w:szCs w:val="14"/>
                <w:color w:val="auto"/>
              </w:rPr>
            </w:pPr>
          </w:p>
        </w:tc>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Less valuation allowance</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(107,700)</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(90,000)</w:t>
            </w:r>
          </w:p>
        </w:tc>
      </w:tr>
      <w:tr>
        <w:trPr>
          <w:trHeight w:val="171"/>
        </w:trPr>
        <w:tc>
          <w:tcPr>
            <w:tcW w:w="5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956,800</w:t>
            </w:r>
          </w:p>
        </w:tc>
        <w:tc>
          <w:tcPr>
            <w:tcW w:w="30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178,800</w:t>
            </w:r>
          </w:p>
        </w:tc>
      </w:tr>
      <w:tr>
        <w:trPr>
          <w:trHeight w:val="171"/>
        </w:trPr>
        <w:tc>
          <w:tcPr>
            <w:tcW w:w="5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Deferred tax liability:</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520" w:type="dxa"/>
            <w:vAlign w:val="bottom"/>
          </w:tcPr>
          <w:p>
            <w:pPr>
              <w:spacing w:after="0"/>
              <w:rPr>
                <w:sz w:val="14"/>
                <w:szCs w:val="14"/>
                <w:color w:val="auto"/>
              </w:rPr>
            </w:pPr>
          </w:p>
        </w:tc>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Unrealized gain on marketable securities</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108,000</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Goodwill</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36,300</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(24,600)</w:t>
            </w:r>
          </w:p>
        </w:tc>
      </w:tr>
      <w:tr>
        <w:trPr>
          <w:trHeight w:val="171"/>
        </w:trPr>
        <w:tc>
          <w:tcPr>
            <w:tcW w:w="520" w:type="dxa"/>
            <w:vAlign w:val="bottom"/>
          </w:tcPr>
          <w:p>
            <w:pPr>
              <w:spacing w:after="0"/>
              <w:rPr>
                <w:sz w:val="14"/>
                <w:szCs w:val="14"/>
                <w:color w:val="auto"/>
              </w:rPr>
            </w:pPr>
          </w:p>
        </w:tc>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Patents</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9,100</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r>
      <w:tr>
        <w:trPr>
          <w:trHeight w:val="171"/>
        </w:trPr>
        <w:tc>
          <w:tcPr>
            <w:tcW w:w="520" w:type="dxa"/>
            <w:vAlign w:val="bottom"/>
          </w:tcPr>
          <w:p>
            <w:pPr>
              <w:spacing w:after="0"/>
              <w:rPr>
                <w:sz w:val="14"/>
                <w:szCs w:val="14"/>
                <w:color w:val="auto"/>
              </w:rPr>
            </w:pPr>
          </w:p>
        </w:tc>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Depreciation</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8,400</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161,800</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(25,800)</w:t>
            </w:r>
          </w:p>
        </w:tc>
      </w:tr>
      <w:tr>
        <w:trPr>
          <w:trHeight w:val="171"/>
        </w:trPr>
        <w:tc>
          <w:tcPr>
            <w:tcW w:w="5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7140" w:type="dxa"/>
            <w:vAlign w:val="bottom"/>
          </w:tcPr>
          <w:p>
            <w:pPr>
              <w:ind w:left="720"/>
              <w:spacing w:after="0"/>
              <w:rPr>
                <w:sz w:val="20"/>
                <w:szCs w:val="20"/>
                <w:color w:val="auto"/>
              </w:rPr>
            </w:pPr>
            <w:r>
              <w:rPr>
                <w:rFonts w:ascii="Courier New" w:cs="Courier New" w:eastAsia="Courier New" w:hAnsi="Courier New"/>
                <w:sz w:val="15"/>
                <w:szCs w:val="15"/>
                <w:color w:val="auto"/>
              </w:rPr>
              <w:t>Net deferred tax asset</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$795,000</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$153,000</w:t>
            </w:r>
          </w:p>
        </w:tc>
      </w:tr>
      <w:tr>
        <w:trPr>
          <w:trHeight w:val="171"/>
        </w:trPr>
        <w:tc>
          <w:tcPr>
            <w:tcW w:w="5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6" w:lineRule="exact"/>
        <w:rPr>
          <w:sz w:val="20"/>
          <w:szCs w:val="20"/>
          <w:color w:val="auto"/>
        </w:rPr>
      </w:pPr>
    </w:p>
    <w:p>
      <w:pPr>
        <w:ind w:left="780" w:right="3039"/>
        <w:spacing w:after="0"/>
        <w:rPr>
          <w:sz w:val="20"/>
          <w:szCs w:val="20"/>
          <w:color w:val="auto"/>
        </w:rPr>
      </w:pPr>
      <w:r>
        <w:rPr>
          <w:rFonts w:ascii="Courier New" w:cs="Courier New" w:eastAsia="Courier New" w:hAnsi="Courier New"/>
          <w:sz w:val="15"/>
          <w:szCs w:val="15"/>
          <w:color w:val="auto"/>
        </w:rPr>
        <w:t>The Company has federal net operating loss carryforwards of approximately $79,000 and $107,000 at December 31, 1999 and 1998, respectively, which begin to expire in 2008. The loss carryforwards have separate return loss year limitations from losses incurred prior to the acquisition of CFI. Additionally, the Company has state net operating loss carryforwards of approximately $2,800,000 and $1,333,000 at December 31, 1999 and 1998, respectively, which begin to expire in 2001.</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139"/>
          </w:cols>
          <w:pgMar w:left="320" w:top="970" w:right="1440" w:bottom="795" w:gutter="0" w:footer="0" w:header="0"/>
        </w:sectPr>
      </w:pPr>
    </w:p>
    <w:bookmarkStart w:id="71" w:name="page72"/>
    <w:bookmarkEnd w:id="71"/>
    <w:p>
      <w:pPr>
        <w:ind w:left="2489"/>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FOR THE YEARS ENDED DECEMBER 31, 1999 AND 1998</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89" w:hanging="789"/>
        <w:spacing w:after="0"/>
        <w:tabs>
          <w:tab w:leader="none" w:pos="78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 Continued</w:t>
      </w:r>
    </w:p>
    <w:p>
      <w:pPr>
        <w:spacing w:after="0" w:line="174" w:lineRule="exact"/>
        <w:rPr>
          <w:rFonts w:ascii="Courier New" w:cs="Courier New" w:eastAsia="Courier New" w:hAnsi="Courier New"/>
          <w:sz w:val="15"/>
          <w:szCs w:val="15"/>
          <w:color w:val="auto"/>
        </w:rPr>
      </w:pPr>
    </w:p>
    <w:p>
      <w:pPr>
        <w:ind w:left="789" w:right="303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Due to the uncertainty of the realization of certain tax carryforwards, the Company has established a valuation allowance against these carryforward benefits in the amount of $107,700 and $90,000 at December 31, 1999 and 1998, respectively.</w:t>
      </w:r>
    </w:p>
    <w:p>
      <w:pPr>
        <w:spacing w:after="0" w:line="173"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files a consolidated federal income tax return.</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Backlog of Uncompleted Contracts from Continuing Operations</w:t>
      </w:r>
    </w:p>
    <w:p>
      <w:pPr>
        <w:spacing w:after="0" w:line="171"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440" w:type="dxa"/>
            <w:vAlign w:val="bottom"/>
          </w:tcPr>
          <w:p>
            <w:pPr>
              <w:spacing w:after="0"/>
              <w:rPr>
                <w:sz w:val="14"/>
                <w:szCs w:val="14"/>
                <w:color w:val="auto"/>
              </w:rPr>
            </w:pP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440" w:type="dxa"/>
            <w:vAlign w:val="bottom"/>
          </w:tcPr>
          <w:p>
            <w:pPr>
              <w:spacing w:after="0"/>
              <w:rPr>
                <w:sz w:val="20"/>
                <w:szCs w:val="20"/>
                <w:color w:val="auto"/>
              </w:rPr>
            </w:pPr>
            <w:r>
              <w:rPr>
                <w:rFonts w:ascii="Courier New" w:cs="Courier New" w:eastAsia="Courier New" w:hAnsi="Courier New"/>
                <w:sz w:val="15"/>
                <w:szCs w:val="15"/>
                <w:color w:val="auto"/>
              </w:rPr>
              <w:t>Contracts in progress, January 1, 1999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5,632,756</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New contracts, 1999</w:t>
            </w:r>
          </w:p>
        </w:tc>
        <w:tc>
          <w:tcPr>
            <w:tcW w:w="80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17,983,262</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Contract adjustments</w:t>
            </w:r>
          </w:p>
        </w:tc>
        <w:tc>
          <w:tcPr>
            <w:tcW w:w="80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95,781</w:t>
            </w:r>
          </w:p>
        </w:tc>
      </w:tr>
      <w:tr>
        <w:trPr>
          <w:trHeight w:val="171"/>
        </w:trPr>
        <w:tc>
          <w:tcPr>
            <w:tcW w:w="4440" w:type="dxa"/>
            <w:vAlign w:val="bottom"/>
          </w:tcPr>
          <w:p>
            <w:pPr>
              <w:spacing w:after="0"/>
              <w:rPr>
                <w:sz w:val="14"/>
                <w:szCs w:val="14"/>
                <w:color w:val="auto"/>
              </w:rPr>
            </w:pP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23,711,799</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Less contract revenues recognized, 1999</w:t>
            </w:r>
          </w:p>
        </w:tc>
        <w:tc>
          <w:tcPr>
            <w:tcW w:w="8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(13,810,931)</w:t>
            </w:r>
          </w:p>
        </w:tc>
      </w:tr>
      <w:tr>
        <w:trPr>
          <w:trHeight w:val="171"/>
        </w:trPr>
        <w:tc>
          <w:tcPr>
            <w:tcW w:w="4440" w:type="dxa"/>
            <w:vAlign w:val="bottom"/>
          </w:tcPr>
          <w:p>
            <w:pPr>
              <w:spacing w:after="0"/>
              <w:rPr>
                <w:sz w:val="14"/>
                <w:szCs w:val="14"/>
                <w:color w:val="auto"/>
              </w:rPr>
            </w:pP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440" w:type="dxa"/>
            <w:vAlign w:val="bottom"/>
          </w:tcPr>
          <w:p>
            <w:pPr>
              <w:spacing w:after="0"/>
              <w:rPr>
                <w:sz w:val="20"/>
                <w:szCs w:val="20"/>
                <w:color w:val="auto"/>
              </w:rPr>
            </w:pPr>
            <w:r>
              <w:rPr>
                <w:rFonts w:ascii="Courier New" w:cs="Courier New" w:eastAsia="Courier New" w:hAnsi="Courier New"/>
                <w:sz w:val="15"/>
                <w:szCs w:val="15"/>
                <w:color w:val="auto"/>
              </w:rPr>
              <w:t>Balance, December 31, 1999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9,900,868</w:t>
            </w:r>
          </w:p>
        </w:tc>
      </w:tr>
      <w:tr>
        <w:trPr>
          <w:trHeight w:val="171"/>
        </w:trPr>
        <w:tc>
          <w:tcPr>
            <w:tcW w:w="4440" w:type="dxa"/>
            <w:vAlign w:val="bottom"/>
          </w:tcPr>
          <w:p>
            <w:pPr>
              <w:spacing w:after="0"/>
              <w:rPr>
                <w:sz w:val="14"/>
                <w:szCs w:val="14"/>
                <w:color w:val="auto"/>
              </w:rPr>
            </w:pP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4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440" w:type="dxa"/>
            <w:vAlign w:val="bottom"/>
          </w:tcPr>
          <w:p>
            <w:pPr>
              <w:spacing w:after="0"/>
              <w:rPr>
                <w:sz w:val="14"/>
                <w:szCs w:val="14"/>
                <w:color w:val="auto"/>
              </w:rPr>
            </w:pP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440" w:type="dxa"/>
            <w:vAlign w:val="bottom"/>
          </w:tcPr>
          <w:p>
            <w:pPr>
              <w:spacing w:after="0"/>
              <w:rPr>
                <w:sz w:val="20"/>
                <w:szCs w:val="20"/>
                <w:color w:val="auto"/>
              </w:rPr>
            </w:pPr>
            <w:r>
              <w:rPr>
                <w:rFonts w:ascii="Courier New" w:cs="Courier New" w:eastAsia="Courier New" w:hAnsi="Courier New"/>
                <w:sz w:val="15"/>
                <w:szCs w:val="15"/>
                <w:color w:val="auto"/>
              </w:rPr>
              <w:t>Contracts in progress, January 1, 1998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8,023,752</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New contracts, 1998</w:t>
            </w:r>
          </w:p>
        </w:tc>
        <w:tc>
          <w:tcPr>
            <w:tcW w:w="80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7,738,569</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Contract adjustments</w:t>
            </w:r>
          </w:p>
        </w:tc>
        <w:tc>
          <w:tcPr>
            <w:tcW w:w="80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360,343</w:t>
            </w:r>
          </w:p>
        </w:tc>
      </w:tr>
      <w:tr>
        <w:trPr>
          <w:trHeight w:val="171"/>
        </w:trPr>
        <w:tc>
          <w:tcPr>
            <w:tcW w:w="4440" w:type="dxa"/>
            <w:vAlign w:val="bottom"/>
          </w:tcPr>
          <w:p>
            <w:pPr>
              <w:spacing w:after="0"/>
              <w:rPr>
                <w:sz w:val="14"/>
                <w:szCs w:val="14"/>
                <w:color w:val="auto"/>
              </w:rPr>
            </w:pP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16,122,664</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Less contract revenues recognized for 1998</w:t>
            </w:r>
          </w:p>
        </w:tc>
        <w:tc>
          <w:tcPr>
            <w:tcW w:w="8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(10,489,908)</w:t>
            </w:r>
          </w:p>
        </w:tc>
      </w:tr>
      <w:tr>
        <w:trPr>
          <w:trHeight w:val="171"/>
        </w:trPr>
        <w:tc>
          <w:tcPr>
            <w:tcW w:w="4440" w:type="dxa"/>
            <w:vAlign w:val="bottom"/>
          </w:tcPr>
          <w:p>
            <w:pPr>
              <w:spacing w:after="0"/>
              <w:rPr>
                <w:sz w:val="14"/>
                <w:szCs w:val="14"/>
                <w:color w:val="auto"/>
              </w:rPr>
            </w:pP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440" w:type="dxa"/>
            <w:vAlign w:val="bottom"/>
          </w:tcPr>
          <w:p>
            <w:pPr>
              <w:spacing w:after="0"/>
              <w:rPr>
                <w:sz w:val="20"/>
                <w:szCs w:val="20"/>
                <w:color w:val="auto"/>
              </w:rPr>
            </w:pPr>
            <w:r>
              <w:rPr>
                <w:rFonts w:ascii="Courier New" w:cs="Courier New" w:eastAsia="Courier New" w:hAnsi="Courier New"/>
                <w:sz w:val="15"/>
                <w:szCs w:val="15"/>
                <w:color w:val="auto"/>
              </w:rPr>
              <w:t>Balance, December 31, 1998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5,632,756</w:t>
            </w:r>
          </w:p>
        </w:tc>
      </w:tr>
      <w:tr>
        <w:trPr>
          <w:trHeight w:val="171"/>
        </w:trPr>
        <w:tc>
          <w:tcPr>
            <w:tcW w:w="4440" w:type="dxa"/>
            <w:vAlign w:val="bottom"/>
          </w:tcPr>
          <w:p>
            <w:pPr>
              <w:spacing w:after="0"/>
              <w:rPr>
                <w:sz w:val="14"/>
                <w:szCs w:val="14"/>
                <w:color w:val="auto"/>
              </w:rPr>
            </w:pP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4440" w:type="dxa"/>
            <w:vAlign w:val="bottom"/>
          </w:tcPr>
          <w:p>
            <w:pPr>
              <w:ind w:left="2500"/>
              <w:spacing w:after="0"/>
              <w:rPr>
                <w:sz w:val="20"/>
                <w:szCs w:val="20"/>
                <w:color w:val="auto"/>
              </w:rPr>
            </w:pPr>
            <w:r>
              <w:rPr>
                <w:rFonts w:ascii="Courier New" w:cs="Courier New" w:eastAsia="Courier New" w:hAnsi="Courier New"/>
                <w:sz w:val="15"/>
                <w:szCs w:val="15"/>
                <w:color w:val="auto"/>
              </w:rPr>
              <w:t>F-26</w:t>
            </w: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148"/>
          </w:cols>
          <w:pgMar w:left="311" w:top="970" w:right="1440" w:bottom="1440" w:gutter="0" w:footer="0" w:header="0"/>
        </w:sectPr>
      </w:pPr>
    </w:p>
    <w:bookmarkStart w:id="72" w:name="page73"/>
    <w:bookmarkEnd w:id="72"/>
    <w:p>
      <w:pPr>
        <w:ind w:left="2489"/>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531"/>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531"/>
        <w:spacing w:after="0"/>
        <w:rPr>
          <w:sz w:val="20"/>
          <w:szCs w:val="20"/>
          <w:color w:val="auto"/>
        </w:rPr>
      </w:pPr>
      <w:r>
        <w:rPr>
          <w:rFonts w:ascii="Courier New" w:cs="Courier New" w:eastAsia="Courier New" w:hAnsi="Courier New"/>
          <w:sz w:val="15"/>
          <w:szCs w:val="15"/>
          <w:color w:val="auto"/>
        </w:rPr>
        <w:t>FOR THE YEARS ENDED DECEMBER 31, 1999 AND 1998</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313" w:lineRule="exact"/>
        <w:rPr>
          <w:sz w:val="20"/>
          <w:szCs w:val="20"/>
          <w:color w:val="auto"/>
        </w:rPr>
      </w:pPr>
    </w:p>
    <w:p>
      <w:pPr>
        <w:ind w:left="789" w:hanging="789"/>
        <w:spacing w:after="0"/>
        <w:tabs>
          <w:tab w:leader="none" w:pos="78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and Related Information</w:t>
      </w:r>
    </w:p>
    <w:p>
      <w:pPr>
        <w:spacing w:after="0" w:line="174" w:lineRule="exact"/>
        <w:rPr>
          <w:rFonts w:ascii="Courier New" w:cs="Courier New" w:eastAsia="Courier New" w:hAnsi="Courier New"/>
          <w:sz w:val="15"/>
          <w:szCs w:val="15"/>
          <w:color w:val="auto"/>
        </w:rPr>
      </w:pPr>
    </w:p>
    <w:p>
      <w:pPr>
        <w:ind w:left="789" w:right="390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adopted SFAS No. 131, "Disclosures About Segments of an Enterprise and Related Information," in 1998.</w:t>
      </w:r>
    </w:p>
    <w:p>
      <w:pPr>
        <w:spacing w:after="0" w:line="175" w:lineRule="exact"/>
        <w:rPr>
          <w:rFonts w:ascii="Courier New" w:cs="Courier New" w:eastAsia="Courier New" w:hAnsi="Courier New"/>
          <w:sz w:val="15"/>
          <w:szCs w:val="15"/>
          <w:color w:val="auto"/>
        </w:rPr>
      </w:pPr>
    </w:p>
    <w:p>
      <w:pPr>
        <w:ind w:left="789" w:right="3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two reportable segments: Systems and Media. The Systems segment assembles and manufactures ventilation, environmental and process-related products. The Company provides standard and engineered systems and filter media for air quality improvement through its Media segment.</w:t>
      </w:r>
    </w:p>
    <w:p>
      <w:pPr>
        <w:spacing w:after="0" w:line="174" w:lineRule="exact"/>
        <w:rPr>
          <w:rFonts w:ascii="Courier New" w:cs="Courier New" w:eastAsia="Courier New" w:hAnsi="Courier New"/>
          <w:sz w:val="15"/>
          <w:szCs w:val="15"/>
          <w:color w:val="auto"/>
        </w:rPr>
      </w:pPr>
    </w:p>
    <w:p>
      <w:pPr>
        <w:ind w:left="789" w:right="3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accounting policies of the segments are the same as those described in the summary of significant accounting policies. The segment information for 1998 has been restated to reflect the Company's discontinued operations. The Company evaluates performance based on operating earnings of the respective business segments.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ELIMINATION</w:t>
            </w:r>
          </w:p>
        </w:tc>
        <w:tc>
          <w:tcPr>
            <w:tcW w:w="1240" w:type="dxa"/>
            <w:vAlign w:val="bottom"/>
          </w:tcPr>
          <w:p>
            <w:pPr>
              <w:spacing w:after="0"/>
              <w:rPr>
                <w:sz w:val="14"/>
                <w:szCs w:val="14"/>
                <w:color w:val="auto"/>
              </w:rPr>
            </w:pPr>
          </w:p>
        </w:tc>
      </w:tr>
      <w:tr>
        <w:trPr>
          <w:trHeight w:val="171"/>
        </w:trPr>
        <w:tc>
          <w:tcPr>
            <w:tcW w:w="3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OF INTER-</w:t>
            </w:r>
          </w:p>
        </w:tc>
        <w:tc>
          <w:tcPr>
            <w:tcW w:w="1240" w:type="dxa"/>
            <w:vAlign w:val="bottom"/>
          </w:tcPr>
          <w:p>
            <w:pPr>
              <w:spacing w:after="0"/>
              <w:rPr>
                <w:sz w:val="14"/>
                <w:szCs w:val="14"/>
                <w:color w:val="auto"/>
              </w:rPr>
            </w:pPr>
          </w:p>
        </w:tc>
      </w:tr>
      <w:tr>
        <w:trPr>
          <w:trHeight w:val="171"/>
        </w:trPr>
        <w:tc>
          <w:tcPr>
            <w:tcW w:w="3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SEGMENT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500" w:type="dxa"/>
            <w:vAlign w:val="bottom"/>
          </w:tcPr>
          <w:p>
            <w:pPr>
              <w:spacing w:after="0"/>
              <w:rPr>
                <w:sz w:val="14"/>
                <w:szCs w:val="14"/>
                <w:color w:val="auto"/>
              </w:rPr>
            </w:pP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SYSTEMS</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MEDIA</w:t>
            </w:r>
          </w:p>
        </w:tc>
        <w:tc>
          <w:tcPr>
            <w:tcW w:w="36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ACTIVITY</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3500" w:type="dxa"/>
            <w:vAlign w:val="bottom"/>
          </w:tcPr>
          <w:p>
            <w:pPr>
              <w:spacing w:after="0"/>
              <w:rPr>
                <w:sz w:val="14"/>
                <w:szCs w:val="14"/>
                <w:color w:val="auto"/>
              </w:rPr>
            </w:pP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ind w:left="160"/>
              <w:spacing w:after="0"/>
              <w:rPr>
                <w:sz w:val="20"/>
                <w:szCs w:val="20"/>
                <w:color w:val="auto"/>
              </w:rPr>
            </w:pPr>
            <w:r>
              <w:rPr>
                <w:rFonts w:ascii="Courier New" w:cs="Courier New" w:eastAsia="Courier New" w:hAnsi="Courier New"/>
                <w:sz w:val="15"/>
                <w:szCs w:val="15"/>
                <w:color w:val="auto"/>
              </w:rPr>
              <w:t>1999</w:t>
            </w: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3500" w:type="dxa"/>
            <w:vAlign w:val="bottom"/>
          </w:tcPr>
          <w:p>
            <w:pPr>
              <w:spacing w:after="0"/>
              <w:rPr>
                <w:sz w:val="14"/>
                <w:szCs w:val="14"/>
                <w:color w:val="auto"/>
              </w:rPr>
            </w:pPr>
          </w:p>
        </w:tc>
        <w:tc>
          <w:tcPr>
            <w:tcW w:w="714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350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$16,582,547</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$7,716,934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48,582</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($486,281)</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$23,861,782</w:t>
            </w:r>
          </w:p>
        </w:tc>
      </w:tr>
      <w:tr>
        <w:trPr>
          <w:trHeight w:val="341"/>
        </w:trPr>
        <w:tc>
          <w:tcPr>
            <w:tcW w:w="35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358,041</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219,864</w:t>
            </w:r>
          </w:p>
        </w:tc>
        <w:tc>
          <w:tcPr>
            <w:tcW w:w="360" w:type="dxa"/>
            <w:vAlign w:val="bottom"/>
          </w:tcPr>
          <w:p>
            <w:pPr>
              <w:spacing w:after="0"/>
              <w:rPr>
                <w:sz w:val="24"/>
                <w:szCs w:val="2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151,428</w:t>
            </w:r>
          </w:p>
        </w:tc>
        <w:tc>
          <w:tcPr>
            <w:tcW w:w="1460" w:type="dxa"/>
            <w:vAlign w:val="bottom"/>
          </w:tcPr>
          <w:p>
            <w:pPr>
              <w:spacing w:after="0"/>
              <w:rPr>
                <w:sz w:val="24"/>
                <w:szCs w:val="2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729,333</w:t>
            </w:r>
          </w:p>
        </w:tc>
      </w:tr>
      <w:tr>
        <w:trPr>
          <w:trHeight w:val="341"/>
        </w:trPr>
        <w:tc>
          <w:tcPr>
            <w:tcW w:w="35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274,491</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359,658</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(192,578)</w:t>
            </w:r>
          </w:p>
        </w:tc>
        <w:tc>
          <w:tcPr>
            <w:tcW w:w="1460" w:type="dxa"/>
            <w:vAlign w:val="bottom"/>
          </w:tcPr>
          <w:p>
            <w:pPr>
              <w:spacing w:after="0"/>
              <w:rPr>
                <w:sz w:val="24"/>
                <w:szCs w:val="2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441,571</w:t>
            </w:r>
          </w:p>
        </w:tc>
      </w:tr>
      <w:tr>
        <w:trPr>
          <w:trHeight w:val="341"/>
        </w:trPr>
        <w:tc>
          <w:tcPr>
            <w:tcW w:w="3500" w:type="dxa"/>
            <w:vAlign w:val="bottom"/>
          </w:tcPr>
          <w:p>
            <w:pPr>
              <w:spacing w:after="0"/>
              <w:rPr>
                <w:sz w:val="20"/>
                <w:szCs w:val="20"/>
                <w:color w:val="auto"/>
              </w:rPr>
            </w:pPr>
            <w:r>
              <w:rPr>
                <w:rFonts w:ascii="Courier New" w:cs="Courier New" w:eastAsia="Courier New" w:hAnsi="Courier New"/>
                <w:sz w:val="15"/>
                <w:szCs w:val="15"/>
                <w:color w:val="auto"/>
              </w:rPr>
              <w:t>Other significant noncash items:</w:t>
            </w: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3500" w:type="dxa"/>
            <w:vAlign w:val="bottom"/>
          </w:tcPr>
          <w:p>
            <w:pPr>
              <w:ind w:left="160"/>
              <w:spacing w:after="0"/>
              <w:rPr>
                <w:sz w:val="20"/>
                <w:szCs w:val="20"/>
                <w:color w:val="auto"/>
              </w:rPr>
            </w:pPr>
            <w:r>
              <w:rPr>
                <w:rFonts w:ascii="Courier New" w:cs="Courier New" w:eastAsia="Courier New" w:hAnsi="Courier New"/>
                <w:sz w:val="15"/>
                <w:szCs w:val="15"/>
                <w:color w:val="auto"/>
              </w:rPr>
              <w:t>Costs and estimated earnings</w:t>
            </w:r>
          </w:p>
        </w:tc>
        <w:tc>
          <w:tcPr>
            <w:tcW w:w="1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500" w:type="dxa"/>
            <w:vAlign w:val="bottom"/>
          </w:tcPr>
          <w:p>
            <w:pPr>
              <w:ind w:left="340"/>
              <w:spacing w:after="0"/>
              <w:rPr>
                <w:sz w:val="20"/>
                <w:szCs w:val="20"/>
                <w:color w:val="auto"/>
              </w:rPr>
            </w:pPr>
            <w:r>
              <w:rPr>
                <w:rFonts w:ascii="Courier New" w:cs="Courier New" w:eastAsia="Courier New" w:hAnsi="Courier New"/>
                <w:sz w:val="15"/>
                <w:szCs w:val="15"/>
                <w:color w:val="auto"/>
              </w:rPr>
              <w:t>in excess of billings on</w:t>
            </w:r>
          </w:p>
        </w:tc>
        <w:tc>
          <w:tcPr>
            <w:tcW w:w="1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500" w:type="dxa"/>
            <w:vAlign w:val="bottom"/>
          </w:tcPr>
          <w:p>
            <w:pPr>
              <w:ind w:left="340"/>
              <w:spacing w:after="0"/>
              <w:rPr>
                <w:sz w:val="20"/>
                <w:szCs w:val="20"/>
                <w:color w:val="auto"/>
              </w:rPr>
            </w:pPr>
            <w:r>
              <w:rPr>
                <w:rFonts w:ascii="Courier New" w:cs="Courier New" w:eastAsia="Courier New" w:hAnsi="Courier New"/>
                <w:sz w:val="15"/>
                <w:szCs w:val="15"/>
                <w:color w:val="auto"/>
              </w:rPr>
              <w:t>uncompleted contracts</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2,951,773</w:t>
            </w: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2,951,773</w:t>
            </w:r>
          </w:p>
        </w:tc>
      </w:tr>
      <w:tr>
        <w:trPr>
          <w:trHeight w:val="341"/>
        </w:trPr>
        <w:tc>
          <w:tcPr>
            <w:tcW w:w="3500" w:type="dxa"/>
            <w:vAlign w:val="bottom"/>
          </w:tcPr>
          <w:p>
            <w:pPr>
              <w:spacing w:after="0"/>
              <w:rPr>
                <w:sz w:val="20"/>
                <w:szCs w:val="20"/>
                <w:color w:val="auto"/>
              </w:rPr>
            </w:pPr>
            <w:r>
              <w:rPr>
                <w:rFonts w:ascii="Courier New" w:cs="Courier New" w:eastAsia="Courier New" w:hAnsi="Courier New"/>
                <w:sz w:val="15"/>
                <w:szCs w:val="15"/>
                <w:color w:val="auto"/>
              </w:rPr>
              <w:t>Total assets, net of</w:t>
            </w: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3500" w:type="dxa"/>
            <w:vAlign w:val="bottom"/>
          </w:tcPr>
          <w:p>
            <w:pPr>
              <w:ind w:left="160"/>
              <w:spacing w:after="0"/>
              <w:rPr>
                <w:sz w:val="20"/>
                <w:szCs w:val="20"/>
                <w:color w:val="auto"/>
              </w:rPr>
            </w:pPr>
            <w:r>
              <w:rPr>
                <w:rFonts w:ascii="Courier New" w:cs="Courier New" w:eastAsia="Courier New" w:hAnsi="Courier New"/>
                <w:sz w:val="15"/>
                <w:szCs w:val="15"/>
                <w:color w:val="auto"/>
              </w:rPr>
              <w:t>inter-segment receivables</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41,865,528</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14,371,892</w:t>
            </w:r>
          </w:p>
        </w:tc>
        <w:tc>
          <w:tcPr>
            <w:tcW w:w="36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345,957</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(5,509,951)</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51,073,426</w:t>
            </w:r>
          </w:p>
        </w:tc>
      </w:tr>
      <w:tr>
        <w:trPr>
          <w:trHeight w:val="341"/>
        </w:trPr>
        <w:tc>
          <w:tcPr>
            <w:tcW w:w="35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12,258</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153,026</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165,284</w:t>
            </w:r>
          </w:p>
        </w:tc>
      </w:tr>
      <w:tr>
        <w:trPr>
          <w:trHeight w:val="683"/>
        </w:trPr>
        <w:tc>
          <w:tcPr>
            <w:tcW w:w="3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ind w:left="160"/>
              <w:spacing w:after="0"/>
              <w:rPr>
                <w:sz w:val="20"/>
                <w:szCs w:val="20"/>
                <w:color w:val="auto"/>
              </w:rPr>
            </w:pPr>
            <w:r>
              <w:rPr>
                <w:rFonts w:ascii="Courier New" w:cs="Courier New" w:eastAsia="Courier New" w:hAnsi="Courier New"/>
                <w:sz w:val="15"/>
                <w:szCs w:val="15"/>
                <w:color w:val="auto"/>
              </w:rPr>
              <w:t>1998</w:t>
            </w: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3500" w:type="dxa"/>
            <w:vAlign w:val="bottom"/>
          </w:tcPr>
          <w:p>
            <w:pPr>
              <w:spacing w:after="0"/>
              <w:rPr>
                <w:sz w:val="14"/>
                <w:szCs w:val="14"/>
                <w:color w:val="auto"/>
              </w:rPr>
            </w:pPr>
          </w:p>
        </w:tc>
        <w:tc>
          <w:tcPr>
            <w:tcW w:w="714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50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$13,033,784</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$ 8,405,289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455,041</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($140,821)</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$21,753,293</w:t>
            </w:r>
          </w:p>
        </w:tc>
      </w:tr>
      <w:tr>
        <w:trPr>
          <w:trHeight w:val="341"/>
        </w:trPr>
        <w:tc>
          <w:tcPr>
            <w:tcW w:w="35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282,548</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183,394</w:t>
            </w:r>
          </w:p>
        </w:tc>
        <w:tc>
          <w:tcPr>
            <w:tcW w:w="360" w:type="dxa"/>
            <w:vAlign w:val="bottom"/>
          </w:tcPr>
          <w:p>
            <w:pPr>
              <w:spacing w:after="0"/>
              <w:rPr>
                <w:sz w:val="24"/>
                <w:szCs w:val="2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115,952</w:t>
            </w:r>
          </w:p>
        </w:tc>
        <w:tc>
          <w:tcPr>
            <w:tcW w:w="1460" w:type="dxa"/>
            <w:vAlign w:val="bottom"/>
          </w:tcPr>
          <w:p>
            <w:pPr>
              <w:spacing w:after="0"/>
              <w:rPr>
                <w:sz w:val="24"/>
                <w:szCs w:val="2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581,894</w:t>
            </w:r>
          </w:p>
        </w:tc>
      </w:tr>
      <w:tr>
        <w:trPr>
          <w:trHeight w:val="341"/>
        </w:trPr>
        <w:tc>
          <w:tcPr>
            <w:tcW w:w="35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753,717</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1,077,074</w:t>
            </w:r>
          </w:p>
        </w:tc>
        <w:tc>
          <w:tcPr>
            <w:tcW w:w="360" w:type="dxa"/>
            <w:vAlign w:val="bottom"/>
          </w:tcPr>
          <w:p>
            <w:pPr>
              <w:spacing w:after="0"/>
              <w:rPr>
                <w:sz w:val="24"/>
                <w:szCs w:val="2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50,729</w:t>
            </w:r>
          </w:p>
        </w:tc>
        <w:tc>
          <w:tcPr>
            <w:tcW w:w="1460" w:type="dxa"/>
            <w:vAlign w:val="bottom"/>
          </w:tcPr>
          <w:p>
            <w:pPr>
              <w:spacing w:after="0"/>
              <w:rPr>
                <w:sz w:val="24"/>
                <w:szCs w:val="2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1,881,520</w:t>
            </w:r>
          </w:p>
        </w:tc>
      </w:tr>
      <w:tr>
        <w:trPr>
          <w:trHeight w:val="341"/>
        </w:trPr>
        <w:tc>
          <w:tcPr>
            <w:tcW w:w="3500" w:type="dxa"/>
            <w:vAlign w:val="bottom"/>
          </w:tcPr>
          <w:p>
            <w:pPr>
              <w:spacing w:after="0"/>
              <w:rPr>
                <w:sz w:val="20"/>
                <w:szCs w:val="20"/>
                <w:color w:val="auto"/>
              </w:rPr>
            </w:pPr>
            <w:r>
              <w:rPr>
                <w:rFonts w:ascii="Courier New" w:cs="Courier New" w:eastAsia="Courier New" w:hAnsi="Courier New"/>
                <w:sz w:val="15"/>
                <w:szCs w:val="15"/>
                <w:color w:val="auto"/>
              </w:rPr>
              <w:t>Other significant noncash items:</w:t>
            </w: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3500" w:type="dxa"/>
            <w:vAlign w:val="bottom"/>
          </w:tcPr>
          <w:p>
            <w:pPr>
              <w:ind w:left="160"/>
              <w:spacing w:after="0"/>
              <w:rPr>
                <w:sz w:val="20"/>
                <w:szCs w:val="20"/>
                <w:color w:val="auto"/>
              </w:rPr>
            </w:pPr>
            <w:r>
              <w:rPr>
                <w:rFonts w:ascii="Courier New" w:cs="Courier New" w:eastAsia="Courier New" w:hAnsi="Courier New"/>
                <w:sz w:val="15"/>
                <w:szCs w:val="15"/>
                <w:color w:val="auto"/>
              </w:rPr>
              <w:t>Costs and estimated earnings</w:t>
            </w:r>
          </w:p>
        </w:tc>
        <w:tc>
          <w:tcPr>
            <w:tcW w:w="1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500" w:type="dxa"/>
            <w:vAlign w:val="bottom"/>
          </w:tcPr>
          <w:p>
            <w:pPr>
              <w:ind w:left="340"/>
              <w:spacing w:after="0"/>
              <w:rPr>
                <w:sz w:val="20"/>
                <w:szCs w:val="20"/>
                <w:color w:val="auto"/>
              </w:rPr>
            </w:pPr>
            <w:r>
              <w:rPr>
                <w:rFonts w:ascii="Courier New" w:cs="Courier New" w:eastAsia="Courier New" w:hAnsi="Courier New"/>
                <w:sz w:val="15"/>
                <w:szCs w:val="15"/>
                <w:color w:val="auto"/>
              </w:rPr>
              <w:t>in excess of billings on</w:t>
            </w:r>
          </w:p>
        </w:tc>
        <w:tc>
          <w:tcPr>
            <w:tcW w:w="1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500" w:type="dxa"/>
            <w:vAlign w:val="bottom"/>
          </w:tcPr>
          <w:p>
            <w:pPr>
              <w:ind w:left="340"/>
              <w:spacing w:after="0"/>
              <w:rPr>
                <w:sz w:val="20"/>
                <w:szCs w:val="20"/>
                <w:color w:val="auto"/>
              </w:rPr>
            </w:pPr>
            <w:r>
              <w:rPr>
                <w:rFonts w:ascii="Courier New" w:cs="Courier New" w:eastAsia="Courier New" w:hAnsi="Courier New"/>
                <w:sz w:val="15"/>
                <w:szCs w:val="15"/>
                <w:color w:val="auto"/>
              </w:rPr>
              <w:t>uncompleted contracts</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193,116</w:t>
            </w: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33,388</w:t>
            </w:r>
          </w:p>
        </w:tc>
        <w:tc>
          <w:tcPr>
            <w:tcW w:w="146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226,504</w:t>
            </w:r>
          </w:p>
        </w:tc>
      </w:tr>
      <w:tr>
        <w:trPr>
          <w:trHeight w:val="341"/>
        </w:trPr>
        <w:tc>
          <w:tcPr>
            <w:tcW w:w="3500" w:type="dxa"/>
            <w:vAlign w:val="bottom"/>
          </w:tcPr>
          <w:p>
            <w:pPr>
              <w:spacing w:after="0"/>
              <w:rPr>
                <w:sz w:val="20"/>
                <w:szCs w:val="20"/>
                <w:color w:val="auto"/>
              </w:rPr>
            </w:pPr>
            <w:r>
              <w:rPr>
                <w:rFonts w:ascii="Courier New" w:cs="Courier New" w:eastAsia="Courier New" w:hAnsi="Courier New"/>
                <w:sz w:val="15"/>
                <w:szCs w:val="15"/>
                <w:color w:val="auto"/>
              </w:rPr>
              <w:t>Total assets, net of</w:t>
            </w: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3500" w:type="dxa"/>
            <w:vAlign w:val="bottom"/>
          </w:tcPr>
          <w:p>
            <w:pPr>
              <w:ind w:left="160"/>
              <w:spacing w:after="0"/>
              <w:rPr>
                <w:sz w:val="20"/>
                <w:szCs w:val="20"/>
                <w:color w:val="auto"/>
              </w:rPr>
            </w:pPr>
            <w:r>
              <w:rPr>
                <w:rFonts w:ascii="Courier New" w:cs="Courier New" w:eastAsia="Courier New" w:hAnsi="Courier New"/>
                <w:sz w:val="15"/>
                <w:szCs w:val="15"/>
                <w:color w:val="auto"/>
              </w:rPr>
              <w:t>inter-segment receivables</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4,967,269</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15,342,315</w:t>
            </w: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1,532,610</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(6,367,358)</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15,474,836</w:t>
            </w:r>
          </w:p>
        </w:tc>
      </w:tr>
      <w:tr>
        <w:trPr>
          <w:trHeight w:val="341"/>
        </w:trPr>
        <w:tc>
          <w:tcPr>
            <w:tcW w:w="35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47,374</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55,540</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102,914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649"/>
          </w:cols>
          <w:pgMar w:left="311" w:top="969" w:right="939" w:bottom="1440" w:gutter="0" w:footer="0" w:header="0"/>
        </w:sectPr>
      </w:pPr>
    </w:p>
    <w:bookmarkStart w:id="73" w:name="page74"/>
    <w:bookmarkEnd w:id="73"/>
    <w:p>
      <w:pPr>
        <w:ind w:left="2480"/>
        <w:spacing w:after="0"/>
        <w:rPr>
          <w:sz w:val="20"/>
          <w:szCs w:val="20"/>
          <w:color w:val="auto"/>
        </w:rPr>
      </w:pPr>
      <w:r>
        <w:rPr>
          <w:rFonts w:ascii="Courier New" w:cs="Courier New" w:eastAsia="Courier New" w:hAnsi="Courier New"/>
          <w:sz w:val="15"/>
          <w:szCs w:val="15"/>
          <w:color w:val="auto"/>
        </w:rPr>
        <w:t>CECO ENVIRONMENTAL CORP.</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FOR THE YEARS ENDED DECEMBER 31, 1999 AND 1998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20" w:type="dxa"/>
            <w:vAlign w:val="bottom"/>
            <w:gridSpan w:val="6"/>
          </w:tcPr>
          <w:p>
            <w:pPr>
              <w:spacing w:after="0"/>
              <w:rPr>
                <w:sz w:val="20"/>
                <w:szCs w:val="20"/>
                <w:color w:val="auto"/>
              </w:rPr>
            </w:pPr>
            <w:r>
              <w:rPr>
                <w:rFonts w:ascii="Courier New" w:cs="Courier New" w:eastAsia="Courier New" w:hAnsi="Courier New"/>
                <w:sz w:val="15"/>
                <w:szCs w:val="15"/>
                <w:color w:val="auto"/>
              </w:rPr>
              <w:t>- - --------------------------------------------------------------------------------</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853"/>
        </w:trPr>
        <w:tc>
          <w:tcPr>
            <w:tcW w:w="520" w:type="dxa"/>
            <w:vAlign w:val="bottom"/>
          </w:tcPr>
          <w:p>
            <w:pPr>
              <w:spacing w:after="0"/>
              <w:rPr>
                <w:sz w:val="20"/>
                <w:szCs w:val="20"/>
                <w:color w:val="auto"/>
              </w:rPr>
            </w:pPr>
            <w:r>
              <w:rPr>
                <w:rFonts w:ascii="Courier New" w:cs="Courier New" w:eastAsia="Courier New" w:hAnsi="Courier New"/>
                <w:sz w:val="15"/>
                <w:szCs w:val="15"/>
                <w:color w:val="auto"/>
              </w:rPr>
              <w:t>19.</w:t>
            </w:r>
          </w:p>
        </w:tc>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Quarterly Data (Unaudited)</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20" w:type="dxa"/>
            <w:vAlign w:val="bottom"/>
          </w:tcPr>
          <w:p>
            <w:pPr>
              <w:spacing w:after="0"/>
              <w:rPr>
                <w:sz w:val="14"/>
                <w:szCs w:val="14"/>
                <w:color w:val="auto"/>
              </w:rPr>
            </w:pPr>
          </w:p>
        </w:tc>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5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MARCH</w:t>
            </w:r>
          </w:p>
        </w:tc>
        <w:tc>
          <w:tcPr>
            <w:tcW w:w="220" w:type="dxa"/>
            <w:vAlign w:val="bottom"/>
          </w:tcPr>
          <w:p>
            <w:pPr>
              <w:spacing w:after="0"/>
              <w:rPr>
                <w:sz w:val="24"/>
                <w:szCs w:val="24"/>
                <w:color w:val="auto"/>
              </w:rPr>
            </w:pP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JUNE</w:t>
            </w:r>
          </w:p>
        </w:tc>
        <w:tc>
          <w:tcPr>
            <w:tcW w:w="440" w:type="dxa"/>
            <w:vAlign w:val="bottom"/>
          </w:tcPr>
          <w:p>
            <w:pPr>
              <w:spacing w:after="0"/>
              <w:rPr>
                <w:sz w:val="24"/>
                <w:szCs w:val="2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SEPTEMBER</w:t>
            </w:r>
          </w:p>
        </w:tc>
        <w:tc>
          <w:tcPr>
            <w:tcW w:w="15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DECEMBER</w:t>
            </w:r>
          </w:p>
        </w:tc>
      </w:tr>
      <w:tr>
        <w:trPr>
          <w:trHeight w:val="171"/>
        </w:trPr>
        <w:tc>
          <w:tcPr>
            <w:tcW w:w="5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Year ended December 31, 1999:</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12"/>
        </w:trPr>
        <w:tc>
          <w:tcPr>
            <w:tcW w:w="52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Total revenues</w:t>
            </w:r>
          </w:p>
        </w:tc>
        <w:tc>
          <w:tcPr>
            <w:tcW w:w="160" w:type="dxa"/>
            <w:vAlign w:val="bottom"/>
          </w:tcPr>
          <w:p>
            <w:pPr>
              <w:spacing w:after="0"/>
              <w:rPr>
                <w:sz w:val="24"/>
                <w:szCs w:val="2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$4,772,657</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$3,964,857</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$3,971,696</w:t>
            </w: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$11,152,572</w:t>
            </w:r>
          </w:p>
        </w:tc>
      </w:tr>
      <w:tr>
        <w:trPr>
          <w:trHeight w:val="171"/>
        </w:trPr>
        <w:tc>
          <w:tcPr>
            <w:tcW w:w="5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Income (loss) from continuing operations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165,283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77,041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140,580)</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41,496</w:t>
            </w:r>
          </w:p>
        </w:tc>
      </w:tr>
      <w:tr>
        <w:trPr>
          <w:trHeight w:val="341"/>
        </w:trPr>
        <w:tc>
          <w:tcPr>
            <w:tcW w:w="52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Income (loss) from</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20" w:type="dxa"/>
            <w:vAlign w:val="bottom"/>
          </w:tcPr>
          <w:p>
            <w:pPr>
              <w:spacing w:after="0"/>
              <w:rPr>
                <w:sz w:val="14"/>
                <w:szCs w:val="14"/>
                <w:color w:val="auto"/>
              </w:rPr>
            </w:pPr>
          </w:p>
        </w:tc>
        <w:tc>
          <w:tcPr>
            <w:tcW w:w="454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w:t>
            </w:r>
          </w:p>
        </w:tc>
        <w:tc>
          <w:tcPr>
            <w:tcW w:w="1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(136,927)</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3,200</w:t>
            </w:r>
          </w:p>
        </w:tc>
        <w:tc>
          <w:tcPr>
            <w:tcW w:w="4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7,489</w:t>
            </w:r>
          </w:p>
        </w:tc>
        <w:tc>
          <w:tcPr>
            <w:tcW w:w="7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(383,163)</w:t>
            </w:r>
          </w:p>
        </w:tc>
      </w:tr>
      <w:tr>
        <w:trPr>
          <w:trHeight w:val="171"/>
        </w:trPr>
        <w:tc>
          <w:tcPr>
            <w:tcW w:w="5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Net income (loss)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28,356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80,241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133,091)</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341,667)</w:t>
            </w:r>
          </w:p>
        </w:tc>
      </w:tr>
      <w:tr>
        <w:trPr>
          <w:trHeight w:val="171"/>
        </w:trPr>
        <w:tc>
          <w:tcPr>
            <w:tcW w:w="5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Net income (loss) per share, basic:</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20" w:type="dxa"/>
            <w:vAlign w:val="bottom"/>
          </w:tcPr>
          <w:p>
            <w:pPr>
              <w:spacing w:after="0"/>
              <w:rPr>
                <w:sz w:val="14"/>
                <w:szCs w:val="14"/>
                <w:color w:val="auto"/>
              </w:rPr>
            </w:pPr>
          </w:p>
        </w:tc>
        <w:tc>
          <w:tcPr>
            <w:tcW w:w="4540" w:type="dxa"/>
            <w:vAlign w:val="bottom"/>
          </w:tcPr>
          <w:p>
            <w:pPr>
              <w:ind w:left="440"/>
              <w:spacing w:after="0"/>
              <w:rPr>
                <w:sz w:val="20"/>
                <w:szCs w:val="20"/>
                <w:color w:val="auto"/>
              </w:rPr>
            </w:pPr>
            <w:r>
              <w:rPr>
                <w:rFonts w:ascii="Courier New" w:cs="Courier New" w:eastAsia="Courier New" w:hAnsi="Courier New"/>
                <w:sz w:val="15"/>
                <w:szCs w:val="15"/>
                <w:color w:val="auto"/>
              </w:rPr>
              <w:t>Income (loss) from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4540" w:type="dxa"/>
            <w:vAlign w:val="bottom"/>
          </w:tcPr>
          <w:p>
            <w:pPr>
              <w:ind w:left="620"/>
              <w:spacing w:after="0"/>
              <w:rPr>
                <w:sz w:val="20"/>
                <w:szCs w:val="20"/>
                <w:color w:val="auto"/>
              </w:rPr>
            </w:pPr>
            <w:r>
              <w:rPr>
                <w:rFonts w:ascii="Courier New" w:cs="Courier New" w:eastAsia="Courier New" w:hAnsi="Courier New"/>
                <w:sz w:val="15"/>
                <w:szCs w:val="15"/>
                <w:color w:val="auto"/>
              </w:rPr>
              <w:t>continuing operations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w:t>
            </w:r>
          </w:p>
        </w:tc>
      </w:tr>
      <w:tr>
        <w:trPr>
          <w:trHeight w:val="171"/>
        </w:trPr>
        <w:tc>
          <w:tcPr>
            <w:tcW w:w="520" w:type="dxa"/>
            <w:vAlign w:val="bottom"/>
          </w:tcPr>
          <w:p>
            <w:pPr>
              <w:spacing w:after="0"/>
              <w:rPr>
                <w:sz w:val="14"/>
                <w:szCs w:val="14"/>
                <w:color w:val="auto"/>
              </w:rPr>
            </w:pPr>
          </w:p>
        </w:tc>
        <w:tc>
          <w:tcPr>
            <w:tcW w:w="4540" w:type="dxa"/>
            <w:vAlign w:val="bottom"/>
          </w:tcPr>
          <w:p>
            <w:pPr>
              <w:ind w:left="440"/>
              <w:spacing w:after="0"/>
              <w:rPr>
                <w:sz w:val="20"/>
                <w:szCs w:val="20"/>
                <w:color w:val="auto"/>
              </w:rPr>
            </w:pPr>
            <w:r>
              <w:rPr>
                <w:rFonts w:ascii="Courier New" w:cs="Courier New" w:eastAsia="Courier New" w:hAnsi="Courier New"/>
                <w:sz w:val="15"/>
                <w:szCs w:val="15"/>
                <w:color w:val="auto"/>
              </w:rPr>
              <w:t>(Loss) from discontinued operations</w:t>
            </w:r>
          </w:p>
        </w:tc>
        <w:tc>
          <w:tcPr>
            <w:tcW w:w="1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1"/>
        </w:trPr>
        <w:tc>
          <w:tcPr>
            <w:tcW w:w="5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4540" w:type="dxa"/>
            <w:vAlign w:val="bottom"/>
          </w:tcPr>
          <w:p>
            <w:pPr>
              <w:ind w:left="440"/>
              <w:spacing w:after="0"/>
              <w:rPr>
                <w:sz w:val="20"/>
                <w:szCs w:val="20"/>
                <w:color w:val="auto"/>
              </w:rPr>
            </w:pPr>
            <w:r>
              <w:rPr>
                <w:rFonts w:ascii="Courier New" w:cs="Courier New" w:eastAsia="Courier New" w:hAnsi="Courier New"/>
                <w:sz w:val="15"/>
                <w:szCs w:val="15"/>
                <w:color w:val="auto"/>
              </w:rPr>
              <w:t>Net income (loss) per share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w:t>
            </w:r>
          </w:p>
        </w:tc>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1"/>
        </w:trPr>
        <w:tc>
          <w:tcPr>
            <w:tcW w:w="5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Net income (loss) per share, diluted:</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20" w:type="dxa"/>
            <w:vAlign w:val="bottom"/>
          </w:tcPr>
          <w:p>
            <w:pPr>
              <w:spacing w:after="0"/>
              <w:rPr>
                <w:sz w:val="14"/>
                <w:szCs w:val="14"/>
                <w:color w:val="auto"/>
              </w:rPr>
            </w:pPr>
          </w:p>
        </w:tc>
        <w:tc>
          <w:tcPr>
            <w:tcW w:w="4540" w:type="dxa"/>
            <w:vAlign w:val="bottom"/>
          </w:tcPr>
          <w:p>
            <w:pPr>
              <w:ind w:left="440"/>
              <w:spacing w:after="0"/>
              <w:rPr>
                <w:sz w:val="20"/>
                <w:szCs w:val="20"/>
                <w:color w:val="auto"/>
              </w:rPr>
            </w:pPr>
            <w:r>
              <w:rPr>
                <w:rFonts w:ascii="Courier New" w:cs="Courier New" w:eastAsia="Courier New" w:hAnsi="Courier New"/>
                <w:sz w:val="15"/>
                <w:szCs w:val="15"/>
                <w:color w:val="auto"/>
              </w:rPr>
              <w:t>Income (loss) from</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4540" w:type="dxa"/>
            <w:vAlign w:val="bottom"/>
          </w:tcPr>
          <w:p>
            <w:pPr>
              <w:ind w:left="620"/>
              <w:spacing w:after="0"/>
              <w:rPr>
                <w:sz w:val="20"/>
                <w:szCs w:val="20"/>
                <w:color w:val="auto"/>
              </w:rPr>
            </w:pPr>
            <w:r>
              <w:rPr>
                <w:rFonts w:ascii="Courier New" w:cs="Courier New" w:eastAsia="Courier New" w:hAnsi="Courier New"/>
                <w:sz w:val="15"/>
                <w:szCs w:val="15"/>
                <w:color w:val="auto"/>
              </w:rPr>
              <w:t>continuing operations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w:t>
            </w:r>
          </w:p>
        </w:tc>
        <w:tc>
          <w:tcPr>
            <w:tcW w:w="44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w:t>
            </w:r>
          </w:p>
        </w:tc>
      </w:tr>
      <w:tr>
        <w:trPr>
          <w:trHeight w:val="171"/>
        </w:trPr>
        <w:tc>
          <w:tcPr>
            <w:tcW w:w="520" w:type="dxa"/>
            <w:vAlign w:val="bottom"/>
          </w:tcPr>
          <w:p>
            <w:pPr>
              <w:spacing w:after="0"/>
              <w:rPr>
                <w:sz w:val="14"/>
                <w:szCs w:val="14"/>
                <w:color w:val="auto"/>
              </w:rPr>
            </w:pPr>
          </w:p>
        </w:tc>
        <w:tc>
          <w:tcPr>
            <w:tcW w:w="4540" w:type="dxa"/>
            <w:vAlign w:val="bottom"/>
          </w:tcPr>
          <w:p>
            <w:pPr>
              <w:ind w:left="440"/>
              <w:spacing w:after="0"/>
              <w:rPr>
                <w:sz w:val="20"/>
                <w:szCs w:val="20"/>
                <w:color w:val="auto"/>
              </w:rPr>
            </w:pPr>
            <w:r>
              <w:rPr>
                <w:rFonts w:ascii="Courier New" w:cs="Courier New" w:eastAsia="Courier New" w:hAnsi="Courier New"/>
                <w:sz w:val="15"/>
                <w:szCs w:val="15"/>
                <w:color w:val="auto"/>
              </w:rPr>
              <w:t>(Loss) from discontinued operations</w:t>
            </w:r>
          </w:p>
        </w:tc>
        <w:tc>
          <w:tcPr>
            <w:tcW w:w="1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1"/>
        </w:trPr>
        <w:tc>
          <w:tcPr>
            <w:tcW w:w="5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4540" w:type="dxa"/>
            <w:vAlign w:val="bottom"/>
          </w:tcPr>
          <w:p>
            <w:pPr>
              <w:ind w:left="440"/>
              <w:spacing w:after="0"/>
              <w:rPr>
                <w:sz w:val="20"/>
                <w:szCs w:val="20"/>
                <w:color w:val="auto"/>
              </w:rPr>
            </w:pPr>
            <w:r>
              <w:rPr>
                <w:rFonts w:ascii="Courier New" w:cs="Courier New" w:eastAsia="Courier New" w:hAnsi="Courier New"/>
                <w:sz w:val="15"/>
                <w:szCs w:val="15"/>
                <w:color w:val="auto"/>
              </w:rPr>
              <w:t>Net income (loss) per share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1"/>
        </w:trPr>
        <w:tc>
          <w:tcPr>
            <w:tcW w:w="5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683"/>
        </w:trPr>
        <w:tc>
          <w:tcPr>
            <w:tcW w:w="52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Year ended December 31, 1998:</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1"/>
        </w:trPr>
        <w:tc>
          <w:tcPr>
            <w:tcW w:w="52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Total revenues</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$ 5,746,732</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$5,506,166</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$5,676,997</w:t>
            </w: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$ 4,823,398</w:t>
            </w:r>
          </w:p>
        </w:tc>
      </w:tr>
      <w:tr>
        <w:trPr>
          <w:trHeight w:val="171"/>
        </w:trPr>
        <w:tc>
          <w:tcPr>
            <w:tcW w:w="5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Income from continuing operations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183,402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379,002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218,451</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164,623</w:t>
            </w:r>
          </w:p>
        </w:tc>
      </w:tr>
      <w:tr>
        <w:trPr>
          <w:trHeight w:val="341"/>
        </w:trPr>
        <w:tc>
          <w:tcPr>
            <w:tcW w:w="52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(Loss) from discontinued operations</w:t>
            </w:r>
          </w:p>
        </w:tc>
        <w:tc>
          <w:tcPr>
            <w:tcW w:w="160" w:type="dxa"/>
            <w:vAlign w:val="bottom"/>
          </w:tcPr>
          <w:p>
            <w:pPr>
              <w:spacing w:after="0"/>
              <w:rPr>
                <w:sz w:val="24"/>
                <w:szCs w:val="2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(47,576)</w:t>
            </w:r>
          </w:p>
        </w:tc>
        <w:tc>
          <w:tcPr>
            <w:tcW w:w="220" w:type="dxa"/>
            <w:vAlign w:val="bottom"/>
          </w:tcPr>
          <w:p>
            <w:pPr>
              <w:spacing w:after="0"/>
              <w:rPr>
                <w:sz w:val="24"/>
                <w:szCs w:val="2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(172,960)</w:t>
            </w:r>
          </w:p>
        </w:tc>
        <w:tc>
          <w:tcPr>
            <w:tcW w:w="440" w:type="dxa"/>
            <w:vAlign w:val="bottom"/>
          </w:tcPr>
          <w:p>
            <w:pPr>
              <w:spacing w:after="0"/>
              <w:rPr>
                <w:sz w:val="24"/>
                <w:szCs w:val="2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(124,255)</w:t>
            </w:r>
          </w:p>
        </w:tc>
        <w:tc>
          <w:tcPr>
            <w:tcW w:w="7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(67,771)</w:t>
            </w:r>
          </w:p>
        </w:tc>
      </w:tr>
      <w:tr>
        <w:trPr>
          <w:trHeight w:val="171"/>
        </w:trPr>
        <w:tc>
          <w:tcPr>
            <w:tcW w:w="5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135,836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206,042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94,196</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96,852</w:t>
            </w:r>
          </w:p>
        </w:tc>
      </w:tr>
      <w:tr>
        <w:trPr>
          <w:trHeight w:val="171"/>
        </w:trPr>
        <w:tc>
          <w:tcPr>
            <w:tcW w:w="5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Net income (loss) per share, basic and diluted:</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20" w:type="dxa"/>
            <w:vAlign w:val="bottom"/>
          </w:tcPr>
          <w:p>
            <w:pPr>
              <w:spacing w:after="0"/>
              <w:rPr>
                <w:sz w:val="14"/>
                <w:szCs w:val="14"/>
                <w:color w:val="auto"/>
              </w:rPr>
            </w:pPr>
          </w:p>
        </w:tc>
        <w:tc>
          <w:tcPr>
            <w:tcW w:w="4540" w:type="dxa"/>
            <w:vAlign w:val="bottom"/>
          </w:tcPr>
          <w:p>
            <w:pPr>
              <w:ind w:left="440"/>
              <w:spacing w:after="0"/>
              <w:rPr>
                <w:sz w:val="20"/>
                <w:szCs w:val="20"/>
                <w:color w:val="auto"/>
              </w:rPr>
            </w:pPr>
            <w:r>
              <w:rPr>
                <w:rFonts w:ascii="Courier New" w:cs="Courier New" w:eastAsia="Courier New" w:hAnsi="Courier New"/>
                <w:sz w:val="15"/>
                <w:szCs w:val="15"/>
                <w:color w:val="auto"/>
              </w:rPr>
              <w:t>Income from continuing operations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.03</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w:t>
            </w:r>
          </w:p>
        </w:tc>
      </w:tr>
      <w:tr>
        <w:trPr>
          <w:trHeight w:val="171"/>
        </w:trPr>
        <w:tc>
          <w:tcPr>
            <w:tcW w:w="520" w:type="dxa"/>
            <w:vAlign w:val="bottom"/>
          </w:tcPr>
          <w:p>
            <w:pPr>
              <w:spacing w:after="0"/>
              <w:rPr>
                <w:sz w:val="14"/>
                <w:szCs w:val="14"/>
                <w:color w:val="auto"/>
              </w:rPr>
            </w:pPr>
          </w:p>
        </w:tc>
        <w:tc>
          <w:tcPr>
            <w:tcW w:w="4540" w:type="dxa"/>
            <w:vAlign w:val="bottom"/>
          </w:tcPr>
          <w:p>
            <w:pPr>
              <w:ind w:left="440"/>
              <w:spacing w:after="0"/>
              <w:rPr>
                <w:sz w:val="20"/>
                <w:szCs w:val="20"/>
                <w:color w:val="auto"/>
              </w:rPr>
            </w:pPr>
            <w:r>
              <w:rPr>
                <w:rFonts w:ascii="Courier New" w:cs="Courier New" w:eastAsia="Courier New" w:hAnsi="Courier New"/>
                <w:sz w:val="15"/>
                <w:szCs w:val="15"/>
                <w:color w:val="auto"/>
              </w:rPr>
              <w:t>(Loss) from discontinued operations</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w:t>
            </w:r>
          </w:p>
        </w:tc>
        <w:tc>
          <w:tcPr>
            <w:tcW w:w="44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w:t>
            </w:r>
          </w:p>
        </w:tc>
        <w:tc>
          <w:tcPr>
            <w:tcW w:w="7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1"/>
        </w:trPr>
        <w:tc>
          <w:tcPr>
            <w:tcW w:w="5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4540" w:type="dxa"/>
            <w:vAlign w:val="bottom"/>
          </w:tcPr>
          <w:p>
            <w:pPr>
              <w:ind w:left="440"/>
              <w:spacing w:after="0"/>
              <w:rPr>
                <w:sz w:val="20"/>
                <w:szCs w:val="20"/>
                <w:color w:val="auto"/>
              </w:rPr>
            </w:pPr>
            <w:r>
              <w:rPr>
                <w:rFonts w:ascii="Courier New" w:cs="Courier New" w:eastAsia="Courier New" w:hAnsi="Courier New"/>
                <w:sz w:val="15"/>
                <w:szCs w:val="15"/>
                <w:color w:val="auto"/>
              </w:rPr>
              <w:t>Net income per share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w:t>
            </w:r>
          </w:p>
        </w:tc>
      </w:tr>
      <w:tr>
        <w:trPr>
          <w:trHeight w:val="171"/>
        </w:trPr>
        <w:tc>
          <w:tcPr>
            <w:tcW w:w="5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640"/>
          </w:cols>
          <w:pgMar w:left="320" w:top="970" w:right="939" w:bottom="1440" w:gutter="0" w:footer="0" w:header="0"/>
        </w:sectPr>
      </w:pPr>
    </w:p>
    <w:bookmarkStart w:id="74" w:name="page75"/>
    <w:bookmarkEnd w:id="74"/>
    <w:p>
      <w:pPr>
        <w:jc w:val="right"/>
        <w:ind w:right="3039"/>
        <w:spacing w:after="0"/>
        <w:rPr>
          <w:sz w:val="20"/>
          <w:szCs w:val="20"/>
          <w:color w:val="auto"/>
        </w:rPr>
      </w:pPr>
      <w:r>
        <w:rPr>
          <w:rFonts w:ascii="Courier New" w:cs="Courier New" w:eastAsia="Courier New" w:hAnsi="Courier New"/>
          <w:sz w:val="15"/>
          <w:szCs w:val="15"/>
          <w:color w:val="auto"/>
        </w:rPr>
        <w:t>Exhibit 10.33</w:t>
      </w:r>
    </w:p>
    <w:p>
      <w:pPr>
        <w:spacing w:after="0" w:line="171"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5"/>
          <w:szCs w:val="15"/>
          <w:color w:val="auto"/>
        </w:rPr>
        <w:t>CECO ENVIRONMENTAL CORP.</w:t>
      </w:r>
    </w:p>
    <w:p>
      <w:pPr>
        <w:spacing w:after="0" w:line="17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CAN-MED TECHNOLOGY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WARRANT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Dated as of August 26, 1999</w:t>
      </w:r>
    </w:p>
    <w:p>
      <w:pPr>
        <w:spacing w:after="0" w:line="34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019"/>
          </w:cols>
          <w:pgMar w:left="1440" w:top="480" w:right="1440" w:bottom="1440" w:gutter="0" w:footer="0" w:header="0"/>
        </w:sectPr>
      </w:pPr>
    </w:p>
    <w:bookmarkStart w:id="75" w:name="page76"/>
    <w:bookmarkEnd w:id="75"/>
    <w:p>
      <w:pPr>
        <w:ind w:right="3039" w:firstLine="799"/>
        <w:spacing w:after="0" w:line="239" w:lineRule="auto"/>
        <w:rPr>
          <w:sz w:val="20"/>
          <w:szCs w:val="20"/>
          <w:color w:val="auto"/>
        </w:rPr>
      </w:pPr>
      <w:r>
        <w:rPr>
          <w:rFonts w:ascii="Courier New" w:cs="Courier New" w:eastAsia="Courier New" w:hAnsi="Courier New"/>
          <w:sz w:val="15"/>
          <w:szCs w:val="15"/>
          <w:color w:val="auto"/>
        </w:rPr>
        <w:t>WARRANT AGREEMENT (the "Agreement") dated as of August 26, 1999 between CECO Environmental Corp., a New York corporation (the "Company"), and Can-Med Technology, an Ontario corporation (hereinafter referred to as a "Holder" or "Can-Med").</w:t>
      </w:r>
    </w:p>
    <w:p>
      <w:pPr>
        <w:spacing w:after="0" w:line="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WITNESSETH:</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WHEREAS, Can-Med has loaned in excess of $1,000,000 to the Company; and</w:t>
      </w:r>
    </w:p>
    <w:p>
      <w:pPr>
        <w:spacing w:after="0" w:line="183" w:lineRule="exact"/>
        <w:rPr>
          <w:sz w:val="20"/>
          <w:szCs w:val="20"/>
          <w:color w:val="auto"/>
        </w:rPr>
      </w:pPr>
    </w:p>
    <w:p>
      <w:pPr>
        <w:ind w:right="3499" w:firstLine="799"/>
        <w:spacing w:after="0" w:line="238" w:lineRule="auto"/>
        <w:rPr>
          <w:sz w:val="20"/>
          <w:szCs w:val="20"/>
          <w:color w:val="auto"/>
        </w:rPr>
      </w:pPr>
      <w:r>
        <w:rPr>
          <w:rFonts w:ascii="Courier New" w:cs="Courier New" w:eastAsia="Courier New" w:hAnsi="Courier New"/>
          <w:sz w:val="15"/>
          <w:szCs w:val="15"/>
          <w:color w:val="auto"/>
        </w:rPr>
        <w:t>WHEREAS, Can-Med is owned by Icarus, which is owned 50% by Phillip DeZwirek and 50% by Jason DeZwirek.</w:t>
      </w:r>
    </w:p>
    <w:p>
      <w:pPr>
        <w:spacing w:after="0" w:line="175"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WHEREAS, the interest rate of the loan from Can-Med to the Company is below the market rate that would be charged to the Company by an unaffiliated third party; and</w:t>
      </w:r>
    </w:p>
    <w:p>
      <w:pPr>
        <w:spacing w:after="0" w:line="175"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WHEREAS, the Company desires to grant to Can-Med, and Can-Med desires to accept from the Company, warrant certificates giving Can-Med the right to purchase shares of the Company's Common Stock.</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NOW, THEREFORE, in consideration of the premises, the payment by Can-Med to the Company of an aggregate of ten dollars ($10.00), the agreements herein set forth and other good and valuable consideration, the receipt and sufficiency of which are hereby acknowledged, the parties hereto agree as follows:</w:t>
      </w:r>
    </w:p>
    <w:p>
      <w:pPr>
        <w:spacing w:after="0" w:line="175" w:lineRule="exact"/>
        <w:rPr>
          <w:sz w:val="20"/>
          <w:szCs w:val="20"/>
          <w:color w:val="auto"/>
        </w:rPr>
      </w:pPr>
    </w:p>
    <w:p>
      <w:pPr>
        <w:ind w:right="3219" w:firstLine="790"/>
        <w:spacing w:after="0" w:line="260" w:lineRule="auto"/>
        <w:tabs>
          <w:tab w:leader="none" w:pos="106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Can-Med is granted the right to purchase, from the Company, at any time from February 26, 2000, until 5:30 p.m., New York time, on August 26, 2009 (the "Expiration Date"), at which time the Warrants expire, up to an aggregate of 1,000,000 shares (subject to adjustment as provided in Section 8 hereof) of common stock, par value $.01 per share, of the Company ("Common Stock") at an initial exercise price (subject to adjustment as provided in Section 11 hereof) of $2.50 per share (the "Exercise Price").</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631" w:right="1440" w:bottom="1440" w:gutter="0" w:footer="0" w:header="0"/>
        </w:sectPr>
      </w:pPr>
    </w:p>
    <w:bookmarkStart w:id="76" w:name="page77"/>
    <w:bookmarkEnd w:id="76"/>
    <w:p>
      <w:pPr>
        <w:ind w:right="3039" w:firstLine="790"/>
        <w:spacing w:after="0"/>
        <w:tabs>
          <w:tab w:leader="none" w:pos="106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Certificates. The warrant certificates (the "Warrant Certificates") delivered and to be delivered pursuant to this Agreement shall be in the form set forth in Exhibit A, attached hereto and made a part hereof, with such appropriate insertions, omissions, substitutions, and other variations as required or permitted by this Agreement.</w:t>
      </w:r>
    </w:p>
    <w:p>
      <w:pPr>
        <w:spacing w:after="0" w:line="174" w:lineRule="exact"/>
        <w:rPr>
          <w:rFonts w:ascii="Courier New" w:cs="Courier New" w:eastAsia="Courier New" w:hAnsi="Courier New"/>
          <w:sz w:val="15"/>
          <w:szCs w:val="15"/>
          <w:color w:val="auto"/>
        </w:rPr>
      </w:pPr>
    </w:p>
    <w:p>
      <w:pPr>
        <w:ind w:right="3039" w:firstLine="790"/>
        <w:spacing w:after="0" w:line="238" w:lineRule="auto"/>
        <w:tabs>
          <w:tab w:leader="none" w:pos="106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of Warrant. The Warrants shall be numbered and shall be registered on the books of the Company when issued.</w:t>
      </w:r>
    </w:p>
    <w:p>
      <w:pPr>
        <w:spacing w:after="0" w:line="172" w:lineRule="exact"/>
        <w:rPr>
          <w:rFonts w:ascii="Courier New" w:cs="Courier New" w:eastAsia="Courier New" w:hAnsi="Courier New"/>
          <w:sz w:val="15"/>
          <w:szCs w:val="15"/>
          <w:color w:val="auto"/>
        </w:rPr>
      </w:pPr>
    </w:p>
    <w:p>
      <w:pPr>
        <w:ind w:left="1060" w:hanging="270"/>
        <w:spacing w:after="0"/>
        <w:tabs>
          <w:tab w:leader="none" w:pos="10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Warrant.</w:t>
      </w:r>
    </w:p>
    <w:p>
      <w:pPr>
        <w:spacing w:after="0" w:line="174" w:lineRule="exact"/>
        <w:rPr>
          <w:sz w:val="20"/>
          <w:szCs w:val="20"/>
          <w:color w:val="auto"/>
        </w:rPr>
      </w:pPr>
    </w:p>
    <w:p>
      <w:pPr>
        <w:ind w:right="3039" w:firstLine="1065"/>
        <w:spacing w:after="0" w:line="259" w:lineRule="auto"/>
        <w:rPr>
          <w:sz w:val="20"/>
          <w:szCs w:val="20"/>
          <w:color w:val="auto"/>
        </w:rPr>
      </w:pPr>
      <w:r>
        <w:rPr>
          <w:rFonts w:ascii="Courier New" w:cs="Courier New" w:eastAsia="Courier New" w:hAnsi="Courier New"/>
          <w:sz w:val="14"/>
          <w:szCs w:val="14"/>
          <w:color w:val="auto"/>
        </w:rPr>
        <w:t>4.1 Method of Exercise. The Warrants initially are exercisable at the product of (i) the Exercise Price multiplied by (ii) the number of shares of Common Stock purchased (subject to adjustment as provided in Section 11 hereof), as set forth in Section 8 hereof payable by certified or official bank check in United States dollars. The product of the number of Warrants exercised at any one time multiplied by the Exercise Price shall be referred to as the "Purchase Price." Upon surrender of a Warrant Certificate with the annexed Form of Election to Purchase duly executed, together with payment of the Purchase Price for the shares of Common Stock purchased at the Company's principal offices located at 505 University Avenue, Suite 1400, Toronto, Ontario, Canada, the registered holder of a Warrant Certificate ("Holder" or "Holders") shall be entitled to receive a certificate or certificates for the shares of Common Stock so purchased. The purchase rights represented by each Warrant Certificate are exercisable at the option of the Holder thereof, in whole or in part (but not as to fractional shares of the Common Stock). In the case of the purchase of less than all the shares of Common Stock purchasable under any Warrant Certificate, the Company shall cancel said Warrant Certificate upon the surrender thereof and</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631" w:right="1440" w:bottom="1440" w:gutter="0" w:footer="0" w:header="0"/>
        </w:sectPr>
      </w:pPr>
    </w:p>
    <w:bookmarkStart w:id="77" w:name="page78"/>
    <w:bookmarkEnd w:id="77"/>
    <w:p>
      <w:pPr>
        <w:ind w:right="3659"/>
        <w:spacing w:after="0" w:line="238" w:lineRule="auto"/>
        <w:rPr>
          <w:sz w:val="20"/>
          <w:szCs w:val="20"/>
          <w:color w:val="auto"/>
        </w:rPr>
      </w:pPr>
      <w:r>
        <w:rPr>
          <w:rFonts w:ascii="Courier New" w:cs="Courier New" w:eastAsia="Courier New" w:hAnsi="Courier New"/>
          <w:sz w:val="15"/>
          <w:szCs w:val="15"/>
          <w:color w:val="auto"/>
        </w:rPr>
        <w:t>shall execute and deliver a new Warrant Certificate of like tenor for the balance of the shares of Common Stock purchasable thereunder.</w:t>
      </w:r>
    </w:p>
    <w:p>
      <w:pPr>
        <w:spacing w:after="0" w:line="175" w:lineRule="exact"/>
        <w:rPr>
          <w:sz w:val="20"/>
          <w:szCs w:val="20"/>
          <w:color w:val="auto"/>
        </w:rPr>
      </w:pPr>
    </w:p>
    <w:p>
      <w:pPr>
        <w:ind w:right="3039" w:firstLine="790"/>
        <w:spacing w:after="0"/>
        <w:tabs>
          <w:tab w:leader="none" w:pos="106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Certificates. Upon the exercise of the Warrants, the issuance of certificates for shares of Common Stock shall be made forthwith (and in any event within five (5) business days thereafter) without charge to the Holder thereof including, without limitation, any tax which may be payable in respect of the issuance thereof, and such certificates shall (subject to the provisions of Sections 7 and 9 hereof) be issued in the name of, or in such names as may be directed by, the Holder thereof; provided, however, that the Company shall not be required to pay any tax which may be payable in respect of any transfer involved in the issuance and delivery of any such certificates in a name other than that of the Holder and the Company shall not be required to issue or deliver such certificates unless or until the person or persons requesting the issuance thereof shall have paid to the Company the amount of such tax or shall have established to the satisfaction of the Company that such tax has been paid.</w:t>
      </w:r>
    </w:p>
    <w:p>
      <w:pPr>
        <w:spacing w:after="0" w:line="182" w:lineRule="exact"/>
        <w:rPr>
          <w:sz w:val="20"/>
          <w:szCs w:val="20"/>
          <w:color w:val="auto"/>
        </w:rPr>
      </w:pPr>
    </w:p>
    <w:p>
      <w:pPr>
        <w:ind w:right="3039" w:firstLine="799"/>
        <w:spacing w:after="0" w:line="260" w:lineRule="auto"/>
        <w:rPr>
          <w:sz w:val="20"/>
          <w:szCs w:val="20"/>
          <w:color w:val="auto"/>
        </w:rPr>
      </w:pPr>
      <w:r>
        <w:rPr>
          <w:rFonts w:ascii="Courier New" w:cs="Courier New" w:eastAsia="Courier New" w:hAnsi="Courier New"/>
          <w:sz w:val="14"/>
          <w:szCs w:val="14"/>
          <w:color w:val="auto"/>
        </w:rPr>
        <w:t>The Warrant Certificates and the certificates representing the shares of Common Stock, or other securities, property or rights issued upon exercise of the Warrants shall be executed on behalf of the Company by the manual or facsimile signature of the then present President or any Vice President of the Company under its corporate seal reproduced thereon, attested to by the manual or facsimile signature of the then present Secretary or any Assistant Secretary of the Company. Warrant Certificates shall be dated the date of execution by the Company upon initial issuance, division, exchange, substitution or transfer.</w:t>
      </w:r>
    </w:p>
    <w:p>
      <w:pPr>
        <w:spacing w:after="0" w:line="162" w:lineRule="exact"/>
        <w:rPr>
          <w:sz w:val="20"/>
          <w:szCs w:val="20"/>
          <w:color w:val="auto"/>
        </w:rPr>
      </w:pPr>
    </w:p>
    <w:p>
      <w:pPr>
        <w:ind w:right="3139" w:firstLine="790"/>
        <w:spacing w:after="0" w:line="271" w:lineRule="auto"/>
        <w:tabs>
          <w:tab w:leader="none" w:pos="106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of Warrant. The Warrants shall be transferable only on the books of the Company maintained at its principal office, where its principal</w:t>
      </w:r>
    </w:p>
    <w:p>
      <w:pPr>
        <w:spacing w:after="0" w:line="1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631" w:right="1440" w:bottom="1440" w:gutter="0" w:footer="0" w:header="0"/>
        </w:sectPr>
      </w:pPr>
    </w:p>
    <w:bookmarkStart w:id="78" w:name="page79"/>
    <w:bookmarkEnd w:id="78"/>
    <w:p>
      <w:pPr>
        <w:ind w:right="3039"/>
        <w:spacing w:after="0"/>
        <w:rPr>
          <w:sz w:val="20"/>
          <w:szCs w:val="20"/>
          <w:color w:val="auto"/>
        </w:rPr>
      </w:pPr>
      <w:r>
        <w:rPr>
          <w:rFonts w:ascii="Courier New" w:cs="Courier New" w:eastAsia="Courier New" w:hAnsi="Courier New"/>
          <w:sz w:val="15"/>
          <w:szCs w:val="15"/>
          <w:color w:val="auto"/>
        </w:rPr>
        <w:t>office may then be located, upon delivery thereof duly endorsed by the Holder or by its duly authorized attorney or representative accompanied by proper evidence of succession, assignment or authority to transfer. Upon any registration transfer, the Company shall execute and deliver new Warrants to the person entitled thereto.</w:t>
      </w:r>
    </w:p>
    <w:p>
      <w:pPr>
        <w:spacing w:after="0" w:line="175" w:lineRule="exact"/>
        <w:rPr>
          <w:sz w:val="20"/>
          <w:szCs w:val="20"/>
          <w:color w:val="auto"/>
        </w:rPr>
      </w:pPr>
    </w:p>
    <w:p>
      <w:pPr>
        <w:ind w:right="3219" w:firstLine="790"/>
        <w:spacing w:after="0" w:line="239" w:lineRule="auto"/>
        <w:tabs>
          <w:tab w:leader="none" w:pos="106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 On Transfer of Warrants. The Holder of a Warrant Certificate, by its acceptance thereof, covenants and agrees that the Warrants are being acquired as an investment and not with a view to the distribution thereof.</w:t>
      </w:r>
    </w:p>
    <w:p>
      <w:pPr>
        <w:spacing w:after="0" w:line="176" w:lineRule="exact"/>
        <w:rPr>
          <w:rFonts w:ascii="Courier New" w:cs="Courier New" w:eastAsia="Courier New" w:hAnsi="Courier New"/>
          <w:sz w:val="15"/>
          <w:szCs w:val="15"/>
          <w:color w:val="auto"/>
        </w:rPr>
      </w:pPr>
    </w:p>
    <w:p>
      <w:pPr>
        <w:ind w:right="3039" w:firstLine="790"/>
        <w:spacing w:after="0"/>
        <w:tabs>
          <w:tab w:leader="none" w:pos="106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and Number of Securities. Except as otherwise provided in Section 10 hereof, each of the Warrants are exercisable to purchase one share of Common Stock at an initial exercise price equal to the Exercise Price. The Exercise Price and the number of shares of Common Stock for which the Warrant may be exercised shall be the price and the number of shares of Common Stock which shall result from time to time from any and all adjustments in accordance with the provisions of Section 11 hereof.</w:t>
      </w:r>
    </w:p>
    <w:p>
      <w:pPr>
        <w:spacing w:after="0" w:line="173" w:lineRule="exact"/>
        <w:rPr>
          <w:rFonts w:ascii="Courier New" w:cs="Courier New" w:eastAsia="Courier New" w:hAnsi="Courier New"/>
          <w:sz w:val="15"/>
          <w:szCs w:val="15"/>
          <w:color w:val="auto"/>
        </w:rPr>
      </w:pPr>
    </w:p>
    <w:p>
      <w:pPr>
        <w:ind w:left="1060" w:hanging="270"/>
        <w:spacing w:after="0"/>
        <w:tabs>
          <w:tab w:leader="none" w:pos="10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w:t>
      </w:r>
    </w:p>
    <w:p>
      <w:pPr>
        <w:spacing w:after="0" w:line="174" w:lineRule="exact"/>
        <w:rPr>
          <w:sz w:val="20"/>
          <w:szCs w:val="20"/>
          <w:color w:val="auto"/>
        </w:rPr>
      </w:pPr>
    </w:p>
    <w:p>
      <w:pPr>
        <w:ind w:right="3039" w:firstLine="1065"/>
        <w:spacing w:after="0" w:line="259" w:lineRule="auto"/>
        <w:rPr>
          <w:sz w:val="20"/>
          <w:szCs w:val="20"/>
          <w:color w:val="auto"/>
        </w:rPr>
      </w:pPr>
      <w:r>
        <w:rPr>
          <w:rFonts w:ascii="Courier New" w:cs="Courier New" w:eastAsia="Courier New" w:hAnsi="Courier New"/>
          <w:sz w:val="14"/>
          <w:szCs w:val="14"/>
          <w:color w:val="auto"/>
        </w:rPr>
        <w:t>9.1 Registration Under the Securities Act of 1933. Each Warrant Certificate and each certificate representing the shares of Common Stock, and any of the other securities issuable upon exercise of the Warrants and the securities underlying the securities issuable upon exercise of the Warrants (collectively, the "Warrant Shares") shall bear the following legend, unless (i) such Warrants or Warrant Shares are distributed to the public or sold for distribution to the public pursuant to this Section 9 or otherwise pursuant to a registration statement filed under the Securities Act of 1933, as amended (the "Act"), (ii) such Warrants or Warrant Shares are subject to a currently effective registration statement under the Act; or (iii) the Company has received an opinion of counsel, in form and substance reasonably satisfactory to</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631" w:right="1440" w:bottom="1440" w:gutter="0" w:footer="0" w:header="0"/>
        </w:sectPr>
      </w:pPr>
    </w:p>
    <w:bookmarkStart w:id="79" w:name="page80"/>
    <w:bookmarkEnd w:id="79"/>
    <w:p>
      <w:pPr>
        <w:ind w:right="4019"/>
        <w:spacing w:after="0" w:line="238" w:lineRule="auto"/>
        <w:rPr>
          <w:sz w:val="20"/>
          <w:szCs w:val="20"/>
          <w:color w:val="auto"/>
        </w:rPr>
      </w:pPr>
      <w:r>
        <w:rPr>
          <w:rFonts w:ascii="Courier New" w:cs="Courier New" w:eastAsia="Courier New" w:hAnsi="Courier New"/>
          <w:sz w:val="15"/>
          <w:szCs w:val="15"/>
          <w:color w:val="auto"/>
        </w:rPr>
        <w:t>counsel for the Company, that such legend is unnecessary for any such certificate:</w:t>
      </w:r>
    </w:p>
    <w:p>
      <w:pPr>
        <w:spacing w:after="0" w:line="175" w:lineRule="exact"/>
        <w:rPr>
          <w:sz w:val="20"/>
          <w:szCs w:val="20"/>
          <w:color w:val="auto"/>
        </w:rPr>
      </w:pPr>
    </w:p>
    <w:p>
      <w:pPr>
        <w:ind w:left="780" w:right="3219"/>
        <w:spacing w:after="0"/>
        <w:rPr>
          <w:sz w:val="20"/>
          <w:szCs w:val="20"/>
          <w:color w:val="auto"/>
        </w:rPr>
      </w:pPr>
      <w:r>
        <w:rPr>
          <w:rFonts w:ascii="Courier New" w:cs="Courier New" w:eastAsia="Courier New" w:hAnsi="Courier New"/>
          <w:sz w:val="15"/>
          <w:szCs w:val="15"/>
          <w:color w:val="auto"/>
        </w:rPr>
        <w:t>THE WARRANTS REPRESENTED BY THIS CERTIFICATE AND THE OTHER SECURITIES ISSUABLE UPON EXERCISE THEREOF MAY NOT BE OFFERED OR SOLD EXCEPT PURSUANT TO (i) AN EFFECTIVE REGISTRATION STATEMENT UNDER THE SECURITIES ACT OF 1933, (ii) TO THE EXTENT APPLICABLE, RULE 144 UNDER SUCH ACT (OR ANY SIMILAR RULE UNDER SUCH ACT RELATING TO THE DISPOSITION OF SECURITIES), OR (iii) AN OPINION OF COUNSEL, IF SUCH OPINION SHALL BE REASONABLY SATISFACTORY TO COUNSEL FOR THE ISSUER, THAT AN EXEMPTION FROM REGISTRATION UNDER SUCH ACT IS AVAILABLE.</w:t>
      </w:r>
    </w:p>
    <w:p>
      <w:pPr>
        <w:spacing w:after="0" w:line="177" w:lineRule="exact"/>
        <w:rPr>
          <w:sz w:val="20"/>
          <w:szCs w:val="20"/>
          <w:color w:val="auto"/>
        </w:rPr>
      </w:pPr>
    </w:p>
    <w:p>
      <w:pPr>
        <w:ind w:left="780" w:right="3399"/>
        <w:spacing w:after="0" w:line="239" w:lineRule="auto"/>
        <w:rPr>
          <w:sz w:val="20"/>
          <w:szCs w:val="20"/>
          <w:color w:val="auto"/>
        </w:rPr>
      </w:pPr>
      <w:r>
        <w:rPr>
          <w:rFonts w:ascii="Courier New" w:cs="Courier New" w:eastAsia="Courier New" w:hAnsi="Courier New"/>
          <w:sz w:val="15"/>
          <w:szCs w:val="15"/>
          <w:color w:val="auto"/>
        </w:rPr>
        <w:t>THE TRANSFER OR EXCHANGE OF THE WARRANTS OR OTHER SECURITIES REPRESENTED BY THE CERTIFICATE IS RESTRICTED IN ACCORDANCE WITH THE WARRANT AGREEMENT REFERRED TO HEREIN.</w:t>
      </w:r>
    </w:p>
    <w:p>
      <w:pPr>
        <w:spacing w:after="0" w:line="346" w:lineRule="exact"/>
        <w:rPr>
          <w:sz w:val="20"/>
          <w:szCs w:val="20"/>
          <w:color w:val="auto"/>
        </w:rPr>
      </w:pPr>
    </w:p>
    <w:p>
      <w:pPr>
        <w:ind w:right="3039" w:firstLine="1065"/>
        <w:spacing w:after="0" w:line="259" w:lineRule="auto"/>
        <w:rPr>
          <w:sz w:val="20"/>
          <w:szCs w:val="20"/>
          <w:color w:val="auto"/>
        </w:rPr>
      </w:pPr>
      <w:r>
        <w:rPr>
          <w:rFonts w:ascii="Courier New" w:cs="Courier New" w:eastAsia="Courier New" w:hAnsi="Courier New"/>
          <w:sz w:val="14"/>
          <w:szCs w:val="14"/>
          <w:color w:val="auto"/>
        </w:rPr>
        <w:t>9.2 Piggyback Registration. If, at any time commencing February 26, 2000, and expiring on the Expiration Date, the Company proposes to register any of its securities, not registered on the date hereof, under the Act (other than in connection with a merger or pursuant to Form S-4 or Form S-8) it will give written notice by registered mail, at least thirty (30) days prior to the filing of each such registration statement, to the Holders of the Warrants and/or the Warrant Shares of its intention to do so. If any of the Holders of the Warrants and/or Warrant Shares notify the Company within twenty (20) days after mailing of any such notice of its or their desire to include any such securities in such proposed registration statement, the Company shall afford such Holders of the Warrants and/or Warrant Shares the opportunity to have any such Warrant Shares registered under such registration statement. In the event that the managing underwriter for said offering advises the Company in writing that in the underwriter's opinion the number of securities requested to be included in such registration exceeds the number which can be sold in such offering without causing a diminution in the offering price or otherwise adversely affecting the offering, the Company will include in such registration (a) first, the</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631" w:right="1440" w:bottom="1440" w:gutter="0" w:footer="0" w:header="0"/>
        </w:sectPr>
      </w:pPr>
    </w:p>
    <w:bookmarkStart w:id="80" w:name="page81"/>
    <w:bookmarkEnd w:id="80"/>
    <w:p>
      <w:pPr>
        <w:ind w:right="3139"/>
        <w:spacing w:after="0"/>
        <w:rPr>
          <w:sz w:val="20"/>
          <w:szCs w:val="20"/>
          <w:color w:val="auto"/>
        </w:rPr>
      </w:pPr>
      <w:r>
        <w:rPr>
          <w:rFonts w:ascii="Courier New" w:cs="Courier New" w:eastAsia="Courier New" w:hAnsi="Courier New"/>
          <w:sz w:val="15"/>
          <w:szCs w:val="15"/>
          <w:color w:val="auto"/>
        </w:rPr>
        <w:t>securities the Company proposes to sell, (b) second, the securities held by the entities that made the demand for registration, (c) third, the Warrants and/or Warrant Shares requested to be included in such registration which in the opinion of such underwriter can be sold, pro rata among the Holders of Warrants and/or Warrant Shares on the basis of the number of Warrants and/or Warrant Shares requested to be registered by such Holders, and (d) fourth, other securities requested to be included in such registration.</w:t>
      </w:r>
    </w:p>
    <w:p>
      <w:pPr>
        <w:spacing w:after="0" w:line="176"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Notwithstanding the provisions of this Section 9.2, the Company shall have the right at any time after it shall have given written notice pursuant to this Section 9.2 (irrespective of whether a written request for inclusion of any such securities shall have been made) to elect not to file any such proposed registration statement or to withdraw the same after the filing but prior to the effective date thereof.</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9.3 Demand Registration.</w:t>
      </w:r>
    </w:p>
    <w:p>
      <w:pPr>
        <w:spacing w:after="0" w:line="174" w:lineRule="exact"/>
        <w:rPr>
          <w:sz w:val="20"/>
          <w:szCs w:val="20"/>
          <w:color w:val="auto"/>
        </w:rPr>
      </w:pPr>
    </w:p>
    <w:p>
      <w:pPr>
        <w:ind w:right="3039" w:firstLine="1056"/>
        <w:spacing w:after="0" w:line="259" w:lineRule="auto"/>
        <w:tabs>
          <w:tab w:leader="none" w:pos="14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commencing February 26, 2000 and expiring on the Expiration Date, the Holders of the Warrants and/or Warrant Shares representing a "Majority" (as hereinafter defined) of the Warrants and/or Warrant Shares shall have the right on one occasion (which right is in addition to the registration rights under Section 9.2 hereof), exercisable by written notice to the Company, to have the Company prepare and file with the Securities and Exchange Commission (the "Commission"), a registration statement and such other documents, including a prospectus, as may be necessary in the opinion of both counsel for the Company and counsel for the Holders, in order to comply with the provisions of the Act, so as to permit a public offering and sale by such Holders and any other Holders of the Warrants and/or Warrant Shares who notify the Company within fifteen (15) days after the Company mails notice of such request pursuant to Section 9.3(b) hereof (collectively, the "Requesting</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631" w:right="1440" w:bottom="1440" w:gutter="0" w:footer="0" w:header="0"/>
        </w:sectPr>
      </w:pPr>
    </w:p>
    <w:bookmarkStart w:id="81" w:name="page82"/>
    <w:bookmarkEnd w:id="81"/>
    <w:p>
      <w:pPr>
        <w:ind w:right="3139"/>
        <w:spacing w:after="0"/>
        <w:rPr>
          <w:sz w:val="20"/>
          <w:szCs w:val="20"/>
          <w:color w:val="auto"/>
        </w:rPr>
      </w:pPr>
      <w:r>
        <w:rPr>
          <w:rFonts w:ascii="Courier New" w:cs="Courier New" w:eastAsia="Courier New" w:hAnsi="Courier New"/>
          <w:sz w:val="15"/>
          <w:szCs w:val="15"/>
          <w:color w:val="auto"/>
        </w:rPr>
        <w:t>Holders") of their respective Warrant Shares so as to allow the unrestricted sale of the Warrant Shares to the public from time to time until the earlier of the following: (i) the Expiration Date, or (ii) the date on which all of the Warrant Shares requested to be registered by the Requesting Holders have been sold (the "Registration Period").</w:t>
      </w:r>
    </w:p>
    <w:p>
      <w:pPr>
        <w:spacing w:after="0" w:line="175" w:lineRule="exact"/>
        <w:rPr>
          <w:sz w:val="20"/>
          <w:szCs w:val="20"/>
          <w:color w:val="auto"/>
        </w:rPr>
      </w:pPr>
    </w:p>
    <w:p>
      <w:pPr>
        <w:ind w:right="3219" w:firstLine="1056"/>
        <w:spacing w:after="0"/>
        <w:tabs>
          <w:tab w:leader="none" w:pos="14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covenants and agrees to give written notice of any registration request under this Section 9.3 by any Holder or Holders representing a Majority of the Warrants and/or Warrant Shares to all other registered Holders of the Warrants and the Warrant Shares within ten (10) days from the date of the receipt of any such registration request.</w:t>
      </w:r>
    </w:p>
    <w:p>
      <w:pPr>
        <w:spacing w:after="0" w:line="174" w:lineRule="exact"/>
        <w:rPr>
          <w:rFonts w:ascii="Courier New" w:cs="Courier New" w:eastAsia="Courier New" w:hAnsi="Courier New"/>
          <w:sz w:val="15"/>
          <w:szCs w:val="15"/>
          <w:color w:val="auto"/>
        </w:rPr>
      </w:pPr>
    </w:p>
    <w:p>
      <w:pPr>
        <w:ind w:right="3039" w:firstLine="1056"/>
        <w:spacing w:after="0" w:line="259" w:lineRule="auto"/>
        <w:tabs>
          <w:tab w:leader="none" w:pos="14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registration rights under Section 9.2 and subsection (a) of this Section 9.3, at any time commencing February 26, 2000 and expiring on the Expiration Date, the Holders of Warrants and/or Warrant Shares shall have the right on one occasion, exercisable by written request to the Company, to have the Company prepare and file with the Commission a registration statement so as to permit a public offering and sale by such Holders of their respective Warrant Shares from time to time until the first to occur of the following: (i) the expiration of this Agreement, or (ii) all of the Warrant Shares requested to be registered by such Holders have been sold; provided, however, that the provisions of Section 9.4(b) hereof shall not apply to any such registration request and registration and all costs incident thereto shall be at the expense of the Holder or Holders making such request.</w:t>
      </w:r>
    </w:p>
    <w:p>
      <w:pPr>
        <w:spacing w:after="0" w:line="165" w:lineRule="exact"/>
        <w:rPr>
          <w:sz w:val="20"/>
          <w:szCs w:val="20"/>
          <w:color w:val="auto"/>
        </w:rPr>
      </w:pPr>
    </w:p>
    <w:p>
      <w:pPr>
        <w:ind w:right="3319" w:firstLine="799"/>
        <w:spacing w:after="0" w:line="239" w:lineRule="auto"/>
        <w:rPr>
          <w:sz w:val="20"/>
          <w:szCs w:val="20"/>
          <w:color w:val="auto"/>
        </w:rPr>
      </w:pPr>
      <w:r>
        <w:rPr>
          <w:rFonts w:ascii="Courier New" w:cs="Courier New" w:eastAsia="Courier New" w:hAnsi="Courier New"/>
          <w:sz w:val="15"/>
          <w:szCs w:val="15"/>
          <w:color w:val="auto"/>
        </w:rPr>
        <w:t>9.4 Covenants of the Company With Respect to Registration. In connection with any registration under Section 9.2 or 9.3 hereof, the Company covenants and agrees as follows: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631" w:right="1440" w:bottom="1440" w:gutter="0" w:footer="0" w:header="0"/>
        </w:sectPr>
      </w:pPr>
    </w:p>
    <w:bookmarkStart w:id="82" w:name="page83"/>
    <w:bookmarkEnd w:id="82"/>
    <w:p>
      <w:pPr>
        <w:ind w:left="-1056" w:right="3039" w:firstLine="1056"/>
        <w:spacing w:after="0"/>
        <w:tabs>
          <w:tab w:leader="none" w:pos="36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use its best efforts to file a registration statement within ninety (90) days of receipt of any demand therefore, and to have any registration statements declared effective at the earliest possible time, and shall furnish each Holder desiring to sell Warrant Shares such number of prospectuses as shall reasonably be requested. The Company shall also file such applications and other documents as may be necessary to permit the sale of the Warrant Shares to the public during the Registration Period in those states to which the Company and the holders of the Warrants and/or Warrant Shares shall mutually agree.</w:t>
      </w:r>
    </w:p>
    <w:p>
      <w:pPr>
        <w:spacing w:after="0" w:line="177" w:lineRule="exact"/>
        <w:rPr>
          <w:rFonts w:ascii="Courier New" w:cs="Courier New" w:eastAsia="Courier New" w:hAnsi="Courier New"/>
          <w:sz w:val="15"/>
          <w:szCs w:val="15"/>
          <w:color w:val="auto"/>
        </w:rPr>
      </w:pPr>
    </w:p>
    <w:p>
      <w:pPr>
        <w:ind w:left="-1056" w:right="3139" w:firstLine="1056"/>
        <w:spacing w:after="0"/>
        <w:tabs>
          <w:tab w:leader="none" w:pos="36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all costs (excluding fees and expenses of Holder(s)' counsel and any underwriting or selling commissions), fees and expenses in connection with all registration statements filed pursuant to Sections 9.2 and 9.3(a) hereof including, without limitation, the Company's legal and accounting fees, printing expenses, blue sky fees and expenses. The Holder(s) will pay all costs, fees and expenses in connection with the registration statement filed pursuant to Section 9.3(c).</w:t>
      </w:r>
    </w:p>
    <w:p>
      <w:pPr>
        <w:spacing w:after="0" w:line="176" w:lineRule="exact"/>
        <w:rPr>
          <w:rFonts w:ascii="Courier New" w:cs="Courier New" w:eastAsia="Courier New" w:hAnsi="Courier New"/>
          <w:sz w:val="15"/>
          <w:szCs w:val="15"/>
          <w:color w:val="auto"/>
        </w:rPr>
      </w:pPr>
    </w:p>
    <w:p>
      <w:pPr>
        <w:ind w:left="-1056" w:right="3039" w:firstLine="1056"/>
        <w:spacing w:after="0"/>
        <w:tabs>
          <w:tab w:leader="none" w:pos="36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take all necessary action which may be required in qualifying or registering the Warrant Shares included in a registration statement for offering and sale under the securities or blue sky laws of such states as reasonably are requested by the Holder(s), provided that the Company shall not be obligated to execute or file any general consent to service of process or to qualify as a foreign corporation to do business under the laws of any such jurisdiction.</w:t>
      </w:r>
    </w:p>
    <w:p>
      <w:pPr>
        <w:spacing w:after="0" w:line="176" w:lineRule="exact"/>
        <w:rPr>
          <w:rFonts w:ascii="Courier New" w:cs="Courier New" w:eastAsia="Courier New" w:hAnsi="Courier New"/>
          <w:sz w:val="15"/>
          <w:szCs w:val="15"/>
          <w:color w:val="auto"/>
        </w:rPr>
      </w:pPr>
    </w:p>
    <w:p>
      <w:pPr>
        <w:ind w:left="-1056" w:right="3139" w:firstLine="1056"/>
        <w:spacing w:after="0" w:line="264" w:lineRule="auto"/>
        <w:tabs>
          <w:tab w:leader="none" w:pos="364"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indemnify the Holder(s) of the Warrant Shares to be sold pursuant to any registration statement and each person, if any, who controls such Holder(s) within the meaning of Section 15 of the Act or Section</w:t>
      </w:r>
    </w:p>
    <w:p>
      <w:pPr>
        <w:spacing w:after="0" w:line="157" w:lineRule="exact"/>
        <w:rPr>
          <w:sz w:val="20"/>
          <w:szCs w:val="20"/>
          <w:color w:val="auto"/>
        </w:rPr>
      </w:pPr>
    </w:p>
    <w:p>
      <w:pPr>
        <w:ind w:left="2404"/>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83"/>
          </w:cols>
          <w:pgMar w:left="1376" w:top="631" w:right="1440" w:bottom="1440" w:gutter="0" w:footer="0" w:header="0"/>
        </w:sectPr>
      </w:pPr>
    </w:p>
    <w:bookmarkStart w:id="83" w:name="page84"/>
    <w:bookmarkEnd w:id="83"/>
    <w:p>
      <w:pPr>
        <w:ind w:right="3139"/>
        <w:spacing w:after="0"/>
        <w:rPr>
          <w:sz w:val="20"/>
          <w:szCs w:val="20"/>
          <w:color w:val="auto"/>
        </w:rPr>
      </w:pPr>
      <w:r>
        <w:rPr>
          <w:rFonts w:ascii="Courier New" w:cs="Courier New" w:eastAsia="Courier New" w:hAnsi="Courier New"/>
          <w:sz w:val="15"/>
          <w:szCs w:val="15"/>
          <w:color w:val="auto"/>
        </w:rPr>
        <w:t>20(a) of the Securities Exchange Act of 1934, as amended ("Exchange Act"), against all loss, claim, damage, expense or liability (including all expenses reasonably incurred in investigating, preparing or defending against any claim whatsoever) to which any of them may become subject under the Act, the Exchange Act or otherwise, arising from such registration statement.</w:t>
      </w:r>
    </w:p>
    <w:p>
      <w:pPr>
        <w:spacing w:after="0" w:line="175" w:lineRule="exact"/>
        <w:rPr>
          <w:sz w:val="20"/>
          <w:szCs w:val="20"/>
          <w:color w:val="auto"/>
        </w:rPr>
      </w:pPr>
    </w:p>
    <w:p>
      <w:pPr>
        <w:ind w:right="3039" w:firstLine="1056"/>
        <w:spacing w:after="0" w:line="258" w:lineRule="auto"/>
        <w:tabs>
          <w:tab w:leader="none" w:pos="14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provide for just and equitable contribution under the Act in any case in which (i) any Holder of the Warrant Shares or controlling person thereof makes a claim for indemnification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the express provisions of Section 9.4(d) hereof provide for indemnification in such case or (ii) contribution under the Act may be required on the part of any Holder of the Warrant Shares, or controlling person thereof, then the Company, any such Holder of the Warrant Shares, or controlling person thereof shall contribute to the aggregate losses, claims, damages or liabilities to which they may be subject (which shall, for all purposes of this Agreement, include, but not be limited to, all costs of defense and investigation and all attorneys fees), in either such case (after contribution from others) on the basis of relative fault as well as any other relevant equitable considerations. The relative fault shall be determined by reference to, among other things, whether the untrue or alleged untrue statement of a material fact or the omission or alleged omission to state a material fact relates to information supplied by the Company on the one hand or a Holder of Warrant Shares, or controlling person thereof on the other and the parties' relative intent, knowledge, access to information and opportunity to correct or prevent such statement or omission. The Company and such Holders of such securities and such controlling persons agree that it would not be just and equitable if contribution pursuant to this Section 9.4(e) were determined by pro rata</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631" w:right="1440" w:bottom="1440" w:gutter="0" w:footer="0" w:header="0"/>
        </w:sectPr>
      </w:pPr>
    </w:p>
    <w:bookmarkStart w:id="84" w:name="page85"/>
    <w:bookmarkEnd w:id="84"/>
    <w:p>
      <w:pPr>
        <w:ind w:right="3039"/>
        <w:spacing w:after="0" w:line="259" w:lineRule="auto"/>
        <w:rPr>
          <w:sz w:val="20"/>
          <w:szCs w:val="20"/>
          <w:color w:val="auto"/>
        </w:rPr>
      </w:pPr>
      <w:r>
        <w:rPr>
          <w:rFonts w:ascii="Courier New" w:cs="Courier New" w:eastAsia="Courier New" w:hAnsi="Courier New"/>
          <w:sz w:val="14"/>
          <w:szCs w:val="14"/>
          <w:color w:val="auto"/>
        </w:rPr>
        <w:t>allocation or by any other method which does not take account of the equitable considerations referred to in this Section 9.4(e). The amount paid or payable by an indemnified party as a result of the losses, claims, damages or liabilities (or actions in respect thereof) referred to above in this Section 9.4(e) shall be deemed to include any legal or other expenses reasonably incurred by such indemnified party in connection with investigating or defending any such action or claim. No person guilty of fraudulent misrepresentation (within the meaning of Section 11(f) of the Act) shall be entitled to contribution from any person who was not guilty of such fraudulent misrepresentation.</w:t>
      </w:r>
    </w:p>
    <w:p>
      <w:pPr>
        <w:spacing w:after="0" w:line="167" w:lineRule="exact"/>
        <w:rPr>
          <w:sz w:val="20"/>
          <w:szCs w:val="20"/>
          <w:color w:val="auto"/>
        </w:rPr>
      </w:pPr>
    </w:p>
    <w:p>
      <w:pPr>
        <w:ind w:right="3039" w:firstLine="1056"/>
        <w:spacing w:after="0" w:line="259" w:lineRule="auto"/>
        <w:tabs>
          <w:tab w:leader="none" w:pos="14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the Warrant Shares to be sold pursuant to a registration statement, and their successors and assigns, shall severally, and not jointly, indemnify the Company, its officers and directors and each person, if any, who controls the Company within the meaning of Section 15 of the Act or Section 20(a) of the Exchange Act, against any loss, claim, damage or expense or liability (including all expenses reasonably incurred in investigating, preparing or defending against any claim whatsoever) to which they may become subject under the Act, the Exchange Act or otherwise, arising from information furnished in writing, by or on behalf of such Holders, or their successors or assigns, for specific inclusion in such registration statement.</w:t>
      </w:r>
    </w:p>
    <w:p>
      <w:pPr>
        <w:spacing w:after="0" w:line="166" w:lineRule="exact"/>
        <w:rPr>
          <w:rFonts w:ascii="Courier New" w:cs="Courier New" w:eastAsia="Courier New" w:hAnsi="Courier New"/>
          <w:sz w:val="14"/>
          <w:szCs w:val="14"/>
          <w:color w:val="auto"/>
        </w:rPr>
      </w:pPr>
    </w:p>
    <w:p>
      <w:pPr>
        <w:ind w:right="3219" w:firstLine="1056"/>
        <w:spacing w:after="0" w:line="239" w:lineRule="auto"/>
        <w:tabs>
          <w:tab w:leader="none" w:pos="14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Agreement shall be construed as requiring the Holder(s) to exercise their Warrants prior to the initial filing of any registration statement or the effectiveness thereof.</w:t>
      </w:r>
    </w:p>
    <w:p>
      <w:pPr>
        <w:spacing w:after="0" w:line="175" w:lineRule="exact"/>
        <w:rPr>
          <w:rFonts w:ascii="Courier New" w:cs="Courier New" w:eastAsia="Courier New" w:hAnsi="Courier New"/>
          <w:sz w:val="15"/>
          <w:szCs w:val="15"/>
          <w:color w:val="auto"/>
        </w:rPr>
      </w:pPr>
    </w:p>
    <w:p>
      <w:pPr>
        <w:ind w:right="3039" w:firstLine="1056"/>
        <w:spacing w:after="0" w:line="271" w:lineRule="auto"/>
        <w:tabs>
          <w:tab w:leader="none" w:pos="14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permit the inclusion of any securities other than the Warrant Shares to be included in any registration statement filed</w:t>
      </w:r>
    </w:p>
    <w:p>
      <w:pPr>
        <w:spacing w:after="0" w:line="1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631" w:right="1440" w:bottom="1440" w:gutter="0" w:footer="0" w:header="0"/>
        </w:sectPr>
      </w:pPr>
    </w:p>
    <w:bookmarkStart w:id="85" w:name="page86"/>
    <w:bookmarkEnd w:id="85"/>
    <w:p>
      <w:pPr>
        <w:ind w:right="3039"/>
        <w:spacing w:after="0" w:line="260" w:lineRule="auto"/>
        <w:rPr>
          <w:sz w:val="20"/>
          <w:szCs w:val="20"/>
          <w:color w:val="auto"/>
        </w:rPr>
      </w:pPr>
      <w:r>
        <w:rPr>
          <w:rFonts w:ascii="Courier New" w:cs="Courier New" w:eastAsia="Courier New" w:hAnsi="Courier New"/>
          <w:sz w:val="14"/>
          <w:szCs w:val="14"/>
          <w:color w:val="auto"/>
        </w:rPr>
        <w:t>pursuant to Section 9.3 hereof, or permit any other registration statement (other than a registration statement on Form S-4 or S-8) to be or remain effective during a one hundred and eighty (180) day period following the effective date of a registration statement filed pursuant to Section 9.3 hereof, without the prior written consent of the Holder(s) of the Warrants and Warrant Shares representing a Majority of such securities or as otherwise required by the terms of any existing registration rights granted prior to the date of this Agreement by the Company to the holders of any of the Company's securities.</w:t>
      </w:r>
    </w:p>
    <w:p>
      <w:pPr>
        <w:spacing w:after="0" w:line="162" w:lineRule="exact"/>
        <w:rPr>
          <w:sz w:val="20"/>
          <w:szCs w:val="20"/>
          <w:color w:val="auto"/>
        </w:rPr>
      </w:pPr>
    </w:p>
    <w:p>
      <w:pPr>
        <w:ind w:right="3039" w:firstLine="1056"/>
        <w:spacing w:after="0"/>
        <w:tabs>
          <w:tab w:leader="none" w:pos="14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furnish to each Holder participating in the offering and to each underwriter, if any, a signed counterpart, addressed to such Holder or underwriter, of (i) an opinion of counsel to the Company, dated the effective date of such registration statement (and, if such registration includes an underwritten public offering, an opinion dated the date of the closing under the underwriting agreement), and (ii) a "cold comfort" letter dated the effective date of such registration statement (and, if such registration includes an underwritten public offering, a "cold comfort" letter dated the date of the closing under the underwriting agreement) signed by the independent public accountants who have issued a report on the Company's financial statements included in such registration statement, in each case covering substantially the same matters with respect to such registration statement (and the prospectus included therein) and, in the case of such accountants' letter, with respect to events subsequent to the date of such financial statements, as are customarily covered in opinions of issuer's counsel and in accountants' letters delivered to underwriters in underwritten public offerings of securities.</w:t>
      </w:r>
    </w:p>
    <w:p>
      <w:pPr>
        <w:spacing w:after="0" w:line="183" w:lineRule="exact"/>
        <w:rPr>
          <w:rFonts w:ascii="Courier New" w:cs="Courier New" w:eastAsia="Courier New" w:hAnsi="Courier New"/>
          <w:sz w:val="15"/>
          <w:szCs w:val="15"/>
          <w:color w:val="auto"/>
        </w:rPr>
      </w:pPr>
    </w:p>
    <w:p>
      <w:pPr>
        <w:ind w:right="3399" w:firstLine="1056"/>
        <w:spacing w:after="0" w:line="262" w:lineRule="auto"/>
        <w:tabs>
          <w:tab w:leader="none" w:pos="14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as soon as practicable after the effective date of the registration statement, and in any event within 15 months thereafter, make "generally available to its security holders" (within the meaning of Rule 158 under the Act) an earnings statement (which need not be</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631" w:right="1440" w:bottom="1440" w:gutter="0" w:footer="0" w:header="0"/>
        </w:sectPr>
      </w:pPr>
    </w:p>
    <w:bookmarkStart w:id="86" w:name="page87"/>
    <w:bookmarkEnd w:id="86"/>
    <w:p>
      <w:pPr>
        <w:ind w:right="3399"/>
        <w:spacing w:after="0" w:line="239" w:lineRule="auto"/>
        <w:rPr>
          <w:sz w:val="20"/>
          <w:szCs w:val="20"/>
          <w:color w:val="auto"/>
        </w:rPr>
      </w:pPr>
      <w:r>
        <w:rPr>
          <w:rFonts w:ascii="Courier New" w:cs="Courier New" w:eastAsia="Courier New" w:hAnsi="Courier New"/>
          <w:sz w:val="15"/>
          <w:szCs w:val="15"/>
          <w:color w:val="auto"/>
        </w:rPr>
        <w:t>audited) complying with Section 11(a) of the Act and covering a period of at least 12 consecutive months beginning after the effective date of the registration statement.</w:t>
      </w:r>
    </w:p>
    <w:p>
      <w:pPr>
        <w:spacing w:after="0" w:line="175" w:lineRule="exact"/>
        <w:rPr>
          <w:sz w:val="20"/>
          <w:szCs w:val="20"/>
          <w:color w:val="auto"/>
        </w:rPr>
      </w:pPr>
    </w:p>
    <w:p>
      <w:pPr>
        <w:ind w:right="3039" w:firstLine="1056"/>
        <w:spacing w:after="0"/>
        <w:tabs>
          <w:tab w:leader="none" w:pos="142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enter into an underwriting agreement with the managing underwriters selected for such underwriting by Holders holding a Majority of the Warrant Shares requested to be included in such underwriting. Such agreement shall be satisfactory in form and substance to the Company, each Holder and such managing underwriters, and shall contain such representations, warranties and covenants by the Company and such other terms as are customarily contained in agreements of that type used by the managing underwriter. The Holder(s) shall be parties to any underwriting agreement relating to an underwritten sale of their Warrant Shares and may, at their option, require that any or all of the representations, warranties and covenants of the Company to or for the benefit of such underwriters shall also be made to and for the benefit of such Holder(s). Such Holder(s) shall not be required to make any representations or warranties to or agreements with the Company or the underwriters except as they may relate to such Holder(s) and their intended methods of distribution.</w:t>
      </w:r>
    </w:p>
    <w:p>
      <w:pPr>
        <w:spacing w:after="0" w:line="182" w:lineRule="exact"/>
        <w:rPr>
          <w:rFonts w:ascii="Courier New" w:cs="Courier New" w:eastAsia="Courier New" w:hAnsi="Courier New"/>
          <w:sz w:val="15"/>
          <w:szCs w:val="15"/>
          <w:color w:val="auto"/>
        </w:rPr>
      </w:pPr>
    </w:p>
    <w:p>
      <w:pPr>
        <w:ind w:right="3039" w:firstLine="1056"/>
        <w:spacing w:after="0"/>
        <w:tabs>
          <w:tab w:leader="none" w:pos="142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"Majority" in reference to the Warrants or Warrant Shares, shall mean in excess of fifty percent (50%) of the then outstanding Warrants or Warrant Shares that (i) are not held by the Company, or (ii) have not been resold to the public pursuant to a registration statement filed with the Commission under the Act or Rule 144 promulgated under the Act.</w:t>
      </w:r>
    </w:p>
    <w:p>
      <w:pPr>
        <w:spacing w:after="0" w:line="175" w:lineRule="exact"/>
        <w:rPr>
          <w:rFonts w:ascii="Courier New" w:cs="Courier New" w:eastAsia="Courier New" w:hAnsi="Courier New"/>
          <w:sz w:val="15"/>
          <w:szCs w:val="15"/>
          <w:color w:val="auto"/>
        </w:rPr>
      </w:pPr>
    </w:p>
    <w:p>
      <w:pPr>
        <w:ind w:right="3139" w:firstLine="790"/>
        <w:spacing w:after="0" w:line="239" w:lineRule="auto"/>
        <w:tabs>
          <w:tab w:leader="none" w:pos="115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of Holders. It shall be a condition precedent to the obligations of the Company to take any action pursuant to Section 9 hereof that each of the selling Holders shall:</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631" w:right="1440" w:bottom="1440" w:gutter="0" w:footer="0" w:header="0"/>
        </w:sectPr>
      </w:pPr>
    </w:p>
    <w:bookmarkStart w:id="87" w:name="page88"/>
    <w:bookmarkEnd w:id="87"/>
    <w:p>
      <w:pPr>
        <w:ind w:right="3139" w:firstLine="1145"/>
        <w:spacing w:after="0"/>
        <w:tabs>
          <w:tab w:leader="none" w:pos="1509"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the Company such information regarding themselves, the Warrant Shares held by them, the intended method of sale or other disposition of such securities, the identity of and compensation to be paid to any underwriters proposed to be employed in connection with such sale or other disposition, and such other information as may reasonably be required to effect the registration of their Warrant Shares.</w:t>
      </w:r>
    </w:p>
    <w:p>
      <w:pPr>
        <w:spacing w:after="0" w:line="175" w:lineRule="exact"/>
        <w:rPr>
          <w:rFonts w:ascii="Courier New" w:cs="Courier New" w:eastAsia="Courier New" w:hAnsi="Courier New"/>
          <w:sz w:val="15"/>
          <w:szCs w:val="15"/>
          <w:color w:val="auto"/>
        </w:rPr>
      </w:pPr>
    </w:p>
    <w:p>
      <w:pPr>
        <w:ind w:right="3039" w:firstLine="1145"/>
        <w:spacing w:after="0"/>
        <w:tabs>
          <w:tab w:leader="none" w:pos="1509"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the Company, at any time when a prospectus relating to the Warrant Shares covered by a registration statement is required to be delivered under the Act, of the happening of any event with respect to such selling Holder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76" w:lineRule="exact"/>
        <w:rPr>
          <w:rFonts w:ascii="Courier New" w:cs="Courier New" w:eastAsia="Courier New" w:hAnsi="Courier New"/>
          <w:sz w:val="15"/>
          <w:szCs w:val="15"/>
          <w:color w:val="auto"/>
        </w:rPr>
      </w:pPr>
    </w:p>
    <w:p>
      <w:pPr>
        <w:ind w:right="3139" w:firstLine="790"/>
        <w:spacing w:after="0"/>
        <w:tabs>
          <w:tab w:leader="none" w:pos="1154"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to Exercise Price and Number of Securities. The Exercise Price in effect at any time and the number and kind of securities purchasable upon the exercise of the Warrants or the securities underlying the Warrants shall be subject to adjustment from time to time upon the happening of certain events as follows:</w:t>
      </w:r>
    </w:p>
    <w:p>
      <w:pPr>
        <w:spacing w:after="0" w:line="175" w:lineRule="exact"/>
        <w:rPr>
          <w:sz w:val="20"/>
          <w:szCs w:val="20"/>
          <w:color w:val="auto"/>
        </w:rPr>
      </w:pPr>
    </w:p>
    <w:p>
      <w:pPr>
        <w:ind w:right="3039" w:firstLine="1154"/>
        <w:spacing w:after="0" w:line="259" w:lineRule="auto"/>
        <w:rPr>
          <w:sz w:val="20"/>
          <w:szCs w:val="20"/>
          <w:color w:val="auto"/>
        </w:rPr>
      </w:pPr>
      <w:r>
        <w:rPr>
          <w:rFonts w:ascii="Courier New" w:cs="Courier New" w:eastAsia="Courier New" w:hAnsi="Courier New"/>
          <w:sz w:val="14"/>
          <w:szCs w:val="14"/>
          <w:color w:val="auto"/>
        </w:rPr>
        <w:t>11.1 Dividend, Subdivision and Combination. In case the Company shall (i) declare a dividend or make a distribution on its outstanding shares of Common Stock in shares of Common Stock, (ii) subdivide or reclassify its outstanding shares of Common Stock into a greater number of shares, or (iii) combine or reclassify its outstanding shares of Common Stock into a smaller number of shares, the Exercise Price in effect at the time of the record date for such dividend or distribution or of the effective date of such subdivision, combination or reclassification shall be adjusted so that it shall equal the price determined by multiplying the Exercise Price by a fraction, the denominator of which shall be the number of shares of Common Stock outstanding</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631" w:right="1440" w:bottom="1440" w:gutter="0" w:footer="0" w:header="0"/>
        </w:sectPr>
      </w:pPr>
    </w:p>
    <w:bookmarkStart w:id="88" w:name="page89"/>
    <w:bookmarkEnd w:id="88"/>
    <w:p>
      <w:pPr>
        <w:ind w:left="9" w:right="3039"/>
        <w:spacing w:after="0" w:line="239" w:lineRule="auto"/>
        <w:rPr>
          <w:sz w:val="20"/>
          <w:szCs w:val="20"/>
          <w:color w:val="auto"/>
        </w:rPr>
      </w:pPr>
      <w:r>
        <w:rPr>
          <w:rFonts w:ascii="Courier New" w:cs="Courier New" w:eastAsia="Courier New" w:hAnsi="Courier New"/>
          <w:sz w:val="15"/>
          <w:szCs w:val="15"/>
          <w:color w:val="auto"/>
        </w:rPr>
        <w:t>after giving effect to such action, and the numerator of which shall be the number of shares of Common Stock outstanding immediately prior to such action. Such adjustment shall be made successively whenever any event listed above shall occur.</w:t>
      </w:r>
    </w:p>
    <w:p>
      <w:pPr>
        <w:spacing w:after="0" w:line="177" w:lineRule="exact"/>
        <w:rPr>
          <w:sz w:val="20"/>
          <w:szCs w:val="20"/>
          <w:color w:val="auto"/>
        </w:rPr>
      </w:pPr>
    </w:p>
    <w:p>
      <w:pPr>
        <w:ind w:left="9" w:right="3039" w:firstLine="1154"/>
        <w:spacing w:after="0" w:line="260" w:lineRule="auto"/>
        <w:rPr>
          <w:sz w:val="20"/>
          <w:szCs w:val="20"/>
          <w:color w:val="auto"/>
        </w:rPr>
      </w:pPr>
      <w:r>
        <w:rPr>
          <w:rFonts w:ascii="Courier New" w:cs="Courier New" w:eastAsia="Courier New" w:hAnsi="Courier New"/>
          <w:sz w:val="14"/>
          <w:szCs w:val="14"/>
          <w:color w:val="auto"/>
        </w:rPr>
        <w:t>11.2 Adjustment in Number of Securities. Upon each adjustment of the Exercise Price pursuant to the provisions of this Section 11, the number of Warrant Shares issuable upon the exercise at the adjusted Exercise Price of each Warrant shall be adjusted to the nearest number of whole shares of Common Stock determined by multiplying a number equal to the Exercise Price in effect immediately prior to such adjustment by the number of the applicable Warrant Shares issuable upon exercise of the Warrants immediately prior to such adjustment and dividing the product so obtained by the adjusted Exercise Price.</w:t>
      </w:r>
    </w:p>
    <w:p>
      <w:pPr>
        <w:spacing w:after="0" w:line="162" w:lineRule="exact"/>
        <w:rPr>
          <w:sz w:val="20"/>
          <w:szCs w:val="20"/>
          <w:color w:val="auto"/>
        </w:rPr>
      </w:pPr>
    </w:p>
    <w:p>
      <w:pPr>
        <w:ind w:left="9" w:right="3039" w:firstLine="1154"/>
        <w:spacing w:after="0" w:line="258" w:lineRule="auto"/>
        <w:rPr>
          <w:sz w:val="20"/>
          <w:szCs w:val="20"/>
          <w:color w:val="auto"/>
        </w:rPr>
      </w:pPr>
      <w:r>
        <w:rPr>
          <w:rFonts w:ascii="Courier New" w:cs="Courier New" w:eastAsia="Courier New" w:hAnsi="Courier New"/>
          <w:sz w:val="14"/>
          <w:szCs w:val="14"/>
          <w:color w:val="auto"/>
        </w:rPr>
        <w:t>11.3 Definition of Common Stock. For the purpose of this Agreement, the term "Common Stock" shall mean (i) the class of stock designated as Common Stock in the Articles of Incorporation of the Company as of the date hereof, or</w:t>
      </w:r>
    </w:p>
    <w:p>
      <w:pPr>
        <w:spacing w:after="0" w:line="1" w:lineRule="exact"/>
        <w:rPr>
          <w:sz w:val="20"/>
          <w:szCs w:val="20"/>
          <w:color w:val="auto"/>
        </w:rPr>
      </w:pPr>
    </w:p>
    <w:p>
      <w:pPr>
        <w:ind w:left="9" w:right="3399" w:hanging="9"/>
        <w:spacing w:after="0" w:line="264" w:lineRule="auto"/>
        <w:tabs>
          <w:tab w:leader="none" w:pos="453"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class of stock resulting from successive changes or reclassifications of such Common Stock consisting solely of changes in par value, or from par value to no par value, or from no par value to par value.</w:t>
      </w:r>
    </w:p>
    <w:p>
      <w:pPr>
        <w:spacing w:after="0" w:line="159" w:lineRule="exact"/>
        <w:rPr>
          <w:sz w:val="20"/>
          <w:szCs w:val="20"/>
          <w:color w:val="auto"/>
        </w:rPr>
      </w:pPr>
    </w:p>
    <w:p>
      <w:pPr>
        <w:ind w:left="9" w:right="3139" w:firstLine="1154"/>
        <w:spacing w:after="0" w:line="260" w:lineRule="auto"/>
        <w:rPr>
          <w:sz w:val="20"/>
          <w:szCs w:val="20"/>
          <w:color w:val="auto"/>
        </w:rPr>
      </w:pPr>
      <w:r>
        <w:rPr>
          <w:rFonts w:ascii="Courier New" w:cs="Courier New" w:eastAsia="Courier New" w:hAnsi="Courier New"/>
          <w:sz w:val="14"/>
          <w:szCs w:val="14"/>
          <w:color w:val="auto"/>
        </w:rPr>
        <w:t>11.4 Merger or Consolidation. In case of any consolidation of the Company with, or merger of the Company into, another corporation (other than a consolidation or merger which does not result in any reclassification or change of the outstanding Common Stock), the corporation formed by such consolidation or merger shall execute and deliver to each Holder a supplemental warrant agreement providing that the Holder of each Warrant then outstanding shall have the right thereafter (until the Expiration Date) to receive, upon exercise of such Warrant, the kind and amount of shares of stock and other securities and</w:t>
      </w:r>
    </w:p>
    <w:p>
      <w:pPr>
        <w:spacing w:after="0" w:line="15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48"/>
          </w:cols>
          <w:pgMar w:left="311" w:top="631" w:right="1440" w:bottom="1440" w:gutter="0" w:footer="0" w:header="0"/>
        </w:sectPr>
      </w:pPr>
    </w:p>
    <w:bookmarkStart w:id="89" w:name="page90"/>
    <w:bookmarkEnd w:id="89"/>
    <w:p>
      <w:pPr>
        <w:ind w:right="3039"/>
        <w:spacing w:after="0"/>
        <w:rPr>
          <w:sz w:val="20"/>
          <w:szCs w:val="20"/>
          <w:color w:val="auto"/>
        </w:rPr>
      </w:pPr>
      <w:r>
        <w:rPr>
          <w:rFonts w:ascii="Courier New" w:cs="Courier New" w:eastAsia="Courier New" w:hAnsi="Courier New"/>
          <w:sz w:val="15"/>
          <w:szCs w:val="15"/>
          <w:color w:val="auto"/>
        </w:rPr>
        <w:t>property receivable upon such consolidation or merger to which the Holder would have been entitled if the Holder had exercised such Warrant immediately prior to such consolidation, merger, sale or transfer. Such supplemental warrant agreement shall provide for adjustments which shall be identical to the adjustments provided in this Section 11. The above provision of this subsection shall similarly apply to successive consolidations or mergers.</w:t>
      </w:r>
    </w:p>
    <w:p>
      <w:pPr>
        <w:spacing w:after="0" w:line="175" w:lineRule="exact"/>
        <w:rPr>
          <w:sz w:val="20"/>
          <w:szCs w:val="20"/>
          <w:color w:val="auto"/>
        </w:rPr>
      </w:pPr>
    </w:p>
    <w:p>
      <w:pPr>
        <w:ind w:right="3939" w:firstLine="799"/>
        <w:spacing w:after="0" w:line="238" w:lineRule="auto"/>
        <w:rPr>
          <w:sz w:val="20"/>
          <w:szCs w:val="20"/>
          <w:color w:val="auto"/>
        </w:rPr>
      </w:pPr>
      <w:r>
        <w:rPr>
          <w:rFonts w:ascii="Courier New" w:cs="Courier New" w:eastAsia="Courier New" w:hAnsi="Courier New"/>
          <w:sz w:val="15"/>
          <w:szCs w:val="15"/>
          <w:color w:val="auto"/>
        </w:rPr>
        <w:t>11.5 No Adjustment of the Exercise Price in Certain Cases. No adjustment of the Exercise Price shall be made:</w:t>
      </w:r>
    </w:p>
    <w:p>
      <w:pPr>
        <w:spacing w:after="0" w:line="17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 Upon the issuance or sale of the Warrants or the Warrant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w:t>
      </w:r>
    </w:p>
    <w:p>
      <w:pPr>
        <w:spacing w:after="0" w:line="174" w:lineRule="exact"/>
        <w:rPr>
          <w:sz w:val="20"/>
          <w:szCs w:val="20"/>
          <w:color w:val="auto"/>
        </w:rPr>
      </w:pPr>
    </w:p>
    <w:p>
      <w:pPr>
        <w:ind w:right="3039" w:firstLine="1145"/>
        <w:spacing w:after="0"/>
        <w:tabs>
          <w:tab w:leader="none" w:pos="150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issuance or sale of Common Stock (or any other security convertible, exercisable, or exchangeable into shares of Common Stock) upon the direct or indirect conversion, exercise, or exchange of any options, rights, warrants, or other securities or indebtedness of the Company outstanding as of the date of this Agreement or granted pursuant to any stock option plan of the Company in existence as of the date of this Agreement, pursuant to the terms thereof or issued pursuant to any stock purchase plan in existence as of the date of this Agreement, pursuant to the terms thereof; or</w:t>
      </w:r>
    </w:p>
    <w:p>
      <w:pPr>
        <w:spacing w:after="0" w:line="174" w:lineRule="exact"/>
        <w:rPr>
          <w:rFonts w:ascii="Courier New" w:cs="Courier New" w:eastAsia="Courier New" w:hAnsi="Courier New"/>
          <w:sz w:val="15"/>
          <w:szCs w:val="15"/>
          <w:color w:val="auto"/>
        </w:rPr>
      </w:pPr>
    </w:p>
    <w:p>
      <w:pPr>
        <w:ind w:left="1500" w:hanging="355"/>
        <w:spacing w:after="0"/>
        <w:tabs>
          <w:tab w:leader="none" w:pos="15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amount of said adjustment shall be less than ten cents</w:t>
      </w:r>
    </w:p>
    <w:p>
      <w:pPr>
        <w:spacing w:after="0" w:line="3" w:lineRule="exact"/>
        <w:rPr>
          <w:sz w:val="20"/>
          <w:szCs w:val="20"/>
          <w:color w:val="auto"/>
        </w:rPr>
      </w:pPr>
    </w:p>
    <w:p>
      <w:pPr>
        <w:ind w:right="3039"/>
        <w:spacing w:after="0"/>
        <w:rPr>
          <w:sz w:val="20"/>
          <w:szCs w:val="20"/>
          <w:color w:val="auto"/>
        </w:rPr>
      </w:pPr>
      <w:r>
        <w:rPr>
          <w:rFonts w:ascii="Courier New" w:cs="Courier New" w:eastAsia="Courier New" w:hAnsi="Courier New"/>
          <w:sz w:val="15"/>
          <w:szCs w:val="15"/>
          <w:color w:val="auto"/>
        </w:rPr>
        <w:t>($.10) per share, provided, however, that in such case any adjustment that would otherwise be required then to be made shall be carried forward and shall be made at the time of and together with the next subsequent adjustment which, together with any adjustment so carried forward, shall amount to at least ten cents ($.10) per share.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631" w:right="1440" w:bottom="1440" w:gutter="0" w:footer="0" w:header="0"/>
        </w:sectPr>
      </w:pPr>
    </w:p>
    <w:bookmarkStart w:id="90" w:name="page91"/>
    <w:bookmarkEnd w:id="90"/>
    <w:p>
      <w:pPr>
        <w:ind w:right="3139" w:firstLine="790"/>
        <w:spacing w:after="0"/>
        <w:tabs>
          <w:tab w:leader="none" w:pos="1154"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and Replacement of Warrant Certificates. Each Warrant Certificate is exchangeable, without expense, upon the surrender thereof by the registered Holder at the principal executive office of the Company for a new Warrant Certificate of like tenor and date representing in the aggregate the Holder's right to purchase the same number of Warrant Shares in such denominations as shall be designated in such Warrant Certificate at the time of such surrender.</w:t>
      </w:r>
    </w:p>
    <w:p>
      <w:pPr>
        <w:spacing w:after="0" w:line="17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Upon receipt by the Company of evidence reasonably satisfactory to it of the loss, theft, destruction or mutilation of any Warrant Certificate, and, in case of loss, theft or destruction, of indemnity or security reasonably satisfactory to it and reimbursement to the Company of all reasonable expenses incidental thereto, and upon surrender and cancellation of the Warrant Certificate, if mutilated, the Company will make and deliver a new Warrant Certificate of like tenor, in lieu thereof.</w:t>
      </w:r>
    </w:p>
    <w:p>
      <w:pPr>
        <w:spacing w:after="0" w:line="176" w:lineRule="exact"/>
        <w:rPr>
          <w:sz w:val="20"/>
          <w:szCs w:val="20"/>
          <w:color w:val="auto"/>
        </w:rPr>
      </w:pPr>
    </w:p>
    <w:p>
      <w:pPr>
        <w:ind w:right="3039" w:firstLine="790"/>
        <w:spacing w:after="0"/>
        <w:tabs>
          <w:tab w:leader="none" w:pos="1154"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Fractional Interests. The Company shall not be required to issue certificates representing fractions of shares of Common Stock or other securities upon the exercise of the Warrants, nor shall it be required to issue scrip or pay cash in lieu of fractional interests, it being the intent of the parties that all fractional interests shall be eliminated by rounding any fraction up to the nearest whole number of shares of Common Stock or other securities, properties or rights.</w:t>
      </w:r>
    </w:p>
    <w:p>
      <w:pPr>
        <w:spacing w:after="0" w:line="176" w:lineRule="exact"/>
        <w:rPr>
          <w:rFonts w:ascii="Courier New" w:cs="Courier New" w:eastAsia="Courier New" w:hAnsi="Courier New"/>
          <w:sz w:val="15"/>
          <w:szCs w:val="15"/>
          <w:color w:val="auto"/>
        </w:rPr>
      </w:pPr>
    </w:p>
    <w:p>
      <w:pPr>
        <w:ind w:right="3039" w:firstLine="790"/>
        <w:spacing w:after="0" w:line="261" w:lineRule="auto"/>
        <w:tabs>
          <w:tab w:leader="none" w:pos="1154"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Reservation and Listing of Securities. The Company shall at all times reserve and keep available out of its authorized shares of Common Stock, solely for the purpose of issuance upon the exercise of the Warrants, such number of shares of Common Stock or other securities, properties or rights as shall be issuable upon the exercise thereof or the exercise or conversion of any</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631" w:right="1440" w:bottom="1440" w:gutter="0" w:footer="0" w:header="0"/>
        </w:sectPr>
      </w:pPr>
    </w:p>
    <w:bookmarkStart w:id="91" w:name="page92"/>
    <w:bookmarkEnd w:id="91"/>
    <w:p>
      <w:pPr>
        <w:ind w:right="3039"/>
        <w:spacing w:after="0" w:line="259" w:lineRule="auto"/>
        <w:rPr>
          <w:sz w:val="20"/>
          <w:szCs w:val="20"/>
          <w:color w:val="auto"/>
        </w:rPr>
      </w:pPr>
      <w:r>
        <w:rPr>
          <w:rFonts w:ascii="Courier New" w:cs="Courier New" w:eastAsia="Courier New" w:hAnsi="Courier New"/>
          <w:sz w:val="14"/>
          <w:szCs w:val="14"/>
          <w:color w:val="auto"/>
        </w:rPr>
        <w:t>other exercisable or convertible securities underlying the Warrants. Every transfer agent and warrant agent (collectively "Transfer Agent") for the Common Stock and other securities of the Company issuable upon the exercise of the Warrants will be irrevocably authorized and directed at all times to reserve such number of authorized shares of Common Stock and other securities as shall be requisite for such purpose. The Company will keep a copy of this Agreement on file with every Transfer Agent for the Common Stock and other securities of the Company issuable upon the exercise of the Warrants. The Company will supply every such Transfer Agent with duly executed stock and other certificates, as appropriate, for such purpose. The Company covenants and agrees that, upon each exercise of the Warrants and payment of the Purchase Price, all shares of Common Stock and other securities issuable upon such exercise shall be duly and validly issued, fully paid, non-assessable and not subject to the preemptive rights of any stockholder. As long as the Warrants shall be outstanding, the Company shall use its best efforts to cause all shares of Common Stock and other securities issuable upon the exercise of the Warrants and the securities underlying the securities issuable upon exercise of the Warrants to be listed (subject to official notice of issuance) on all securities exchanges or securities associations on which the Common Stock issued to the public in connection herewith may then be listed and/or quoted.</w:t>
      </w:r>
    </w:p>
    <w:p>
      <w:pPr>
        <w:spacing w:after="0" w:line="333" w:lineRule="exact"/>
        <w:rPr>
          <w:sz w:val="20"/>
          <w:szCs w:val="20"/>
          <w:color w:val="auto"/>
        </w:rPr>
      </w:pPr>
    </w:p>
    <w:p>
      <w:pPr>
        <w:ind w:right="3039" w:firstLine="790"/>
        <w:spacing w:after="0"/>
        <w:tabs>
          <w:tab w:leader="none" w:pos="115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to Warrant Holders. Nothing contained in this Agreement shall be construed as conferring upon the Holder(s) of the Warrants the right to vote or to consent or to receive notice as a stockholder in respect of any meetings of stockholders for the election of directors or any other matter, or as having any rights whatsoever as a stockholder of the Company. If, however, at any time prior to the expiration of the Warrants and their exercise, any of the following events shall occur:</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631" w:right="1440" w:bottom="1440" w:gutter="0" w:footer="0" w:header="0"/>
        </w:sectPr>
      </w:pPr>
    </w:p>
    <w:bookmarkStart w:id="92" w:name="page93"/>
    <w:bookmarkEnd w:id="92"/>
    <w:p>
      <w:pPr>
        <w:ind w:left="9" w:right="3039" w:firstLine="1145"/>
        <w:spacing w:after="0"/>
        <w:tabs>
          <w:tab w:leader="none" w:pos="1518" w:val="left"/>
        </w:tabs>
        <w:numPr>
          <w:ilvl w:val="2"/>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take a record of the holders of its shares of Common Stock for the purpose of entitling them to receive a dividend or distribution payable otherwise than in cash, or a cash dividend or distribution payable otherwise than out of current or retained earnings, as indicated by the accounting treatment of such dividend or distribution on the books of the Company; or</w:t>
      </w:r>
    </w:p>
    <w:p>
      <w:pPr>
        <w:spacing w:after="0" w:line="175" w:lineRule="exact"/>
        <w:rPr>
          <w:rFonts w:ascii="Courier New" w:cs="Courier New" w:eastAsia="Courier New" w:hAnsi="Courier New"/>
          <w:sz w:val="15"/>
          <w:szCs w:val="15"/>
          <w:color w:val="auto"/>
        </w:rPr>
      </w:pPr>
    </w:p>
    <w:p>
      <w:pPr>
        <w:jc w:val="both"/>
        <w:ind w:left="9" w:right="3139" w:firstLine="1145"/>
        <w:spacing w:after="0" w:line="239" w:lineRule="auto"/>
        <w:tabs>
          <w:tab w:leader="none" w:pos="1518" w:val="left"/>
        </w:tabs>
        <w:numPr>
          <w:ilvl w:val="2"/>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offer to all the holders of its Common Stock any additional shares of capital stock of the Company or securities convertible into or exchangeable for shares of capital stock of the Company, or any option, right or warrant to subscribe therefore; or</w:t>
      </w:r>
    </w:p>
    <w:p>
      <w:pPr>
        <w:spacing w:after="0" w:line="176" w:lineRule="exact"/>
        <w:rPr>
          <w:rFonts w:ascii="Courier New" w:cs="Courier New" w:eastAsia="Courier New" w:hAnsi="Courier New"/>
          <w:sz w:val="15"/>
          <w:szCs w:val="15"/>
          <w:color w:val="auto"/>
        </w:rPr>
      </w:pPr>
    </w:p>
    <w:p>
      <w:pPr>
        <w:ind w:left="9" w:right="3039" w:firstLine="1145"/>
        <w:spacing w:after="0" w:line="258" w:lineRule="auto"/>
        <w:tabs>
          <w:tab w:leader="none" w:pos="1518" w:val="left"/>
        </w:tabs>
        <w:numPr>
          <w:ilvl w:val="2"/>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dissolution, liquidation or winding up of the Company (other than in connection with a consolidation or merger) or a sale of all or substantially all of its property, assets and business as an entirety shall be proposed; then in any one or more of said events, the Company shall give written notice to the registered holders of the Warrants of such event at least fifteen</w:t>
      </w:r>
    </w:p>
    <w:p>
      <w:pPr>
        <w:spacing w:after="0" w:line="1" w:lineRule="exact"/>
        <w:rPr>
          <w:rFonts w:ascii="Courier New" w:cs="Courier New" w:eastAsia="Courier New" w:hAnsi="Courier New"/>
          <w:sz w:val="14"/>
          <w:szCs w:val="14"/>
          <w:color w:val="auto"/>
        </w:rPr>
      </w:pPr>
    </w:p>
    <w:p>
      <w:pPr>
        <w:ind w:left="9" w:right="3219" w:hanging="9"/>
        <w:spacing w:after="0" w:line="259" w:lineRule="auto"/>
        <w:tabs>
          <w:tab w:leader="none" w:pos="453"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prior to the date fixed as a record date or the date of closing the transfer books for the determination of the stockholders entitled to such dividend, distribution, convertible or exchangeable securities or subscription rights, or entitled to vote on such proposed dissolution, liquidation, winding up or sale. Such notice shall specify such record date or the date of closing the transfer books, as the case may be. Failure to give such notice or any defect therein shall not affect the validity of any action taken in connection with the declaration or payment of any such dividend, or the issuance of any convertible or exchangeable securities, or subscription rights, options or warrants, or any proposed dissolution, liquidation, winding up or sale.</w:t>
      </w:r>
    </w:p>
    <w:p>
      <w:pPr>
        <w:spacing w:after="0" w:line="166" w:lineRule="exact"/>
        <w:rPr>
          <w:rFonts w:ascii="Courier New" w:cs="Courier New" w:eastAsia="Courier New" w:hAnsi="Courier New"/>
          <w:sz w:val="14"/>
          <w:szCs w:val="14"/>
          <w:color w:val="auto"/>
        </w:rPr>
      </w:pPr>
    </w:p>
    <w:p>
      <w:pPr>
        <w:ind w:left="9" w:right="3219" w:firstLine="790"/>
        <w:spacing w:after="0" w:line="239" w:lineRule="auto"/>
        <w:tabs>
          <w:tab w:leader="none" w:pos="1163"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consents and other communications hereunder shall be in writing and shall be deemed to have been duly made and sent when delivered, or mailed by registered or certified mail, return receipt requested:</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48"/>
          </w:cols>
          <w:pgMar w:left="311" w:top="631" w:right="1440" w:bottom="1440" w:gutter="0" w:footer="0" w:header="0"/>
        </w:sectPr>
      </w:pPr>
    </w:p>
    <w:bookmarkStart w:id="93" w:name="page94"/>
    <w:bookmarkEnd w:id="93"/>
    <w:p>
      <w:pPr>
        <w:ind w:left="-790" w:right="3139" w:firstLine="1145"/>
        <w:spacing w:after="0" w:line="238" w:lineRule="auto"/>
        <w:tabs>
          <w:tab w:leader="none" w:pos="719"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registered Holder of the Warrants, to the address of such Holder as shown on the books of the Company; or</w:t>
      </w:r>
    </w:p>
    <w:p>
      <w:pPr>
        <w:spacing w:after="0" w:line="175" w:lineRule="exact"/>
        <w:rPr>
          <w:rFonts w:ascii="Courier New" w:cs="Courier New" w:eastAsia="Courier New" w:hAnsi="Courier New"/>
          <w:sz w:val="15"/>
          <w:szCs w:val="15"/>
          <w:color w:val="auto"/>
        </w:rPr>
      </w:pPr>
    </w:p>
    <w:p>
      <w:pPr>
        <w:ind w:left="-790" w:right="3039" w:firstLine="1145"/>
        <w:spacing w:after="0" w:line="271" w:lineRule="auto"/>
        <w:tabs>
          <w:tab w:leader="none" w:pos="719"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Company, to the address set forth in Section 4 hereof or to such other address as the Company may designate by notice to the Holders.</w:t>
      </w:r>
    </w:p>
    <w:p>
      <w:pPr>
        <w:spacing w:after="0" w:line="153" w:lineRule="exact"/>
        <w:rPr>
          <w:rFonts w:ascii="Courier New" w:cs="Courier New" w:eastAsia="Courier New" w:hAnsi="Courier New"/>
          <w:sz w:val="14"/>
          <w:szCs w:val="14"/>
          <w:color w:val="auto"/>
        </w:rPr>
      </w:pPr>
    </w:p>
    <w:p>
      <w:pPr>
        <w:ind w:left="-790" w:right="3039" w:firstLine="790"/>
        <w:spacing w:after="0"/>
        <w:tabs>
          <w:tab w:leader="none" w:pos="364"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Supplements; Amendments; Entire Agreement. This Agreement contains the entire understanding between the parties hereto with respect to the subject matter hereof and may not be modified or amended except by a writing duly signed by the party against whom enforcement of the modification or amendment is sought. The Company and Can-Med may from time to time supplement or amend this Agreement without the approval of any Holders of Warrant Certificates (other than Can-Med) in order to cure any ambiguity, to correct or supplement any provision contained herein which may be defective or inconsistent with any provisions herein, or to make any other provisions in regard to matters or questions arising hereunder which the Company and Can-Med may deem necessary or desirable and which the Company and Can-Med deem shall not adversely affect the interests of the Holders of Warrant Certificates.</w:t>
      </w:r>
    </w:p>
    <w:p>
      <w:pPr>
        <w:spacing w:after="0" w:line="180" w:lineRule="exact"/>
        <w:rPr>
          <w:rFonts w:ascii="Courier New" w:cs="Courier New" w:eastAsia="Courier New" w:hAnsi="Courier New"/>
          <w:sz w:val="15"/>
          <w:szCs w:val="15"/>
          <w:color w:val="auto"/>
        </w:rPr>
      </w:pPr>
    </w:p>
    <w:p>
      <w:pPr>
        <w:ind w:left="-790" w:right="3039" w:firstLine="790"/>
        <w:spacing w:after="0" w:line="239" w:lineRule="auto"/>
        <w:tabs>
          <w:tab w:leader="none" w:pos="364"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All of the covenants and provisions of this Agreement shall be binding upon and inure to the benefit of the Company, the Holder(s) and their respective successors and assigns hereunder.</w:t>
      </w:r>
    </w:p>
    <w:p>
      <w:pPr>
        <w:spacing w:after="0" w:line="175" w:lineRule="exact"/>
        <w:rPr>
          <w:rFonts w:ascii="Courier New" w:cs="Courier New" w:eastAsia="Courier New" w:hAnsi="Courier New"/>
          <w:sz w:val="15"/>
          <w:szCs w:val="15"/>
          <w:color w:val="auto"/>
        </w:rPr>
      </w:pPr>
    </w:p>
    <w:p>
      <w:pPr>
        <w:ind w:left="-790" w:right="3139" w:firstLine="790"/>
        <w:spacing w:after="0" w:line="262" w:lineRule="auto"/>
        <w:tabs>
          <w:tab w:leader="none" w:pos="364"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of Representations and Warranties. All statements in any schedule, exhibit or certificate or other instrument delivered by or on behalf of the parties hereto, or in connection with the transactions contemplated by this Agreement, shall be deemed to be representations and warranties hereunder.</w:t>
      </w:r>
    </w:p>
    <w:p>
      <w:pPr>
        <w:spacing w:after="0" w:line="158" w:lineRule="exact"/>
        <w:rPr>
          <w:sz w:val="20"/>
          <w:szCs w:val="20"/>
          <w:color w:val="auto"/>
        </w:rPr>
      </w:pPr>
    </w:p>
    <w:p>
      <w:pPr>
        <w:ind w:left="267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349"/>
          </w:cols>
          <w:pgMar w:left="1110" w:top="631" w:right="1440" w:bottom="1440" w:gutter="0" w:footer="0" w:header="0"/>
        </w:sectPr>
      </w:pPr>
    </w:p>
    <w:bookmarkStart w:id="94" w:name="page95"/>
    <w:bookmarkEnd w:id="94"/>
    <w:p>
      <w:pPr>
        <w:ind w:right="3039"/>
        <w:spacing w:after="0" w:line="239" w:lineRule="auto"/>
        <w:rPr>
          <w:sz w:val="20"/>
          <w:szCs w:val="20"/>
          <w:color w:val="auto"/>
        </w:rPr>
      </w:pPr>
      <w:r>
        <w:rPr>
          <w:rFonts w:ascii="Courier New" w:cs="Courier New" w:eastAsia="Courier New" w:hAnsi="Courier New"/>
          <w:sz w:val="15"/>
          <w:szCs w:val="15"/>
          <w:color w:val="auto"/>
        </w:rPr>
        <w:t>Notwithstanding any investigations made by or on behalf of the parties to this Agreement, all representations, warranties and agreements made by the parties to this Agreement or pursuant hereto shall survive.</w:t>
      </w:r>
    </w:p>
    <w:p>
      <w:pPr>
        <w:spacing w:after="0" w:line="175" w:lineRule="exact"/>
        <w:rPr>
          <w:sz w:val="20"/>
          <w:szCs w:val="20"/>
          <w:color w:val="auto"/>
        </w:rPr>
      </w:pPr>
    </w:p>
    <w:p>
      <w:pPr>
        <w:ind w:right="3039" w:firstLine="790"/>
        <w:spacing w:after="0"/>
        <w:tabs>
          <w:tab w:leader="none" w:pos="115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Submission to Jurisdiction. This Agreement and each Warrant Certificate issued hereunder shall be deemed to be a contract made under the laws of the State of New York and for all purposes shall be construed in accordance with the laws of said State without giving effect to the rules of said State governing the conflicts of laws.</w:t>
      </w:r>
    </w:p>
    <w:p>
      <w:pPr>
        <w:spacing w:after="0" w:line="174" w:lineRule="exact"/>
        <w:rPr>
          <w:rFonts w:ascii="Courier New" w:cs="Courier New" w:eastAsia="Courier New" w:hAnsi="Courier New"/>
          <w:sz w:val="15"/>
          <w:szCs w:val="15"/>
          <w:color w:val="auto"/>
        </w:rPr>
      </w:pPr>
    </w:p>
    <w:p>
      <w:pPr>
        <w:ind w:right="3219" w:firstLine="790"/>
        <w:spacing w:after="0" w:line="239" w:lineRule="auto"/>
        <w:tabs>
          <w:tab w:leader="none" w:pos="115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Agreement shall be held to be invalid or unenforceable, such invalidity or unenforceability shall not affect any other provision of this Agreement.</w:t>
      </w:r>
    </w:p>
    <w:p>
      <w:pPr>
        <w:spacing w:after="0" w:line="175" w:lineRule="exact"/>
        <w:rPr>
          <w:rFonts w:ascii="Courier New" w:cs="Courier New" w:eastAsia="Courier New" w:hAnsi="Courier New"/>
          <w:sz w:val="15"/>
          <w:szCs w:val="15"/>
          <w:color w:val="auto"/>
        </w:rPr>
      </w:pPr>
    </w:p>
    <w:p>
      <w:pPr>
        <w:ind w:right="3039" w:firstLine="790"/>
        <w:spacing w:after="0" w:line="264" w:lineRule="auto"/>
        <w:tabs>
          <w:tab w:leader="none" w:pos="1154"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Captions. The caption headings of the Sections of this Agreement are for convenience of reference only and are not intended, nor should they be construed as, a part of this Agreement and shall be given no substantive effect.</w:t>
      </w:r>
    </w:p>
    <w:p>
      <w:pPr>
        <w:spacing w:after="0" w:line="159" w:lineRule="exact"/>
        <w:rPr>
          <w:rFonts w:ascii="Courier New" w:cs="Courier New" w:eastAsia="Courier New" w:hAnsi="Courier New"/>
          <w:sz w:val="14"/>
          <w:szCs w:val="14"/>
          <w:color w:val="auto"/>
        </w:rPr>
      </w:pPr>
    </w:p>
    <w:p>
      <w:pPr>
        <w:ind w:right="3039" w:firstLine="790"/>
        <w:spacing w:after="0"/>
        <w:tabs>
          <w:tab w:leader="none" w:pos="115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of this Agreement. Nothing in this Agreement shall be construed to give to any person or corporation other than the Company and Can-Med and any other registered Holder(s) of the Warrant Certificates or Warrant Shares any legal or equitable right, remedy or claim under this Agreement; and this Agreement shall be for the sole and exclusive benefit of the Company and Can-Med and any other Holder(s) of the Warrant Certificates or Warrant Shares.</w:t>
      </w:r>
    </w:p>
    <w:p>
      <w:pPr>
        <w:spacing w:after="0" w:line="346" w:lineRule="exact"/>
        <w:rPr>
          <w:rFonts w:ascii="Courier New" w:cs="Courier New" w:eastAsia="Courier New" w:hAnsi="Courier New"/>
          <w:sz w:val="15"/>
          <w:szCs w:val="15"/>
          <w:color w:val="auto"/>
        </w:rPr>
      </w:pPr>
    </w:p>
    <w:p>
      <w:pPr>
        <w:ind w:right="3139" w:firstLine="790"/>
        <w:spacing w:after="0" w:line="239" w:lineRule="auto"/>
        <w:tabs>
          <w:tab w:leader="none" w:pos="115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 counterparts and each of such counterparts shall for all purposes be deemed to be an original, and such counterparts shall together constitute but one and the same instrument.</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39"/>
          </w:cols>
          <w:pgMar w:left="320" w:top="631" w:right="1440" w:bottom="1440" w:gutter="0" w:footer="0" w:header="0"/>
        </w:sectPr>
      </w:pPr>
    </w:p>
    <w:bookmarkStart w:id="95" w:name="page96"/>
    <w:bookmarkEnd w:id="95"/>
    <w:p>
      <w:pPr>
        <w:ind w:right="3039" w:firstLine="799"/>
        <w:spacing w:after="0" w:line="238"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as of the day and year first above written.</w:t>
      </w:r>
    </w:p>
    <w:p>
      <w:pPr>
        <w:spacing w:after="0" w:line="17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CECO ENVIRONMENTAL CORP.</w:t>
      </w:r>
    </w:p>
    <w:p>
      <w:pPr>
        <w:spacing w:after="0" w:line="34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By:______________________</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Name:____________________</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Title:___________________</w:t>
      </w:r>
    </w:p>
    <w:p>
      <w:pPr>
        <w:spacing w:after="0" w:line="34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CAN-MED TECHNOLOGY</w:t>
      </w:r>
    </w:p>
    <w:p>
      <w:pPr>
        <w:spacing w:after="0" w:line="34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By:______________________</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Name:____________________</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Title:___________________</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39"/>
          </w:cols>
          <w:pgMar w:left="320" w:top="631" w:right="1440" w:bottom="1440" w:gutter="0" w:footer="0" w:header="0"/>
        </w:sectPr>
      </w:pPr>
    </w:p>
    <w:bookmarkStart w:id="96" w:name="page97"/>
    <w:bookmarkEnd w:id="96"/>
    <w:p>
      <w:pPr>
        <w:jc w:val="center"/>
        <w:ind w:right="2959"/>
        <w:spacing w:after="0"/>
        <w:rPr>
          <w:sz w:val="20"/>
          <w:szCs w:val="20"/>
          <w:color w:val="auto"/>
        </w:rPr>
      </w:pPr>
      <w:r>
        <w:rPr>
          <w:rFonts w:ascii="Courier New" w:cs="Courier New" w:eastAsia="Courier New" w:hAnsi="Courier New"/>
          <w:sz w:val="15"/>
          <w:szCs w:val="15"/>
          <w:color w:val="auto"/>
        </w:rPr>
        <w:t>EXHIBIT A</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[FORM OF WARRANT CERTIFICATE]</w:t>
      </w:r>
    </w:p>
    <w:p>
      <w:pPr>
        <w:spacing w:after="0" w:line="174" w:lineRule="exact"/>
        <w:rPr>
          <w:sz w:val="20"/>
          <w:szCs w:val="20"/>
          <w:color w:val="auto"/>
        </w:rPr>
      </w:pPr>
    </w:p>
    <w:p>
      <w:pPr>
        <w:ind w:right="3039"/>
        <w:spacing w:after="0"/>
        <w:rPr>
          <w:sz w:val="20"/>
          <w:szCs w:val="20"/>
          <w:color w:val="auto"/>
        </w:rPr>
      </w:pPr>
      <w:r>
        <w:rPr>
          <w:rFonts w:ascii="Courier New" w:cs="Courier New" w:eastAsia="Courier New" w:hAnsi="Courier New"/>
          <w:sz w:val="15"/>
          <w:szCs w:val="15"/>
          <w:color w:val="auto"/>
        </w:rPr>
        <w:t>THE WARRANTS REPRESENTED BY THIS CERTIFICATE AND THE OTHER SECURITIES ISSUABLE UPON EXERCISE THEREOF MAY NOT BE OFFERED OR SOLD EXCEPT PURSUANT TO (i) AN EFFECTIVE REGISTRATION STATEMENT UNDER THE SECURITIES ACT OF 1933, (ii) TO THE EXTENT APPLICABLE, RULE 144 UNDER SUCH ACT (OR ANY SIMILAR RULE UNDER SUCH ACT RELATING TO THE DISPOSITION OF SECURITIES), OR (iii) AN OPINION OF COUNSEL, IF SUCH OPINION SHALL BE REASONABLY SATISFACTORY TO COUNSEL FOR THE ISSUER, THAT AN EXEMPTION FROM REGISTRATION UNDER SUCH ACT IS AVAILABLE.</w:t>
      </w:r>
    </w:p>
    <w:p>
      <w:pPr>
        <w:spacing w:after="0" w:line="176" w:lineRule="exact"/>
        <w:rPr>
          <w:sz w:val="20"/>
          <w:szCs w:val="20"/>
          <w:color w:val="auto"/>
        </w:rPr>
      </w:pPr>
    </w:p>
    <w:p>
      <w:pPr>
        <w:ind w:right="3039"/>
        <w:spacing w:after="0" w:line="239" w:lineRule="auto"/>
        <w:rPr>
          <w:sz w:val="20"/>
          <w:szCs w:val="20"/>
          <w:color w:val="auto"/>
        </w:rPr>
      </w:pPr>
      <w:r>
        <w:rPr>
          <w:rFonts w:ascii="Courier New" w:cs="Courier New" w:eastAsia="Courier New" w:hAnsi="Courier New"/>
          <w:sz w:val="15"/>
          <w:szCs w:val="15"/>
          <w:color w:val="auto"/>
        </w:rPr>
        <w:t>THE TRANSFER OR EXCHANGE OF THE WARRANTS OR OTHER SECURITIES REPRESENTED BY THIS CERTIFICATE IS RESTRICTED IN ACCORDANCE WITH THE WARRANT AGREEMENT REFERRED TO HEREIN.</w:t>
      </w:r>
    </w:p>
    <w:p>
      <w:pPr>
        <w:spacing w:after="0" w:line="17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EXERCISABLE ON OR BEFORE</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5:30 P.M., NEW YORK TIME, AUGUST 26, 2009</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Warrant No.</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WARRANT CERTIFICATE</w:t>
      </w:r>
    </w:p>
    <w:p>
      <w:pPr>
        <w:spacing w:after="0" w:line="174"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This Warrant Certificate certifies that , or registered assigns, is the registered holder of Warrants to purchase initially, at any time from February 26, 2000 until 5:30 p.m., New York time, on August 26, 2009 ("Expiration Date"), up to shares, of fully-paid and non-assessable common stock, $.01 par value ("Common Stock") of CECO Environmental Corp., a New York corporation (the "Company"), at the initial exercise price, subject to adjustment in certain events, of $2.50 per share upon surrender of this Warrant Certificate and payment of the Exercise Price at the principal executive office of the Company, but subject to the conditions set forth herein. Payment of the Exercise Price shall be made by certified or official bank check in United States dollars payable to the order of the Company.</w:t>
      </w:r>
    </w:p>
    <w:p>
      <w:pPr>
        <w:spacing w:after="0" w:line="179"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No Warrant may be exercised after 5:30 p.m., New York time, on the Expiration Date, at which time all Warrants evidenced hereby, unless exercised prior thereto, shall thereafter expire and shall be void.</w:t>
      </w:r>
    </w:p>
    <w:p>
      <w:pPr>
        <w:spacing w:after="0" w:line="175" w:lineRule="exact"/>
        <w:rPr>
          <w:sz w:val="20"/>
          <w:szCs w:val="20"/>
          <w:color w:val="auto"/>
        </w:rPr>
      </w:pPr>
    </w:p>
    <w:p>
      <w:pPr>
        <w:ind w:right="3039" w:firstLine="799"/>
        <w:spacing w:after="0"/>
        <w:rPr>
          <w:sz w:val="20"/>
          <w:szCs w:val="20"/>
          <w:color w:val="auto"/>
        </w:rPr>
      </w:pPr>
      <w:r>
        <w:rPr>
          <w:rFonts w:ascii="Courier New" w:cs="Courier New" w:eastAsia="Courier New" w:hAnsi="Courier New"/>
          <w:sz w:val="15"/>
          <w:szCs w:val="15"/>
          <w:color w:val="auto"/>
        </w:rPr>
        <w:t>The Warrants evidenced by this Warrant Certificate are part of a duly authorized issue of Warrants issued pursuant to the Warrant Agreement, which Warrant Agreement is hereby incorporated by reference in and made a part of this instrument and is hereby referred to for a description of the rights, limitation of rights, obligations, duties and immunities thereunder of the Company and the holders (the words "holders" or "holder" meaning the registered holders or registered holder) of the Warrants.</w:t>
      </w:r>
    </w:p>
    <w:p>
      <w:pPr>
        <w:spacing w:after="0" w:line="17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EXH A-1</w:t>
      </w:r>
    </w:p>
    <w:p>
      <w:pPr>
        <w:sectPr>
          <w:pgSz w:w="11900" w:h="16838" w:orient="portrait"/>
          <w:cols w:equalWidth="0" w:num="1">
            <w:col w:w="10139"/>
          </w:cols>
          <w:pgMar w:left="320" w:top="628" w:right="1440" w:bottom="1440" w:gutter="0" w:footer="0" w:header="0"/>
        </w:sectPr>
      </w:pPr>
    </w:p>
    <w:bookmarkStart w:id="97" w:name="page98"/>
    <w:bookmarkEnd w:id="97"/>
    <w:p>
      <w:pPr>
        <w:ind w:right="3039" w:firstLine="799"/>
        <w:spacing w:after="0"/>
        <w:rPr>
          <w:sz w:val="20"/>
          <w:szCs w:val="20"/>
          <w:color w:val="auto"/>
        </w:rPr>
      </w:pPr>
      <w:r>
        <w:rPr>
          <w:rFonts w:ascii="Courier New" w:cs="Courier New" w:eastAsia="Courier New" w:hAnsi="Courier New"/>
          <w:sz w:val="15"/>
          <w:szCs w:val="15"/>
          <w:color w:val="auto"/>
        </w:rPr>
        <w:t>The Warrant Agreement provides that upon the occurrence of certain events the Exercise Price and the type and/or number of the Company's securities issuable thereupon may, subject to certain conditions, be adjusted. In such event, the Company will, at the request of the holder, issue a new Warrant Certificate evidencing the adjustment in the Exercise Price and the number and/or type of securities issuable upon the exercise of the Warrants; provided, however, that the failure of the Company to issue such new Warrant Certificates shall not in any way change, alter, or otherwise impair, the rights of the holder as set forth in the Warrant Agreement.</w:t>
      </w:r>
    </w:p>
    <w:p>
      <w:pPr>
        <w:spacing w:after="0" w:line="178" w:lineRule="exact"/>
        <w:rPr>
          <w:sz w:val="20"/>
          <w:szCs w:val="20"/>
          <w:color w:val="auto"/>
        </w:rPr>
      </w:pPr>
    </w:p>
    <w:p>
      <w:pPr>
        <w:ind w:right="3319" w:firstLine="799"/>
        <w:spacing w:after="0"/>
        <w:rPr>
          <w:sz w:val="20"/>
          <w:szCs w:val="20"/>
          <w:color w:val="auto"/>
        </w:rPr>
      </w:pPr>
      <w:r>
        <w:rPr>
          <w:rFonts w:ascii="Courier New" w:cs="Courier New" w:eastAsia="Courier New" w:hAnsi="Courier New"/>
          <w:sz w:val="15"/>
          <w:szCs w:val="15"/>
          <w:color w:val="auto"/>
        </w:rPr>
        <w:t>Upon due presentment for registration of transfer of this Warrant Certificate at the principal executive office of the Company, a new Warrant Certificate or Warrant Certificates of like tenor and evidencing in the aggregate a like number of Warrants shall be issued to the transferee(s) in exchange for this Warrant Certificate, subject to the limitations provided herein and in the Warrant Agreement, without any charge except for any tax or other governmental charge imposed in connection with such transfer.</w:t>
      </w:r>
    </w:p>
    <w:p>
      <w:pPr>
        <w:spacing w:after="0" w:line="176" w:lineRule="exact"/>
        <w:rPr>
          <w:sz w:val="20"/>
          <w:szCs w:val="20"/>
          <w:color w:val="auto"/>
        </w:rPr>
      </w:pPr>
    </w:p>
    <w:p>
      <w:pPr>
        <w:ind w:right="3319" w:firstLine="799"/>
        <w:spacing w:after="0" w:line="239" w:lineRule="auto"/>
        <w:rPr>
          <w:sz w:val="20"/>
          <w:szCs w:val="20"/>
          <w:color w:val="auto"/>
        </w:rPr>
      </w:pPr>
      <w:r>
        <w:rPr>
          <w:rFonts w:ascii="Courier New" w:cs="Courier New" w:eastAsia="Courier New" w:hAnsi="Courier New"/>
          <w:sz w:val="15"/>
          <w:szCs w:val="15"/>
          <w:color w:val="auto"/>
        </w:rPr>
        <w:t>Upon the exercise of less than all of the Warrants evidenced by this Certificate, the Company shall forthwith issue to the holder hereof a new Warrant Certificate representing such numbered of unexercised Warrants.</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Company may deem and treat the registered holder(s) hereof as the absolute owner(s) of this Warrant Certificate (notwithstanding any notation of ownership or other writing hereon made by anyone), for the purpose of any exercise hereof, and of any distribution to the holder(s) hereof, and for all other purposes, and the Company shall not be affected by any notice to the contrary.</w:t>
      </w:r>
    </w:p>
    <w:p>
      <w:pPr>
        <w:spacing w:after="0" w:line="175" w:lineRule="exact"/>
        <w:rPr>
          <w:sz w:val="20"/>
          <w:szCs w:val="20"/>
          <w:color w:val="auto"/>
        </w:rPr>
      </w:pPr>
    </w:p>
    <w:p>
      <w:pPr>
        <w:ind w:right="3399" w:firstLine="799"/>
        <w:spacing w:after="0" w:line="239" w:lineRule="auto"/>
        <w:rPr>
          <w:sz w:val="20"/>
          <w:szCs w:val="20"/>
          <w:color w:val="auto"/>
        </w:rPr>
      </w:pPr>
      <w:r>
        <w:rPr>
          <w:rFonts w:ascii="Courier New" w:cs="Courier New" w:eastAsia="Courier New" w:hAnsi="Courier New"/>
          <w:sz w:val="15"/>
          <w:szCs w:val="15"/>
          <w:color w:val="auto"/>
        </w:rPr>
        <w:t>All terms used in this Warrant Certificate which are defined in the Warrant Agreement shall have the meanings assigned to them in the Warrant Agreement.</w:t>
      </w:r>
    </w:p>
    <w:p>
      <w:pPr>
        <w:spacing w:after="0" w:line="175" w:lineRule="exact"/>
        <w:rPr>
          <w:sz w:val="20"/>
          <w:szCs w:val="20"/>
          <w:color w:val="auto"/>
        </w:rPr>
      </w:pPr>
    </w:p>
    <w:p>
      <w:pPr>
        <w:ind w:right="3139" w:firstLine="799"/>
        <w:spacing w:after="0" w:line="238" w:lineRule="auto"/>
        <w:rPr>
          <w:sz w:val="20"/>
          <w:szCs w:val="20"/>
          <w:color w:val="auto"/>
        </w:rPr>
      </w:pPr>
      <w:r>
        <w:rPr>
          <w:rFonts w:ascii="Courier New" w:cs="Courier New" w:eastAsia="Courier New" w:hAnsi="Courier New"/>
          <w:sz w:val="15"/>
          <w:szCs w:val="15"/>
          <w:color w:val="auto"/>
        </w:rPr>
        <w:t>This Warrant Certificate does not entitle any Warrant holder to any of the rights of a shareholder of the Company.</w:t>
      </w:r>
    </w:p>
    <w:p>
      <w:pPr>
        <w:spacing w:after="0" w:line="175" w:lineRule="exact"/>
        <w:rPr>
          <w:sz w:val="20"/>
          <w:szCs w:val="20"/>
          <w:color w:val="auto"/>
        </w:rPr>
      </w:pPr>
    </w:p>
    <w:p>
      <w:pPr>
        <w:ind w:right="3139" w:firstLine="799"/>
        <w:spacing w:after="0" w:line="238" w:lineRule="auto"/>
        <w:rPr>
          <w:sz w:val="20"/>
          <w:szCs w:val="20"/>
          <w:color w:val="auto"/>
        </w:rPr>
      </w:pPr>
      <w:r>
        <w:rPr>
          <w:rFonts w:ascii="Courier New" w:cs="Courier New" w:eastAsia="Courier New" w:hAnsi="Courier New"/>
          <w:sz w:val="15"/>
          <w:szCs w:val="15"/>
          <w:color w:val="auto"/>
        </w:rPr>
        <w:t>IN WITNESS WHEREOF, the Company has caused this Warrant Certificate to be duly executed under its corporate seal.</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as of ____________________, 199__.</w:t>
      </w:r>
    </w:p>
    <w:p>
      <w:pPr>
        <w:sectPr>
          <w:pgSz w:w="11900" w:h="16838" w:orient="portrait"/>
          <w:cols w:equalWidth="0" w:num="1">
            <w:col w:w="10139"/>
          </w:cols>
          <w:pgMar w:left="320" w:top="631"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CECO ENVIRONMENTAL CORP.</w:t>
      </w:r>
    </w:p>
    <w:p>
      <w:pPr>
        <w:spacing w:after="0" w:line="183" w:lineRule="exact"/>
        <w:rPr>
          <w:sz w:val="20"/>
          <w:szCs w:val="20"/>
          <w:color w:val="auto"/>
        </w:rPr>
      </w:pPr>
    </w:p>
    <w:p>
      <w:pPr>
        <w:sectPr>
          <w:pgSz w:w="11900" w:h="16838" w:orient="portrait"/>
          <w:cols w:equalWidth="0" w:num="2">
            <w:col w:w="3700" w:space="720"/>
            <w:col w:w="5719"/>
          </w:cols>
          <w:pgMar w:left="320" w:top="631" w:right="1440"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By:_____________________[SEAL]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Title:__________________</w:t>
      </w:r>
    </w:p>
    <w:p>
      <w:pPr>
        <w:spacing w:after="0" w:line="174" w:lineRule="exact"/>
        <w:rPr>
          <w:sz w:val="20"/>
          <w:szCs w:val="20"/>
          <w:color w:val="auto"/>
        </w:rPr>
      </w:pPr>
    </w:p>
    <w:p>
      <w:pPr>
        <w:sectPr>
          <w:pgSz w:w="11900" w:h="16838" w:orient="portrait"/>
          <w:cols w:equalWidth="0" w:num="2">
            <w:col w:w="3700" w:space="720"/>
            <w:col w:w="5719"/>
          </w:cols>
          <w:pgMar w:left="320" w:top="631"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EXH A-2</w:t>
      </w:r>
    </w:p>
    <w:p>
      <w:pPr>
        <w:sectPr>
          <w:pgSz w:w="11900" w:h="16838" w:orient="portrait"/>
          <w:cols w:equalWidth="0" w:num="1">
            <w:col w:w="10139"/>
          </w:cols>
          <w:pgMar w:left="320" w:top="631" w:right="1440" w:bottom="1440" w:gutter="0" w:footer="0" w:header="0"/>
          <w:type w:val="continuous"/>
        </w:sectPr>
      </w:pPr>
    </w:p>
    <w:bookmarkStart w:id="98" w:name="page99"/>
    <w:bookmarkEnd w:id="98"/>
    <w:p>
      <w:pPr>
        <w:jc w:val="center"/>
        <w:ind w:right="3039"/>
        <w:spacing w:after="0"/>
        <w:rPr>
          <w:sz w:val="20"/>
          <w:szCs w:val="20"/>
          <w:color w:val="auto"/>
        </w:rPr>
      </w:pPr>
      <w:r>
        <w:rPr>
          <w:rFonts w:ascii="Courier New" w:cs="Courier New" w:eastAsia="Courier New" w:hAnsi="Courier New"/>
          <w:sz w:val="15"/>
          <w:szCs w:val="15"/>
          <w:color w:val="auto"/>
        </w:rPr>
        <w:t>[FORM OF ELECTION TO PURCHASE PURSUANT TO SECTION 4.1 OF THE</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WARRANT AGREEMENT]</w:t>
      </w:r>
    </w:p>
    <w:p>
      <w:pPr>
        <w:spacing w:after="0" w:line="174" w:lineRule="exact"/>
        <w:rPr>
          <w:sz w:val="20"/>
          <w:szCs w:val="20"/>
          <w:color w:val="auto"/>
        </w:rPr>
      </w:pPr>
    </w:p>
    <w:p>
      <w:pPr>
        <w:ind w:right="3039" w:firstLine="799"/>
        <w:spacing w:after="0" w:line="258" w:lineRule="auto"/>
        <w:rPr>
          <w:sz w:val="20"/>
          <w:szCs w:val="20"/>
          <w:color w:val="auto"/>
        </w:rPr>
      </w:pPr>
      <w:r>
        <w:rPr>
          <w:rFonts w:ascii="Courier New" w:cs="Courier New" w:eastAsia="Courier New" w:hAnsi="Courier New"/>
          <w:sz w:val="14"/>
          <w:szCs w:val="14"/>
          <w:color w:val="auto"/>
        </w:rPr>
        <w:t>The undersigned hereby irrevocably elects to exercise the right, represented by Warrant Certificate No. , to purchase shares of Common Stock (as defined in the Warrant Agreement described below) and herewith tenders in payment for such securities a certified or official bank check payable in United States dollars to the order of CECO Environmental Corp., a New York corporation (the "Company") in the amount of $____________, all in accordance with the terms</w:t>
      </w:r>
    </w:p>
    <w:p>
      <w:pPr>
        <w:spacing w:after="0" w:line="1" w:lineRule="exact"/>
        <w:rPr>
          <w:sz w:val="20"/>
          <w:szCs w:val="20"/>
          <w:color w:val="auto"/>
        </w:rPr>
      </w:pPr>
    </w:p>
    <w:p>
      <w:pPr>
        <w:ind w:right="3039"/>
        <w:spacing w:after="0"/>
        <w:rPr>
          <w:sz w:val="20"/>
          <w:szCs w:val="20"/>
          <w:color w:val="auto"/>
        </w:rPr>
      </w:pPr>
      <w:r>
        <w:rPr>
          <w:rFonts w:ascii="Courier New" w:cs="Courier New" w:eastAsia="Courier New" w:hAnsi="Courier New"/>
          <w:sz w:val="15"/>
          <w:szCs w:val="15"/>
          <w:color w:val="auto"/>
        </w:rPr>
        <w:t>of Section 4.1 of the Warrant Agreement dated as of August 26, 1999 between the Company and Can-Med Technology. The undersigned requests that a certificate for such securities be registered in the name of , whose address is and that such certificate be delivered to , whose address is , and if said number of shares of Common Stock shall not be all the shares of Common Stock purchasable hereunder, that a new Warrant Certificate for the balance of the shares of Common Stock purchasable under the within Warrant Certificate be registered in the name of the undersigned warrant holder or his assignee as below indicated and delivered to the address stated below.</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_____________</w:t>
      </w:r>
    </w:p>
    <w:p>
      <w:pPr>
        <w:spacing w:after="0" w:line="174"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Signature: ___________________</w:t>
      </w:r>
    </w:p>
    <w:p>
      <w:pPr>
        <w:spacing w:after="0" w:line="12"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(Signature must conform in all</w:t>
      </w:r>
    </w:p>
    <w:p>
      <w:pPr>
        <w:spacing w:after="0" w:line="9"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respects to name of holder as</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specified on the face of the</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Warrant Certificate.)</w:t>
      </w:r>
    </w:p>
    <w:p>
      <w:pPr>
        <w:spacing w:after="0" w:line="174"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Address: _____________________________________________</w:t>
      </w:r>
    </w:p>
    <w:p>
      <w:pPr>
        <w:spacing w:after="0" w:line="1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_____________________________________________</w:t>
      </w:r>
    </w:p>
    <w:p>
      <w:pPr>
        <w:spacing w:after="0" w:line="180"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_________________________________________________</w:t>
      </w:r>
    </w:p>
    <w:p>
      <w:pPr>
        <w:spacing w:after="0" w:line="3"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(Insert Social Security or Other Identifying Number of</w:t>
      </w:r>
    </w:p>
    <w:p>
      <w:pPr>
        <w:spacing w:after="0" w:line="9"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Holder)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Guaranteed: __________________________________________________________</w:t>
      </w:r>
    </w:p>
    <w:p>
      <w:pPr>
        <w:spacing w:after="0" w:line="12" w:lineRule="exact"/>
        <w:rPr>
          <w:sz w:val="20"/>
          <w:szCs w:val="20"/>
          <w:color w:val="auto"/>
        </w:rPr>
      </w:pPr>
    </w:p>
    <w:p>
      <w:pPr>
        <w:ind w:right="3219"/>
        <w:spacing w:after="0" w:line="264" w:lineRule="auto"/>
        <w:rPr>
          <w:sz w:val="20"/>
          <w:szCs w:val="20"/>
          <w:color w:val="auto"/>
        </w:rPr>
      </w:pPr>
      <w:r>
        <w:rPr>
          <w:rFonts w:ascii="Courier New" w:cs="Courier New" w:eastAsia="Courier New" w:hAnsi="Courier New"/>
          <w:sz w:val="14"/>
          <w:szCs w:val="14"/>
          <w:color w:val="auto"/>
        </w:rPr>
        <w:t>(Signature must be guaranteed by a bank, savings and loan association, stockbroker, or credit union with membership in an approved signature guaranty Medallion Program pursuant to Securities Exchange Act Rule 17Ad-15.)</w:t>
      </w:r>
    </w:p>
    <w:p>
      <w:pPr>
        <w:spacing w:after="0" w:line="15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EXH A-3</w:t>
      </w:r>
    </w:p>
    <w:p>
      <w:pPr>
        <w:sectPr>
          <w:pgSz w:w="11900" w:h="16838" w:orient="portrait"/>
          <w:cols w:equalWidth="0" w:num="1">
            <w:col w:w="10139"/>
          </w:cols>
          <w:pgMar w:left="320" w:top="628" w:right="1440" w:bottom="1440" w:gutter="0" w:footer="0" w:header="0"/>
        </w:sectPr>
      </w:pPr>
    </w:p>
    <w:bookmarkStart w:id="99" w:name="page100"/>
    <w:bookmarkEnd w:id="99"/>
    <w:p>
      <w:pPr>
        <w:jc w:val="center"/>
        <w:ind w:right="3039"/>
        <w:spacing w:after="0"/>
        <w:rPr>
          <w:sz w:val="20"/>
          <w:szCs w:val="20"/>
          <w:color w:val="auto"/>
        </w:rPr>
      </w:pPr>
      <w:r>
        <w:rPr>
          <w:rFonts w:ascii="Courier New" w:cs="Courier New" w:eastAsia="Courier New" w:hAnsi="Courier New"/>
          <w:sz w:val="15"/>
          <w:szCs w:val="15"/>
          <w:color w:val="auto"/>
        </w:rPr>
        <w:t>[FORM OF ASSIGNMENT]</w:t>
      </w:r>
    </w:p>
    <w:p>
      <w:pPr>
        <w:spacing w:after="0" w:line="17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(To be executed by the registered holder if such holder</w:t>
      </w:r>
    </w:p>
    <w:p>
      <w:pPr>
        <w:spacing w:after="0" w:line="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desires to transfer the Warrant Certificate.)</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VALUE RECEIVED ____________________ hereby sells, assigns and transfers unto</w:t>
      </w:r>
    </w:p>
    <w:p>
      <w:pPr>
        <w:spacing w:after="0" w:line="12" w:lineRule="exact"/>
        <w:rPr>
          <w:sz w:val="20"/>
          <w:szCs w:val="20"/>
          <w:color w:val="auto"/>
        </w:rPr>
      </w:pPr>
    </w:p>
    <w:p>
      <w:pPr>
        <w:ind w:right="3139"/>
        <w:spacing w:after="0" w:line="258" w:lineRule="auto"/>
        <w:rPr>
          <w:sz w:val="20"/>
          <w:szCs w:val="20"/>
          <w:color w:val="auto"/>
        </w:rPr>
      </w:pPr>
      <w:r>
        <w:rPr>
          <w:rFonts w:ascii="Courier New" w:cs="Courier New" w:eastAsia="Courier New" w:hAnsi="Courier New"/>
          <w:sz w:val="14"/>
          <w:szCs w:val="14"/>
          <w:color w:val="auto"/>
        </w:rPr>
        <w:t>[NAME OF TRANSFEREE] Warrant Certificate No.___, together with all right, title and interest therein, and does hereby irrevocably constitute and appoint</w:t>
      </w:r>
    </w:p>
    <w:p>
      <w:pPr>
        <w:spacing w:after="0"/>
        <w:rPr>
          <w:sz w:val="20"/>
          <w:szCs w:val="20"/>
          <w:color w:val="auto"/>
        </w:rPr>
      </w:pPr>
      <w:r>
        <w:rPr>
          <w:rFonts w:ascii="Courier New" w:cs="Courier New" w:eastAsia="Courier New" w:hAnsi="Courier New"/>
          <w:sz w:val="14"/>
          <w:szCs w:val="14"/>
          <w:color w:val="auto"/>
        </w:rPr>
        <w:t>___________________ Attorney, to transfer the within Warrant Certificate on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books of the within-named Company, with full power of substitution.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______________</w:t>
      </w:r>
    </w:p>
    <w:p>
      <w:pPr>
        <w:spacing w:after="0" w:line="345"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Signature: _________________________________________________</w:t>
      </w:r>
    </w:p>
    <w:p>
      <w:pPr>
        <w:spacing w:after="0" w:line="12" w:lineRule="exact"/>
        <w:rPr>
          <w:sz w:val="20"/>
          <w:szCs w:val="20"/>
          <w:color w:val="auto"/>
        </w:rPr>
      </w:pPr>
    </w:p>
    <w:p>
      <w:pPr>
        <w:ind w:left="1760" w:right="3039"/>
        <w:spacing w:after="0" w:line="258" w:lineRule="auto"/>
        <w:rPr>
          <w:sz w:val="20"/>
          <w:szCs w:val="20"/>
          <w:color w:val="auto"/>
        </w:rPr>
      </w:pPr>
      <w:r>
        <w:rPr>
          <w:rFonts w:ascii="Courier New" w:cs="Courier New" w:eastAsia="Courier New" w:hAnsi="Courier New"/>
          <w:sz w:val="14"/>
          <w:szCs w:val="14"/>
          <w:color w:val="auto"/>
        </w:rPr>
        <w:t>(Signature must conform in all respects to name of holder as specified on the face of the Warrant Certificate.) Address: ___________________________________________________</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___________________________________________________</w:t>
      </w:r>
    </w:p>
    <w:p>
      <w:pPr>
        <w:spacing w:after="0" w:line="183"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____________________________________________________________</w:t>
      </w:r>
    </w:p>
    <w:p>
      <w:pPr>
        <w:spacing w:after="0" w:line="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(Insert Social Security or Other Identifying Number of</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Holder)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Guaranteed: __________________________________________________________</w:t>
      </w:r>
    </w:p>
    <w:p>
      <w:pPr>
        <w:spacing w:after="0" w:line="12" w:lineRule="exact"/>
        <w:rPr>
          <w:sz w:val="20"/>
          <w:szCs w:val="20"/>
          <w:color w:val="auto"/>
        </w:rPr>
      </w:pPr>
    </w:p>
    <w:p>
      <w:pPr>
        <w:ind w:right="3219"/>
        <w:spacing w:after="0" w:line="264" w:lineRule="auto"/>
        <w:rPr>
          <w:sz w:val="20"/>
          <w:szCs w:val="20"/>
          <w:color w:val="auto"/>
        </w:rPr>
      </w:pPr>
      <w:r>
        <w:rPr>
          <w:rFonts w:ascii="Courier New" w:cs="Courier New" w:eastAsia="Courier New" w:hAnsi="Courier New"/>
          <w:sz w:val="14"/>
          <w:szCs w:val="14"/>
          <w:color w:val="auto"/>
        </w:rPr>
        <w:t>(Signature must be guaranteed by a bank, savings and loan association, stockbroker, or credit union with membership in an approved signature guaranty Medallion Program pursuant to Securities Exchange Act Rule 17Ad-15.)</w:t>
      </w:r>
    </w:p>
    <w:p>
      <w:pPr>
        <w:spacing w:after="0" w:line="15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EXH A-4</w:t>
      </w:r>
    </w:p>
    <w:p>
      <w:pPr>
        <w:sectPr>
          <w:pgSz w:w="11900" w:h="16838" w:orient="portrait"/>
          <w:cols w:equalWidth="0" w:num="1">
            <w:col w:w="10139"/>
          </w:cols>
          <w:pgMar w:left="320" w:top="799" w:right="1440" w:bottom="1440" w:gutter="0" w:footer="0" w:header="0"/>
        </w:sectPr>
      </w:pPr>
    </w:p>
    <w:bookmarkStart w:id="100" w:name="page101"/>
    <w:bookmarkEnd w:id="100"/>
    <w:p>
      <w:pPr>
        <w:ind w:left="2220"/>
        <w:spacing w:after="0"/>
        <w:rPr>
          <w:sz w:val="20"/>
          <w:szCs w:val="20"/>
          <w:color w:val="auto"/>
        </w:rPr>
      </w:pPr>
      <w:r>
        <w:rPr>
          <w:rFonts w:ascii="Courier New" w:cs="Courier New" w:eastAsia="Courier New" w:hAnsi="Courier New"/>
          <w:sz w:val="15"/>
          <w:szCs w:val="15"/>
          <w:color w:val="auto"/>
        </w:rPr>
        <w:t>AMENDMENT TO CREDIT AGREEMENT</w:t>
      </w:r>
    </w:p>
    <w:p>
      <w:pPr>
        <w:spacing w:after="0" w:line="345" w:lineRule="exact"/>
        <w:rPr>
          <w:sz w:val="20"/>
          <w:szCs w:val="20"/>
          <w:color w:val="auto"/>
        </w:rPr>
      </w:pPr>
    </w:p>
    <w:p>
      <w:pPr>
        <w:ind w:right="3039" w:firstLine="444"/>
        <w:spacing w:after="0"/>
        <w:rPr>
          <w:sz w:val="20"/>
          <w:szCs w:val="20"/>
          <w:color w:val="auto"/>
        </w:rPr>
      </w:pPr>
      <w:r>
        <w:rPr>
          <w:rFonts w:ascii="Courier New" w:cs="Courier New" w:eastAsia="Courier New" w:hAnsi="Courier New"/>
          <w:sz w:val="15"/>
          <w:szCs w:val="15"/>
          <w:color w:val="auto"/>
        </w:rPr>
        <w:t>This AMENDMENT TO CREDIT AGREEMENT (this "Agreement") is made as of the 28th day of March, 2000, by and among CECO GROUP, INC., CECO FILTERS, INC., AIR PURATOR CORPORATION, NEW BUSCH CO., INC., THE KIRK &amp; BLUM MANUFACTURING COMPANY and KBD/TECHNIC, INC. (the "Borrowers"), PNC BANK, NATIONAL ASSOCIATION ("PNC"), individually and as agent for itself and the other banks (collectively, the "Banks") which from time to time are parties to the hereinafter defined Credit Agreement (in such capacity, the "Agent").</w:t>
      </w:r>
    </w:p>
    <w:p>
      <w:pPr>
        <w:spacing w:after="0" w:line="34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BACKGROUND</w:t>
      </w:r>
    </w:p>
    <w:p>
      <w:pPr>
        <w:spacing w:after="0" w:line="174" w:lineRule="exact"/>
        <w:rPr>
          <w:sz w:val="20"/>
          <w:szCs w:val="20"/>
          <w:color w:val="auto"/>
        </w:rPr>
      </w:pPr>
    </w:p>
    <w:p>
      <w:pPr>
        <w:jc w:val="both"/>
        <w:ind w:right="3039" w:firstLine="444"/>
        <w:spacing w:after="0" w:line="238" w:lineRule="auto"/>
        <w:rPr>
          <w:sz w:val="20"/>
          <w:szCs w:val="20"/>
          <w:color w:val="auto"/>
        </w:rPr>
      </w:pPr>
      <w:r>
        <w:rPr>
          <w:rFonts w:ascii="Courier New" w:cs="Courier New" w:eastAsia="Courier New" w:hAnsi="Courier New"/>
          <w:sz w:val="15"/>
          <w:szCs w:val="15"/>
          <w:color w:val="auto"/>
        </w:rPr>
        <w:t>A. The Agent, the Banks and the Borrowers are parties to a Credit Agreement dated as of December 7, 1999 (the "Credit Agreement").</w:t>
      </w:r>
    </w:p>
    <w:p>
      <w:pPr>
        <w:spacing w:after="0" w:line="175" w:lineRule="exact"/>
        <w:rPr>
          <w:sz w:val="20"/>
          <w:szCs w:val="20"/>
          <w:color w:val="auto"/>
        </w:rPr>
      </w:pPr>
    </w:p>
    <w:p>
      <w:pPr>
        <w:ind w:right="3139" w:firstLine="444"/>
        <w:spacing w:after="0" w:line="238" w:lineRule="auto"/>
        <w:rPr>
          <w:sz w:val="20"/>
          <w:szCs w:val="20"/>
          <w:color w:val="auto"/>
        </w:rPr>
      </w:pPr>
      <w:r>
        <w:rPr>
          <w:rFonts w:ascii="Courier New" w:cs="Courier New" w:eastAsia="Courier New" w:hAnsi="Courier New"/>
          <w:sz w:val="15"/>
          <w:szCs w:val="15"/>
          <w:color w:val="auto"/>
        </w:rPr>
        <w:t>B. The Borrowers have requested and the Agent and the Banks have agreed to amend the Credit Agreement on the terms and conditions set forth herein.</w:t>
      </w:r>
    </w:p>
    <w:p>
      <w:pPr>
        <w:spacing w:after="0" w:line="175" w:lineRule="exact"/>
        <w:rPr>
          <w:sz w:val="20"/>
          <w:szCs w:val="20"/>
          <w:color w:val="auto"/>
        </w:rPr>
      </w:pPr>
    </w:p>
    <w:p>
      <w:pPr>
        <w:jc w:val="both"/>
        <w:ind w:right="3039" w:firstLine="444"/>
        <w:spacing w:after="0" w:line="264" w:lineRule="auto"/>
        <w:rPr>
          <w:sz w:val="20"/>
          <w:szCs w:val="20"/>
          <w:color w:val="auto"/>
        </w:rPr>
      </w:pPr>
      <w:r>
        <w:rPr>
          <w:rFonts w:ascii="Courier New" w:cs="Courier New" w:eastAsia="Courier New" w:hAnsi="Courier New"/>
          <w:sz w:val="14"/>
          <w:szCs w:val="14"/>
          <w:color w:val="auto"/>
        </w:rPr>
        <w:t>NOW, THEREFORE, in consideration of the foregoing and for good and valuable consideration, the legality and sufficiency of which is hereby acknowledged, the parties hereto, intending to be legally bound hereby, agree as follows:</w:t>
      </w:r>
    </w:p>
    <w:p>
      <w:pPr>
        <w:spacing w:after="0" w:line="159" w:lineRule="exact"/>
        <w:rPr>
          <w:sz w:val="20"/>
          <w:szCs w:val="20"/>
          <w:color w:val="auto"/>
        </w:rPr>
      </w:pPr>
    </w:p>
    <w:p>
      <w:pPr>
        <w:ind w:right="3399" w:firstLine="435"/>
        <w:spacing w:after="0" w:line="271" w:lineRule="auto"/>
        <w:tabs>
          <w:tab w:leader="none" w:pos="71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Capitalized terms used herein and not otherwise defined herein shall have the meanings assigned to them in the Credit Agreement.</w:t>
      </w:r>
    </w:p>
    <w:p>
      <w:pPr>
        <w:spacing w:after="0" w:line="153" w:lineRule="exact"/>
        <w:rPr>
          <w:rFonts w:ascii="Courier New" w:cs="Courier New" w:eastAsia="Courier New" w:hAnsi="Courier New"/>
          <w:sz w:val="14"/>
          <w:szCs w:val="14"/>
          <w:color w:val="auto"/>
        </w:rPr>
      </w:pPr>
    </w:p>
    <w:p>
      <w:pPr>
        <w:ind w:right="3139" w:firstLine="435"/>
        <w:spacing w:after="0" w:line="238" w:lineRule="auto"/>
        <w:tabs>
          <w:tab w:leader="none" w:pos="71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Credit Agreements. The Credit Agreement is hereby amended as follows:</w:t>
      </w:r>
    </w:p>
    <w:p>
      <w:pPr>
        <w:spacing w:after="0" w:line="175" w:lineRule="exact"/>
        <w:rPr>
          <w:sz w:val="20"/>
          <w:szCs w:val="20"/>
          <w:color w:val="auto"/>
        </w:rPr>
      </w:pPr>
    </w:p>
    <w:p>
      <w:pPr>
        <w:ind w:right="3219" w:firstLine="435"/>
        <w:spacing w:after="0" w:line="238" w:lineRule="auto"/>
        <w:tabs>
          <w:tab w:leader="none" w:pos="79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 of the Credit Agreement is hereby amended by deleting the definitions of "EBITDA Threshold" in its entirety.</w:t>
      </w:r>
    </w:p>
    <w:p>
      <w:pPr>
        <w:spacing w:after="0" w:line="175" w:lineRule="exact"/>
        <w:rPr>
          <w:rFonts w:ascii="Courier New" w:cs="Courier New" w:eastAsia="Courier New" w:hAnsi="Courier New"/>
          <w:sz w:val="15"/>
          <w:szCs w:val="15"/>
          <w:color w:val="auto"/>
        </w:rPr>
      </w:pPr>
    </w:p>
    <w:p>
      <w:pPr>
        <w:ind w:right="3319" w:firstLine="435"/>
        <w:spacing w:after="0" w:line="238" w:lineRule="auto"/>
        <w:tabs>
          <w:tab w:leader="none" w:pos="79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2.1(a) of the Credit Agreement is hereby amended by deleting all of clause (x)(ii) and inserting the following:</w:t>
      </w:r>
    </w:p>
    <w:p>
      <w:pPr>
        <w:spacing w:after="0" w:line="175" w:lineRule="exact"/>
        <w:rPr>
          <w:rFonts w:ascii="Courier New" w:cs="Courier New" w:eastAsia="Courier New" w:hAnsi="Courier New"/>
          <w:sz w:val="15"/>
          <w:szCs w:val="15"/>
          <w:color w:val="auto"/>
        </w:rPr>
      </w:pPr>
    </w:p>
    <w:p>
      <w:pPr>
        <w:ind w:left="440" w:right="3039" w:firstLine="439"/>
        <w:spacing w:after="0" w:line="239" w:lineRule="auto"/>
        <w:tabs>
          <w:tab w:leader="none" w:pos="1328"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"$2,000,000 until Term Loan C shall have been timely paid in full and the terms of subsection 6.1(e)(ii) with respect to required EBTIDA of CECO shall have been satisfied for any period tested pursuant to such subsection, and."</w:t>
      </w:r>
    </w:p>
    <w:p>
      <w:pPr>
        <w:spacing w:after="0" w:line="176" w:lineRule="exact"/>
        <w:rPr>
          <w:rFonts w:ascii="Courier New" w:cs="Courier New" w:eastAsia="Courier New" w:hAnsi="Courier New"/>
          <w:sz w:val="15"/>
          <w:szCs w:val="15"/>
          <w:color w:val="auto"/>
        </w:rPr>
      </w:pPr>
    </w:p>
    <w:p>
      <w:pPr>
        <w:ind w:right="3219" w:firstLine="435"/>
        <w:spacing w:after="0" w:line="271" w:lineRule="auto"/>
        <w:tabs>
          <w:tab w:leader="none" w:pos="79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2.1(b) of the Credit Agreement is hereby amended by deleting "the EBITDA Threshold shall have been satisfied", and inserting the following:</w:t>
      </w:r>
    </w:p>
    <w:p>
      <w:pPr>
        <w:sectPr>
          <w:pgSz w:w="11900" w:h="16838" w:orient="portrait"/>
          <w:cols w:equalWidth="0" w:num="1">
            <w:col w:w="10139"/>
          </w:cols>
          <w:pgMar w:left="320" w:top="480" w:right="1440" w:bottom="1440" w:gutter="0" w:footer="0" w:header="0"/>
        </w:sectPr>
      </w:pPr>
    </w:p>
    <w:bookmarkStart w:id="101" w:name="page102"/>
    <w:bookmarkEnd w:id="101"/>
    <w:p>
      <w:pPr>
        <w:ind w:left="5" w:right="3039"/>
        <w:spacing w:after="0" w:line="239" w:lineRule="auto"/>
        <w:rPr>
          <w:sz w:val="20"/>
          <w:szCs w:val="20"/>
          <w:color w:val="auto"/>
        </w:rPr>
      </w:pPr>
      <w:r>
        <w:rPr>
          <w:rFonts w:ascii="Courier New" w:cs="Courier New" w:eastAsia="Courier New" w:hAnsi="Courier New"/>
          <w:sz w:val="15"/>
          <w:szCs w:val="15"/>
          <w:color w:val="auto"/>
        </w:rPr>
        <w:t>"the terms of subsection 6.1(e)(ii) with respect to required EBITDA of CECO shall have been satisfied for any period tested pursuant to such subsection,"</w:t>
      </w:r>
    </w:p>
    <w:p>
      <w:pPr>
        <w:spacing w:after="0" w:line="175" w:lineRule="exact"/>
        <w:rPr>
          <w:sz w:val="20"/>
          <w:szCs w:val="20"/>
          <w:color w:val="auto"/>
        </w:rPr>
      </w:pPr>
    </w:p>
    <w:p>
      <w:pPr>
        <w:ind w:left="-435" w:right="3219" w:firstLine="435"/>
        <w:spacing w:after="0" w:line="238" w:lineRule="auto"/>
        <w:tabs>
          <w:tab w:leader="none" w:pos="36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5.1(b) of the Credit Agreement is hereby amended by inserting the following at the end of such Section:</w:t>
      </w:r>
    </w:p>
    <w:p>
      <w:pPr>
        <w:spacing w:after="0" w:line="175" w:lineRule="exact"/>
        <w:rPr>
          <w:sz w:val="20"/>
          <w:szCs w:val="20"/>
          <w:color w:val="auto"/>
        </w:rPr>
      </w:pPr>
    </w:p>
    <w:p>
      <w:pPr>
        <w:ind w:left="5" w:right="3039"/>
        <w:spacing w:after="0" w:line="260" w:lineRule="auto"/>
        <w:rPr>
          <w:sz w:val="20"/>
          <w:szCs w:val="20"/>
          <w:color w:val="auto"/>
        </w:rPr>
      </w:pPr>
      <w:r>
        <w:rPr>
          <w:rFonts w:ascii="Courier New" w:cs="Courier New" w:eastAsia="Courier New" w:hAnsi="Courier New"/>
          <w:sz w:val="14"/>
          <w:szCs w:val="14"/>
          <w:color w:val="auto"/>
        </w:rPr>
        <w:t>"provided that, with respect to monthly periods ending on or before February 29, 2000 only, no consolidating statements of income, and no consolidating or consolidated balance sheets, statements of cash flow and statements of shareholders' equity shall be required to be delivered pursuant to this Section 5.1(b) for the applicable month; provided further, that the foregoing proviso shall not affect the requirement to deliver any other financial statements to be delivered under this subsection;"</w:t>
      </w:r>
    </w:p>
    <w:p>
      <w:pPr>
        <w:spacing w:after="0" w:line="163" w:lineRule="exact"/>
        <w:rPr>
          <w:sz w:val="20"/>
          <w:szCs w:val="20"/>
          <w:color w:val="auto"/>
        </w:rPr>
      </w:pPr>
    </w:p>
    <w:p>
      <w:pPr>
        <w:ind w:left="-435" w:right="3139" w:firstLine="435"/>
        <w:spacing w:after="0" w:line="239" w:lineRule="auto"/>
        <w:tabs>
          <w:tab w:leader="none" w:pos="364"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6.1(e) of the Credit Agreement is hereby amended by deleting the amount "$562,500" in the third line thereof and inserting "$250,000" in its place.</w:t>
      </w:r>
    </w:p>
    <w:p>
      <w:pPr>
        <w:spacing w:after="0" w:line="175" w:lineRule="exact"/>
        <w:rPr>
          <w:sz w:val="20"/>
          <w:szCs w:val="20"/>
          <w:color w:val="auto"/>
        </w:rPr>
      </w:pPr>
    </w:p>
    <w:p>
      <w:pPr>
        <w:ind w:left="-435" w:right="3139" w:firstLine="435"/>
        <w:spacing w:after="0" w:line="239" w:lineRule="auto"/>
        <w:tabs>
          <w:tab w:leader="none" w:pos="275"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the Loan Documents. All references to the Credit Agreement in the Loan Documents and in any documents executed in connection therewith shall be deemed to refer to the Credit Agreement as heretofore amended and as amended by this Agreement.</w:t>
      </w:r>
    </w:p>
    <w:p>
      <w:pPr>
        <w:spacing w:after="0" w:line="176" w:lineRule="exact"/>
        <w:rPr>
          <w:rFonts w:ascii="Courier New" w:cs="Courier New" w:eastAsia="Courier New" w:hAnsi="Courier New"/>
          <w:sz w:val="15"/>
          <w:szCs w:val="15"/>
          <w:color w:val="auto"/>
        </w:rPr>
      </w:pPr>
    </w:p>
    <w:p>
      <w:pPr>
        <w:ind w:left="-435" w:right="3039" w:firstLine="435"/>
        <w:spacing w:after="0"/>
        <w:tabs>
          <w:tab w:leader="none" w:pos="275"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the Loan Documents. Notwithstanding anything to the contrary herein contained or any claims of the parties to the contrary, the Agent, the Banks and the Borrowers agree that the Loan Documents and each of the documents executed in connection therewith are in full force and effect and each such document shall remain in full force and effect, as further amended by this Agreement, and each of the Borrowers hereby ratifies and confirms its obligations thereunder.</w:t>
      </w:r>
    </w:p>
    <w:p>
      <w:pPr>
        <w:spacing w:after="0" w:line="173" w:lineRule="exact"/>
        <w:rPr>
          <w:rFonts w:ascii="Courier New" w:cs="Courier New" w:eastAsia="Courier New" w:hAnsi="Courier New"/>
          <w:sz w:val="15"/>
          <w:szCs w:val="15"/>
          <w:color w:val="auto"/>
        </w:rPr>
      </w:pPr>
    </w:p>
    <w:p>
      <w:pPr>
        <w:ind w:left="265" w:hanging="265"/>
        <w:spacing w:after="0"/>
        <w:tabs>
          <w:tab w:leader="none" w:pos="265"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w:t>
      </w:r>
    </w:p>
    <w:p>
      <w:pPr>
        <w:spacing w:after="0" w:line="174" w:lineRule="exact"/>
        <w:rPr>
          <w:sz w:val="20"/>
          <w:szCs w:val="20"/>
          <w:color w:val="auto"/>
        </w:rPr>
      </w:pPr>
    </w:p>
    <w:p>
      <w:pPr>
        <w:ind w:left="-435" w:right="3039" w:firstLine="435"/>
        <w:spacing w:after="0"/>
        <w:tabs>
          <w:tab w:leader="none" w:pos="364"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hereby certifies that (i) the representations and warranties of such Borrower in the Credit Agreement are true and correct in all material respects as of the date hereof, as if made on the date hereof and (ii) no Event of Default and no event which could become an Event of Default with the passage of time or the giving of notice, or both, under the Credit Agreement or the other Loan Documents exists on the date hereof.</w:t>
      </w:r>
    </w:p>
    <w:p>
      <w:pPr>
        <w:spacing w:after="0" w:line="175" w:lineRule="exact"/>
        <w:rPr>
          <w:rFonts w:ascii="Courier New" w:cs="Courier New" w:eastAsia="Courier New" w:hAnsi="Courier New"/>
          <w:sz w:val="15"/>
          <w:szCs w:val="15"/>
          <w:color w:val="auto"/>
        </w:rPr>
      </w:pPr>
    </w:p>
    <w:p>
      <w:pPr>
        <w:ind w:left="-435" w:right="3039" w:firstLine="435"/>
        <w:spacing w:after="0"/>
        <w:tabs>
          <w:tab w:leader="none" w:pos="364"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further represents that it has all the requisite power and authority to enter into and to perform its obligations under this Agreement, and that the execution, delivery and performance of this Agreement have been duly authorized by all requisite action and will not violate or constitute a default under any provision of any applicable law, rule, regulation, order, writ, judgment, injunction, decree, determination or award presently in effect or of the Articles of Incorporation or by-laws of such Borrower, or of any indenture, note, loan or credit agreement, license or any other agreement, lease or instrument to which such Borrower is a party or by which such Borrower of any of its properties are bound.</w:t>
      </w:r>
    </w:p>
    <w:p>
      <w:pPr>
        <w:spacing w:after="0" w:line="176"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04"/>
          </w:cols>
          <w:pgMar w:left="755" w:top="631" w:right="1440" w:bottom="1440" w:gutter="0" w:footer="0" w:header="0"/>
        </w:sectPr>
      </w:pPr>
    </w:p>
    <w:bookmarkStart w:id="102" w:name="page103"/>
    <w:bookmarkEnd w:id="102"/>
    <w:p>
      <w:pPr>
        <w:ind w:left="-435" w:right="3139" w:firstLine="435"/>
        <w:spacing w:after="0" w:line="239" w:lineRule="auto"/>
        <w:tabs>
          <w:tab w:leader="none" w:pos="36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also further represents that its obligation to repay the Loans, together with all interest accrued thereon, is absolute and unconditional, and there exists no right of set off or recoupment, counterclaim or defense of any nature whatsoever to payment of the Loans.</w:t>
      </w:r>
    </w:p>
    <w:p>
      <w:pPr>
        <w:spacing w:after="0" w:line="176" w:lineRule="exact"/>
        <w:rPr>
          <w:rFonts w:ascii="Courier New" w:cs="Courier New" w:eastAsia="Courier New" w:hAnsi="Courier New"/>
          <w:sz w:val="15"/>
          <w:szCs w:val="15"/>
          <w:color w:val="auto"/>
        </w:rPr>
      </w:pPr>
    </w:p>
    <w:p>
      <w:pPr>
        <w:jc w:val="both"/>
        <w:ind w:left="-435" w:right="3219" w:firstLine="435"/>
        <w:spacing w:after="0" w:line="239" w:lineRule="auto"/>
        <w:tabs>
          <w:tab w:leader="none" w:pos="36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also further represents that there have been no changes to the Articles of Incorporation, by-laws or other organizational documents of each such Borrower since the most recent date true and correct copies thereof were delivered to the Agent.</w:t>
      </w:r>
    </w:p>
    <w:p>
      <w:pPr>
        <w:spacing w:after="0" w:line="177" w:lineRule="exact"/>
        <w:rPr>
          <w:sz w:val="20"/>
          <w:szCs w:val="20"/>
          <w:color w:val="auto"/>
        </w:rPr>
      </w:pPr>
    </w:p>
    <w:p>
      <w:pPr>
        <w:ind w:left="-435" w:right="3219" w:firstLine="435"/>
        <w:spacing w:after="0" w:line="239" w:lineRule="auto"/>
        <w:tabs>
          <w:tab w:leader="none" w:pos="275"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Precedent. The effectiveness of the amendments set forth herein is subject to the fulfillment, to the satisfaction of the Agent and its counsel, of the following conditions precedent:</w:t>
      </w:r>
    </w:p>
    <w:p>
      <w:pPr>
        <w:spacing w:after="0" w:line="175" w:lineRule="exact"/>
        <w:rPr>
          <w:sz w:val="20"/>
          <w:szCs w:val="20"/>
          <w:color w:val="auto"/>
        </w:rPr>
      </w:pPr>
    </w:p>
    <w:p>
      <w:pPr>
        <w:ind w:left="-435" w:right="3039" w:firstLine="435"/>
        <w:spacing w:after="0" w:line="239" w:lineRule="auto"/>
        <w:tabs>
          <w:tab w:leader="none" w:pos="364"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shall have delivered to the Agent the following, all of which shall be in form and substance satisfactory to the Agent and shall be duly completed and executed:</w:t>
      </w:r>
    </w:p>
    <w:p>
      <w:pPr>
        <w:spacing w:after="0" w:line="175" w:lineRule="exact"/>
        <w:rPr>
          <w:rFonts w:ascii="Courier New" w:cs="Courier New" w:eastAsia="Courier New" w:hAnsi="Courier New"/>
          <w:sz w:val="15"/>
          <w:szCs w:val="15"/>
          <w:color w:val="auto"/>
        </w:rPr>
      </w:pPr>
    </w:p>
    <w:p>
      <w:pPr>
        <w:ind w:left="5" w:right="3039" w:firstLine="439"/>
        <w:spacing w:after="0" w:line="238" w:lineRule="auto"/>
        <w:tabs>
          <w:tab w:leader="none" w:pos="804"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consent of the Guarantor (as defined in the Guaranty) attached hereto; and</w:t>
      </w:r>
    </w:p>
    <w:p>
      <w:pPr>
        <w:spacing w:after="0" w:line="175" w:lineRule="exact"/>
        <w:rPr>
          <w:rFonts w:ascii="Courier New" w:cs="Courier New" w:eastAsia="Courier New" w:hAnsi="Courier New"/>
          <w:sz w:val="15"/>
          <w:szCs w:val="15"/>
          <w:color w:val="auto"/>
        </w:rPr>
      </w:pPr>
    </w:p>
    <w:p>
      <w:pPr>
        <w:ind w:left="5" w:right="3319" w:firstLine="439"/>
        <w:spacing w:after="0" w:line="239" w:lineRule="auto"/>
        <w:tabs>
          <w:tab w:leader="none" w:pos="893"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additional documents, certificates and information as the Agent may require pursuant to the terms hereof or otherwise reasonably request.</w:t>
      </w:r>
    </w:p>
    <w:p>
      <w:pPr>
        <w:spacing w:after="0" w:line="175" w:lineRule="exact"/>
        <w:rPr>
          <w:rFonts w:ascii="Courier New" w:cs="Courier New" w:eastAsia="Courier New" w:hAnsi="Courier New"/>
          <w:sz w:val="15"/>
          <w:szCs w:val="15"/>
          <w:color w:val="auto"/>
        </w:rPr>
      </w:pPr>
    </w:p>
    <w:p>
      <w:pPr>
        <w:ind w:left="-435" w:right="3219" w:firstLine="435"/>
        <w:spacing w:after="0" w:line="239" w:lineRule="auto"/>
        <w:tabs>
          <w:tab w:leader="none" w:pos="364"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the amendments contained herein, the representations and warranties set forth in the Credit Agreement shall be true and correct on and as of the date hereof.</w:t>
      </w:r>
    </w:p>
    <w:p>
      <w:pPr>
        <w:spacing w:after="0" w:line="175" w:lineRule="exact"/>
        <w:rPr>
          <w:rFonts w:ascii="Courier New" w:cs="Courier New" w:eastAsia="Courier New" w:hAnsi="Courier New"/>
          <w:sz w:val="15"/>
          <w:szCs w:val="15"/>
          <w:color w:val="auto"/>
        </w:rPr>
      </w:pPr>
    </w:p>
    <w:p>
      <w:pPr>
        <w:ind w:left="-435" w:right="3039" w:firstLine="435"/>
        <w:spacing w:after="0" w:line="239" w:lineRule="auto"/>
        <w:tabs>
          <w:tab w:leader="none" w:pos="364"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the amendments contained herein, no Event of Default hereunder, and no event which, with the passage of time or the giving of notice, or both, would become such an Event of Default shall have occurred and be continuing as of the date hereof.</w:t>
      </w:r>
    </w:p>
    <w:p>
      <w:pPr>
        <w:spacing w:after="0" w:line="176" w:lineRule="exact"/>
        <w:rPr>
          <w:rFonts w:ascii="Courier New" w:cs="Courier New" w:eastAsia="Courier New" w:hAnsi="Courier New"/>
          <w:sz w:val="15"/>
          <w:szCs w:val="15"/>
          <w:color w:val="auto"/>
        </w:rPr>
      </w:pPr>
    </w:p>
    <w:p>
      <w:pPr>
        <w:ind w:left="-435" w:right="3139" w:firstLine="435"/>
        <w:spacing w:after="0" w:line="238" w:lineRule="auto"/>
        <w:tabs>
          <w:tab w:leader="none" w:pos="364"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shall have paid the reasonable fees and disbursements of the Agent's counsel incurred in connection with this Agreement.</w:t>
      </w:r>
    </w:p>
    <w:p>
      <w:pPr>
        <w:spacing w:after="0" w:line="175" w:lineRule="exact"/>
        <w:rPr>
          <w:sz w:val="20"/>
          <w:szCs w:val="20"/>
          <w:color w:val="auto"/>
        </w:rPr>
      </w:pPr>
    </w:p>
    <w:p>
      <w:pPr>
        <w:ind w:left="-435" w:right="3039" w:firstLine="435"/>
        <w:spacing w:after="0"/>
        <w:tabs>
          <w:tab w:leader="none" w:pos="27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Waiver. Except as expressly provided herein, this Agreement does not and shall not be deemed to constitute a waiver by the Agent or the Banks of any Event of Default, or of any event which with the passage of time or the giving of notice or both would constitute an Event of Default, nor does it obligate the Agent or the Banks to agree to any further modifications to the Credit Agreement or any other Loan Document or constitute a waiver of any of the Agent's or the Banks' other rights or remedies.</w:t>
      </w:r>
    </w:p>
    <w:p>
      <w:pPr>
        <w:spacing w:after="0" w:line="173"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04"/>
          </w:cols>
          <w:pgMar w:left="755" w:top="631" w:right="1440" w:bottom="1440" w:gutter="0" w:footer="0" w:header="0"/>
        </w:sectPr>
      </w:pPr>
    </w:p>
    <w:bookmarkStart w:id="103" w:name="page104"/>
    <w:bookmarkEnd w:id="103"/>
    <w:p>
      <w:pPr>
        <w:ind w:right="3219" w:firstLine="444"/>
        <w:spacing w:after="0" w:line="238" w:lineRule="auto"/>
        <w:rPr>
          <w:sz w:val="20"/>
          <w:szCs w:val="20"/>
          <w:color w:val="auto"/>
        </w:rPr>
      </w:pPr>
      <w:r>
        <w:rPr>
          <w:rFonts w:ascii="Courier New" w:cs="Courier New" w:eastAsia="Courier New" w:hAnsi="Courier New"/>
          <w:sz w:val="15"/>
          <w:szCs w:val="15"/>
          <w:color w:val="auto"/>
        </w:rPr>
        <w:t>IN WITNESS WHEREOF, the parties hereto have executed this Agreement as of the day and year first above written.</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CECO GROUP, INC.</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 /s/ Richard J. Blum</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tabs>
          <w:tab w:leader="none" w:pos="40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Richard J. Blum</w:t>
      </w:r>
    </w:p>
    <w:p>
      <w:pPr>
        <w:spacing w:after="0" w:line="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Title: President, Chief Executive Officer</w:t>
      </w:r>
    </w:p>
    <w:p>
      <w:pPr>
        <w:spacing w:after="0" w:line="3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CECO FILTERS, INC.</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 /s/ Richard J. Blum</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tabs>
          <w:tab w:leader="none" w:pos="40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Richard J. Blum</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AIR PURATOR CORPORATION</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 /s/ Richard J. Blum</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tabs>
          <w:tab w:leader="none" w:pos="40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Richard J. Blum</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NEW BUSCH CO., INC.</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 /s/ Richard J. Blum</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tabs>
          <w:tab w:leader="none" w:pos="40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Richard J. Blum</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801" w:right="1440" w:bottom="1440" w:gutter="0" w:footer="0" w:header="0"/>
        </w:sectPr>
      </w:pPr>
    </w:p>
    <w:bookmarkStart w:id="104" w:name="page105"/>
    <w:bookmarkEnd w:id="104"/>
    <w:p>
      <w:pPr>
        <w:ind w:left="2420"/>
        <w:spacing w:after="0"/>
        <w:rPr>
          <w:sz w:val="20"/>
          <w:szCs w:val="20"/>
          <w:color w:val="auto"/>
        </w:rPr>
      </w:pPr>
      <w:r>
        <w:rPr>
          <w:rFonts w:ascii="Courier New" w:cs="Courier New" w:eastAsia="Courier New" w:hAnsi="Courier New"/>
          <w:sz w:val="14"/>
          <w:szCs w:val="14"/>
          <w:color w:val="auto"/>
        </w:rPr>
        <w:t>THE KIRK &amp; BLUM MANUFACTURING COMPANY</w:t>
      </w:r>
    </w:p>
    <w:p>
      <w:pPr>
        <w:spacing w:after="0" w:line="351"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By: /s/ Richard J. Blum</w:t>
      </w:r>
    </w:p>
    <w:p>
      <w:pPr>
        <w:spacing w:after="0" w:line="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420"/>
        <w:spacing w:after="0"/>
        <w:tabs>
          <w:tab w:leader="none" w:pos="30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Richard J. Blum</w:t>
      </w:r>
    </w:p>
    <w:p>
      <w:pPr>
        <w:spacing w:after="0" w:line="1"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Title: President</w:t>
      </w:r>
    </w:p>
    <w:p>
      <w:pPr>
        <w:spacing w:after="0" w:line="34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KBD/TECHNIC, INC.</w:t>
      </w:r>
    </w:p>
    <w:p>
      <w:pPr>
        <w:spacing w:after="0" w:line="34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By: /s/ Richard J. Blum</w:t>
      </w:r>
    </w:p>
    <w:p>
      <w:pPr>
        <w:spacing w:after="0" w:line="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420"/>
        <w:spacing w:after="0"/>
        <w:tabs>
          <w:tab w:leader="none" w:pos="30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Richard J. Blum</w:t>
      </w:r>
    </w:p>
    <w:p>
      <w:pPr>
        <w:spacing w:after="0" w:line="1"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Title: Chairman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PNC BANK, NATIONAL ASSOCIATION,</w:t>
      </w:r>
    </w:p>
    <w:p>
      <w:pPr>
        <w:spacing w:after="0" w:line="1"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as Agent and as a Bank</w:t>
      </w:r>
    </w:p>
    <w:p>
      <w:pPr>
        <w:spacing w:after="0" w:line="34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By: /s/ Nicholas J. Rucciuti</w:t>
      </w:r>
    </w:p>
    <w:p>
      <w:pPr>
        <w:spacing w:after="0" w:line="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FIFTH THIRD BANK, as a Bank</w:t>
      </w:r>
    </w:p>
    <w:p>
      <w:pPr>
        <w:spacing w:after="0" w:line="34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By: /s/ David R. Alexander</w:t>
      </w:r>
    </w:p>
    <w:p>
      <w:pPr>
        <w:spacing w:after="0" w:line="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BANK ONE, N.A., as a Bank</w:t>
      </w:r>
    </w:p>
    <w:p>
      <w:pPr>
        <w:spacing w:after="0" w:line="34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By: /s/ Mark G. Palazzo</w:t>
      </w:r>
    </w:p>
    <w:p>
      <w:pPr>
        <w:spacing w:after="0" w:line="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631" w:right="1440" w:bottom="1440" w:gutter="0" w:footer="0" w:header="0"/>
        </w:sectPr>
      </w:pPr>
    </w:p>
    <w:bookmarkStart w:id="105" w:name="page106"/>
    <w:bookmarkEnd w:id="105"/>
    <w:p>
      <w:pPr>
        <w:jc w:val="center"/>
        <w:ind w:right="3139"/>
        <w:spacing w:after="0"/>
        <w:rPr>
          <w:sz w:val="20"/>
          <w:szCs w:val="20"/>
          <w:color w:val="auto"/>
        </w:rPr>
      </w:pPr>
      <w:r>
        <w:rPr>
          <w:rFonts w:ascii="Courier New" w:cs="Courier New" w:eastAsia="Courier New" w:hAnsi="Courier New"/>
          <w:sz w:val="15"/>
          <w:szCs w:val="15"/>
          <w:color w:val="auto"/>
        </w:rPr>
        <w:t>GUARANTOR'S CONSENT</w:t>
      </w:r>
    </w:p>
    <w:p>
      <w:pPr>
        <w:spacing w:after="0" w:line="174" w:lineRule="exact"/>
        <w:rPr>
          <w:sz w:val="20"/>
          <w:szCs w:val="20"/>
          <w:color w:val="auto"/>
        </w:rPr>
      </w:pPr>
    </w:p>
    <w:p>
      <w:pPr>
        <w:ind w:right="3039" w:firstLine="444"/>
        <w:spacing w:after="0"/>
        <w:rPr>
          <w:sz w:val="20"/>
          <w:szCs w:val="20"/>
          <w:color w:val="auto"/>
        </w:rPr>
      </w:pPr>
      <w:r>
        <w:rPr>
          <w:rFonts w:ascii="Courier New" w:cs="Courier New" w:eastAsia="Courier New" w:hAnsi="Courier New"/>
          <w:sz w:val="15"/>
          <w:szCs w:val="15"/>
          <w:color w:val="auto"/>
        </w:rPr>
        <w:t>By Corporate Guaranty, dated December 7, 2000 (the "Guaranty"), the undersigned (the "Guarantor") guaranteed to the Agent and the Banks (as defined therein), subject to the terms and conditions set forth therein, the prompt payment and performance of all of the Obligations (as defined therein). The Guarantor consents to the Borrowers' execution of the foregoing Amendment to Credit Agreement. The Guarantor hereby acknowledges and agrees that the Guaranty remains unaltered and in full force and effect and is hereby ratified and confirmed.</w:t>
      </w:r>
    </w:p>
    <w:p>
      <w:pPr>
        <w:spacing w:after="0" w:line="200" w:lineRule="exact"/>
        <w:rPr>
          <w:sz w:val="20"/>
          <w:szCs w:val="20"/>
          <w:color w:val="auto"/>
        </w:rPr>
      </w:pPr>
    </w:p>
    <w:p>
      <w:pPr>
        <w:spacing w:after="0" w:line="31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CECO ENVIRONMENTAL CORP.</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 /s/ Marshall Morris</w:t>
      </w:r>
    </w:p>
    <w:p>
      <w:pPr>
        <w:spacing w:after="0" w:line="3"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Title: Chief Financial Officer</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628" w:right="1440" w:bottom="1440" w:gutter="0" w:footer="0" w:header="0"/>
        </w:sectPr>
      </w:pPr>
    </w:p>
    <w:bookmarkStart w:id="106" w:name="page107"/>
    <w:bookmarkEnd w:id="106"/>
    <w:p>
      <w:pPr>
        <w:spacing w:after="0" w:line="200" w:lineRule="exact"/>
        <w:rPr>
          <w:sz w:val="20"/>
          <w:szCs w:val="20"/>
          <w:color w:val="auto"/>
        </w:rPr>
      </w:pPr>
    </w:p>
    <w:p>
      <w:pPr>
        <w:spacing w:after="0" w:line="206" w:lineRule="exact"/>
        <w:rPr>
          <w:sz w:val="20"/>
          <w:szCs w:val="20"/>
          <w:color w:val="auto"/>
        </w:rPr>
      </w:pPr>
    </w:p>
    <w:p>
      <w:pPr>
        <w:jc w:val="right"/>
        <w:ind w:right="3139"/>
        <w:spacing w:after="0"/>
        <w:rPr>
          <w:sz w:val="20"/>
          <w:szCs w:val="20"/>
          <w:color w:val="auto"/>
        </w:rPr>
      </w:pPr>
      <w:r>
        <w:rPr>
          <w:rFonts w:ascii="Courier New" w:cs="Courier New" w:eastAsia="Courier New" w:hAnsi="Courier New"/>
          <w:sz w:val="15"/>
          <w:szCs w:val="15"/>
          <w:color w:val="auto"/>
        </w:rPr>
        <w:t>Exhibit 21</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Subsidiaries of the Company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Ceco Group,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Ceco Filters, Inc. (subsidiary of Ceco Group,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Kirk &amp; Blum Manufacturing Company (subsidiary of Ceco Group,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kbd/Technic, Inc. (subsidiary of Ceco Group,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Air Purator Corporation (subsidiary of Ceco Filters,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Busch Co., Inc. (subsidiary of Ceco Filters, Inc.)</w:t>
      </w:r>
    </w:p>
    <w:p>
      <w:pPr>
        <w:sectPr>
          <w:pgSz w:w="11900" w:h="16838" w:orient="portrait"/>
          <w:cols w:equalWidth="0" w:num="1">
            <w:col w:w="10139"/>
          </w:cols>
          <w:pgMar w:left="320" w:top="1440" w:right="1440" w:bottom="1440" w:gutter="0" w:footer="0" w:header="0"/>
        </w:sectPr>
      </w:pPr>
    </w:p>
    <w:bookmarkStart w:id="107" w:name="page108"/>
    <w:bookmarkEnd w:id="107"/>
    <w:p>
      <w:pPr>
        <w:ind w:left="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STATEMENTS OF CECO ENVIRONMENTAL CORP. AND SUBSIDIARIES AS OF AND FOR THE YEAR ENDED DECEMBER 31, 1999 AND IS QUALIFIED IN ITS ENTIRETY BY REFERENCE TO SUCH FINANCIAL STATEMENTS.</w:t>
      </w:r>
    </w:p>
    <w:p>
      <w:pPr>
        <w:spacing w:after="0" w:line="200" w:lineRule="exact"/>
        <w:rPr>
          <w:sz w:val="20"/>
          <w:szCs w:val="20"/>
          <w:color w:val="auto"/>
        </w:rPr>
      </w:pPr>
    </w:p>
    <w:p>
      <w:pPr>
        <w:spacing w:after="0" w:line="31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DEC-31-1999</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DEC-31-1999</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1,134,792</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2,690,919</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17,204,539</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125,000</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2,173,010</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27,276,256</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16,542,891</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2,298,434</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51,073,426</w:t>
      </w:r>
    </w:p>
    <w:p>
      <w:pPr>
        <w:spacing w:after="0" w:line="1"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12,934,084</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31,077,734</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83,888</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8,954,230</w:t>
      </w:r>
    </w:p>
    <w:p>
      <w:pPr>
        <w:spacing w:after="0" w:line="1"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51,073,426</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10,050,851</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23,861,782</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5,636,317</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23,420,211</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310,000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643,795</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295,714</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151,362</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144,352</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(509,401)</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(366,161)</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(.04)</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(.04)</w:t>
      </w:r>
    </w:p>
    <w:sectPr>
      <w:pgSz w:w="11900" w:h="16838" w:orient="portrait"/>
      <w:cols w:equalWidth="0" w:num="1">
        <w:col w:w="10119"/>
      </w:cols>
      <w:pgMar w:left="340" w:top="4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amp;"/>
      <w:numFmt w:val="bullet"/>
      <w:start w:val="1"/>
    </w:lvl>
  </w:abstractNum>
  <w:abstractNum w:abstractNumId="1">
    <w:nsid w:val="77465F01"/>
    <w:multiLevelType w:val="hybridMultilevel"/>
    <w:lvl w:ilvl="0">
      <w:lvlJc w:val="left"/>
      <w:lvlText w:val="(%1)"/>
      <w:numFmt w:val="lowerLetter"/>
      <w:start w:val="1"/>
    </w:lvl>
  </w:abstractNum>
  <w:abstractNum w:abstractNumId="2">
    <w:nsid w:val="7724C67E"/>
    <w:multiLevelType w:val="hybridMultilevel"/>
    <w:lvl w:ilvl="0">
      <w:lvlJc w:val="left"/>
      <w:lvlText w:val="(%1)"/>
      <w:numFmt w:val="lowerLetter"/>
      <w:start w:val="2"/>
    </w:lvl>
  </w:abstractNum>
  <w:abstractNum w:abstractNumId="3">
    <w:nsid w:val="5C482A97"/>
    <w:multiLevelType w:val="hybridMultilevel"/>
    <w:lvl w:ilvl="0">
      <w:lvlJc w:val="left"/>
      <w:lvlText w:val="(%1)"/>
      <w:numFmt w:val="decimal"/>
      <w:start w:val="1"/>
    </w:lvl>
  </w:abstractNum>
  <w:abstractNum w:abstractNumId="4">
    <w:nsid w:val="2463B9EA"/>
    <w:multiLevelType w:val="hybridMultilevel"/>
    <w:lvl w:ilvl="0">
      <w:lvlJc w:val="left"/>
      <w:lvlText w:val="(%1)"/>
      <w:numFmt w:val="lowerRoman"/>
      <w:start w:val="2"/>
    </w:lvl>
  </w:abstractNum>
  <w:abstractNum w:abstractNumId="5">
    <w:nsid w:val="5E884ADC"/>
    <w:multiLevelType w:val="hybridMultilevel"/>
    <w:lvl w:ilvl="0">
      <w:lvlJc w:val="left"/>
      <w:lvlText w:val="(%1)"/>
      <w:numFmt w:val="decimal"/>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1)"/>
      <w:numFmt w:val="decimal"/>
      <w:start w:val="1"/>
    </w:lvl>
  </w:abstractNum>
  <w:abstractNum w:abstractNumId="8">
    <w:nsid w:val="580BD78F"/>
    <w:multiLevelType w:val="hybridMultilevel"/>
    <w:lvl w:ilvl="0">
      <w:lvlJc w:val="left"/>
      <w:lvlText w:val="(%1)"/>
      <w:numFmt w:val="decimal"/>
      <w:start w:val="1"/>
    </w:lvl>
  </w:abstractNum>
  <w:abstractNum w:abstractNumId="9">
    <w:nsid w:val="153EA438"/>
    <w:multiLevelType w:val="hybridMultilevel"/>
    <w:lvl w:ilvl="0">
      <w:lvlJc w:val="left"/>
      <w:lvlText w:val="(%1)"/>
      <w:numFmt w:val="lowerLetter"/>
      <w:start w:val="1"/>
    </w:lvl>
  </w:abstractNum>
  <w:abstractNum w:abstractNumId="10">
    <w:nsid w:val="3855585C"/>
    <w:multiLevelType w:val="hybridMultilevel"/>
    <w:lvl w:ilvl="0">
      <w:lvlJc w:val="left"/>
      <w:lvlText w:val="(%1)"/>
      <w:numFmt w:val="decimal"/>
      <w:start w:val="1"/>
    </w:lvl>
  </w:abstractNum>
  <w:abstractNum w:abstractNumId="11">
    <w:nsid w:val="70A64E2A"/>
    <w:multiLevelType w:val="hybridMultilevel"/>
    <w:lvl w:ilvl="0">
      <w:lvlJc w:val="left"/>
      <w:lvlText w:val="(%1)"/>
      <w:numFmt w:val="decimal"/>
      <w:start w:val="5"/>
    </w:lvl>
  </w:abstractNum>
  <w:abstractNum w:abstractNumId="12">
    <w:nsid w:val="6A2342EC"/>
    <w:multiLevelType w:val="hybridMultilevel"/>
    <w:lvl w:ilvl="0">
      <w:lvlJc w:val="left"/>
      <w:lvlText w:val="(%1)"/>
      <w:numFmt w:val="lowerLetter"/>
      <w:start w:val="2"/>
    </w:lvl>
  </w:abstractNum>
  <w:abstractNum w:abstractNumId="13">
    <w:nsid w:val="2A487CB0"/>
    <w:multiLevelType w:val="hybridMultilevel"/>
    <w:lvl w:ilvl="0">
      <w:lvlJc w:val="left"/>
      <w:lvlText w:val="-"/>
      <w:numFmt w:val="bullet"/>
      <w:start w:val="1"/>
    </w:lvl>
    <w:lvl w:ilvl="1">
      <w:lvlJc w:val="left"/>
      <w:lvlText w:val="(%2)"/>
      <w:numFmt w:val="decimal"/>
      <w:start w:val="1"/>
    </w:lvl>
  </w:abstractNum>
  <w:abstractNum w:abstractNumId="14">
    <w:nsid w:val="1D4ED43B"/>
    <w:multiLevelType w:val="hybridMultilevel"/>
    <w:lvl w:ilvl="0">
      <w:lvlJc w:val="left"/>
      <w:lvlText w:val="%1"/>
      <w:numFmt w:val="decimal"/>
      <w:start w:val="21"/>
    </w:lvl>
  </w:abstractNum>
  <w:abstractNum w:abstractNumId="15">
    <w:nsid w:val="725A06FB"/>
    <w:multiLevelType w:val="hybridMultilevel"/>
    <w:lvl w:ilvl="0">
      <w:lvlJc w:val="left"/>
      <w:lvlText w:val="%1"/>
      <w:numFmt w:val="decimal"/>
      <w:start w:val="27"/>
    </w:lvl>
  </w:abstractNum>
  <w:abstractNum w:abstractNumId="16">
    <w:nsid w:val="2CD89A32"/>
    <w:multiLevelType w:val="hybridMultilevel"/>
    <w:lvl w:ilvl="0">
      <w:lvlJc w:val="left"/>
      <w:lvlText w:val="(%1)"/>
      <w:numFmt w:val="lowerLetter"/>
      <w:start w:val="2"/>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1."/>
      <w:numFmt w:val="decimal"/>
      <w:start w:val="1"/>
    </w:lvl>
    <w:lvl w:ilvl="1">
      <w:lvlJc w:val="left"/>
      <w:lvlText w:val="%"/>
      <w:numFmt w:val="bullet"/>
      <w:start w:val="1"/>
    </w:lvl>
  </w:abstractNum>
  <w:abstractNum w:abstractNumId="23">
    <w:nsid w:val="7644A45C"/>
    <w:multiLevelType w:val="hybridMultilevel"/>
    <w:lvl w:ilvl="0">
      <w:lvlJc w:val="left"/>
      <w:lvlText w:val="%1."/>
      <w:numFmt w:val="decimal"/>
      <w:start w:val="1"/>
    </w:lvl>
  </w:abstractNum>
  <w:abstractNum w:abstractNumId="24">
    <w:nsid w:val="32FFF902"/>
    <w:multiLevelType w:val="hybridMultilevel"/>
    <w:lvl w:ilvl="0">
      <w:lvlJc w:val="left"/>
      <w:lvlText w:val="%1."/>
      <w:numFmt w:val="decimal"/>
      <w:start w:val="1"/>
    </w:lvl>
  </w:abstractNum>
  <w:abstractNum w:abstractNumId="25">
    <w:nsid w:val="684A481A"/>
    <w:multiLevelType w:val="hybridMultilevel"/>
    <w:lvl w:ilvl="0">
      <w:lvlJc w:val="left"/>
      <w:lvlText w:val="%1."/>
      <w:numFmt w:val="decimal"/>
      <w:start w:val="2"/>
    </w:lvl>
  </w:abstractNum>
  <w:abstractNum w:abstractNumId="26">
    <w:nsid w:val="579478FE"/>
    <w:multiLevelType w:val="hybridMultilevel"/>
    <w:lvl w:ilvl="0">
      <w:lvlJc w:val="left"/>
      <w:lvlText w:val="%1."/>
      <w:numFmt w:val="decimal"/>
      <w:start w:val="5"/>
    </w:lvl>
  </w:abstractNum>
  <w:abstractNum w:abstractNumId="27">
    <w:nsid w:val="749ABB43"/>
    <w:multiLevelType w:val="hybridMultilevel"/>
    <w:lvl w:ilvl="0">
      <w:lvlJc w:val="left"/>
      <w:lvlText w:val="%1."/>
      <w:numFmt w:val="decimal"/>
      <w:start w:val="5"/>
    </w:lvl>
  </w:abstractNum>
  <w:abstractNum w:abstractNumId="28">
    <w:nsid w:val="3DC240FB"/>
    <w:multiLevelType w:val="hybridMultilevel"/>
    <w:lvl w:ilvl="0">
      <w:lvlJc w:val="left"/>
      <w:lvlText w:val="%1."/>
      <w:numFmt w:val="decimal"/>
      <w:start w:val="7"/>
    </w:lvl>
  </w:abstractNum>
  <w:abstractNum w:abstractNumId="29">
    <w:nsid w:val="1BA026FA"/>
    <w:multiLevelType w:val="hybridMultilevel"/>
    <w:lvl w:ilvl="0">
      <w:lvlJc w:val="left"/>
      <w:lvlText w:val="%1."/>
      <w:numFmt w:val="decimal"/>
      <w:start w:val="9"/>
    </w:lvl>
  </w:abstractNum>
  <w:abstractNum w:abstractNumId="30">
    <w:nsid w:val="79A1DEAA"/>
    <w:multiLevelType w:val="hybridMultilevel"/>
    <w:lvl w:ilvl="0">
      <w:lvlJc w:val="left"/>
      <w:lvlText w:val="%1."/>
      <w:numFmt w:val="decimal"/>
      <w:start w:val="11"/>
    </w:lvl>
  </w:abstractNum>
  <w:abstractNum w:abstractNumId="31">
    <w:nsid w:val="75C6C33A"/>
    <w:multiLevelType w:val="hybridMultilevel"/>
    <w:lvl w:ilvl="0">
      <w:lvlJc w:val="left"/>
      <w:lvlText w:val="%1."/>
      <w:numFmt w:val="decimal"/>
      <w:start w:val="12"/>
    </w:lvl>
  </w:abstractNum>
  <w:abstractNum w:abstractNumId="32">
    <w:nsid w:val="12E685FB"/>
    <w:multiLevelType w:val="hybridMultilevel"/>
    <w:lvl w:ilvl="0">
      <w:lvlJc w:val="left"/>
      <w:lvlText w:val="%1."/>
      <w:numFmt w:val="decimal"/>
      <w:start w:val="13"/>
    </w:lvl>
  </w:abstractNum>
  <w:abstractNum w:abstractNumId="33">
    <w:nsid w:val="70C6A529"/>
    <w:multiLevelType w:val="hybridMultilevel"/>
    <w:lvl w:ilvl="0">
      <w:lvlJc w:val="left"/>
      <w:lvlText w:val="%1."/>
      <w:numFmt w:val="decimal"/>
      <w:start w:val="14"/>
    </w:lvl>
  </w:abstractNum>
  <w:abstractNum w:abstractNumId="34">
    <w:nsid w:val="520EEDD1"/>
    <w:multiLevelType w:val="hybridMultilevel"/>
    <w:lvl w:ilvl="0">
      <w:lvlJc w:val="left"/>
      <w:lvlText w:val="%1."/>
      <w:numFmt w:val="decimal"/>
      <w:start w:val="15"/>
    </w:lvl>
  </w:abstractNum>
  <w:abstractNum w:abstractNumId="35">
    <w:nsid w:val="374A3FE6"/>
    <w:multiLevelType w:val="hybridMultilevel"/>
    <w:lvl w:ilvl="0">
      <w:lvlJc w:val="left"/>
      <w:lvlText w:val="%1."/>
      <w:numFmt w:val="decimal"/>
      <w:start w:val="16"/>
    </w:lvl>
  </w:abstractNum>
  <w:abstractNum w:abstractNumId="36">
    <w:nsid w:val="4F4EF005"/>
    <w:multiLevelType w:val="hybridMultilevel"/>
    <w:lvl w:ilvl="0">
      <w:lvlJc w:val="left"/>
      <w:lvlText w:val="%1."/>
      <w:numFmt w:val="decimal"/>
      <w:start w:val="18"/>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1."/>
      <w:numFmt w:val="decimal"/>
      <w:start w:val="2"/>
    </w:lvl>
  </w:abstractNum>
  <w:abstractNum w:abstractNumId="39">
    <w:nsid w:val="275AC794"/>
    <w:multiLevelType w:val="hybridMultilevel"/>
    <w:lvl w:ilvl="0">
      <w:lvlJc w:val="left"/>
      <w:lvlText w:val="%1."/>
      <w:numFmt w:val="decimal"/>
      <w:start w:val="5"/>
    </w:lvl>
  </w:abstractNum>
  <w:abstractNum w:abstractNumId="40">
    <w:nsid w:val="39386575"/>
    <w:multiLevelType w:val="hybridMultilevel"/>
    <w:lvl w:ilvl="0">
      <w:lvlJc w:val="left"/>
      <w:lvlText w:val="%1."/>
      <w:numFmt w:val="decimal"/>
      <w:start w:val="6"/>
    </w:lvl>
  </w:abstractNum>
  <w:abstractNum w:abstractNumId="41">
    <w:nsid w:val="1CF10FD8"/>
    <w:multiLevelType w:val="hybridMultilevel"/>
    <w:lvl w:ilvl="0">
      <w:lvlJc w:val="left"/>
      <w:lvlText w:val="%1."/>
      <w:numFmt w:val="decimal"/>
      <w:start w:val="7"/>
    </w:lvl>
  </w:abstractNum>
  <w:abstractNum w:abstractNumId="42">
    <w:nsid w:val="180115BE"/>
    <w:multiLevelType w:val="hybridMultilevel"/>
    <w:lvl w:ilvl="0">
      <w:lvlJc w:val="left"/>
      <w:lvlText w:val="(%1)"/>
      <w:numFmt w:val="lowerLetter"/>
      <w:start w:val="1"/>
    </w:lvl>
  </w:abstractNum>
  <w:abstractNum w:abstractNumId="43">
    <w:nsid w:val="235BA861"/>
    <w:multiLevelType w:val="hybridMultilevel"/>
    <w:lvl w:ilvl="0">
      <w:lvlJc w:val="left"/>
      <w:lvlText w:val="(%1)"/>
      <w:numFmt w:val="lowerLetter"/>
      <w:start w:val="2"/>
    </w:lvl>
  </w:abstractNum>
  <w:abstractNum w:abstractNumId="44">
    <w:nsid w:val="47398C89"/>
    <w:multiLevelType w:val="hybridMultilevel"/>
    <w:lvl w:ilvl="0">
      <w:lvlJc w:val="left"/>
      <w:lvlText w:val="(%1)"/>
      <w:numFmt w:val="lowerLetter"/>
      <w:start w:val="1"/>
    </w:lvl>
  </w:abstractNum>
  <w:abstractNum w:abstractNumId="45">
    <w:nsid w:val="354FE9F9"/>
    <w:multiLevelType w:val="hybridMultilevel"/>
    <w:lvl w:ilvl="0">
      <w:lvlJc w:val="left"/>
      <w:lvlText w:val="(%1)"/>
      <w:numFmt w:val="lowerLetter"/>
      <w:start w:val="5"/>
    </w:lvl>
  </w:abstractNum>
  <w:abstractNum w:abstractNumId="46">
    <w:nsid w:val="15B5AF5C"/>
    <w:multiLevelType w:val="hybridMultilevel"/>
    <w:lvl w:ilvl="0">
      <w:lvlJc w:val="left"/>
      <w:lvlText w:val="(%1)"/>
      <w:numFmt w:val="lowerLetter"/>
      <w:start w:val="6"/>
    </w:lvl>
  </w:abstractNum>
  <w:abstractNum w:abstractNumId="47">
    <w:nsid w:val="741226BB"/>
    <w:multiLevelType w:val="hybridMultilevel"/>
    <w:lvl w:ilvl="0">
      <w:lvlJc w:val="left"/>
      <w:lvlText w:val="(%1)"/>
      <w:numFmt w:val="lowerLetter"/>
      <w:start w:val="9"/>
    </w:lvl>
  </w:abstractNum>
  <w:abstractNum w:abstractNumId="48">
    <w:nsid w:val="D34B6A8"/>
    <w:multiLevelType w:val="hybridMultilevel"/>
    <w:lvl w:ilvl="0">
      <w:lvlJc w:val="left"/>
      <w:lvlText w:val="%1"/>
      <w:numFmt w:val="decimal"/>
      <w:start w:val="1"/>
    </w:lvl>
    <w:lvl w:ilvl="1">
      <w:lvlJc w:val="left"/>
      <w:lvlText w:val="(%2)"/>
      <w:numFmt w:val="lowerLetter"/>
      <w:start w:val="11"/>
    </w:lvl>
  </w:abstractNum>
  <w:abstractNum w:abstractNumId="49">
    <w:nsid w:val="10233C99"/>
    <w:multiLevelType w:val="hybridMultilevel"/>
    <w:lvl w:ilvl="0">
      <w:lvlJc w:val="left"/>
      <w:lvlText w:val="%1."/>
      <w:numFmt w:val="decimal"/>
      <w:start w:val="10"/>
    </w:lvl>
    <w:lvl w:ilvl="1">
      <w:lvlJc w:val="left"/>
      <w:lvlText w:val="%2"/>
      <w:numFmt w:val="lowerLetter"/>
      <w:start w:val="1"/>
    </w:lvl>
  </w:abstractNum>
  <w:abstractNum w:abstractNumId="50">
    <w:nsid w:val="3F6AB60F"/>
    <w:multiLevelType w:val="hybridMultilevel"/>
    <w:lvl w:ilvl="0">
      <w:lvlJc w:val="left"/>
      <w:lvlText w:val="%1"/>
      <w:numFmt w:val="decimal"/>
      <w:start w:val="1"/>
    </w:lvl>
    <w:lvl w:ilvl="1">
      <w:lvlJc w:val="left"/>
      <w:lvlText w:val="(%2)"/>
      <w:numFmt w:val="lowerLetter"/>
      <w:start w:val="1"/>
    </w:lvl>
  </w:abstractNum>
  <w:abstractNum w:abstractNumId="51">
    <w:nsid w:val="61574095"/>
    <w:multiLevelType w:val="hybridMultilevel"/>
    <w:lvl w:ilvl="0">
      <w:lvlJc w:val="left"/>
      <w:lvlText w:val="%1."/>
      <w:numFmt w:val="decimal"/>
      <w:start w:val="11"/>
    </w:lvl>
    <w:lvl w:ilvl="1">
      <w:lvlJc w:val="left"/>
      <w:lvlText w:val="%2"/>
      <w:numFmt w:val="lowerLetter"/>
      <w:start w:val="1"/>
    </w:lvl>
  </w:abstractNum>
  <w:abstractNum w:abstractNumId="52">
    <w:nsid w:val="7E0C57B1"/>
    <w:multiLevelType w:val="hybridMultilevel"/>
    <w:lvl w:ilvl="0">
      <w:lvlJc w:val="left"/>
      <w:lvlText w:val="(%1)"/>
      <w:numFmt w:val="lowerRoman"/>
      <w:start w:val="2"/>
    </w:lvl>
  </w:abstractNum>
  <w:abstractNum w:abstractNumId="53">
    <w:nsid w:val="77AE35EB"/>
    <w:multiLevelType w:val="hybridMultilevel"/>
    <w:lvl w:ilvl="0">
      <w:lvlJc w:val="left"/>
      <w:lvlText w:val="(%1)"/>
      <w:numFmt w:val="lowerLetter"/>
      <w:start w:val="2"/>
    </w:lvl>
  </w:abstractNum>
  <w:abstractNum w:abstractNumId="54">
    <w:nsid w:val="579BE4F1"/>
    <w:multiLevelType w:val="hybridMultilevel"/>
    <w:lvl w:ilvl="0">
      <w:lvlJc w:val="left"/>
      <w:lvlText w:val="%1."/>
      <w:numFmt w:val="decimal"/>
      <w:start w:val="12"/>
    </w:lvl>
  </w:abstractNum>
  <w:abstractNum w:abstractNumId="55">
    <w:nsid w:val="310C50B3"/>
    <w:multiLevelType w:val="hybridMultilevel"/>
    <w:lvl w:ilvl="0">
      <w:lvlJc w:val="left"/>
      <w:lvlText w:val="%1."/>
      <w:numFmt w:val="decimal"/>
      <w:start w:val="13"/>
    </w:lvl>
  </w:abstractNum>
  <w:abstractNum w:abstractNumId="56">
    <w:nsid w:val="5FF87E05"/>
    <w:multiLevelType w:val="hybridMultilevel"/>
    <w:lvl w:ilvl="0">
      <w:lvlJc w:val="left"/>
      <w:lvlText w:val="%1."/>
      <w:numFmt w:val="decimal"/>
      <w:start w:val="15"/>
    </w:lvl>
  </w:abstractNum>
  <w:abstractNum w:abstractNumId="57">
    <w:nsid w:val="2F305DE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8">
    <w:nsid w:val="25A70BF7"/>
    <w:multiLevelType w:val="hybridMultilevel"/>
    <w:lvl w:ilvl="0">
      <w:lvlJc w:val="left"/>
      <w:lvlText w:val="(%1)"/>
      <w:numFmt w:val="decimal"/>
      <w:start w:val="15"/>
    </w:lvl>
    <w:lvl w:ilvl="1">
      <w:lvlJc w:val="left"/>
      <w:lvlText w:val="%2."/>
      <w:numFmt w:val="decimal"/>
      <w:start w:val="16"/>
    </w:lvl>
    <w:lvl w:ilvl="2">
      <w:lvlJc w:val="left"/>
      <w:lvlText w:val="%3"/>
      <w:numFmt w:val="lowerLetter"/>
      <w:start w:val="1"/>
    </w:lvl>
  </w:abstractNum>
  <w:abstractNum w:abstractNumId="59">
    <w:nsid w:val="1DBABF00"/>
    <w:multiLevelType w:val="hybridMultilevel"/>
    <w:lvl w:ilvl="0">
      <w:lvlJc w:val="left"/>
      <w:lvlText w:val="%1"/>
      <w:numFmt w:val="decimal"/>
      <w:start w:val="1"/>
    </w:lvl>
    <w:lvl w:ilvl="1">
      <w:lvlJc w:val="left"/>
      <w:lvlText w:val="(%2)"/>
      <w:numFmt w:val="lowerLetter"/>
      <w:start w:val="1"/>
    </w:lvl>
  </w:abstractNum>
  <w:abstractNum w:abstractNumId="60">
    <w:nsid w:val="4AD084E9"/>
    <w:multiLevelType w:val="hybridMultilevel"/>
    <w:lvl w:ilvl="0">
      <w:lvlJc w:val="left"/>
      <w:lvlText w:val="%1."/>
      <w:numFmt w:val="decimal"/>
      <w:start w:val="17"/>
    </w:lvl>
    <w:lvl w:ilvl="1">
      <w:lvlJc w:val="left"/>
      <w:lvlText w:val="%2"/>
      <w:numFmt w:val="lowerLetter"/>
      <w:start w:val="1"/>
    </w:lvl>
  </w:abstractNum>
  <w:abstractNum w:abstractNumId="61">
    <w:nsid w:val="1F48EAA1"/>
    <w:multiLevelType w:val="hybridMultilevel"/>
    <w:lvl w:ilvl="0">
      <w:lvlJc w:val="left"/>
      <w:lvlText w:val="%1."/>
      <w:numFmt w:val="decimal"/>
      <w:start w:val="20"/>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lowerLetter"/>
      <w:start w:val="1"/>
    </w:lvl>
    <w:lvl w:ilvl="1">
      <w:lvlJc w:val="left"/>
      <w:lvlText w:val="(%2)"/>
      <w:numFmt w:val="lowerLetter"/>
      <w:start w:val="35"/>
    </w:lvl>
  </w:abstractNum>
  <w:abstractNum w:abstractNumId="64">
    <w:nsid w:val="100F8FCA"/>
    <w:multiLevelType w:val="hybridMultilevel"/>
    <w:lvl w:ilvl="0">
      <w:lvlJc w:val="left"/>
      <w:lvlText w:val="(%1)"/>
      <w:numFmt w:val="lowerLetter"/>
      <w:start w:val="4"/>
    </w:lvl>
  </w:abstractNum>
  <w:abstractNum w:abstractNumId="65">
    <w:nsid w:val="6590700B"/>
    <w:multiLevelType w:val="hybridMultilevel"/>
    <w:lvl w:ilvl="0">
      <w:lvlJc w:val="left"/>
      <w:lvlText w:val="(%1)"/>
      <w:numFmt w:val="lowerLetter"/>
      <w:start w:val="5"/>
    </w:lvl>
  </w:abstractNum>
  <w:abstractNum w:abstractNumId="66">
    <w:nsid w:val="15014ACB"/>
    <w:multiLevelType w:val="hybridMultilevel"/>
    <w:lvl w:ilvl="0">
      <w:lvlJc w:val="left"/>
      <w:lvlText w:val="%1."/>
      <w:numFmt w:val="decimal"/>
      <w:start w:val="3"/>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lowerLetter"/>
      <w:start w:val="3"/>
    </w:lvl>
  </w:abstractNum>
  <w:abstractNum w:abstractNumId="69">
    <w:nsid w:val="799D0247"/>
    <w:multiLevelType w:val="hybridMultilevel"/>
    <w:lvl w:ilvl="0">
      <w:lvlJc w:val="left"/>
      <w:lvlText w:val="%1."/>
      <w:numFmt w:val="decimal"/>
      <w:start w:val="6"/>
    </w:lvl>
  </w:abstractNum>
  <w:abstractNum w:abstractNumId="70">
    <w:nsid w:val="6B94764"/>
    <w:multiLevelType w:val="hybridMultilevel"/>
    <w:lvl w:ilvl="0">
      <w:lvlJc w:val="left"/>
      <w:lvlText w:val="(%1)"/>
      <w:numFmt w:val="lowerLetter"/>
      <w:start w:val="1"/>
    </w:lvl>
    <w:lvl w:ilvl="1">
      <w:lvlJc w:val="left"/>
      <w:lvlText w:val="(%2)"/>
      <w:numFmt w:val="lowerRoman"/>
      <w:start w:val="1"/>
    </w:lvl>
  </w:abstractNum>
  <w:abstractNum w:abstractNumId="71">
    <w:nsid w:val="42C296B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2020-10-07T09:30:09Z</dcterms:created>
  <dcterms:modified xsi:type="dcterms:W3CDTF">2020-10-07T09:30:09Z</dcterms:modified>
</cp:coreProperties>
</file>