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330200</wp:posOffset>
            </wp:positionH>
            <wp:positionV relativeFrom="page">
              <wp:posOffset>66040</wp:posOffset>
            </wp:positionV>
            <wp:extent cx="70866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29845"/>
                    </a:xfrm>
                    <a:prstGeom prst="rect">
                      <a:avLst/>
                    </a:prstGeom>
                    <a:noFill/>
                  </pic:spPr>
                </pic:pic>
              </a:graphicData>
            </a:graphic>
          </wp:anchor>
        </w:drawing>
        <w:t>UNITED STATES</w:t>
      </w:r>
    </w:p>
    <w:p>
      <w:pPr>
        <w:spacing w:after="0" w:line="24"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2940050</wp:posOffset>
            </wp:positionH>
            <wp:positionV relativeFrom="paragraph">
              <wp:posOffset>69850</wp:posOffset>
            </wp:positionV>
            <wp:extent cx="12236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3645" cy="8255"/>
                    </a:xfrm>
                    <a:prstGeom prst="rect">
                      <a:avLst/>
                    </a:prstGeom>
                    <a:noFill/>
                  </pic:spPr>
                </pic:pic>
              </a:graphicData>
            </a:graphic>
          </wp:anchor>
        </w:drawing>
      </w:r>
    </w:p>
    <w:p>
      <w:pPr>
        <w:spacing w:after="0" w:line="223"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2940050</wp:posOffset>
            </wp:positionH>
            <wp:positionV relativeFrom="paragraph">
              <wp:posOffset>90170</wp:posOffset>
            </wp:positionV>
            <wp:extent cx="12236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3645" cy="8255"/>
                    </a:xfrm>
                    <a:prstGeom prst="rect">
                      <a:avLst/>
                    </a:prstGeom>
                    <a:noFill/>
                  </pic:spPr>
                </pic:pic>
              </a:graphicData>
            </a:graphic>
          </wp:anchor>
        </w:drawing>
      </w:r>
    </w:p>
    <w:p>
      <w:pPr>
        <w:spacing w:after="0" w:line="268" w:lineRule="exact"/>
        <w:rPr>
          <w:sz w:val="24"/>
          <w:szCs w:val="24"/>
          <w:color w:val="auto"/>
        </w:rPr>
      </w:pPr>
    </w:p>
    <w:p>
      <w:pPr>
        <w:jc w:val="center"/>
        <w:ind w:right="-279"/>
        <w:spacing w:after="0"/>
        <w:rPr>
          <w:sz w:val="20"/>
          <w:szCs w:val="20"/>
          <w:color w:val="auto"/>
        </w:rPr>
      </w:pPr>
      <w:r>
        <w:rPr>
          <w:rFonts w:ascii="Arial" w:cs="Arial" w:eastAsia="Arial" w:hAnsi="Arial"/>
          <w:sz w:val="21"/>
          <w:szCs w:val="21"/>
          <w:b w:val="1"/>
          <w:bCs w:val="1"/>
          <w:color w:val="auto"/>
        </w:rPr>
        <w:t>CURRENT REPORT</w:t>
      </w:r>
    </w:p>
    <w:p>
      <w:pPr>
        <w:spacing w:after="0" w:line="160" w:lineRule="exact"/>
        <w:rPr>
          <w:sz w:val="24"/>
          <w:szCs w:val="24"/>
          <w:color w:val="auto"/>
        </w:rPr>
      </w:pPr>
    </w:p>
    <w:p>
      <w:pPr>
        <w:jc w:val="center"/>
        <w:ind w:right="-27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73" w:lineRule="exact"/>
        <w:rPr>
          <w:sz w:val="24"/>
          <w:szCs w:val="24"/>
          <w:color w:val="auto"/>
        </w:rPr>
      </w:pPr>
    </w:p>
    <w:p>
      <w:pPr>
        <w:jc w:val="center"/>
        <w:ind w:right="-279"/>
        <w:spacing w:after="0"/>
        <w:rPr>
          <w:sz w:val="20"/>
          <w:szCs w:val="20"/>
          <w:color w:val="auto"/>
        </w:rPr>
      </w:pPr>
      <w:r>
        <w:rPr>
          <w:rFonts w:ascii="Arial" w:cs="Arial" w:eastAsia="Arial" w:hAnsi="Arial"/>
          <w:sz w:val="17"/>
          <w:szCs w:val="17"/>
          <w:b w:val="1"/>
          <w:bCs w:val="1"/>
          <w:color w:val="auto"/>
        </w:rPr>
        <w:t>Date of Report (Date of earliest event reported): August 8,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2940050</wp:posOffset>
            </wp:positionH>
            <wp:positionV relativeFrom="paragraph">
              <wp:posOffset>88900</wp:posOffset>
            </wp:positionV>
            <wp:extent cx="1223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3645" cy="8255"/>
                    </a:xfrm>
                    <a:prstGeom prst="rect">
                      <a:avLst/>
                    </a:prstGeom>
                    <a:noFill/>
                  </pic:spPr>
                </pic:pic>
              </a:graphicData>
            </a:graphic>
          </wp:anchor>
        </w:drawing>
      </w:r>
    </w:p>
    <w:p>
      <w:pPr>
        <w:spacing w:after="0" w:line="251"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CECO ENVIRONMENTAL CORP.</w:t>
      </w:r>
    </w:p>
    <w:p>
      <w:pPr>
        <w:spacing w:after="0" w:line="45" w:lineRule="exact"/>
        <w:rPr>
          <w:sz w:val="24"/>
          <w:szCs w:val="24"/>
          <w:color w:val="auto"/>
        </w:rPr>
      </w:pPr>
    </w:p>
    <w:p>
      <w:pPr>
        <w:jc w:val="center"/>
        <w:ind w:right="-27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2940050</wp:posOffset>
            </wp:positionH>
            <wp:positionV relativeFrom="paragraph">
              <wp:posOffset>66040</wp:posOffset>
            </wp:positionV>
            <wp:extent cx="12236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3645" cy="8255"/>
                    </a:xfrm>
                    <a:prstGeom prst="rect">
                      <a:avLst/>
                    </a:prstGeom>
                    <a:noFill/>
                  </pic:spPr>
                </pic:pic>
              </a:graphicData>
            </a:graphic>
          </wp:anchor>
        </w:drawing>
      </w:r>
    </w:p>
    <w:p>
      <w:pPr>
        <w:spacing w:after="0" w:line="190" w:lineRule="exact"/>
        <w:rPr>
          <w:sz w:val="24"/>
          <w:szCs w:val="24"/>
          <w:color w:val="auto"/>
        </w:rPr>
      </w:pPr>
    </w:p>
    <w:tbl>
      <w:tblPr>
        <w:tblLayout w:type="fixed"/>
        <w:tblInd w:w="1140" w:type="dxa"/>
        <w:tblCellMar>
          <w:top w:w="0" w:type="dxa"/>
          <w:left w:w="0" w:type="dxa"/>
          <w:bottom w:w="0" w:type="dxa"/>
          <w:right w:w="0" w:type="dxa"/>
        </w:tblCellMar>
      </w:tblPr>
      <w:tr>
        <w:trPr>
          <w:trHeight w:val="216"/>
        </w:trPr>
        <w:tc>
          <w:tcPr>
            <w:tcW w:w="1740" w:type="dxa"/>
            <w:vAlign w:val="bottom"/>
          </w:tcPr>
          <w:p>
            <w:pPr>
              <w:jc w:val="center"/>
              <w:ind w:right="126"/>
              <w:spacing w:after="0"/>
              <w:rPr>
                <w:sz w:val="20"/>
                <w:szCs w:val="20"/>
                <w:color w:val="auto"/>
              </w:rPr>
            </w:pPr>
            <w:r>
              <w:rPr>
                <w:rFonts w:ascii="Arial" w:cs="Arial" w:eastAsia="Arial" w:hAnsi="Arial"/>
                <w:sz w:val="17"/>
                <w:szCs w:val="17"/>
                <w:b w:val="1"/>
                <w:bCs w:val="1"/>
                <w:color w:val="auto"/>
                <w:w w:val="93"/>
              </w:rPr>
              <w:t>Delaware</w:t>
            </w:r>
          </w:p>
        </w:tc>
        <w:tc>
          <w:tcPr>
            <w:tcW w:w="3680" w:type="dxa"/>
            <w:vAlign w:val="bottom"/>
            <w:gridSpan w:val="2"/>
          </w:tcPr>
          <w:p>
            <w:pPr>
              <w:jc w:val="right"/>
              <w:ind w:right="518"/>
              <w:spacing w:after="0"/>
              <w:rPr>
                <w:sz w:val="20"/>
                <w:szCs w:val="20"/>
                <w:color w:val="auto"/>
              </w:rPr>
            </w:pPr>
            <w:r>
              <w:rPr>
                <w:rFonts w:ascii="Arial" w:cs="Arial" w:eastAsia="Arial" w:hAnsi="Arial"/>
                <w:sz w:val="17"/>
                <w:szCs w:val="17"/>
                <w:b w:val="1"/>
                <w:bCs w:val="1"/>
                <w:color w:val="auto"/>
              </w:rPr>
              <w:t>0-7099</w:t>
            </w:r>
          </w:p>
        </w:tc>
        <w:tc>
          <w:tcPr>
            <w:tcW w:w="1920" w:type="dxa"/>
            <w:vAlign w:val="bottom"/>
          </w:tcPr>
          <w:p>
            <w:pPr>
              <w:spacing w:after="0"/>
              <w:rPr>
                <w:sz w:val="18"/>
                <w:szCs w:val="18"/>
                <w:color w:val="auto"/>
              </w:rPr>
            </w:pPr>
          </w:p>
        </w:tc>
        <w:tc>
          <w:tcPr>
            <w:tcW w:w="1440" w:type="dxa"/>
            <w:vAlign w:val="bottom"/>
          </w:tcPr>
          <w:p>
            <w:pPr>
              <w:jc w:val="center"/>
              <w:ind w:left="326"/>
              <w:spacing w:after="0"/>
              <w:rPr>
                <w:sz w:val="20"/>
                <w:szCs w:val="20"/>
                <w:color w:val="auto"/>
              </w:rPr>
            </w:pPr>
            <w:r>
              <w:rPr>
                <w:rFonts w:ascii="Arial" w:cs="Arial" w:eastAsia="Arial" w:hAnsi="Arial"/>
                <w:sz w:val="17"/>
                <w:szCs w:val="17"/>
                <w:b w:val="1"/>
                <w:bCs w:val="1"/>
                <w:color w:val="auto"/>
                <w:w w:val="92"/>
              </w:rPr>
              <w:t>13-2566064</w:t>
            </w:r>
          </w:p>
        </w:tc>
      </w:tr>
      <w:tr>
        <w:trPr>
          <w:trHeight w:val="147"/>
        </w:trPr>
        <w:tc>
          <w:tcPr>
            <w:tcW w:w="1740" w:type="dxa"/>
            <w:vAlign w:val="bottom"/>
          </w:tcPr>
          <w:p>
            <w:pPr>
              <w:jc w:val="center"/>
              <w:ind w:right="126"/>
              <w:spacing w:after="0" w:line="148" w:lineRule="exact"/>
              <w:rPr>
                <w:sz w:val="20"/>
                <w:szCs w:val="20"/>
                <w:color w:val="auto"/>
              </w:rPr>
            </w:pPr>
            <w:r>
              <w:rPr>
                <w:rFonts w:ascii="Arial" w:cs="Arial" w:eastAsia="Arial" w:hAnsi="Arial"/>
                <w:sz w:val="13"/>
                <w:szCs w:val="13"/>
                <w:b w:val="1"/>
                <w:bCs w:val="1"/>
                <w:color w:val="auto"/>
                <w:w w:val="94"/>
              </w:rPr>
              <w:t>(State or other jurisdiction</w:t>
            </w:r>
          </w:p>
        </w:tc>
        <w:tc>
          <w:tcPr>
            <w:tcW w:w="1760" w:type="dxa"/>
            <w:vAlign w:val="bottom"/>
          </w:tcPr>
          <w:p>
            <w:pPr>
              <w:spacing w:after="0"/>
              <w:rPr>
                <w:sz w:val="12"/>
                <w:szCs w:val="12"/>
                <w:color w:val="auto"/>
              </w:rPr>
            </w:pPr>
          </w:p>
        </w:tc>
        <w:tc>
          <w:tcPr>
            <w:tcW w:w="3840" w:type="dxa"/>
            <w:vAlign w:val="bottom"/>
            <w:gridSpan w:val="2"/>
          </w:tcPr>
          <w:p>
            <w:pPr>
              <w:jc w:val="center"/>
              <w:ind w:right="1680"/>
              <w:spacing w:after="0" w:line="148" w:lineRule="exact"/>
              <w:rPr>
                <w:sz w:val="20"/>
                <w:szCs w:val="20"/>
                <w:color w:val="auto"/>
              </w:rPr>
            </w:pPr>
            <w:r>
              <w:rPr>
                <w:rFonts w:ascii="Arial" w:cs="Arial" w:eastAsia="Arial" w:hAnsi="Arial"/>
                <w:sz w:val="13"/>
                <w:szCs w:val="13"/>
                <w:b w:val="1"/>
                <w:bCs w:val="1"/>
                <w:color w:val="auto"/>
                <w:w w:val="94"/>
              </w:rPr>
              <w:t>(Commission File Number)</w:t>
            </w:r>
          </w:p>
        </w:tc>
        <w:tc>
          <w:tcPr>
            <w:tcW w:w="1440" w:type="dxa"/>
            <w:vAlign w:val="bottom"/>
          </w:tcPr>
          <w:p>
            <w:pPr>
              <w:jc w:val="center"/>
              <w:ind w:left="326"/>
              <w:spacing w:after="0" w:line="148" w:lineRule="exact"/>
              <w:rPr>
                <w:sz w:val="20"/>
                <w:szCs w:val="20"/>
                <w:color w:val="auto"/>
              </w:rPr>
            </w:pPr>
            <w:r>
              <w:rPr>
                <w:rFonts w:ascii="Arial" w:cs="Arial" w:eastAsia="Arial" w:hAnsi="Arial"/>
                <w:sz w:val="13"/>
                <w:szCs w:val="13"/>
                <w:b w:val="1"/>
                <w:bCs w:val="1"/>
                <w:color w:val="auto"/>
                <w:w w:val="98"/>
              </w:rPr>
              <w:t>(IRS Employer</w:t>
            </w:r>
          </w:p>
        </w:tc>
      </w:tr>
      <w:tr>
        <w:trPr>
          <w:trHeight w:val="173"/>
        </w:trPr>
        <w:tc>
          <w:tcPr>
            <w:tcW w:w="1740" w:type="dxa"/>
            <w:vAlign w:val="bottom"/>
          </w:tcPr>
          <w:p>
            <w:pPr>
              <w:jc w:val="center"/>
              <w:ind w:right="126"/>
              <w:spacing w:after="0"/>
              <w:rPr>
                <w:sz w:val="20"/>
                <w:szCs w:val="20"/>
                <w:color w:val="auto"/>
              </w:rPr>
            </w:pPr>
            <w:r>
              <w:rPr>
                <w:rFonts w:ascii="Arial" w:cs="Arial" w:eastAsia="Arial" w:hAnsi="Arial"/>
                <w:sz w:val="13"/>
                <w:szCs w:val="13"/>
                <w:b w:val="1"/>
                <w:bCs w:val="1"/>
                <w:color w:val="auto"/>
                <w:w w:val="94"/>
              </w:rPr>
              <w:t>of in corporation)</w:t>
            </w:r>
          </w:p>
        </w:tc>
        <w:tc>
          <w:tcPr>
            <w:tcW w:w="17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40" w:type="dxa"/>
            <w:vAlign w:val="bottom"/>
          </w:tcPr>
          <w:p>
            <w:pPr>
              <w:jc w:val="center"/>
              <w:ind w:left="326"/>
              <w:spacing w:after="0"/>
              <w:rPr>
                <w:sz w:val="20"/>
                <w:szCs w:val="20"/>
                <w:color w:val="auto"/>
              </w:rPr>
            </w:pPr>
            <w:r>
              <w:rPr>
                <w:rFonts w:ascii="Arial" w:cs="Arial" w:eastAsia="Arial" w:hAnsi="Arial"/>
                <w:sz w:val="13"/>
                <w:szCs w:val="13"/>
                <w:b w:val="1"/>
                <w:bCs w:val="1"/>
                <w:color w:val="auto"/>
                <w:w w:val="94"/>
              </w:rPr>
              <w:t>Identification No.)</w:t>
            </w:r>
          </w:p>
        </w:tc>
      </w:tr>
      <w:tr>
        <w:trPr>
          <w:trHeight w:val="360"/>
        </w:trPr>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40" w:type="dxa"/>
            <w:vAlign w:val="bottom"/>
            <w:gridSpan w:val="2"/>
          </w:tcPr>
          <w:p>
            <w:pPr>
              <w:jc w:val="center"/>
              <w:ind w:right="1940"/>
              <w:spacing w:after="0"/>
              <w:rPr>
                <w:sz w:val="20"/>
                <w:szCs w:val="20"/>
                <w:color w:val="auto"/>
              </w:rPr>
            </w:pPr>
            <w:r>
              <w:rPr>
                <w:rFonts w:ascii="Arial" w:cs="Arial" w:eastAsia="Arial" w:hAnsi="Arial"/>
                <w:sz w:val="17"/>
                <w:szCs w:val="17"/>
                <w:b w:val="1"/>
                <w:bCs w:val="1"/>
                <w:color w:val="auto"/>
                <w:w w:val="94"/>
              </w:rPr>
              <w:t>3120 Forrer Street,</w:t>
            </w:r>
          </w:p>
        </w:tc>
        <w:tc>
          <w:tcPr>
            <w:tcW w:w="1440" w:type="dxa"/>
            <w:vAlign w:val="bottom"/>
          </w:tcPr>
          <w:p>
            <w:pPr>
              <w:spacing w:after="0"/>
              <w:rPr>
                <w:sz w:val="24"/>
                <w:szCs w:val="24"/>
                <w:color w:val="auto"/>
              </w:rPr>
            </w:pPr>
          </w:p>
        </w:tc>
      </w:tr>
      <w:tr>
        <w:trPr>
          <w:trHeight w:val="216"/>
        </w:trPr>
        <w:tc>
          <w:tcPr>
            <w:tcW w:w="1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40" w:type="dxa"/>
            <w:vAlign w:val="bottom"/>
            <w:gridSpan w:val="2"/>
          </w:tcPr>
          <w:p>
            <w:pPr>
              <w:jc w:val="center"/>
              <w:ind w:right="1940"/>
              <w:spacing w:after="0"/>
              <w:rPr>
                <w:sz w:val="20"/>
                <w:szCs w:val="20"/>
                <w:color w:val="auto"/>
              </w:rPr>
            </w:pPr>
            <w:r>
              <w:rPr>
                <w:rFonts w:ascii="Arial" w:cs="Arial" w:eastAsia="Arial" w:hAnsi="Arial"/>
                <w:sz w:val="17"/>
                <w:szCs w:val="17"/>
                <w:b w:val="1"/>
                <w:bCs w:val="1"/>
                <w:color w:val="auto"/>
                <w:w w:val="95"/>
              </w:rPr>
              <w:t>Cincinnati, OH 45209</w:t>
            </w:r>
          </w:p>
        </w:tc>
        <w:tc>
          <w:tcPr>
            <w:tcW w:w="1440" w:type="dxa"/>
            <w:vAlign w:val="bottom"/>
          </w:tcPr>
          <w:p>
            <w:pPr>
              <w:spacing w:after="0"/>
              <w:rPr>
                <w:sz w:val="18"/>
                <w:szCs w:val="18"/>
                <w:color w:val="auto"/>
              </w:rPr>
            </w:pPr>
          </w:p>
        </w:tc>
      </w:tr>
      <w:tr>
        <w:trPr>
          <w:trHeight w:val="173"/>
        </w:trPr>
        <w:tc>
          <w:tcPr>
            <w:tcW w:w="1740" w:type="dxa"/>
            <w:vAlign w:val="bottom"/>
          </w:tcPr>
          <w:p>
            <w:pPr>
              <w:spacing w:after="0"/>
              <w:rPr>
                <w:sz w:val="15"/>
                <w:szCs w:val="15"/>
                <w:color w:val="auto"/>
              </w:rPr>
            </w:pPr>
          </w:p>
        </w:tc>
        <w:tc>
          <w:tcPr>
            <w:tcW w:w="56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1"/>
              </w:rPr>
              <w:t>(Address of principal executive offices, including zip code)</w:t>
            </w:r>
          </w:p>
        </w:tc>
        <w:tc>
          <w:tcPr>
            <w:tcW w:w="1440" w:type="dxa"/>
            <w:vAlign w:val="bottom"/>
          </w:tcPr>
          <w:p>
            <w:pPr>
              <w:spacing w:after="0"/>
              <w:rPr>
                <w:sz w:val="15"/>
                <w:szCs w:val="15"/>
                <w:color w:val="auto"/>
              </w:rPr>
            </w:pPr>
          </w:p>
        </w:tc>
      </w:tr>
      <w:tr>
        <w:trPr>
          <w:trHeight w:val="360"/>
        </w:trPr>
        <w:tc>
          <w:tcPr>
            <w:tcW w:w="1740" w:type="dxa"/>
            <w:vAlign w:val="bottom"/>
          </w:tcPr>
          <w:p>
            <w:pPr>
              <w:spacing w:after="0"/>
              <w:rPr>
                <w:sz w:val="24"/>
                <w:szCs w:val="24"/>
                <w:color w:val="auto"/>
              </w:rPr>
            </w:pPr>
          </w:p>
        </w:tc>
        <w:tc>
          <w:tcPr>
            <w:tcW w:w="560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w w:val="91"/>
              </w:rPr>
              <w:t>Registrant’s telephone number, including area code: (416) 593-6543</w:t>
            </w:r>
          </w:p>
        </w:tc>
        <w:tc>
          <w:tcPr>
            <w:tcW w:w="1440" w:type="dxa"/>
            <w:vAlign w:val="bottom"/>
          </w:tcPr>
          <w:p>
            <w:pPr>
              <w:spacing w:after="0"/>
              <w:rPr>
                <w:sz w:val="24"/>
                <w:szCs w:val="24"/>
                <w:color w:val="auto"/>
              </w:rPr>
            </w:pPr>
          </w:p>
        </w:tc>
      </w:tr>
      <w:tr>
        <w:trPr>
          <w:trHeight w:val="363"/>
        </w:trPr>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40" w:type="dxa"/>
            <w:vAlign w:val="bottom"/>
            <w:gridSpan w:val="2"/>
          </w:tcPr>
          <w:p>
            <w:pPr>
              <w:jc w:val="center"/>
              <w:ind w:right="1920"/>
              <w:spacing w:after="0"/>
              <w:rPr>
                <w:sz w:val="20"/>
                <w:szCs w:val="20"/>
                <w:color w:val="auto"/>
              </w:rPr>
            </w:pPr>
            <w:r>
              <w:rPr>
                <w:rFonts w:ascii="Arial" w:cs="Arial" w:eastAsia="Arial" w:hAnsi="Arial"/>
                <w:sz w:val="17"/>
                <w:szCs w:val="17"/>
                <w:b w:val="1"/>
                <w:bCs w:val="1"/>
                <w:color w:val="auto"/>
                <w:w w:val="92"/>
              </w:rPr>
              <w:t>Not applicable</w:t>
            </w:r>
          </w:p>
        </w:tc>
        <w:tc>
          <w:tcPr>
            <w:tcW w:w="1440" w:type="dxa"/>
            <w:vAlign w:val="bottom"/>
          </w:tcPr>
          <w:p>
            <w:pPr>
              <w:spacing w:after="0"/>
              <w:rPr>
                <w:sz w:val="24"/>
                <w:szCs w:val="24"/>
                <w:color w:val="auto"/>
              </w:rPr>
            </w:pPr>
          </w:p>
        </w:tc>
      </w:tr>
      <w:tr>
        <w:trPr>
          <w:trHeight w:val="173"/>
        </w:trPr>
        <w:tc>
          <w:tcPr>
            <w:tcW w:w="1740" w:type="dxa"/>
            <w:vAlign w:val="bottom"/>
          </w:tcPr>
          <w:p>
            <w:pPr>
              <w:spacing w:after="0"/>
              <w:rPr>
                <w:sz w:val="15"/>
                <w:szCs w:val="15"/>
                <w:color w:val="auto"/>
              </w:rPr>
            </w:pPr>
          </w:p>
        </w:tc>
        <w:tc>
          <w:tcPr>
            <w:tcW w:w="56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4"/>
              </w:rPr>
              <w:t>(Former Name or Former Address, if Changed Since Last Report)</w:t>
            </w:r>
          </w:p>
        </w:tc>
        <w:tc>
          <w:tcPr>
            <w:tcW w:w="1440" w:type="dxa"/>
            <w:vAlign w:val="bottom"/>
          </w:tcPr>
          <w:p>
            <w:pPr>
              <w:spacing w:after="0"/>
              <w:rPr>
                <w:sz w:val="15"/>
                <w:szCs w:val="15"/>
                <w:color w:val="auto"/>
              </w:rPr>
            </w:pPr>
          </w:p>
        </w:tc>
      </w:tr>
      <w:tr>
        <w:trPr>
          <w:trHeight w:val="94"/>
        </w:trPr>
        <w:tc>
          <w:tcPr>
            <w:tcW w:w="1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1440" w:type="dxa"/>
            <w:vAlign w:val="bottom"/>
          </w:tcPr>
          <w:p>
            <w:pPr>
              <w:spacing w:after="0"/>
              <w:rPr>
                <w:sz w:val="8"/>
                <w:szCs w:val="8"/>
                <w:color w:val="auto"/>
              </w:rPr>
            </w:pPr>
          </w:p>
        </w:tc>
      </w:tr>
    </w:tbl>
    <w:p>
      <w:pPr>
        <w:spacing w:after="0" w:line="152" w:lineRule="exact"/>
        <w:rPr>
          <w:sz w:val="24"/>
          <w:szCs w:val="24"/>
          <w:color w:val="auto"/>
        </w:rPr>
      </w:pPr>
    </w:p>
    <w:p>
      <w:pPr>
        <w:spacing w:after="0" w:line="267"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ind w:left="440" w:hanging="440"/>
        <w:spacing w:after="0"/>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0866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6600" cy="29845"/>
                    </a:xfrm>
                    <a:prstGeom prst="rect">
                      <a:avLst/>
                    </a:prstGeom>
                    <a:noFill/>
                  </pic:spPr>
                </pic:pic>
              </a:graphicData>
            </a:graphic>
          </wp:anchor>
        </w:drawing>
      </w:r>
    </w:p>
    <w:p>
      <w:pPr>
        <w:sectPr>
          <w:pgSz w:w="12240" w:h="15840" w:orient="portrait"/>
          <w:cols w:equalWidth="0" w:num="1">
            <w:col w:w="10920"/>
          </w:cols>
          <w:pgMar w:left="520" w:top="213" w:right="800"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6600" cy="27305"/>
                    </a:xfrm>
                    <a:prstGeom prst="rect">
                      <a:avLst/>
                    </a:prstGeom>
                    <a:noFill/>
                  </pic:spPr>
                </pic:pic>
              </a:graphicData>
            </a:graphic>
          </wp:anchor>
        </w:drawing>
        <w:t>Item 2.02. Results of Operations and Financial Condition.</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On August 8, 2007, CECO Environmental Corp. issued a press release announcing its financial results for the three and six months ended June 30, 2007.</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A copy of the press release is attached hereto as Exhibit 99.1 and is incorporated herein.</w:t>
      </w:r>
    </w:p>
    <w:p>
      <w:pPr>
        <w:spacing w:after="0" w:line="172" w:lineRule="exact"/>
        <w:rPr>
          <w:sz w:val="20"/>
          <w:szCs w:val="20"/>
          <w:color w:val="auto"/>
        </w:rPr>
      </w:pPr>
    </w:p>
    <w:p>
      <w:pPr>
        <w:jc w:val="both"/>
        <w:ind w:firstLine="447"/>
        <w:spacing w:after="0" w:line="278" w:lineRule="auto"/>
        <w:rPr>
          <w:sz w:val="20"/>
          <w:szCs w:val="20"/>
          <w:color w:val="auto"/>
        </w:rPr>
      </w:pPr>
      <w:r>
        <w:rPr>
          <w:rFonts w:ascii="Arial" w:cs="Arial" w:eastAsia="Arial" w:hAnsi="Arial"/>
          <w:sz w:val="17"/>
          <w:szCs w:val="17"/>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32" w:lineRule="exact"/>
        <w:rPr>
          <w:sz w:val="20"/>
          <w:szCs w:val="20"/>
          <w:color w:val="auto"/>
        </w:rPr>
      </w:pPr>
    </w:p>
    <w:p>
      <w:pPr>
        <w:ind w:left="880" w:hanging="438"/>
        <w:spacing w:after="0"/>
        <w:tabs>
          <w:tab w:leader="none" w:pos="88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spacing w:after="0"/>
              <w:rPr>
                <w:sz w:val="20"/>
                <w:szCs w:val="20"/>
                <w:color w:val="auto"/>
              </w:rPr>
            </w:pPr>
            <w:r>
              <w:rPr>
                <w:rFonts w:ascii="Arial" w:cs="Arial" w:eastAsia="Arial" w:hAnsi="Arial"/>
                <w:sz w:val="13"/>
                <w:szCs w:val="13"/>
                <w:b w:val="1"/>
                <w:bCs w:val="1"/>
                <w:color w:val="auto"/>
              </w:rPr>
              <w:t>Exhibit</w:t>
            </w:r>
          </w:p>
        </w:tc>
        <w:tc>
          <w:tcPr>
            <w:tcW w:w="440" w:type="dxa"/>
            <w:vAlign w:val="bottom"/>
          </w:tcPr>
          <w:p>
            <w:pPr>
              <w:spacing w:after="0"/>
              <w:rPr>
                <w:sz w:val="13"/>
                <w:szCs w:val="13"/>
                <w:color w:val="auto"/>
              </w:rPr>
            </w:pPr>
          </w:p>
        </w:tc>
        <w:tc>
          <w:tcPr>
            <w:tcW w:w="10240" w:type="dxa"/>
            <w:vAlign w:val="bottom"/>
          </w:tcPr>
          <w:p>
            <w:pPr>
              <w:spacing w:after="0"/>
              <w:rPr>
                <w:sz w:val="13"/>
                <w:szCs w:val="13"/>
                <w:color w:val="auto"/>
              </w:rPr>
            </w:pPr>
          </w:p>
        </w:tc>
      </w:tr>
      <w:tr>
        <w:trPr>
          <w:trHeight w:val="173"/>
        </w:trPr>
        <w:tc>
          <w:tcPr>
            <w:tcW w:w="480" w:type="dxa"/>
            <w:vAlign w:val="bottom"/>
          </w:tcPr>
          <w:p>
            <w:pPr>
              <w:spacing w:after="0"/>
              <w:rPr>
                <w:sz w:val="20"/>
                <w:szCs w:val="20"/>
                <w:color w:val="auto"/>
              </w:rPr>
            </w:pPr>
            <w:r>
              <w:rPr>
                <w:rFonts w:ascii="Arial" w:cs="Arial" w:eastAsia="Arial" w:hAnsi="Arial"/>
                <w:sz w:val="13"/>
                <w:szCs w:val="13"/>
                <w:b w:val="1"/>
                <w:bCs w:val="1"/>
                <w:color w:val="auto"/>
                <w:w w:val="93"/>
              </w:rPr>
              <w:t>Number</w:t>
            </w:r>
          </w:p>
        </w:tc>
        <w:tc>
          <w:tcPr>
            <w:tcW w:w="10680" w:type="dxa"/>
            <w:vAlign w:val="bottom"/>
            <w:gridSpan w:val="2"/>
          </w:tcPr>
          <w:p>
            <w:pPr>
              <w:ind w:left="440"/>
              <w:spacing w:after="0"/>
              <w:rPr>
                <w:sz w:val="20"/>
                <w:szCs w:val="20"/>
                <w:color w:val="auto"/>
              </w:rPr>
            </w:pPr>
            <w:r>
              <w:rPr>
                <w:rFonts w:ascii="Arial" w:cs="Arial" w:eastAsia="Arial" w:hAnsi="Arial"/>
                <w:sz w:val="13"/>
                <w:szCs w:val="13"/>
                <w:b w:val="1"/>
                <w:bCs w:val="1"/>
                <w:color w:val="auto"/>
              </w:rPr>
              <w:t>Exhibit Title</w:t>
            </w:r>
          </w:p>
        </w:tc>
      </w:tr>
      <w:tr>
        <w:trPr>
          <w:trHeight w:val="214"/>
        </w:trPr>
        <w:tc>
          <w:tcPr>
            <w:tcW w:w="4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99.1</w:t>
            </w:r>
          </w:p>
        </w:tc>
        <w:tc>
          <w:tcPr>
            <w:tcW w:w="440" w:type="dxa"/>
            <w:vAlign w:val="bottom"/>
          </w:tcPr>
          <w:p>
            <w:pPr>
              <w:spacing w:after="0"/>
              <w:rPr>
                <w:sz w:val="18"/>
                <w:szCs w:val="18"/>
                <w:color w:val="auto"/>
              </w:rPr>
            </w:pPr>
          </w:p>
        </w:tc>
        <w:tc>
          <w:tcPr>
            <w:tcW w:w="102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Press Release dated August 8, 2007.</w:t>
            </w:r>
          </w:p>
        </w:tc>
      </w:tr>
    </w:tbl>
    <w:p>
      <w:pPr>
        <w:sectPr>
          <w:pgSz w:w="12240" w:h="15840" w:orient="portrait"/>
          <w:cols w:equalWidth="0" w:num="1">
            <w:col w:w="11160"/>
          </w:cols>
          <w:pgMar w:left="520" w:top="132" w:right="560" w:bottom="1440" w:gutter="0" w:footer="0" w:header="0"/>
        </w:sectPr>
      </w:pPr>
    </w:p>
    <w:bookmarkStart w:id="2" w:name="page3"/>
    <w:bookmarkEnd w:id="2"/>
    <w:p>
      <w:pPr>
        <w:jc w:val="center"/>
        <w:ind w:right="-7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6600" cy="27305"/>
                    </a:xfrm>
                    <a:prstGeom prst="rect">
                      <a:avLst/>
                    </a:prstGeom>
                    <a:noFill/>
                  </pic:spPr>
                </pic:pic>
              </a:graphicData>
            </a:graphic>
          </wp:anchor>
        </w:drawing>
        <w:t>Signatures</w:t>
      </w:r>
    </w:p>
    <w:p>
      <w:pPr>
        <w:spacing w:after="0" w:line="185" w:lineRule="exact"/>
        <w:rPr>
          <w:sz w:val="20"/>
          <w:szCs w:val="20"/>
          <w:color w:val="auto"/>
        </w:rPr>
      </w:pPr>
    </w:p>
    <w:p>
      <w:pPr>
        <w:ind w:firstLine="447"/>
        <w:spacing w:after="0" w:line="26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tabs>
          <w:tab w:leader="none" w:pos="5440" w:val="left"/>
        </w:tabs>
        <w:rPr>
          <w:sz w:val="20"/>
          <w:szCs w:val="20"/>
          <w:color w:val="auto"/>
        </w:rPr>
      </w:pPr>
      <w:r>
        <w:rPr>
          <w:rFonts w:ascii="Arial" w:cs="Arial" w:eastAsia="Arial" w:hAnsi="Arial"/>
          <w:sz w:val="17"/>
          <w:szCs w:val="17"/>
          <w:color w:val="auto"/>
        </w:rPr>
        <w:t>Date: August 8, 2007</w:t>
      </w:r>
      <w:r>
        <w:rPr>
          <w:sz w:val="20"/>
          <w:szCs w:val="20"/>
          <w:color w:val="auto"/>
        </w:rPr>
        <w:tab/>
      </w:r>
      <w:r>
        <w:rPr>
          <w:rFonts w:ascii="Arial" w:cs="Arial" w:eastAsia="Arial" w:hAnsi="Arial"/>
          <w:sz w:val="16"/>
          <w:szCs w:val="16"/>
          <w:color w:val="auto"/>
        </w:rPr>
        <w:t>CECO ENVIRONMENTAL CORP.</w:t>
      </w:r>
    </w:p>
    <w:p>
      <w:pPr>
        <w:spacing w:after="0" w:line="226"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By: /s/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17145</wp:posOffset>
            </wp:positionV>
            <wp:extent cx="33902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90265" cy="8255"/>
                    </a:xfrm>
                    <a:prstGeom prst="rect">
                      <a:avLst/>
                    </a:prstGeom>
                    <a:noFill/>
                  </pic:spPr>
                </pic:pic>
              </a:graphicData>
            </a:graphic>
          </wp:anchor>
        </w:drawing>
      </w:r>
    </w:p>
    <w:p>
      <w:pPr>
        <w:spacing w:after="0" w:line="25"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Dennis W. Blazer</w:t>
      </w:r>
    </w:p>
    <w:p>
      <w:pPr>
        <w:spacing w:after="0" w:line="26"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Chief Financial Officer</w:t>
      </w:r>
    </w:p>
    <w:p>
      <w:pPr>
        <w:spacing w:after="0" w:line="19"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and Vice President –</w:t>
      </w:r>
    </w:p>
    <w:p>
      <w:pPr>
        <w:spacing w:after="0" w:line="25"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Finance and Administration</w:t>
      </w:r>
    </w:p>
    <w:p>
      <w:pPr>
        <w:spacing w:after="0" w:line="2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w:t>
      </w:r>
    </w:p>
    <w:p>
      <w:pPr>
        <w:sectPr>
          <w:pgSz w:w="12240" w:h="15840" w:orient="portrait"/>
          <w:cols w:equalWidth="0" w:num="1">
            <w:col w:w="10380"/>
          </w:cols>
          <w:pgMar w:left="520" w:top="132" w:right="1340"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62865</wp:posOffset>
            </wp:positionV>
            <wp:extent cx="1614805" cy="527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14805" cy="527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9800" w:val="left"/>
        </w:tabs>
        <w:rPr>
          <w:sz w:val="20"/>
          <w:szCs w:val="20"/>
          <w:color w:val="auto"/>
        </w:rPr>
      </w:pPr>
      <w:r>
        <w:rPr>
          <w:rFonts w:ascii="Arial" w:cs="Arial" w:eastAsia="Arial" w:hAnsi="Arial"/>
          <w:sz w:val="16"/>
          <w:szCs w:val="16"/>
          <w:b w:val="1"/>
          <w:bCs w:val="1"/>
          <w:color w:val="auto"/>
        </w:rPr>
        <w:t>NASDAQ:CECE</w:t>
      </w:r>
      <w:r>
        <w:rPr>
          <w:sz w:val="20"/>
          <w:szCs w:val="20"/>
          <w:color w:val="auto"/>
        </w:rPr>
        <w:tab/>
      </w:r>
      <w:r>
        <w:rPr>
          <w:rFonts w:ascii="Arial" w:cs="Arial" w:eastAsia="Arial" w:hAnsi="Arial"/>
          <w:sz w:val="16"/>
          <w:szCs w:val="16"/>
          <w:b w:val="1"/>
          <w:bCs w:val="1"/>
          <w:color w:val="auto"/>
        </w:rPr>
        <w:t>NEWS RELEASE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CECO ENVIRONMENTAL REPORTS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RECORD SECOND QUARTER AND SIX MONTH 2007 RESULTS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Six Month Revenues Increase 83% to $102.7 Million</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Six Month Operating Income Increases 200% to $5.8 Million</w:t>
      </w:r>
    </w:p>
    <w:p>
      <w:pPr>
        <w:spacing w:after="0" w:line="166"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b w:val="1"/>
          <w:bCs w:val="1"/>
          <w:color w:val="auto"/>
        </w:rPr>
        <w:t xml:space="preserve">NEW YORK, August 8, 2007 - CECO Environmental Corp. </w:t>
      </w:r>
      <w:r>
        <w:rPr>
          <w:rFonts w:ascii="Arial" w:cs="Arial" w:eastAsia="Arial" w:hAnsi="Arial"/>
          <w:sz w:val="17"/>
          <w:szCs w:val="17"/>
          <w:color w:val="auto"/>
        </w:rPr>
        <w:t>(NASDAQ:CECE), a leading provider of industrial ventilation and pollution control systems,</w:t>
      </w:r>
      <w:r>
        <w:rPr>
          <w:rFonts w:ascii="Arial" w:cs="Arial" w:eastAsia="Arial" w:hAnsi="Arial"/>
          <w:sz w:val="17"/>
          <w:szCs w:val="17"/>
          <w:b w:val="1"/>
          <w:bCs w:val="1"/>
          <w:color w:val="auto"/>
        </w:rPr>
        <w:t xml:space="preserve"> </w:t>
      </w:r>
      <w:r>
        <w:rPr>
          <w:rFonts w:ascii="Arial" w:cs="Arial" w:eastAsia="Arial" w:hAnsi="Arial"/>
          <w:sz w:val="17"/>
          <w:szCs w:val="17"/>
          <w:color w:val="auto"/>
        </w:rPr>
        <w:t>today announced record second quarter results for the period ended June 30, 2007.</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highlights for the second quarter of 2007 compared to the second quarter of 2006 include:</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sales increased 87% to $59.2 million;</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Gross profit increased 77% to $9.9 million;</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Operating income increased 167% to $3.3 million;</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income - $1.1 million GAAP (decrease of 27%);</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$1.9 million non-GAAP (increase of 620%);</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Earnings per diluted share - $0.08 GAAP (decrease of 33%);</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$0.14 non-GAAP (increase of 600%)</w:t>
      </w:r>
    </w:p>
    <w:p>
      <w:pPr>
        <w:spacing w:after="0" w:line="99" w:lineRule="exact"/>
        <w:rPr>
          <w:sz w:val="20"/>
          <w:szCs w:val="20"/>
          <w:color w:val="auto"/>
        </w:rPr>
      </w:pPr>
    </w:p>
    <w:p>
      <w:pPr>
        <w:ind w:left="440" w:right="180"/>
        <w:spacing w:after="0" w:line="278" w:lineRule="auto"/>
        <w:rPr>
          <w:sz w:val="20"/>
          <w:szCs w:val="20"/>
          <w:color w:val="auto"/>
        </w:rPr>
      </w:pPr>
      <w:r>
        <w:rPr>
          <w:rFonts w:ascii="Arial" w:cs="Arial" w:eastAsia="Arial" w:hAnsi="Arial"/>
          <w:sz w:val="17"/>
          <w:szCs w:val="17"/>
          <w:color w:val="auto"/>
        </w:rPr>
        <w:t>CECO’s second quarter 2006 reported results include $1.3 million in non-cash income from the valuation of warrants and CECO’s second quarter 2007 reported results include a non-cash interest charge of $740,000 related to the unamortized discount on subordinated debt which was expensed due to retirement of the debt using proceeds from a secondary stock offering.</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adjustments to non-GAAP net income and non-GAAP earnings per diluted share are detailed in the tables below.</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highlights for the six months ended June 30, 2007 compared to six months ended June 30, 2006 include:</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sales increased 83% to $102.7 million;</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Gross profit increased 82% to $17.7 million;</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Operating income increased 200% to $5.8 million;</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income - $2.3 million GAAP (increase of 177%);</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$3.0 million non-GAAP (increase of 384%);</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Earnings per diluted share - $0.18 GAAP (increase of 157%);</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$0.24 non-GAAP (increase of 380%)</w:t>
      </w:r>
    </w:p>
    <w:p>
      <w:pPr>
        <w:spacing w:after="0" w:line="99" w:lineRule="exact"/>
        <w:rPr>
          <w:sz w:val="20"/>
          <w:szCs w:val="20"/>
          <w:color w:val="auto"/>
        </w:rPr>
      </w:pPr>
    </w:p>
    <w:p>
      <w:pPr>
        <w:ind w:left="440" w:right="240"/>
        <w:spacing w:after="0" w:line="365" w:lineRule="auto"/>
        <w:rPr>
          <w:sz w:val="20"/>
          <w:szCs w:val="20"/>
          <w:color w:val="auto"/>
        </w:rPr>
      </w:pPr>
      <w:r>
        <w:rPr>
          <w:rFonts w:ascii="Arial" w:cs="Arial" w:eastAsia="Arial" w:hAnsi="Arial"/>
          <w:sz w:val="15"/>
          <w:szCs w:val="15"/>
          <w:color w:val="auto"/>
        </w:rPr>
        <w:t>CECO’s reported results for the six months ended June 30, 2006 include $200,000 in net non-cash income from the valuation of warrants and CECO’s reported results for the six months ended June 30, 2007 include a non-cash interest expense of $740,000 related to retirement of subordinated debt.</w:t>
      </w:r>
    </w:p>
    <w:p>
      <w:pPr>
        <w:sectPr>
          <w:pgSz w:w="12240" w:h="15840" w:orient="portrait"/>
          <w:cols w:equalWidth="0" w:num="1">
            <w:col w:w="11160"/>
          </w:cols>
          <w:pgMar w:left="520" w:top="0" w:right="560"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6600" cy="27305"/>
                    </a:xfrm>
                    <a:prstGeom prst="rect">
                      <a:avLst/>
                    </a:prstGeom>
                    <a:noFill/>
                  </pic:spPr>
                </pic:pic>
              </a:graphicData>
            </a:graphic>
          </wp:anchor>
        </w:drawing>
        <w:t>The adjustments to non-GAAP net income and non-GAAP earnings per diluted share are detailed in the tables below.</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Backlog as of June 30, 2007 was $124 million compared to $97.1 million as of December 31, 2006.</w:t>
      </w:r>
    </w:p>
    <w:p>
      <w:pPr>
        <w:spacing w:after="0" w:line="179" w:lineRule="exact"/>
        <w:rPr>
          <w:sz w:val="20"/>
          <w:szCs w:val="20"/>
          <w:color w:val="auto"/>
        </w:rPr>
      </w:pPr>
    </w:p>
    <w:p>
      <w:pPr>
        <w:jc w:val="both"/>
        <w:ind w:right="180"/>
        <w:spacing w:after="0" w:line="278" w:lineRule="auto"/>
        <w:rPr>
          <w:sz w:val="20"/>
          <w:szCs w:val="20"/>
          <w:color w:val="auto"/>
        </w:rPr>
      </w:pPr>
      <w:r>
        <w:rPr>
          <w:rFonts w:ascii="Arial" w:cs="Arial" w:eastAsia="Arial" w:hAnsi="Arial"/>
          <w:sz w:val="17"/>
          <w:szCs w:val="17"/>
          <w:color w:val="auto"/>
        </w:rPr>
        <w:t>Chairman and CEO, Phillip DeZwirek, stated, “Our second quarter results mark our sixth consecutive quarter of record revenues and gross profitability. After eliminating those certain non-cash income and expense items related to the valuation of warrants and the related subordinated debt discount discussed above, our adjusted results for the quarter and six months more accurately reflect our significant progress.”</w:t>
      </w:r>
    </w:p>
    <w:p>
      <w:pPr>
        <w:spacing w:after="0" w:line="124"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Mr. DeZwirek continued, “In May 2007, all our outstanding subordinated debt and all outstanding term notes were retired using the proceeds from a secondary offering. The remaining proceeds were applied to our revolving credit line which essentially leaves the Company debt free except for short term working capital borrowings. This strong financial position will allow us to continue pursuing our strategy of horizontal integration by acquisition and/or organic new business start-ups, and vertical integration into our family of companies. We still believe that our turnkey solution provides a distinct competitive advantage for us because it greatly simplifies our customers’ experience while providing them with access to a broad selection of products and services to meet their needs.”</w:t>
      </w:r>
    </w:p>
    <w:p>
      <w:pPr>
        <w:spacing w:after="0" w:line="103"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color w:val="auto"/>
        </w:rPr>
        <w:t>CECO will host a conference call on Thursday, August 9, 2007 at 8:30 a.m. EDT to review its financial results for the quarter. Additional details, including the call in number, have been released separately.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on CECO’s reported results, including a reconciliation of the non-GAAP adjusted results, are included in the financial tables below.</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CECO ENVIRONMENTAL</w:t>
      </w:r>
    </w:p>
    <w:p>
      <w:pPr>
        <w:spacing w:after="0" w:line="10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CECO Environmental Corp. is North America’s largest independent air pollution control company. Through its eight subsidiaries — Busch, CECOaire, CECO Filters, CECO Abatement Systems, kbd/Technic, Kirk &amp; Blum, H. M. White, Inc. and Effox — CECO provides a wide spectrum of air quality services and products including: industrial air filters, environmental maintenance, monitoring and management services, and air quality improvements systems. CECO is a full-service provider to the steel, military, aluminum, automotive, ethanol, aerospace, electric power, semiconductor, chemical, cement, metalworking, glass, foundry and virtually all industrial process industries.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on CECO Environmental please visit the Company’s website at http://www.cecoenviro.com/</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Contact:</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Corporate Information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Phillip DeZwirek, CECO Environmental Corp.</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Email: investors@cecoenviro.com</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1-800-606-CECO (2326)</w:t>
      </w:r>
    </w:p>
    <w:p>
      <w:pPr>
        <w:sectPr>
          <w:pgSz w:w="12240" w:h="15840" w:orient="portrait"/>
          <w:cols w:equalWidth="0" w:num="1">
            <w:col w:w="11160"/>
          </w:cols>
          <w:pgMar w:left="520" w:top="138" w:right="560" w:bottom="1440" w:gutter="0" w:footer="0" w:header="0"/>
        </w:sectPr>
      </w:pPr>
    </w:p>
    <w:bookmarkStart w:id="5" w:name="page6"/>
    <w:bookmarkEnd w:id="5"/>
    <w:p>
      <w:pPr>
        <w:ind w:left="434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6600" cy="27305"/>
                    </a:xfrm>
                    <a:prstGeom prst="rect">
                      <a:avLst/>
                    </a:prstGeom>
                    <a:noFill/>
                  </pic:spPr>
                </pic:pic>
              </a:graphicData>
            </a:graphic>
          </wp:anchor>
        </w:drawing>
        <w:t>CECO ENVIRONMENTAL CORP.</w:t>
      </w:r>
    </w:p>
    <w:p>
      <w:pPr>
        <w:spacing w:after="0" w:line="179"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CONDENSED CONSOLIDATED STATEMENTS OF OPERATIONS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 except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gridSpan w:val="6"/>
          </w:tcPr>
          <w:p>
            <w:pPr>
              <w:jc w:val="right"/>
              <w:ind w:right="84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222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3"/>
                <w:szCs w:val="13"/>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5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1" w:lineRule="exact"/>
              <w:rPr>
                <w:sz w:val="20"/>
                <w:szCs w:val="20"/>
                <w:color w:val="auto"/>
              </w:rPr>
            </w:pPr>
            <w:r>
              <w:rPr>
                <w:rFonts w:ascii="Arial" w:cs="Arial" w:eastAsia="Arial" w:hAnsi="Arial"/>
                <w:sz w:val="13"/>
                <w:szCs w:val="13"/>
                <w:b w:val="1"/>
                <w:bCs w:val="1"/>
                <w:color w:val="auto"/>
              </w:rPr>
              <w:t>2007</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1" w:lineRule="exact"/>
              <w:rPr>
                <w:sz w:val="20"/>
                <w:szCs w:val="20"/>
                <w:color w:val="auto"/>
              </w:rPr>
            </w:pPr>
            <w:r>
              <w:rPr>
                <w:rFonts w:ascii="Arial" w:cs="Arial" w:eastAsia="Arial" w:hAnsi="Arial"/>
                <w:sz w:val="13"/>
                <w:szCs w:val="13"/>
                <w:b w:val="1"/>
                <w:bCs w:val="1"/>
                <w:color w:val="auto"/>
              </w:rPr>
              <w:t>2006</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1" w:lineRule="exact"/>
              <w:rPr>
                <w:sz w:val="20"/>
                <w:szCs w:val="20"/>
                <w:color w:val="auto"/>
              </w:rPr>
            </w:pPr>
            <w:r>
              <w:rPr>
                <w:rFonts w:ascii="Arial" w:cs="Arial" w:eastAsia="Arial" w:hAnsi="Arial"/>
                <w:sz w:val="13"/>
                <w:szCs w:val="13"/>
                <w:b w:val="1"/>
                <w:bCs w:val="1"/>
                <w:color w:val="auto"/>
              </w:rPr>
              <w:t>2007</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1" w:lineRule="exact"/>
              <w:rPr>
                <w:sz w:val="20"/>
                <w:szCs w:val="20"/>
                <w:color w:val="auto"/>
              </w:rPr>
            </w:pPr>
            <w:r>
              <w:rPr>
                <w:rFonts w:ascii="Arial" w:cs="Arial" w:eastAsia="Arial" w:hAnsi="Arial"/>
                <w:sz w:val="13"/>
                <w:szCs w:val="13"/>
                <w:b w:val="1"/>
                <w:bCs w:val="1"/>
                <w:color w:val="auto"/>
              </w:rPr>
              <w:t>2006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59,247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31,745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102,710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56,127</w:t>
            </w:r>
          </w:p>
        </w:tc>
        <w:tc>
          <w:tcPr>
            <w:tcW w:w="0" w:type="dxa"/>
            <w:vAlign w:val="bottom"/>
          </w:tcPr>
          <w:p>
            <w:pPr>
              <w:spacing w:after="0"/>
              <w:rPr>
                <w:sz w:val="1"/>
                <w:szCs w:val="1"/>
                <w:color w:val="auto"/>
              </w:rPr>
            </w:pPr>
          </w:p>
        </w:tc>
      </w:tr>
      <w:tr>
        <w:trPr>
          <w:trHeight w:val="207"/>
        </w:trPr>
        <w:tc>
          <w:tcPr>
            <w:tcW w:w="5780" w:type="dxa"/>
            <w:vAlign w:val="bottom"/>
          </w:tcPr>
          <w:p>
            <w:pPr>
              <w:spacing w:after="0"/>
              <w:rPr>
                <w:sz w:val="20"/>
                <w:szCs w:val="20"/>
                <w:color w:val="auto"/>
              </w:rPr>
            </w:pPr>
            <w:r>
              <w:rPr>
                <w:rFonts w:ascii="Arial" w:cs="Arial" w:eastAsia="Arial" w:hAnsi="Arial"/>
                <w:sz w:val="17"/>
                <w:szCs w:val="17"/>
                <w:color w:val="auto"/>
              </w:rPr>
              <w:t>Costs and expenses:</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Cost of sales, exclusive of items shown separately below</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49,336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26,142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84,962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46,391</w:t>
            </w:r>
          </w:p>
        </w:tc>
        <w:tc>
          <w:tcPr>
            <w:tcW w:w="0" w:type="dxa"/>
            <w:vAlign w:val="bottom"/>
          </w:tcPr>
          <w:p>
            <w:pPr>
              <w:spacing w:after="0"/>
              <w:rPr>
                <w:sz w:val="1"/>
                <w:szCs w:val="1"/>
                <w:color w:val="auto"/>
              </w:rPr>
            </w:pPr>
          </w:p>
        </w:tc>
      </w:tr>
      <w:tr>
        <w:trPr>
          <w:trHeight w:val="214"/>
        </w:trPr>
        <w:tc>
          <w:tcPr>
            <w:tcW w:w="5780" w:type="dxa"/>
            <w:vAlign w:val="bottom"/>
          </w:tcPr>
          <w:p>
            <w:pPr>
              <w:ind w:left="420"/>
              <w:spacing w:after="0"/>
              <w:rPr>
                <w:sz w:val="20"/>
                <w:szCs w:val="20"/>
                <w:color w:val="auto"/>
              </w:rPr>
            </w:pPr>
            <w:r>
              <w:rPr>
                <w:rFonts w:ascii="Arial" w:cs="Arial" w:eastAsia="Arial" w:hAnsi="Arial"/>
                <w:sz w:val="17"/>
                <w:szCs w:val="17"/>
                <w:color w:val="auto"/>
              </w:rPr>
              <w:t>Selling and administrative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6,204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4,070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11,221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7,215</w:t>
            </w:r>
          </w:p>
        </w:tc>
        <w:tc>
          <w:tcPr>
            <w:tcW w:w="0" w:type="dxa"/>
            <w:vAlign w:val="bottom"/>
          </w:tcPr>
          <w:p>
            <w:pPr>
              <w:spacing w:after="0"/>
              <w:rPr>
                <w:sz w:val="1"/>
                <w:szCs w:val="1"/>
                <w:color w:val="auto"/>
              </w:rPr>
            </w:pPr>
          </w:p>
        </w:tc>
      </w:tr>
      <w:tr>
        <w:trPr>
          <w:trHeight w:val="214"/>
        </w:trPr>
        <w:tc>
          <w:tcPr>
            <w:tcW w:w="5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585</w:t>
            </w:r>
          </w:p>
        </w:tc>
        <w:tc>
          <w:tcPr>
            <w:tcW w:w="0" w:type="dxa"/>
            <w:vAlign w:val="bottom"/>
          </w:tcPr>
          <w:p>
            <w:pPr>
              <w:spacing w:after="0"/>
              <w:rPr>
                <w:sz w:val="1"/>
                <w:szCs w:val="1"/>
                <w:color w:val="auto"/>
              </w:rPr>
            </w:pPr>
          </w:p>
        </w:tc>
      </w:tr>
      <w:tr>
        <w:trPr>
          <w:trHeight w:val="208"/>
        </w:trPr>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55,940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30,505</w:t>
            </w: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96,909</w:t>
            </w:r>
          </w:p>
        </w:tc>
        <w:tc>
          <w:tcPr>
            <w:tcW w:w="5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54,191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1,936</w:t>
            </w:r>
          </w:p>
        </w:tc>
        <w:tc>
          <w:tcPr>
            <w:tcW w:w="0" w:type="dxa"/>
            <w:vAlign w:val="bottom"/>
          </w:tcPr>
          <w:p>
            <w:pPr>
              <w:spacing w:after="0"/>
              <w:rPr>
                <w:sz w:val="1"/>
                <w:szCs w:val="1"/>
                <w:color w:val="auto"/>
              </w:rPr>
            </w:pPr>
          </w:p>
        </w:tc>
      </w:tr>
      <w:tr>
        <w:trPr>
          <w:trHeight w:val="320"/>
        </w:trPr>
        <w:tc>
          <w:tcPr>
            <w:tcW w:w="5780" w:type="dxa"/>
            <w:vAlign w:val="bottom"/>
          </w:tcPr>
          <w:p>
            <w:pPr>
              <w:spacing w:after="0"/>
              <w:rPr>
                <w:sz w:val="20"/>
                <w:szCs w:val="20"/>
                <w:color w:val="auto"/>
              </w:rPr>
            </w:pPr>
            <w:r>
              <w:rPr>
                <w:rFonts w:ascii="Arial" w:cs="Arial" w:eastAsia="Arial" w:hAnsi="Arial"/>
                <w:sz w:val="17"/>
                <w:szCs w:val="17"/>
                <w:color w:val="auto"/>
              </w:rPr>
              <w:t>Other income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1,374</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109"/>
        </w:trPr>
        <w:tc>
          <w:tcPr>
            <w:tcW w:w="5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w w:val="96"/>
              </w:rPr>
              <w:t>Interest expense (including related party interest of $864 and $189, and $1,101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and $421, respectively)</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(1,160)</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(526)</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(1,718)</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(1,097)</w:t>
            </w:r>
          </w:p>
        </w:tc>
        <w:tc>
          <w:tcPr>
            <w:tcW w:w="0" w:type="dxa"/>
            <w:vAlign w:val="bottom"/>
          </w:tcPr>
          <w:p>
            <w:pPr>
              <w:spacing w:after="0"/>
              <w:rPr>
                <w:sz w:val="1"/>
                <w:szCs w:val="1"/>
                <w:color w:val="auto"/>
              </w:rPr>
            </w:pPr>
          </w:p>
        </w:tc>
      </w:tr>
      <w:tr>
        <w:trPr>
          <w:trHeight w:val="214"/>
        </w:trPr>
        <w:tc>
          <w:tcPr>
            <w:tcW w:w="5780" w:type="dxa"/>
            <w:vAlign w:val="bottom"/>
          </w:tcPr>
          <w:p>
            <w:pPr>
              <w:spacing w:after="0"/>
              <w:rPr>
                <w:sz w:val="20"/>
                <w:szCs w:val="20"/>
                <w:color w:val="auto"/>
              </w:rPr>
            </w:pPr>
            <w:r>
              <w:rPr>
                <w:rFonts w:ascii="Arial" w:cs="Arial" w:eastAsia="Arial" w:hAnsi="Arial"/>
                <w:sz w:val="17"/>
                <w:szCs w:val="17"/>
                <w:color w:val="auto"/>
              </w:rPr>
              <w:t>Income from continuing operations before income taxes</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2,153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2,088</w:t>
            </w: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4,092</w:t>
            </w: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5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Income tax provision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208"/>
        </w:trPr>
        <w:tc>
          <w:tcPr>
            <w:tcW w:w="5780" w:type="dxa"/>
            <w:vAlign w:val="bottom"/>
          </w:tcPr>
          <w:p>
            <w:pPr>
              <w:spacing w:after="0"/>
              <w:rPr>
                <w:sz w:val="20"/>
                <w:szCs w:val="20"/>
                <w:color w:val="auto"/>
              </w:rPr>
            </w:pPr>
            <w:r>
              <w:rPr>
                <w:rFonts w:ascii="Arial" w:cs="Arial" w:eastAsia="Arial" w:hAnsi="Arial"/>
                <w:sz w:val="17"/>
                <w:szCs w:val="17"/>
                <w:color w:val="auto"/>
              </w:rPr>
              <w:t>Net income</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1,562</w:t>
            </w: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2,291</w:t>
            </w:r>
          </w:p>
        </w:tc>
        <w:tc>
          <w:tcPr>
            <w:tcW w:w="5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Per share data:</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80" w:type="dxa"/>
            <w:vAlign w:val="bottom"/>
          </w:tcPr>
          <w:p>
            <w:pPr>
              <w:spacing w:after="0"/>
              <w:rPr>
                <w:sz w:val="20"/>
                <w:szCs w:val="20"/>
                <w:color w:val="auto"/>
              </w:rPr>
            </w:pPr>
            <w:r>
              <w:rPr>
                <w:rFonts w:ascii="Arial" w:cs="Arial" w:eastAsia="Arial" w:hAnsi="Arial"/>
                <w:sz w:val="17"/>
                <w:szCs w:val="17"/>
                <w:color w:val="auto"/>
              </w:rPr>
              <w:t>Basic net income</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0.09</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0.14</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0.19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Diluted net income</w:t>
            </w:r>
          </w:p>
        </w:tc>
        <w:tc>
          <w:tcPr>
            <w:tcW w:w="3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0.08</w:t>
            </w:r>
          </w:p>
        </w:tc>
        <w:tc>
          <w:tcPr>
            <w:tcW w:w="2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0.12</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0.18</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7"/>
                <w:szCs w:val="17"/>
                <w:color w:val="auto"/>
              </w:rPr>
              <w:t>Weighted average number of common shares outstanding:</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Basic</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13,000,124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11,225,038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12,251,694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11,070,131</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860"/>
              <w:spacing w:after="0"/>
              <w:rPr>
                <w:sz w:val="20"/>
                <w:szCs w:val="20"/>
                <w:color w:val="auto"/>
              </w:rPr>
            </w:pPr>
            <w:r>
              <w:rPr>
                <w:rFonts w:ascii="Arial" w:cs="Arial" w:eastAsia="Arial" w:hAnsi="Arial"/>
                <w:sz w:val="17"/>
                <w:szCs w:val="17"/>
                <w:color w:val="auto"/>
              </w:rPr>
              <w:t>Diluted</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9"/>
              </w:rPr>
              <w:t>13,577,836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91"/>
              </w:rPr>
              <w:t>12,881,584</w:t>
            </w:r>
          </w:p>
        </w:tc>
        <w:tc>
          <w:tcPr>
            <w:tcW w:w="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9"/>
              </w:rPr>
              <w:t>12,848,505</w:t>
            </w:r>
          </w:p>
        </w:tc>
        <w:tc>
          <w:tcPr>
            <w:tcW w:w="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9"/>
              </w:rPr>
              <w:t>12,659,750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2240" w:h="15840" w:orient="portrait"/>
          <w:cols w:equalWidth="0" w:num="1">
            <w:col w:w="11160"/>
          </w:cols>
          <w:pgMar w:left="520" w:top="138" w:right="56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6600" cy="27305"/>
                    </a:xfrm>
                    <a:prstGeom prst="rect">
                      <a:avLst/>
                    </a:prstGeom>
                    <a:noFill/>
                  </pic:spPr>
                </pic:pic>
              </a:graphicData>
            </a:graphic>
          </wp:anchor>
        </w:drawing>
        <w:t>CECO Environmental Corp.</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Supplemental Financial Information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 except per share data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Reconciliation of GAAP net income to non-GAAP net income is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0" w:type="dxa"/>
            <w:vAlign w:val="bottom"/>
            <w:gridSpan w:val="5"/>
          </w:tcPr>
          <w:p>
            <w:pPr>
              <w:jc w:val="right"/>
              <w:ind w:right="1160"/>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3"/>
                <w:szCs w:val="13"/>
                <w:color w:val="auto"/>
              </w:rPr>
            </w:pPr>
          </w:p>
        </w:tc>
        <w:tc>
          <w:tcPr>
            <w:tcW w:w="224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rPr>
              <w:t>Six months ended</w:t>
            </w:r>
          </w:p>
        </w:tc>
      </w:tr>
      <w:tr>
        <w:trPr>
          <w:trHeight w:val="141"/>
        </w:trPr>
        <w:tc>
          <w:tcPr>
            <w:tcW w:w="59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96"/>
              <w:spacing w:after="0" w:line="141" w:lineRule="exact"/>
              <w:rPr>
                <w:sz w:val="20"/>
                <w:szCs w:val="20"/>
                <w:color w:val="auto"/>
              </w:rPr>
            </w:pPr>
            <w:r>
              <w:rPr>
                <w:rFonts w:ascii="Arial" w:cs="Arial" w:eastAsia="Arial" w:hAnsi="Arial"/>
                <w:sz w:val="13"/>
                <w:szCs w:val="13"/>
                <w:b w:val="1"/>
                <w:bCs w:val="1"/>
                <w:color w:val="auto"/>
              </w:rPr>
              <w:t>6/30/2007</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75"/>
              <w:spacing w:after="0" w:line="141" w:lineRule="exact"/>
              <w:rPr>
                <w:sz w:val="20"/>
                <w:szCs w:val="20"/>
                <w:color w:val="auto"/>
              </w:rPr>
            </w:pPr>
            <w:r>
              <w:rPr>
                <w:rFonts w:ascii="Arial" w:cs="Arial" w:eastAsia="Arial" w:hAnsi="Arial"/>
                <w:sz w:val="13"/>
                <w:szCs w:val="13"/>
                <w:b w:val="1"/>
                <w:bCs w:val="1"/>
                <w:color w:val="auto"/>
              </w:rPr>
              <w:t>6/30/2006</w:t>
            </w:r>
          </w:p>
        </w:tc>
        <w:tc>
          <w:tcPr>
            <w:tcW w:w="6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96"/>
              <w:spacing w:after="0" w:line="141" w:lineRule="exact"/>
              <w:rPr>
                <w:sz w:val="20"/>
                <w:szCs w:val="20"/>
                <w:color w:val="auto"/>
              </w:rPr>
            </w:pPr>
            <w:r>
              <w:rPr>
                <w:rFonts w:ascii="Arial" w:cs="Arial" w:eastAsia="Arial" w:hAnsi="Arial"/>
                <w:sz w:val="13"/>
                <w:szCs w:val="13"/>
                <w:b w:val="1"/>
                <w:bCs w:val="1"/>
                <w:color w:val="auto"/>
              </w:rPr>
              <w:t>6/30/2007</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75"/>
              <w:spacing w:after="0" w:line="141" w:lineRule="exact"/>
              <w:rPr>
                <w:sz w:val="20"/>
                <w:szCs w:val="20"/>
                <w:color w:val="auto"/>
              </w:rPr>
            </w:pPr>
            <w:r>
              <w:rPr>
                <w:rFonts w:ascii="Arial" w:cs="Arial" w:eastAsia="Arial" w:hAnsi="Arial"/>
                <w:sz w:val="13"/>
                <w:szCs w:val="13"/>
                <w:b w:val="1"/>
                <w:bCs w:val="1"/>
                <w:color w:val="auto"/>
              </w:rPr>
              <w:t>6/30/2006</w:t>
            </w:r>
          </w:p>
        </w:tc>
        <w:tc>
          <w:tcPr>
            <w:tcW w:w="40" w:type="dxa"/>
            <w:vAlign w:val="bottom"/>
          </w:tcPr>
          <w:p>
            <w:pPr>
              <w:spacing w:after="0"/>
              <w:rPr>
                <w:sz w:val="12"/>
                <w:szCs w:val="12"/>
                <w:color w:val="auto"/>
              </w:rPr>
            </w:pPr>
          </w:p>
        </w:tc>
      </w:tr>
      <w:tr>
        <w:trPr>
          <w:trHeight w:val="208"/>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Net income in accordance with GAAP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1,562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826</w:t>
            </w:r>
          </w:p>
        </w:tc>
      </w:tr>
      <w:tr>
        <w:trPr>
          <w:trHeight w:val="320"/>
        </w:trPr>
        <w:tc>
          <w:tcPr>
            <w:tcW w:w="5960" w:type="dxa"/>
            <w:vAlign w:val="bottom"/>
          </w:tcPr>
          <w:p>
            <w:pPr>
              <w:spacing w:after="0"/>
              <w:rPr>
                <w:sz w:val="20"/>
                <w:szCs w:val="20"/>
                <w:color w:val="auto"/>
              </w:rPr>
            </w:pPr>
            <w:r>
              <w:rPr>
                <w:rFonts w:ascii="Arial" w:cs="Arial" w:eastAsia="Arial" w:hAnsi="Arial"/>
                <w:sz w:val="17"/>
                <w:szCs w:val="17"/>
                <w:color w:val="auto"/>
              </w:rPr>
              <w:t>Other income related to warrant valuation – net of tax</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7"/>
                <w:szCs w:val="17"/>
                <w:color w:val="auto"/>
              </w:rPr>
              <w:t>(1,300)</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(1,300)</w:t>
            </w:r>
          </w:p>
        </w:tc>
      </w:tr>
      <w:tr>
        <w:trPr>
          <w:trHeight w:val="21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Other expense related to warrant valuation – net of tax</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1,100</w:t>
            </w:r>
          </w:p>
        </w:tc>
      </w:tr>
      <w:tr>
        <w:trPr>
          <w:trHeight w:val="214"/>
        </w:trPr>
        <w:tc>
          <w:tcPr>
            <w:tcW w:w="5960" w:type="dxa"/>
            <w:vAlign w:val="bottom"/>
          </w:tcPr>
          <w:p>
            <w:pPr>
              <w:spacing w:after="0"/>
              <w:rPr>
                <w:sz w:val="20"/>
                <w:szCs w:val="20"/>
                <w:color w:val="auto"/>
              </w:rPr>
            </w:pPr>
            <w:r>
              <w:rPr>
                <w:rFonts w:ascii="Arial" w:cs="Arial" w:eastAsia="Arial" w:hAnsi="Arial"/>
                <w:sz w:val="17"/>
                <w:szCs w:val="17"/>
                <w:color w:val="auto"/>
              </w:rPr>
              <w:t>Interest expense related to subordinated debt discount – net of tax</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740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740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0"/>
        </w:trPr>
        <w:tc>
          <w:tcPr>
            <w:tcW w:w="5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5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Non-GAAP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262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626</w:t>
            </w:r>
          </w:p>
        </w:tc>
      </w:tr>
      <w:tr>
        <w:trPr>
          <w:trHeight w:val="320"/>
        </w:trPr>
        <w:tc>
          <w:tcPr>
            <w:tcW w:w="5960" w:type="dxa"/>
            <w:vAlign w:val="bottom"/>
          </w:tcPr>
          <w:p>
            <w:pPr>
              <w:spacing w:after="0"/>
              <w:rPr>
                <w:sz w:val="20"/>
                <w:szCs w:val="20"/>
                <w:color w:val="auto"/>
              </w:rPr>
            </w:pPr>
            <w:r>
              <w:rPr>
                <w:rFonts w:ascii="Arial" w:cs="Arial" w:eastAsia="Arial" w:hAnsi="Arial"/>
                <w:sz w:val="17"/>
                <w:szCs w:val="17"/>
                <w:color w:val="auto"/>
              </w:rPr>
              <w:t>GAAP basic net income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0.09</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600"/>
              <w:spacing w:after="0"/>
              <w:rPr>
                <w:sz w:val="20"/>
                <w:szCs w:val="20"/>
                <w:color w:val="auto"/>
              </w:rPr>
            </w:pPr>
            <w:r>
              <w:rPr>
                <w:rFonts w:ascii="Arial" w:cs="Arial" w:eastAsia="Arial" w:hAnsi="Arial"/>
                <w:sz w:val="17"/>
                <w:szCs w:val="17"/>
                <w:color w:val="auto"/>
              </w:rPr>
              <w:t>0.14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0.19</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0.07</w:t>
            </w:r>
          </w:p>
        </w:tc>
      </w:tr>
      <w:tr>
        <w:trPr>
          <w:trHeight w:val="21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GAAP diluted net income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0.12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0.07</w:t>
            </w:r>
          </w:p>
        </w:tc>
      </w:tr>
      <w:tr>
        <w:trPr>
          <w:trHeight w:val="320"/>
        </w:trPr>
        <w:tc>
          <w:tcPr>
            <w:tcW w:w="5960" w:type="dxa"/>
            <w:vAlign w:val="bottom"/>
          </w:tcPr>
          <w:p>
            <w:pPr>
              <w:spacing w:after="0"/>
              <w:rPr>
                <w:sz w:val="20"/>
                <w:szCs w:val="20"/>
                <w:color w:val="auto"/>
              </w:rPr>
            </w:pPr>
            <w:r>
              <w:rPr>
                <w:rFonts w:ascii="Arial" w:cs="Arial" w:eastAsia="Arial" w:hAnsi="Arial"/>
                <w:sz w:val="17"/>
                <w:szCs w:val="17"/>
                <w:color w:val="auto"/>
              </w:rPr>
              <w:t>Non-GAAP basic net income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0.15</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600"/>
              <w:spacing w:after="0"/>
              <w:rPr>
                <w:sz w:val="20"/>
                <w:szCs w:val="20"/>
                <w:color w:val="auto"/>
              </w:rPr>
            </w:pPr>
            <w:r>
              <w:rPr>
                <w:rFonts w:ascii="Arial" w:cs="Arial" w:eastAsia="Arial" w:hAnsi="Arial"/>
                <w:sz w:val="17"/>
                <w:szCs w:val="17"/>
                <w:color w:val="auto"/>
              </w:rPr>
              <w:t>0.02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0.25</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0.06</w:t>
            </w:r>
          </w:p>
        </w:tc>
      </w:tr>
      <w:tr>
        <w:trPr>
          <w:trHeight w:val="21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Non-GAAP diluted net income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0.02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0.05</w:t>
            </w:r>
          </w:p>
        </w:tc>
      </w:tr>
      <w:tr>
        <w:trPr>
          <w:trHeight w:val="320"/>
        </w:trPr>
        <w:tc>
          <w:tcPr>
            <w:tcW w:w="5960" w:type="dxa"/>
            <w:vAlign w:val="bottom"/>
          </w:tcPr>
          <w:p>
            <w:pPr>
              <w:spacing w:after="0"/>
              <w:rPr>
                <w:sz w:val="20"/>
                <w:szCs w:val="20"/>
                <w:color w:val="auto"/>
              </w:rPr>
            </w:pPr>
            <w:r>
              <w:rPr>
                <w:rFonts w:ascii="Arial" w:cs="Arial" w:eastAsia="Arial" w:hAnsi="Arial"/>
                <w:sz w:val="17"/>
                <w:szCs w:val="17"/>
                <w:color w:val="auto"/>
              </w:rPr>
              <w:t>Shares used to compute basic net income per share</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13,000,124</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7"/>
                <w:szCs w:val="17"/>
                <w:color w:val="auto"/>
                <w:w w:val="89"/>
              </w:rPr>
              <w:t>11,225,038</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12,251,694</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11,070,131</w:t>
            </w:r>
          </w:p>
        </w:tc>
      </w:tr>
      <w:tr>
        <w:trPr>
          <w:trHeight w:val="109"/>
        </w:trPr>
        <w:tc>
          <w:tcPr>
            <w:tcW w:w="5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14"/>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Shares used to compute diluted net income per share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13,577,836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89"/>
              </w:rPr>
              <w:t>12,881,584</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12,848,505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12,659,750</w:t>
            </w:r>
          </w:p>
        </w:tc>
      </w:tr>
    </w:tbl>
    <w:p>
      <w:pPr>
        <w:spacing w:after="0" w:line="152" w:lineRule="exact"/>
        <w:rPr>
          <w:sz w:val="20"/>
          <w:szCs w:val="20"/>
          <w:color w:val="auto"/>
        </w:rPr>
      </w:pPr>
    </w:p>
    <w:p>
      <w:pPr>
        <w:ind w:right="80"/>
        <w:spacing w:after="0" w:line="331" w:lineRule="auto"/>
        <w:rPr>
          <w:sz w:val="20"/>
          <w:szCs w:val="20"/>
          <w:color w:val="auto"/>
        </w:rPr>
      </w:pPr>
      <w:r>
        <w:rPr>
          <w:rFonts w:ascii="Arial" w:cs="Arial" w:eastAsia="Arial" w:hAnsi="Arial"/>
          <w:sz w:val="15"/>
          <w:szCs w:val="15"/>
          <w:color w:val="auto"/>
        </w:rPr>
        <w:t>CECO is providing the non-GAAP historical financial measures presented above as the Company believes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the GAAP statement of operations.</w:t>
      </w:r>
    </w:p>
    <w:p>
      <w:pPr>
        <w:spacing w:after="0" w:line="8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Non-GAAP adjusted net income and non-GAAP adjusted earnings per diluted share, as we present them in the financial data included in this press release, have been adjusted to exclude the effects of income and expenses for the valuation of warrants and the related subordinated debt discount interest expense. Management believes that these non-GAAP financial measures excluding these items better reflect its operating performance as these non-GAAP figures exclude the effects of certain non-recurring or non-cash expenses relating to warrants. Management believes that these items are not necessarily representative of underlying trends in the Company’s performance and their exclusion provides individuals with additional information to compare the company’s results over multiple periods. We expect our financial statements to continue to be affected by items similar to those excluded in the non-GAAP adjustments described above, and exclusion of these items from our non-GAAP financial measures should not be construed as an inference that all such costs are unusual or infrequent.</w:t>
      </w:r>
    </w:p>
    <w:p>
      <w:pPr>
        <w:sectPr>
          <w:pgSz w:w="12240" w:h="15840" w:orient="portrait"/>
          <w:cols w:equalWidth="0" w:num="1">
            <w:col w:w="11160"/>
          </w:cols>
          <w:pgMar w:left="520" w:top="138" w:right="560" w:bottom="1440" w:gutter="0" w:footer="0" w:header="0"/>
        </w:sectPr>
      </w:pPr>
    </w:p>
    <w:bookmarkStart w:id="7" w:name="page8"/>
    <w:bookmarkEnd w:id="7"/>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6600" cy="27305"/>
                    </a:xfrm>
                    <a:prstGeom prst="rect">
                      <a:avLst/>
                    </a:prstGeom>
                    <a:noFill/>
                  </pic:spPr>
                </pic:pic>
              </a:graphicData>
            </a:graphic>
          </wp:anchor>
        </w:drawing>
        <w:t>Adjusted net income and adjusted earnings per diluted share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w:t>
      </w:r>
    </w:p>
    <w:p>
      <w:pPr>
        <w:spacing w:after="0" w:line="128"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In accordance with the requirements of Regulation G issued by the Securities and Exchange Commission, the tables above present the most directly comparable GAAP financial measure and reconcile non-GAAP adjusted net income and non-GAAP adjusted earnings per diluted share to the comparable GAAP measures.</w:t>
      </w:r>
    </w:p>
    <w:sectPr>
      <w:pgSz w:w="12240" w:h="15840" w:orient="portrait"/>
      <w:cols w:equalWidth="0" w:num="1">
        <w:col w:w="11140"/>
      </w:cols>
      <w:pgMar w:left="520" w:top="138" w:right="58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2020-02-04T18:45:05Z</dcterms:created>
  <dcterms:modified xsi:type="dcterms:W3CDTF">2020-02-04T18:45:05Z</dcterms:modified>
</cp:coreProperties>
</file>