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eco-20260331.htm"/>
      <w:bookmarkStart w:id="1" w:name="ksceco20260331"/>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9437" w:type="dxa"/>
        <w:jc w:val="left"/>
        <w:tblInd w:w="0" w:type="dxa"/>
        <w:tblLayout w:type="fixed"/>
        <w:tblCellMar>
          <w:top w:w="28" w:type="dxa"/>
          <w:left w:w="28" w:type="dxa"/>
          <w:bottom w:w="28" w:type="dxa"/>
          <w:right w:w="28" w:type="dxa"/>
        </w:tblCellMar>
      </w:tblPr>
      <w:tblGrid>
        <w:gridCol w:w="331"/>
        <w:gridCol w:w="9106"/>
      </w:tblGrid>
      <w:tr>
        <w:trPr/>
        <w:tc>
          <w:tcPr>
            <w:tcW w:w="331"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No. 0-07099</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790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 cy="361950"/>
                    </a:xfrm>
                    <a:prstGeom prst="rect">
                      <a:avLst/>
                    </a:prstGeom>
                  </pic:spPr>
                </pic:pic>
              </a:graphicData>
            </a:graphic>
          </wp:inline>
        </w:drawing>
      </w:r>
    </w:p>
    <w:p>
      <w:pPr>
        <w:pStyle w:val="TextBody"/>
        <w:bidi w:val="0"/>
        <w:spacing w:before="120" w:after="283"/>
        <w:jc w:val="center"/>
        <w:rPr>
          <w:rFonts w:ascii="Times New Roman" w:hAnsi="Times New Roman"/>
          <w:b/>
          <w:color w:val="000000"/>
          <w:sz w:val="38"/>
        </w:rPr>
      </w:pPr>
      <w:r>
        <w:rPr>
          <w:rFonts w:ascii="Times New Roman" w:hAnsi="Times New Roman"/>
          <w:b/>
          <w:color w:val="000000"/>
          <w:sz w:val="38"/>
        </w:rPr>
        <w:t>CECO ENVIRONMENTAL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2386"/>
        <w:gridCol w:w="146"/>
        <w:gridCol w:w="148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13-2566064</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926"/>
        <w:gridCol w:w="14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5080 Spectrum Drive</w:t>
            </w:r>
          </w:p>
          <w:p>
            <w:pPr>
              <w:pStyle w:val="TableContents"/>
              <w:bidi w:val="0"/>
              <w:jc w:val="center"/>
              <w:rPr>
                <w:rFonts w:ascii="Times New Roman" w:hAnsi="Times New Roman"/>
                <w:b/>
                <w:color w:val="000000"/>
                <w:sz w:val="20"/>
              </w:rPr>
            </w:pPr>
            <w:r>
              <w:rPr>
                <w:rFonts w:ascii="Times New Roman" w:hAnsi="Times New Roman"/>
                <w:b/>
                <w:color w:val="000000"/>
                <w:sz w:val="20"/>
              </w:rPr>
              <w:t>Suite 800E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Addison, Texas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75001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(214) 357-6181</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7638" w:type="dxa"/>
        <w:jc w:val="left"/>
        <w:tblInd w:w="0" w:type="dxa"/>
        <w:tblLayout w:type="fixed"/>
        <w:tblCellMar>
          <w:top w:w="28" w:type="dxa"/>
          <w:left w:w="28" w:type="dxa"/>
          <w:bottom w:w="28" w:type="dxa"/>
          <w:right w:w="28" w:type="dxa"/>
        </w:tblCellMar>
      </w:tblPr>
      <w:tblGrid>
        <w:gridCol w:w="3106"/>
        <w:gridCol w:w="1261"/>
        <w:gridCol w:w="3271"/>
      </w:tblGrid>
      <w:tr>
        <w:trPr/>
        <w:tc>
          <w:tcPr>
            <w:tcW w:w="310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10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Trading Symbol</w:t>
            </w:r>
          </w:p>
        </w:tc>
        <w:tc>
          <w:tcPr>
            <w:tcW w:w="3271"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106"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par value $0.01 per share</w:t>
            </w:r>
          </w:p>
        </w:tc>
        <w:tc>
          <w:tcPr>
            <w:tcW w:w="126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CECO</w:t>
            </w:r>
          </w:p>
        </w:tc>
        <w:tc>
          <w:tcPr>
            <w:tcW w:w="3271"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both"/>
        <w:rPr>
          <w:rFonts w:ascii="Times New Roman" w:hAnsi="Times New Roman"/>
          <w:color w:val="000000"/>
          <w:sz w:val="20"/>
        </w:rPr>
      </w:pPr>
      <w:r>
        <w:rPr>
          <w:rFonts w:ascii="Times New Roman" w:hAnsi="Times New Roman"/>
          <w:color w:val="000000"/>
          <w:sz w:val="20"/>
        </w:rPr>
        <w:t>The number of shares outstanding of each of the issuer’s classes of common equity, as of the latest practical date: 35,873,031 shares of common stock, par value $0.01 per share, as of April 17, 2026.</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CECO ENVIRONMENTAL CORP.</w:t>
      </w:r>
    </w:p>
    <w:p>
      <w:pPr>
        <w:pStyle w:val="TextBody"/>
        <w:bidi w:val="0"/>
        <w:jc w:val="center"/>
        <w:rPr>
          <w:rFonts w:ascii="Times New Roman" w:hAnsi="Times New Roman"/>
          <w:color w:val="000000"/>
          <w:sz w:val="20"/>
        </w:rPr>
      </w:pPr>
      <w:r>
        <w:rPr>
          <w:rFonts w:ascii="Times New Roman" w:hAnsi="Times New Roman"/>
          <w:color w:val="000000"/>
          <w:sz w:val="20"/>
        </w:rPr>
        <w:t>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For the quarter ended March 31, 2026</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
        <w:gridCol w:w="881"/>
        <w:gridCol w:w="8163"/>
        <w:gridCol w:w="146"/>
        <w:gridCol w:w="362"/>
      </w:tblGrid>
      <w:tr>
        <w:trPr/>
        <w:tc>
          <w:tcPr>
            <w:tcW w:w="65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balance_sheets">
              <w:r>
                <w:rPr>
                  <w:rStyle w:val="InternetLink"/>
                  <w:rFonts w:ascii="Times New Roman" w:hAnsi="Times New Roman"/>
                  <w:color w:val="0000FF"/>
                  <w:sz w:val="20"/>
                  <w:u w:val="single"/>
                </w:rPr>
                <w:t>Condensed Consolidated Balance Sheets as of March 31, 2026 and December 31,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months ended March 31,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compre">
              <w:r>
                <w:rPr>
                  <w:rStyle w:val="InternetLink"/>
                  <w:rFonts w:ascii="Times New Roman" w:hAnsi="Times New Roman"/>
                  <w:color w:val="0000FF"/>
                  <w:sz w:val="20"/>
                  <w:u w:val="single"/>
                </w:rPr>
                <w:t>Condensed Consolidated Statements of Comprehensive (Loss) Income for the three months ended March 31,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163"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equity">
              <w:r>
                <w:rPr>
                  <w:rStyle w:val="InternetLink"/>
                  <w:rFonts w:ascii="Times New Roman" w:hAnsi="Times New Roman"/>
                  <w:color w:val="0000FF"/>
                  <w:sz w:val="20"/>
                  <w:u w:val="single"/>
                </w:rPr>
                <w:t>Condensed Consolidated Statements of Shareholders’ Equity for the three months ended March 31,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2026 and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ind w:left="0" w:right="0" w:firstLine="735"/>
              <w:jc w:val="left"/>
              <w:rPr/>
            </w:pPr>
            <w:hyperlink w:anchor="notes_consolidated_financial_statements">
              <w:r>
                <w:rPr>
                  <w:rStyle w:val="InternetLink"/>
                  <w:rFonts w:ascii="Times New Roman" w:hAnsi="Times New Roman"/>
                  <w:color w:val="0000FF"/>
                  <w:sz w:val="20"/>
                  <w:u w:val="single"/>
                </w:rPr>
                <w:t>Notes to Condensed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7"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CECO ENVIRONMENTAL CORP.</w:t>
      </w:r>
    </w:p>
    <w:p>
      <w:pPr>
        <w:pStyle w:val="TextBody"/>
        <w:bidi w:val="0"/>
        <w:spacing w:before="240" w:after="283"/>
        <w:jc w:val="left"/>
        <w:rPr>
          <w:rFonts w:ascii="Times New Roman" w:hAnsi="Times New Roman"/>
          <w:b/>
          <w:color w:val="000000"/>
          <w:sz w:val="18"/>
        </w:rPr>
      </w:pPr>
      <w:bookmarkStart w:id="2" w:name="part_i_financial_information"/>
      <w:bookmarkEnd w:id="2"/>
      <w:r>
        <w:rPr>
          <w:rFonts w:ascii="Times New Roman" w:hAnsi="Times New Roman"/>
          <w:b/>
          <w:color w:val="000000"/>
          <w:sz w:val="18"/>
        </w:rPr>
        <w:t>PART I – FINANCIAL INFORMATION</w:t>
      </w:r>
    </w:p>
    <w:p>
      <w:pPr>
        <w:pStyle w:val="TextBody"/>
        <w:bidi w:val="0"/>
        <w:jc w:val="left"/>
        <w:rPr/>
      </w:pPr>
      <w:r>
        <w:rPr/>
        <w:t> </w:t>
      </w:r>
    </w:p>
    <w:p>
      <w:pPr>
        <w:pStyle w:val="TextBody"/>
        <w:bidi w:val="0"/>
        <w:jc w:val="left"/>
        <w:rPr>
          <w:rFonts w:ascii="Times New Roman" w:hAnsi="Times New Roman"/>
          <w:b/>
          <w:color w:val="000000"/>
          <w:sz w:val="18"/>
        </w:rPr>
      </w:pPr>
      <w:bookmarkStart w:id="3" w:name="item_1_financial_statements"/>
      <w:bookmarkEnd w:id="3"/>
      <w:r>
        <w:rPr>
          <w:rFonts w:ascii="Times New Roman" w:hAnsi="Times New Roman"/>
          <w:b/>
          <w:color w:val="000000"/>
          <w:sz w:val="18"/>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79"/>
        <w:gridCol w:w="146"/>
        <w:gridCol w:w="225"/>
        <w:gridCol w:w="999"/>
        <w:gridCol w:w="166"/>
        <w:gridCol w:w="146"/>
        <w:gridCol w:w="287"/>
        <w:gridCol w:w="1063"/>
        <w:gridCol w:w="794"/>
      </w:tblGrid>
      <w:tr>
        <w:trPr/>
        <w:tc>
          <w:tcPr>
            <w:tcW w:w="6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33,144</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of $5,306 and $9,866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172,909</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53,996</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29,450</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410,182</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47,808</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28,251</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288,163</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96,966</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indefinite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charges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893,769</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117,848</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57,639</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Billings in excess of costs and estimated earnings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123,726</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305,830</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210,559</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27,920</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570,587</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10,000 shares authorized, none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Common stock, $0.01 par value; 100,000,000 shares authorized, 35,840,781 and</w:t>
              <w:br/>
              <w:t>35,644,537 shares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269,453</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56,621</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CECO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317,528</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323,182</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893,769</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765" w:type="dxa"/>
        <w:jc w:val="left"/>
        <w:tblInd w:w="0" w:type="dxa"/>
        <w:tblLayout w:type="fixed"/>
        <w:tblCellMar>
          <w:top w:w="28" w:type="dxa"/>
          <w:left w:w="28" w:type="dxa"/>
          <w:bottom w:w="28" w:type="dxa"/>
          <w:right w:w="28" w:type="dxa"/>
        </w:tblCellMar>
      </w:tblPr>
      <w:tblGrid>
        <w:gridCol w:w="5256"/>
        <w:gridCol w:w="146"/>
        <w:gridCol w:w="211"/>
        <w:gridCol w:w="1036"/>
        <w:gridCol w:w="166"/>
        <w:gridCol w:w="146"/>
        <w:gridCol w:w="211"/>
        <w:gridCol w:w="1036"/>
        <w:gridCol w:w="166"/>
        <w:gridCol w:w="391"/>
      </w:tblGrid>
      <w:tr>
        <w:trPr/>
        <w:tc>
          <w:tcPr>
            <w:tcW w:w="5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integration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attributable to CECO Environmental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35,690,813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35,028,301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35,690,813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36,689,320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6975" w:type="dxa"/>
        <w:jc w:val="left"/>
        <w:tblInd w:w="0" w:type="dxa"/>
        <w:tblLayout w:type="fixed"/>
        <w:tblCellMar>
          <w:top w:w="28" w:type="dxa"/>
          <w:left w:w="28" w:type="dxa"/>
          <w:bottom w:w="28" w:type="dxa"/>
          <w:right w:w="28" w:type="dxa"/>
        </w:tblCellMar>
      </w:tblPr>
      <w:tblGrid>
        <w:gridCol w:w="3886"/>
        <w:gridCol w:w="262"/>
        <w:gridCol w:w="599"/>
        <w:gridCol w:w="206"/>
        <w:gridCol w:w="181"/>
        <w:gridCol w:w="262"/>
        <w:gridCol w:w="842"/>
        <w:gridCol w:w="346"/>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(loss) gain</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_equity"/>
      <w:bookmarkEnd w:id="7"/>
      <w:r>
        <w:rPr>
          <w:rFonts w:ascii="Times New Roman" w:hAnsi="Times New Roman"/>
          <w:b/>
          <w:color w:val="000000"/>
          <w:sz w:val="20"/>
        </w:rPr>
        <w:t>CONDENSED CONSOLIDATED STATEMENTS OF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80"/>
        <w:gridCol w:w="146"/>
        <w:gridCol w:w="146"/>
        <w:gridCol w:w="526"/>
        <w:gridCol w:w="146"/>
        <w:gridCol w:w="146"/>
        <w:gridCol w:w="216"/>
        <w:gridCol w:w="415"/>
        <w:gridCol w:w="146"/>
        <w:gridCol w:w="146"/>
        <w:gridCol w:w="181"/>
        <w:gridCol w:w="601"/>
        <w:gridCol w:w="151"/>
        <w:gridCol w:w="146"/>
        <w:gridCol w:w="181"/>
        <w:gridCol w:w="526"/>
        <w:gridCol w:w="151"/>
        <w:gridCol w:w="146"/>
        <w:gridCol w:w="293"/>
        <w:gridCol w:w="803"/>
        <w:gridCol w:w="151"/>
        <w:gridCol w:w="146"/>
        <w:gridCol w:w="322"/>
        <w:gridCol w:w="804"/>
        <w:gridCol w:w="151"/>
        <w:gridCol w:w="146"/>
        <w:gridCol w:w="230"/>
        <w:gridCol w:w="766"/>
        <w:gridCol w:w="197"/>
      </w:tblGrid>
      <w:tr>
        <w:trPr/>
        <w:tc>
          <w:tcPr>
            <w:tcW w:w="2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 in</w:t>
              <w:br/>
              <w:t>excess of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Accumulated </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Shareholders'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par value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Earnings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Loss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interest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Equity</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323,182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264,595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56,223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317,200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85"/>
        <w:gridCol w:w="146"/>
        <w:gridCol w:w="146"/>
        <w:gridCol w:w="526"/>
        <w:gridCol w:w="146"/>
        <w:gridCol w:w="146"/>
        <w:gridCol w:w="216"/>
        <w:gridCol w:w="415"/>
        <w:gridCol w:w="146"/>
        <w:gridCol w:w="146"/>
        <w:gridCol w:w="181"/>
        <w:gridCol w:w="601"/>
        <w:gridCol w:w="151"/>
        <w:gridCol w:w="146"/>
        <w:gridCol w:w="181"/>
        <w:gridCol w:w="526"/>
        <w:gridCol w:w="146"/>
        <w:gridCol w:w="146"/>
        <w:gridCol w:w="263"/>
        <w:gridCol w:w="833"/>
        <w:gridCol w:w="151"/>
        <w:gridCol w:w="146"/>
        <w:gridCol w:w="322"/>
        <w:gridCol w:w="804"/>
        <w:gridCol w:w="151"/>
        <w:gridCol w:w="146"/>
        <w:gridCol w:w="230"/>
        <w:gridCol w:w="766"/>
        <w:gridCol w:w="197"/>
      </w:tblGrid>
      <w:tr>
        <w:trPr/>
        <w:tc>
          <w:tcPr>
            <w:tcW w:w="2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 in</w:t>
              <w:br/>
              <w:t>excess of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Accumulated </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Shareholders'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par value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Loss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interest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u w:val="single"/>
              </w:rPr>
            </w:pPr>
            <w:r>
              <w:rPr>
                <w:rFonts w:ascii="Times New Roman" w:hAnsi="Times New Roman"/>
                <w:b/>
                <w:color w:val="000000"/>
                <w:sz w:val="15"/>
                <w:u w:val="single"/>
              </w:rPr>
              <w:t>Equity</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255,211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251,893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36,442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 based compensation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255,807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290,051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b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65"/>
        <w:gridCol w:w="146"/>
        <w:gridCol w:w="208"/>
        <w:gridCol w:w="798"/>
        <w:gridCol w:w="176"/>
        <w:gridCol w:w="155"/>
        <w:gridCol w:w="208"/>
        <w:gridCol w:w="734"/>
        <w:gridCol w:w="615"/>
      </w:tblGrid>
      <w:tr>
        <w:trPr/>
        <w:tc>
          <w:tcPr>
            <w:tcW w:w="7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foreign currency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Global Pump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Debt discount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(Recovery) allowance for 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 obsolescence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acquisitions and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(103,137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Costs and estimated earnings in excess of billings on uncompleted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charges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19,649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Billings in excess of costs and estimated earnings on uncompleted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60,667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proceeds for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105,860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(97,646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(9,205</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revolving credit lines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on revolving credit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(27,600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finance leases and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financing fees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consideration paid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awards surrendered by employees for tax liability, net of proceeds from employee stock purchase plan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34,640</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115,756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108,475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45,507</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146,676</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3,987</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notes to the condensed consolidated financial statements are an integral part of the above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CECO ENVIRONMENTAL CORP.</w:t>
      </w:r>
    </w:p>
    <w:p>
      <w:pPr>
        <w:pStyle w:val="TextBody"/>
        <w:bidi w:val="0"/>
        <w:jc w:val="center"/>
        <w:rPr>
          <w:rFonts w:ascii="Times New Roman" w:hAnsi="Times New Roman"/>
          <w:color w:val="000000"/>
          <w:sz w:val="20"/>
          <w:u w:val="single"/>
        </w:rPr>
      </w:pPr>
      <w:bookmarkStart w:id="9" w:name="notes_consolidated_financial_statements"/>
      <w:bookmarkEnd w:id="9"/>
      <w:r>
        <w:rPr>
          <w:rFonts w:ascii="Times New Roman" w:hAnsi="Times New Roman"/>
          <w:color w:val="000000"/>
          <w:sz w:val="20"/>
          <w:u w:val="single"/>
        </w:rPr>
        <w:t>NOTES TO CONDENSED CONSOLIDATED FINANCIAL STATEMENTS</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(unaudited)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 Basis of Reporting for Consolidated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2026 and the results of operations, cash flows and shareholders’ equity for the three months ended March 31, 2026 and 2025. The results of operations for the three months ended March 31, 2026 are not necessarily indicative of the results to be expected for the full year. The balance sheet as of December 31, 2025 has been derived from the audited consolidated financial statements included in the Company’s Annual Report on Form 10-K for the year ended December 31, 2025 as filed with the SEC on March 2, 2026 (the “Form 10-K”). Certain prior period amounts were reclassified to conform to the presentation in the current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financial statements and accompanying notes should be read in conjunction with the audited financial statements and the notes thereto included in the Form 10-K.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Unless otherwise indicated, all balances within tables are in thousands, except per share amounts.</w:t>
      </w:r>
    </w:p>
    <w:p>
      <w:pPr>
        <w:pStyle w:val="TextBody"/>
        <w:bidi w:val="0"/>
        <w:spacing w:before="0" w:after="240"/>
        <w:jc w:val="left"/>
        <w:rPr>
          <w:rFonts w:ascii="Times New Roman" w:hAnsi="Times New Roman"/>
          <w:sz w:val="20"/>
        </w:rPr>
      </w:pPr>
      <w:r>
        <w:rPr>
          <w:rFonts w:ascii="Times New Roman" w:hAnsi="Times New Roman"/>
          <w:b/>
          <w:color w:val="000000"/>
          <w:sz w:val="20"/>
        </w:rPr>
        <w:t>2. Recent Financial Accounting Pronouncements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considered the impact of all Accounting Standards Updates ("ASUs") issued by the Financial Accounting Standards Board ("FASB"). The ASUs issued but not listed below were assessed and determined to be either not applicable or are expected to have minimal impact on the Company's consolidated financial statements.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Accounting Standards Adopted in Fiscal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Effective January 1, 2026, the Company adopted ASU 2025-05, Financial Instruments - Credit Losses (Topic 326): Measurement of Credit Losses for Accounts Receivable and Contract Assets, which introduces a practical expedient for estimating credit losses on current accounts receivable and contract assets. Adoption did not have a material impact on the Company's condensed consolidated financial statements.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Accounting Standards to be Adopted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(Subtopic 350-40): Targeted Improvements to the Accounting for Internal-Use Software, which removes references to project stages, and requires capitalization of software costs to begin when management has authorized and committed to funding the software project, and it is probable that the project will be completed and the software will be used to perform the intended function. The ASU is effective for fiscal years beginning after December 15, 2027, and interim periods within those annual reporting periods. The Company is currently evaluating the impact the adoption of the standard will have on the Company’s consolidated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which addresses expense disclosure requirements, primarily the disaggregation of expense captions. The ASU is effective for fiscal years beginning after December 15, 2026, and interim periods beginning after December 15, 2027. The Company is currently evaluating the impact the adoption of the standard will have on the Company’s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 xml:space="preserve">3. Accounts Receivable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Accounts receivable as of March 31, 2026 and December 31, 2025 consisted of the following:</w:t>
      </w:r>
    </w:p>
    <w:tbl>
      <w:tblPr>
        <w:tblW w:w="6380" w:type="dxa"/>
        <w:jc w:val="left"/>
        <w:tblInd w:w="0" w:type="dxa"/>
        <w:tblLayout w:type="fixed"/>
        <w:tblCellMar>
          <w:top w:w="28" w:type="dxa"/>
          <w:left w:w="28" w:type="dxa"/>
          <w:bottom w:w="28" w:type="dxa"/>
          <w:right w:w="28" w:type="dxa"/>
        </w:tblCellMar>
      </w:tblPr>
      <w:tblGrid>
        <w:gridCol w:w="2751"/>
        <w:gridCol w:w="146"/>
        <w:gridCol w:w="268"/>
        <w:gridCol w:w="992"/>
        <w:gridCol w:w="166"/>
        <w:gridCol w:w="146"/>
        <w:gridCol w:w="319"/>
        <w:gridCol w:w="1181"/>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Accounts receivable, net as of the beginning of the prior year period, or January 1, 2025, were $159.5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Balances billed but not paid by customers under retainage provisions in contracts within the Condensed Consolidated Balance Sheets amounted to approximately $9.6 million and $10.9 million at March 31, 2026 and December 31, 2025, respectively. Retainage receivables on contracts in progress are generally collected up to 24 months following contract completion, and are recorded in either "Accounts receivable, net" or "Deferred charges and other assets" within the Condensed Consolidated Balance Sheets depending on timing of expected collection.</w:t>
      </w:r>
    </w:p>
    <w:p>
      <w:pPr>
        <w:pStyle w:val="TextBody"/>
        <w:bidi w:val="0"/>
        <w:jc w:val="left"/>
        <w:rPr>
          <w:rFonts w:ascii="Times New Roman" w:hAnsi="Times New Roman"/>
          <w:color w:val="000000"/>
          <w:sz w:val="20"/>
        </w:rPr>
      </w:pPr>
      <w:r>
        <w:rPr>
          <w:rFonts w:ascii="Times New Roman" w:hAnsi="Times New Roman"/>
          <w:color w:val="000000"/>
          <w:sz w:val="20"/>
        </w:rPr>
        <w:t>Allowance for credit losses activity for the three months ended March 31, 2026 and 2025 consisted of the following:</w:t>
      </w:r>
    </w:p>
    <w:p>
      <w:pPr>
        <w:pStyle w:val="TextBody"/>
        <w:bidi w:val="0"/>
        <w:jc w:val="left"/>
        <w:rPr/>
      </w:pPr>
      <w:r>
        <w:rPr/>
        <w:t> </w:t>
      </w:r>
    </w:p>
    <w:tbl>
      <w:tblPr>
        <w:tblW w:w="5696" w:type="dxa"/>
        <w:jc w:val="left"/>
        <w:tblInd w:w="0" w:type="dxa"/>
        <w:tblLayout w:type="fixed"/>
        <w:tblCellMar>
          <w:top w:w="28" w:type="dxa"/>
          <w:left w:w="28" w:type="dxa"/>
          <w:bottom w:w="28" w:type="dxa"/>
          <w:right w:w="28" w:type="dxa"/>
        </w:tblCellMar>
      </w:tblPr>
      <w:tblGrid>
        <w:gridCol w:w="2641"/>
        <w:gridCol w:w="146"/>
        <w:gridCol w:w="256"/>
        <w:gridCol w:w="767"/>
        <w:gridCol w:w="202"/>
        <w:gridCol w:w="177"/>
        <w:gridCol w:w="256"/>
        <w:gridCol w:w="694"/>
        <w:gridCol w:w="166"/>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40"/>
        <w:jc w:val="left"/>
        <w:rPr>
          <w:rFonts w:ascii="Times New Roman" w:hAnsi="Times New Roman"/>
          <w:b/>
          <w:color w:val="000000"/>
          <w:sz w:val="20"/>
        </w:rPr>
      </w:pPr>
      <w:r>
        <w:rPr>
          <w:rFonts w:ascii="Times New Roman" w:hAnsi="Times New Roman"/>
          <w:b/>
          <w:color w:val="000000"/>
          <w:sz w:val="20"/>
        </w:rPr>
        <w:t xml:space="preserve">4. Contract Assets and Liabilities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Contract assets and liabilities as of March 31, 2026 and December 31, 2025 consisted of the following:</w:t>
      </w:r>
    </w:p>
    <w:tbl>
      <w:tblPr>
        <w:tblW w:w="9675" w:type="dxa"/>
        <w:jc w:val="left"/>
        <w:tblInd w:w="0" w:type="dxa"/>
        <w:tblLayout w:type="fixed"/>
        <w:tblCellMar>
          <w:top w:w="28" w:type="dxa"/>
          <w:left w:w="28" w:type="dxa"/>
          <w:bottom w:w="28" w:type="dxa"/>
          <w:right w:w="28" w:type="dxa"/>
        </w:tblCellMar>
      </w:tblPr>
      <w:tblGrid>
        <w:gridCol w:w="6286"/>
        <w:gridCol w:w="146"/>
        <w:gridCol w:w="268"/>
        <w:gridCol w:w="992"/>
        <w:gridCol w:w="146"/>
        <w:gridCol w:w="146"/>
        <w:gridCol w:w="319"/>
        <w:gridCol w:w="1181"/>
        <w:gridCol w:w="19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in excess of costs and estimated earnings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beginning of the prior year period, or January 1, 2025, costs and estimated earnings in excess of billings on uncompleted contracts and billings in excess of costs and estimated earnings on uncompleted contracts were $69.9 million and $81.5 million, respectively. The contract liabilities recorded in “Accrued expenses” on the Condensed Consolidated Balance Sheets were $14.5 million, $15.3 million and $9.7 million as of March 31, 2026, December 31, 2025 and January 1, 2025, respectively. Approximately 30% of the Company's contract liabilities as of December 31, 2025 were recognized as revenue in the three months ended March 31, 2026.</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Inventories as of March 31, 2026 and December 31, 2025 consisted of the following:</w:t>
      </w:r>
    </w:p>
    <w:tbl>
      <w:tblPr>
        <w:tblW w:w="5505" w:type="dxa"/>
        <w:jc w:val="left"/>
        <w:tblInd w:w="0" w:type="dxa"/>
        <w:tblLayout w:type="fixed"/>
        <w:tblCellMar>
          <w:top w:w="28" w:type="dxa"/>
          <w:left w:w="28" w:type="dxa"/>
          <w:bottom w:w="28" w:type="dxa"/>
          <w:right w:w="28" w:type="dxa"/>
        </w:tblCellMar>
      </w:tblPr>
      <w:tblGrid>
        <w:gridCol w:w="1716"/>
        <w:gridCol w:w="346"/>
        <w:gridCol w:w="299"/>
        <w:gridCol w:w="961"/>
        <w:gridCol w:w="146"/>
        <w:gridCol w:w="146"/>
        <w:gridCol w:w="357"/>
        <w:gridCol w:w="1143"/>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Adjustments to the allowance for obsolete inventory, as recorded to cost of sales, amounted to an increase of $1.1 million and increase of $0.1 million for the three months ended March 31,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6. Goodwill and Intangible Assets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Goodwill and indefinite life intangible asset activity for the three months ended March 31, 2026 and the year ended December 31, 2025 was as follows:</w:t>
      </w:r>
    </w:p>
    <w:tbl>
      <w:tblPr>
        <w:tblW w:w="8658" w:type="dxa"/>
        <w:jc w:val="left"/>
        <w:tblInd w:w="0" w:type="dxa"/>
        <w:tblLayout w:type="fixed"/>
        <w:tblCellMar>
          <w:top w:w="28" w:type="dxa"/>
          <w:left w:w="28" w:type="dxa"/>
          <w:bottom w:w="28" w:type="dxa"/>
          <w:right w:w="28" w:type="dxa"/>
        </w:tblCellMar>
      </w:tblPr>
      <w:tblGrid>
        <w:gridCol w:w="2641"/>
        <w:gridCol w:w="146"/>
        <w:gridCol w:w="281"/>
        <w:gridCol w:w="1043"/>
        <w:gridCol w:w="195"/>
        <w:gridCol w:w="195"/>
        <w:gridCol w:w="281"/>
        <w:gridCol w:w="763"/>
        <w:gridCol w:w="166"/>
        <w:gridCol w:w="146"/>
        <w:gridCol w:w="239"/>
        <w:gridCol w:w="887"/>
        <w:gridCol w:w="188"/>
        <w:gridCol w:w="165"/>
        <w:gridCol w:w="251"/>
        <w:gridCol w:w="680"/>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Goodwill / Tradename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Tradename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Tradename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288,163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269,747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291,128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288,163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During the three months ended March 31, 2026, the Company, through its Pinnacle Processes Inc. ("PPI") (formerly known as Effox-Flextor-Mader, Inc.) joint venture, completed the acquisition of Flexible Specialty Products ("FSP"), as discussed in Note 15.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Finite life intangible assets as of March 31, 2026 and December 31, 2025 consisted of the following:</w:t>
      </w:r>
    </w:p>
    <w:tbl>
      <w:tblPr>
        <w:tblW w:w="10205" w:type="dxa"/>
        <w:jc w:val="left"/>
        <w:tblInd w:w="0" w:type="dxa"/>
        <w:tblLayout w:type="fixed"/>
        <w:tblCellMar>
          <w:top w:w="28" w:type="dxa"/>
          <w:left w:w="28" w:type="dxa"/>
          <w:bottom w:w="28" w:type="dxa"/>
          <w:right w:w="28" w:type="dxa"/>
        </w:tblCellMar>
      </w:tblPr>
      <w:tblGrid>
        <w:gridCol w:w="2874"/>
        <w:gridCol w:w="146"/>
        <w:gridCol w:w="211"/>
        <w:gridCol w:w="781"/>
        <w:gridCol w:w="146"/>
        <w:gridCol w:w="146"/>
        <w:gridCol w:w="476"/>
        <w:gridCol w:w="1529"/>
        <w:gridCol w:w="166"/>
        <w:gridCol w:w="146"/>
        <w:gridCol w:w="211"/>
        <w:gridCol w:w="781"/>
        <w:gridCol w:w="146"/>
        <w:gridCol w:w="146"/>
        <w:gridCol w:w="476"/>
        <w:gridCol w:w="1529"/>
        <w:gridCol w:w="295"/>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intangible assets – finite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83,433</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Finite life intangible asset activity for the three months ended March 31, 2026 and 2025 was as follows:</w:t>
      </w:r>
    </w:p>
    <w:tbl>
      <w:tblPr>
        <w:tblW w:w="7529" w:type="dxa"/>
        <w:jc w:val="left"/>
        <w:tblInd w:w="0" w:type="dxa"/>
        <w:tblLayout w:type="fixed"/>
        <w:tblCellMar>
          <w:top w:w="28" w:type="dxa"/>
          <w:left w:w="28" w:type="dxa"/>
          <w:bottom w:w="28" w:type="dxa"/>
          <w:right w:w="28" w:type="dxa"/>
        </w:tblCellMar>
      </w:tblPr>
      <w:tblGrid>
        <w:gridCol w:w="4621"/>
        <w:gridCol w:w="146"/>
        <w:gridCol w:w="226"/>
        <w:gridCol w:w="726"/>
        <w:gridCol w:w="178"/>
        <w:gridCol w:w="156"/>
        <w:gridCol w:w="226"/>
        <w:gridCol w:w="839"/>
        <w:gridCol w:w="4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96,966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99,167</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Amortization expense of finite life intangible assets was $4.0 million and $3.1 million for the three months ended March 31, 2026 and 2025, respectively. Amortization over the next five years for finite life intangibles is expected to be $12.0 million for the remainder of 2026, $15.2 million in 2027, $14.3 million in 2028, $12.9 million in 2029, $11.7 million in 2030, and $33.1 million thereafter. The weighted average amortization periods for finite life intangible assets was 7.7 years as of March 31, 2026, inclusive of weighted average amortization periods for technology, customer lists, and tradenames of 5.4, 8.0, and 7.5 years, respectively.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Annually during the fourth quarter, or more often as circumstances require, the Company completes an impairment assessment of its goodwill and indefinite life intangible assets at the reporting unit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Additionally, property, plant and equipment, right-of-use assets, and finite life intangible assets are reviewed whenever events or changes in circumstances occur that indicate possible impairment. If events or changes in circumstances occur that indicate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possible impairment, the impairment review is based on an undiscounted cash flows analysis at the lowest level at which cash flows of the long-lived assets are largely independent of other groups of assets and liabilities. When impairment is indicated, the estimated future cash flows are then discounted to determine the estimated fair value of the asset or asset group and an impairment charge is recorded for the difference between the carrying value and the estimated fair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did not identify any triggering events that would require an interim impairment assessment, or record an impairment of goodwill, indefinite life intangible assets, finite life intangible assets, right-of-use assets or property, plant and equipment during the three months ended March 31,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assumptions about future conditions important to its assessment of potential impairment are subject to uncertainty, and the Company will continue to monitor these conditions in future periods as new information becomes available, and will update its analysis accordingly.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7. Accrued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Accrued expenses as of March 31, 2026 and December 31, 2025 consisted of the following:</w:t>
      </w:r>
    </w:p>
    <w:tbl>
      <w:tblPr>
        <w:tblW w:w="6745" w:type="dxa"/>
        <w:jc w:val="left"/>
        <w:tblInd w:w="0" w:type="dxa"/>
        <w:tblLayout w:type="fixed"/>
        <w:tblCellMar>
          <w:top w:w="28" w:type="dxa"/>
          <w:left w:w="28" w:type="dxa"/>
          <w:bottom w:w="28" w:type="dxa"/>
          <w:right w:w="28" w:type="dxa"/>
        </w:tblCellMar>
      </w:tblPr>
      <w:tblGrid>
        <w:gridCol w:w="2956"/>
        <w:gridCol w:w="346"/>
        <w:gridCol w:w="299"/>
        <w:gridCol w:w="961"/>
        <w:gridCol w:w="146"/>
        <w:gridCol w:w="146"/>
        <w:gridCol w:w="357"/>
        <w:gridCol w:w="1143"/>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related benefits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acquisition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Senior Debt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Debt as of March 31, 2026 and December 31, 2025 consisted of the following:</w:t>
      </w:r>
    </w:p>
    <w:tbl>
      <w:tblPr>
        <w:tblW w:w="8755" w:type="dxa"/>
        <w:jc w:val="left"/>
        <w:tblInd w:w="0" w:type="dxa"/>
        <w:tblLayout w:type="fixed"/>
        <w:tblCellMar>
          <w:top w:w="28" w:type="dxa"/>
          <w:left w:w="28" w:type="dxa"/>
          <w:bottom w:w="28" w:type="dxa"/>
          <w:right w:w="28" w:type="dxa"/>
        </w:tblCellMar>
      </w:tblPr>
      <w:tblGrid>
        <w:gridCol w:w="5146"/>
        <w:gridCol w:w="146"/>
        <w:gridCol w:w="268"/>
        <w:gridCol w:w="992"/>
        <w:gridCol w:w="166"/>
        <w:gridCol w:w="146"/>
        <w:gridCol w:w="319"/>
        <w:gridCol w:w="1181"/>
        <w:gridCol w:w="3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Credit Facility (defined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 under the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the joint venture 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Scheduled principal payments under the Credit Facility and joint venture term debt are $1.4 million for the remainder of 2026, and $3.8 million in 2027. The remaining $251.8 million will be paid upon maturity in 2031.</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Credit Facility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October 7, 2024, the Company entered into the Third Amended and Restated Credit Agreement (the “Legacy Credit Agreement”), among the Company, its subsidiaries from time to time party thereto, the lenders from time to time party thereto and Bank of America, N.A., as administrative agent, which amended and restated in its entirety the Company’s prior credit agreement. The Legacy Credit Agreement provided for a senior secured revolving credit facility in an initial aggregate principal amount of up to $400.0 million (the "Legacy Credit Facility”).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30, 2026, the Company entered into the Fourth Amended and Restated Credit Agreement (the “2026 Credit Agreement”), among the Company, its subsidiaries from time to time party thereto, the lenders from time to time party thereto, and Bank of America, N.A., as administrative agent, which amended and restated in its entirety the Legacy Credit Agreement. The 2026 Credit Agreement provided for a senior secured revolving credit facility in an initial aggregate principal amount of up to $700.0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March 30, 2026, the Company entered into Amendment No. 1 to Fourth Amended and Restated Credit Agreement (the “Amendment”), among the Company, its subsidiaries party thereto, the lenders party thereto (the "Lenders"), and Bank of America, N.A., as administrative agent (the “Agent”), which amends the Credit Agreement (the 2026 Credit Agreement as amended by the Amendment, the “Credit Agreement”). The Amendment provides for a senior secured revolving credit facility in an initial aggregate principal amount of up to $740.0 million and adds an incremental senior secured delayed-draw term loan commitment in an initial aggregate principal amount of $235 million (the “Incremental Term A-1 Loan Facility”; together with the Revolving Facility, the “Credit Facility”), subject only to the satisfaction or waiver of the related conditions precedent set forth in the Credit Agreement, including, without limitation, the consummation of the merger and acquisition contemplated by that certain Agreement and Plan of Merger, dated as of February 23, 2026, by and among the Company, Longhorn Merger Sub, Inc., Longhorn Merger Sub LLC, and Thermon Group Holdings,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March 31, 2026 and December 31, 2025, $23.1 million and $23.8 million of letters of credit were outstanding, respectively. Total unused credit availability, in consideration of borrowing limitations, under the Company’s Credit Facility was $119.9 million and $123.6 million at March 31, 2026 and December 31, 2025, respectively. The Company's available borrowing capacity under the Credit Facility is defined as the lower of (a) the Credit Facility amount less outstanding borrowings and Letters of Credit on the Credit Facility, and (b) the Company's trailing twelve month EBITDA, as defined in the Credit Agreement, by a factor of the maximum leverage ratio, less outstanding borrowings on the Credit Facility. Revolving loans may be borrowed, repaid and reborrowed until January 30, 2031, at which time all outstanding balances of the Credit Facility must be repaid.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Legacy Credit Facility accrued interest (a) with respect to base rate loans, at an annual rate equal to an applicable rate of between 0.75% and 2.25% (fluctuating based on the Company’s Consolidated Net Leverage Ratio), plus a rate equal to the highest of (1) the Agent’s prime rate, (2) the federal funds rate plus one-half of 1.00%, (3) Daily Simple SOFR (as defined in the Legacy Credit Agreement) plus 1.00% and (4) 1.00%, (b) for all other loans, at an annual rate equal to an applicable rate of between 1.75% and 3.25% (fluctuating based on the Company’s Consolidated Net Leverage Ratio), plus a rate determined based on the denominated currency and, as applicable pursuant to the Legacy Credit Agreement, whether the Company has elected for interest on such loans to accrue at a daily rate or a term rate: (a) for term rate loans, if denominated (1) in U.S. Dollars,</w:t>
        <w:br/>
        <w:t>Term SOFR (as defined in the Legacy Credit Agreement inclusive of a 0.10% per annum adjustment), (2) in euros, EURIBOR, (3) in Canadian dollars, the Term CORRA Rate (as defined in the Legacy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Legacy Credit Agreement inclusive of a 0.10% per annum adjustment), (2) in pounds sterling, a rate per annum equal to SONIA (as defined in the Legacy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Credit Facility accrues interest (a) with respect to base rate loans, at an annual rate equal to an applicable rate spread of between 0.50% and 2.00% (fluctuating based on the Company’s Consolidated Net Leverage Ratio, as defined in the Credit Agreement), plus a rate equal to the highest of (1) the Agent’s prime rate, (2) the federal funds rate plus one-half of 1.00%, (3) Daily Simple SOFR (as defined in the Credit Agreement) plus 1.00% and (4) 1.00%, (b) for all other loans, at an annual rate equal to an applicable rate spread of between 1.50% and 3.00% (fluctuating based on the Company’s Consolidated Net Leverage Ratio), plus a rate determined based on the denominated currency and, as applicable pursuant to the Credit Agreement, whether the Company has elected for interest on such loans to accrue at a daily rate or a term rate: (a) for term rate loans, if denominated (1) in U.S. Dollars, Term SOFR (as defined in the Credit Agreement),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(2) in pounds sterling, a rate per annum equal to SONIA (as defined in the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Interest on Base Rate loans is payable quarterly in arrears on the last day of each calendar quarter and at maturity. Interest on Term SOFR rate loans is payable on the last date of each applicable Interest Period (as defined in the Credit Agreement), but in no event less than once every three months and at maturity. The weighted average stated interest rate on outstanding borrowings was 6.20% and 6.41% at March 31, 2026 and December 31, 2025, respectively. The effective interest rate was 6.23% and 7.06% at March 31, 2026 and December 31, 2025, respectively.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respect to financial covenants, the Company is required to maintain a Consolidated Net Leverage Ratio not greater than 4.00 to 1.00 and a Consolidated Secured Net Leverage Ratio (as defined in the Credit Agreement) not greater than 3.50 to 1.00, in each case as of the last day of each fiscal quarter of the Company. The Company is also required to maintain a Consolidated Fixed Charge Coverage Ratio (as defined in the Credit Agreement) as of the last day of each fiscal quarter of the Company of not less than 1.25 to 1.00.</w:t>
        <w:br/>
        <w:b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2026 Credit Agreement and Amendment, the Company paid $2.2 million in customary closing fees that were deferred and classified as a debt discount, as a result of the associated amendments being accounted for as new debt and debt modifications. The prior amounts continue to be deferred and classified as a debt discount, as these amounts relate to portions of the 2026 Credit Agreement and Amendment accounted for as debt modifications.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March 31, 2026 and December 31, 2025, the Company was in compliance with all related financial and other restrictive covenants under the Credit Facility.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Joint Venture Debt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March 7, 2022, the PPI JV, for which the Company holds 63% of the equity, entered into a loan agreement secured by the assets of the PPI JV in the aggregate principal amount of $11.0 million for the acquisition of General Rubber, LLC. As of March 31, 2026 and December 31, 2025, $5.2 million and $5.6 million was outstanding under the loan, respectively. Principal will be paid back to the lender monthly with the final installment due by February 27, 2027. Interest is accrued at the per annum rate based on PPI JV's choice of the 1/3/6 month Term SOFR rate plus 3.25%, with a floor rate of 3.75%. Interest is paid monthly on the last day of each month. The interest rate at March 31, 2026 and December 31, 2025 was 6.87% and 7.27%, respectively. As of March 31, 2026 and December 31, 2025, the PPI JV was in compliance with all related financial and other restrictive covenants under this loan agreement. This loan balance does not impact the Company’s borrowing capacity or the financial covenants under the Credit Facility. As of March 31, 2026, there were $19.2 million in current assets (including $2.5 million of cash, $6.3 million of accounts receivable, and $4.7 million of inventories), $36.1 million in long-lived assets (including $32.4 million of goodwill and intangible assets), and $18.7 million in total liabilities (including $5.2 million of debt and $5.2 million of accounts payable and accrued expenses) related to the PPI JV included in the Condensed Consolidated Balance Sheets. As of December 31, 2025, there were $20.7 million in current assets (including $1.9 million of cash, $10.4 million of accounts receivable, and $4.3 million of inventories), $24.4 million in long-lived assets (including $23.9 million of goodwill and intangible assets), and $14.2 million in total liabilities (including $5.6 million of debt and $4.9 million of accounts payable and accrued expenses) related to the PPI JV included in the Consolidated Balance Sheets. For the three months ended March 31, 2026 and 2025, the PPI JV accounted for $13.3 million and $11.0 million in revenue, respectively, and $0.3 million and $0.8 million in net income, respectively, included in the Company's results.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Foreign Debt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$150.0 million from the bilateral lines of credit secured through pledged assets and collateral under the Credit Facility. As of March 31, 2026 and December 31, 2025, $45.5 million and $41.6 million in bank guarantees were outstanding, respectively, inclusive of $1.1 million and $1.1 million in outstanding bank guarantees as of March 31, 2026 and December 31, 2025, respectively, under a Euro-denominated bank guarantee agreement held by a subsidiary of the Company located in the Netherlands and secured by local assets, as well as $2.0 million and $1.9 million in outstanding bank guarantees as of March 31, 2026 and December 31, 2025, respectively, under Yuan-denominated bank guarantee agreements held by a subsidiary of the Company located in China and secured by local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9. (Loss) Earnings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computational components of basic and diluted (loss) earnings per share for the three months ended March 31, 2026 and 2025 are as follows:</w:t>
      </w:r>
    </w:p>
    <w:tbl>
      <w:tblPr>
        <w:tblW w:w="9411" w:type="dxa"/>
        <w:jc w:val="left"/>
        <w:tblInd w:w="0" w:type="dxa"/>
        <w:tblLayout w:type="fixed"/>
        <w:tblCellMar>
          <w:top w:w="28" w:type="dxa"/>
          <w:left w:w="28" w:type="dxa"/>
          <w:bottom w:w="28" w:type="dxa"/>
          <w:right w:w="28" w:type="dxa"/>
        </w:tblCellMar>
      </w:tblPr>
      <w:tblGrid>
        <w:gridCol w:w="6721"/>
        <w:gridCol w:w="146"/>
        <w:gridCol w:w="238"/>
        <w:gridCol w:w="763"/>
        <w:gridCol w:w="187"/>
        <w:gridCol w:w="164"/>
        <w:gridCol w:w="238"/>
        <w:gridCol w:w="763"/>
        <w:gridCol w:w="1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Numerator </w:t>
            </w:r>
            <w:r>
              <w:rPr>
                <w:rFonts w:ascii="Times New Roman" w:hAnsi="Times New Roman"/>
                <w:color w:val="000000"/>
                <w:sz w:val="20"/>
              </w:rPr>
              <w:t>(for basic and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income attributable to CECO Environmental Corp.</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8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equivalents arising from stock options and restricted stock awards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35,691</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Options and restricted stock units included in the computation of diluted earnings per share are calculated using the treasury stock method. For the three months ended March 31, 2025, 0.1 million of outstanding options and restricted stock units were excluded from the computation of diluted earnings per share due to their having an anti-dilutive effect. For the three months ended March 31, 2026, the Company had a net loss. As a result, no potentially dilutive shares were included in the computation, as their inclusion would have been anti-dilutive. The shares that could potentially dilute earnings per share in the future were 2.1 million for the three months ended March 31,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Once a restricted stock unit vests, it is included in the computation of weighted average shares outstanding for purposes of basic and diluted earnings per share.</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Common Stock Repurchase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May 10, 2022, the Company's Board of Directors authorized a share repurchase program under which the Company was able to purchase up to $20.0 million of its outstanding shares of common stock through April 30, 2025. The authorization permitted the Company to repurchase shares in the open market, through accelerated share repurchases, block trades, Rule 10b5-1 trading plans or through privately negotiated transactions in accordance with applicable laws, rules and regulations. There were no shares repurchased under the program during the three ended March 31, 2025. This program expired during the second quarter of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10. Share-Based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recognized $0.4 million and $3.4 million of expense related to share-based compensation during the three months ended March 31, 2026 and 2025, respectively, which was measured based upon the fair value of the awards at the grant 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granted approximately 226,000 and 388,000 restricted stock units during the three months ended March 31, 2026 and 2025, respectively. In addition, the Company granted 18,000 and 67,000 stock options during the three months ended March 31, 2026 and 2025, respectively.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There were no options exercised during the three months ended March 31, 2026 and 2025.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11. Pension and Employee Benefit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sponsored a non-contributory defined benefit pension plan for certain union employees. The plan was funded in accordance with the funding requirements of the Employee Retirement Income Security Act of 1974. The Company presents the components of net periodic benefit cost within “Other expense” on the Condensed Consolidated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Retirement plan expense was based on valuations performed by plan actuaries as of the beginning of each fiscal year. The components of the pension plan expense consisted of the following: </w:t>
      </w:r>
    </w:p>
    <w:tbl>
      <w:tblPr>
        <w:tblW w:w="5677" w:type="dxa"/>
        <w:jc w:val="left"/>
        <w:tblInd w:w="0" w:type="dxa"/>
        <w:tblLayout w:type="fixed"/>
        <w:tblCellMar>
          <w:top w:w="28" w:type="dxa"/>
          <w:left w:w="28" w:type="dxa"/>
          <w:bottom w:w="28" w:type="dxa"/>
          <w:right w:w="28" w:type="dxa"/>
        </w:tblCellMar>
      </w:tblPr>
      <w:tblGrid>
        <w:gridCol w:w="2821"/>
        <w:gridCol w:w="146"/>
        <w:gridCol w:w="322"/>
        <w:gridCol w:w="528"/>
        <w:gridCol w:w="223"/>
        <w:gridCol w:w="223"/>
        <w:gridCol w:w="322"/>
        <w:gridCol w:w="735"/>
        <w:gridCol w:w="166"/>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net 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made no contributions to its defined benefit plan during the three months ended March 31, 2025. On March 31, 2025, the pension plan was transferred to the purchaser of the Global Pump Solutions business, as discussed in Note 16.</w:t>
      </w:r>
    </w:p>
    <w:p>
      <w:pPr>
        <w:pStyle w:val="TextBody"/>
        <w:bidi w:val="0"/>
        <w:spacing w:before="0" w:after="240"/>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files income tax returns in various federal, state and local jurisdictions. Tax years from 2022 forward remain open for examination by Federal authorities. Tax years from 2018 forward remain open for all significant state and foreign authorities.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March 31, 2026 and December 31, 2025, the liability for uncertain tax positions totaled approximately $1.3 million and $1.3 million, respectively, which is included in “Other liabilities” on the Condensed Consolidated Balance Sheets. The Company recognizes accrued interest related to uncertain tax positions and penalties, if any, in income tax expense within the Condensed Consolidated Statements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March 31, 2026 and December 31, 2025, the Company recorded deferred income taxes of approximately $1.7 million and $1.1 million, respectively, on the undistributed earnings of its foreign subsidiaries.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Income tax benefit for the three months ended March 31, 2026 was $3.5 million, compared to income tax expense of $18.6 million for the three months ended March 31, 2025. The effective income tax rate for the three months ended March 31, 2026 was (93.4)%, compared with 33.8% for the three months ended March 31, 2025. The effective income tax rates for the three months ended March 31, 2026 and 2025 differ from the United States federal statutory rate. The Company's effective rate is affected by certain other permanent differences, including transaction costs, state income taxes, non-deductible incentive stock-based compensation, and differences in tax rates among jurisdictions in which it operates. The effective tax rate for the three months ended March 31, 2025 was also impacted by the gain on the sale of the Global Pump Solutions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13. Financial Instruments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financial instruments consist primarily of investments in cash and cash equivalents, receivables and certain other assets, notes payable, foreign debt and accounts payable, which approximate fair value at March 31, 2026 and December 31, 2025, due to their short-term nature or variable, market-driven interest rates.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fair value of the debt issued under the Credit Facility and joint venture term loan was $257.0 million and $214.2 million at March 31, 2026 and December 31, 2025, respectively. The fair value was determined considering market conditions, the Company's credit worthiness and the current terms of our debt, which is considered Level 2 on the fair value hierarchy.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March 31, 2026 and December 31, 2025, the Company had cash and cash equivalents of $45.4 million and $33.1 million, respectively, of which $36.0 million and $26.4 million, respectively, was held outside of the United States, principally in China, India, Netherlands, United Arab Emirates, and United Kingdom.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spacing w:before="0" w:after="240"/>
        <w:jc w:val="left"/>
        <w:rPr>
          <w:rFonts w:ascii="Times New Roman" w:hAnsi="Times New Roman"/>
          <w:sz w:val="20"/>
        </w:rPr>
      </w:pPr>
      <w:r>
        <w:rPr>
          <w:rFonts w:ascii="Times New Roman" w:hAnsi="Times New Roman"/>
          <w:i/>
          <w:color w:val="000000"/>
          <w:sz w:val="20"/>
        </w:rPr>
        <w:t>Legal Proceedings</w:t>
        <w:br/>
        <w:br/>
      </w:r>
      <w:r>
        <w:rPr>
          <w:rFonts w:ascii="Times New Roman" w:hAnsi="Times New Roman"/>
          <w:color w:val="000000"/>
          <w:sz w:val="20"/>
        </w:rPr>
        <w:t>The Company is subject to routine legal claims, proceedings, and investigations associated with contract and employment-related litigation matters, warranty claims, asbestos matters, and audits of state and local tax returns arising in the ordinary course of its business. The final outcome and impact of open matters, and related claims and investigations that may be brought in the future, are subject to many variables, and cannot be predicted. The Company regularly assesses such matters to determine the degree of probability that it will incur a material loss as a result of such matters, as well as the range of possible loss. The Company records accruals for estimated losses relating to claims and lawsuits when available information indicates that a loss is probable and the amount of the loss, or range of loss, can be reasonably estimated.</w:t>
        <w:br/>
        <w:br/>
        <w:t>Based upon information presently available, and in light of legal and other factual defenses available to the Company, the Company does not believe that it is reasonably possible that such litigation will have a material adverse effect on the Company’s financial condition, future operating results or liquidity.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15. Acquisitions and Proposed Merger with Thermon Group Holdings, Inc.</w:t>
      </w:r>
    </w:p>
    <w:p>
      <w:pPr>
        <w:pStyle w:val="TextBody"/>
        <w:bidi w:val="0"/>
        <w:spacing w:before="0" w:after="240"/>
        <w:jc w:val="left"/>
        <w:rPr>
          <w:rFonts w:ascii="Times New Roman" w:hAnsi="Times New Roman"/>
          <w:sz w:val="20"/>
        </w:rPr>
      </w:pPr>
      <w:r>
        <w:rPr>
          <w:rFonts w:ascii="Times New Roman" w:hAnsi="Times New Roman"/>
          <w:i/>
          <w:color w:val="000000"/>
          <w:sz w:val="20"/>
        </w:rPr>
        <w:t>Merger Agreement with Thermon Group Holdings, Inc.</w:t>
        <w:br/>
        <w:br/>
      </w:r>
      <w:r>
        <w:rPr>
          <w:rFonts w:ascii="Times New Roman" w:hAnsi="Times New Roman"/>
          <w:color w:val="000000"/>
          <w:sz w:val="20"/>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the parties agreed to effect the merger transactions contemplated thereby (the “Merger”).</w:t>
        <w:br/>
        <w:br/>
        <w:t>Under the terms of the Merger Agreement and at the effective time of the Merger, each share of common stock, par value $0.001 per share, of Thermon (“Thermon Common Stock”), issued and outstanding immediately prior to the effective time (other than those shares of Thermon Common Stock excluded or constituting dissenting shares pursuant to the Merger Agreement), will be automatically converted into the right to receive from the Company, at the holder’s election and subject to proration, either (i) mixed consideration consisting of 0.6840 shares of the Company’s common stock and $10.00 of cash per share, (ii) $63.89 of cash per share or (iii) 0.8110 shares of the Company’s common stock per share (collectively, the "Merger Consideration"). The Company is seeking stockholder approval for the issuance of shares of Company common stock in the transaction and Thermon is seeking Thermon stockholder approval of the Merger Agreement.</w:t>
        <w:br/>
        <w:br/>
        <w:t>The completion of the Merger is subject to customary closing conditions, including, among others, approval by the Company’s and Thermon’s stockholders, approval for listing on Nasdaq of the shares of Company common stock to be issued in the transaction, and other customary regulatory approvals and conditions.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has incurred $8.7 million in relation to the proposed transaction, primarily related to third party financial advisor fees, legal fees, and other professional fees. These amounts are recorded within "Acquisition and integration expenses" on the Condensed Consolidated Statements of Operations.</w:t>
        <w:br/>
        <w:br/>
        <w:t xml:space="preserve">The Company expects to account for the acquisition as a business combination under ASC 805.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Flexible Specialty Products LLC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February 13, 2026, the Company, through its PPI JV, completed its acquisition of FSP for $6.8 million in cash. The transaction was financed through cash on hand. As additional consideration in the acquisition of FSP, the former owners of FSP are also entitled to earn-out payments up to $4.0 million based upon specified financial results through December 31, 2029. Based on projections at the acquisition date, the Company estimated the fair value of the earn-out to be $3.3 million. FSP is a custom manufacturer and supplier of industrial fabric expansion joints, metal bellows, metal hose, and other specialty flexible connectors for ductwork and piping with its primary operations in Englewood, Florida and is reported within the Engineered Systems segment. The following table summarizes the preliminary fair values of the assets acquired and liabilities assumed at the date of closing.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00" w:type="dxa"/>
        <w:jc w:val="left"/>
        <w:tblInd w:w="0" w:type="dxa"/>
        <w:tblLayout w:type="fixed"/>
        <w:tblCellMar>
          <w:top w:w="28" w:type="dxa"/>
          <w:left w:w="28" w:type="dxa"/>
          <w:bottom w:w="28" w:type="dxa"/>
          <w:right w:w="28" w:type="dxa"/>
        </w:tblCellMar>
      </w:tblPr>
      <w:tblGrid>
        <w:gridCol w:w="5956"/>
        <w:gridCol w:w="146"/>
        <w:gridCol w:w="211"/>
        <w:gridCol w:w="676"/>
        <w:gridCol w:w="4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(including cash of $134 and accounts receivable of $861)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 finite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acquired a customer lists intangible asset valued at $6.1 million. This asset was determined to have a useful life of 10 years.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three months ended March 31, 2026, FSP accounted for $0.4 million in revenue and $0.1 million in net income in the PPI JV and Company's results.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Profire Energy,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3, 2025, the Company acquired all outstanding shares of Profire for $122.7 million in cash, including $4.6 million of cash used to settle outstanding equity awards for which $2.3 million represents the acceleration of such awards and thus recorded within "Acquisition and integration expenses" on the Condensed Consolidated Statements of Operations. Resulting consideration transferred for the acquisition was $120.4 million. The transaction was financed through a combination of cash on hand and a draw on the Company's revolving credit facility. Profire is a technology company and provider of intelligent control solutions that enhance the efficiency, safety, and reliability of industrial combustion appliances. The business operates primarily from locations in Lindon, Utah and Acheson, Alberta and is reported within the Engineered Systems segment. The following table summarizes the preliminary fair values of the assets acquired and liabilities assumed at the date of closing.</w:t>
      </w:r>
    </w:p>
    <w:tbl>
      <w:tblPr>
        <w:tblW w:w="9755" w:type="dxa"/>
        <w:jc w:val="left"/>
        <w:tblInd w:w="0" w:type="dxa"/>
        <w:tblLayout w:type="fixed"/>
        <w:tblCellMar>
          <w:top w:w="28" w:type="dxa"/>
          <w:left w:w="28" w:type="dxa"/>
          <w:bottom w:w="28" w:type="dxa"/>
          <w:right w:w="28" w:type="dxa"/>
        </w:tblCellMar>
      </w:tblPr>
      <w:tblGrid>
        <w:gridCol w:w="8206"/>
        <w:gridCol w:w="146"/>
        <w:gridCol w:w="211"/>
        <w:gridCol w:w="781"/>
        <w:gridCol w:w="411"/>
      </w:tblGrid>
      <w:tr>
        <w:trPr/>
        <w:tc>
          <w:tcPr>
            <w:tcW w:w="8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(including cash and cash equivalents of $22,675 and accounts receivable of $14,151)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 finite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8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acquired property and equipment consisting of $14.7 million of land, building and improvements, $2.1 million of vehicles, and $0.6 million of machinery and equipment and other.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acquired technology, customer lists, and tradename intangible assets valued at $3.6 million, $34.5 million, and $3.7 million, respectively. These assets were determined to have useful lives of 7, 10, and 10 years, respectively.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FSP acquisition disclosed above is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purposes.</w:t>
        <w:br/>
        <w:br/>
        <w:t xml:space="preserve">Acquisition and integration expenses, recorded within "Other operating expenses" on the Condensed Consolidated Statements of Operations are related to acquisition activities, which include retention, legal, accounting, banking, and other expenses.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unaudited pro forma financial information represents the Company’s results of operations as if these acquisitions had occurred at the beginning of the fiscal year prior to the acquisition. The pro forma results have been prepared for informational purposes only and include adjustments to amortize acquired intangible assets with finite lives, depreciate acquired property, plant, and equipment, reflect additional interest expense on debt used to fund the acquisition, and record the income tax consequences of these pro forma adjustments. </w:t>
      </w:r>
    </w:p>
    <w:tbl>
      <w:tblPr>
        <w:tblW w:w="8292" w:type="dxa"/>
        <w:jc w:val="left"/>
        <w:tblInd w:w="0" w:type="dxa"/>
        <w:tblLayout w:type="fixed"/>
        <w:tblCellMar>
          <w:top w:w="28" w:type="dxa"/>
          <w:left w:w="28" w:type="dxa"/>
          <w:bottom w:w="28" w:type="dxa"/>
          <w:right w:w="28" w:type="dxa"/>
        </w:tblCellMar>
      </w:tblPr>
      <w:tblGrid>
        <w:gridCol w:w="5056"/>
        <w:gridCol w:w="146"/>
        <w:gridCol w:w="216"/>
        <w:gridCol w:w="801"/>
        <w:gridCol w:w="170"/>
        <w:gridCol w:w="149"/>
        <w:gridCol w:w="216"/>
        <w:gridCol w:w="801"/>
        <w:gridCol w:w="146"/>
        <w:gridCol w:w="5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206,379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CECO Environmental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These pro forma results do not purport to be indicative of the results of operations that would have occurred had the purchase been made as of the beginning of the periods presented or of the results of operations that may occur in the future.</w:t>
      </w:r>
    </w:p>
    <w:p>
      <w:pPr>
        <w:pStyle w:val="TextBody"/>
        <w:bidi w:val="0"/>
        <w:spacing w:before="0" w:after="240"/>
        <w:jc w:val="left"/>
        <w:rPr>
          <w:rFonts w:ascii="Times New Roman" w:hAnsi="Times New Roman"/>
          <w:sz w:val="20"/>
        </w:rPr>
      </w:pPr>
      <w:r>
        <w:rPr>
          <w:rFonts w:ascii="Times New Roman" w:hAnsi="Times New Roman"/>
          <w:b/>
          <w:color w:val="000000"/>
          <w:sz w:val="20"/>
        </w:rPr>
        <w:t>16. Divestiture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March 31, 2025, the Company finalized the sale of its Global Pump Solutions business to a third party for a purchase price of $108.7 million, as adjusted for purchase adjustments. In the third quarter of 2025, the Company agreed to a working capital adjustment with the purchaser that reduced the amount to be released from escrow by $0.8 million, with a corresponding reduction in the previously recognized gain. The Company received cash proceeds of $107.9 million, inclusive of the purchase price, purchase price adjustments and $2.0 million released from escrow in the third quarter of 2025. The Company recognized a pre-tax gain on sale of business of $63.7 million. The Global Pump Solutions business consisted of three niche leadership severe service industrial metallic, fiberglass and thermoplastic centrifugal pump brands: Dean, Fybroc and Sethco. The business primarily operated from locations in Indianapolis, Indiana and Telford, Pennsylvania, and was included within the Industrial Processing Solutions segment.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Amounts related to the transaction are as follows:</w:t>
      </w:r>
    </w:p>
    <w:tbl>
      <w:tblPr>
        <w:tblW w:w="6050" w:type="dxa"/>
        <w:jc w:val="left"/>
        <w:tblInd w:w="0" w:type="dxa"/>
        <w:tblLayout w:type="fixed"/>
        <w:tblCellMar>
          <w:top w:w="28" w:type="dxa"/>
          <w:left w:w="28" w:type="dxa"/>
          <w:bottom w:w="28" w:type="dxa"/>
          <w:right w:w="28" w:type="dxa"/>
        </w:tblCellMar>
      </w:tblPr>
      <w:tblGrid>
        <w:gridCol w:w="4501"/>
        <w:gridCol w:w="146"/>
        <w:gridCol w:w="211"/>
        <w:gridCol w:w="781"/>
        <w:gridCol w:w="41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Assets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 finite life,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Liabilities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17. Business Segment Information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Company’s operations are organized and reviewed by management along its product lines or end markets that the segment serves and are presented in two reportable segments. Segment profit is reviewed quarterly by the chief operating decision maker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("CODM"), which is the Company's Chief Executive Officer, for the purposes of allocating resources, including personnel, capital, and financial resources, and assessing performance, including the monitoring of budget versus actual results. During the fourth quarter of 2025, management updated the definition of the segment profit measure used by the CODM. The presentation of prior period segment information has been recast to conform to this updated measure. Asset information by segment is not reported internally or otherwise regularly reviewed by the CODM. </w:t>
        <w:br/>
        <w:br/>
        <w:t>The Company’s reportable segments are organized as groups of similar products and services, as described as follows: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Engineered Systems:</w:t>
      </w:r>
      <w:r>
        <w:rPr>
          <w:rFonts w:ascii="Times New Roman" w:hAnsi="Times New Roman"/>
          <w:color w:val="000000"/>
          <w:sz w:val="20"/>
        </w:rPr>
        <w:t xml:space="preserve"> The Company's Engineered Systems segment serves the power generation, hydrocarbon processing,</w:t>
        <w:br/>
        <w:t>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Industrial Process Solutions:</w:t>
      </w:r>
      <w:r>
        <w:rPr>
          <w:rFonts w:ascii="Times New Roman" w:hAnsi="Times New Roman"/>
          <w:color w:val="000000"/>
          <w:sz w:val="20"/>
        </w:rPr>
        <w:t xml:space="preserve"> The Company's Industrial Process Solutions segment serves the broad industrial sector with</w:t>
        <w:br/>
        <w:t>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reconciliation of total segment sales to total consolidated sales, as well as total segment profit to total consolidated loss from operations and total consolidated net loss is as follows for the three months ended March 31, 2026:</w:t>
      </w:r>
    </w:p>
    <w:tbl>
      <w:tblPr>
        <w:tblW w:w="9239" w:type="dxa"/>
        <w:jc w:val="left"/>
        <w:tblInd w:w="0" w:type="dxa"/>
        <w:tblLayout w:type="fixed"/>
        <w:tblCellMar>
          <w:top w:w="28" w:type="dxa"/>
          <w:left w:w="28" w:type="dxa"/>
          <w:bottom w:w="28" w:type="dxa"/>
          <w:right w:w="28" w:type="dxa"/>
        </w:tblCellMar>
      </w:tblPr>
      <w:tblGrid>
        <w:gridCol w:w="3676"/>
        <w:gridCol w:w="146"/>
        <w:gridCol w:w="325"/>
        <w:gridCol w:w="1205"/>
        <w:gridCol w:w="146"/>
        <w:gridCol w:w="146"/>
        <w:gridCol w:w="499"/>
        <w:gridCol w:w="1601"/>
        <w:gridCol w:w="146"/>
        <w:gridCol w:w="146"/>
        <w:gridCol w:w="211"/>
        <w:gridCol w:w="78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 burden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engineering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corporate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profit or loss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(1) Includes corporate compensation, professional services and information technology expenses, and other general and administrative corporate expenses. </w:t>
        <w:br/>
        <w:t xml:space="preserve">(2) Includes foreign exchange (gain) loss.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segment information is as follows for the three months ended March 31, 2026:</w:t>
      </w:r>
    </w:p>
    <w:tbl>
      <w:tblPr>
        <w:tblW w:w="7286" w:type="dxa"/>
        <w:jc w:val="left"/>
        <w:tblInd w:w="0" w:type="dxa"/>
        <w:tblLayout w:type="fixed"/>
        <w:tblCellMar>
          <w:top w:w="28" w:type="dxa"/>
          <w:left w:w="28" w:type="dxa"/>
          <w:bottom w:w="28" w:type="dxa"/>
          <w:right w:w="28" w:type="dxa"/>
        </w:tblCellMar>
      </w:tblPr>
      <w:tblGrid>
        <w:gridCol w:w="2881"/>
        <w:gridCol w:w="146"/>
        <w:gridCol w:w="412"/>
        <w:gridCol w:w="1118"/>
        <w:gridCol w:w="146"/>
        <w:gridCol w:w="146"/>
        <w:gridCol w:w="564"/>
        <w:gridCol w:w="1536"/>
        <w:gridCol w:w="14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The amounts of depreciation and amortization disclosed by reportable segment are included within other segment expense captions, such as shop burden or general and administrative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reconciliation of total segment sales to total consolidated sales, as well as total segment profit to total consolidated income from operations and total consolidated net income is as follows for the three months ended March 31, 2025:</w:t>
      </w:r>
    </w:p>
    <w:tbl>
      <w:tblPr>
        <w:tblW w:w="9569" w:type="dxa"/>
        <w:jc w:val="left"/>
        <w:tblInd w:w="0" w:type="dxa"/>
        <w:tblLayout w:type="fixed"/>
        <w:tblCellMar>
          <w:top w:w="28" w:type="dxa"/>
          <w:left w:w="28" w:type="dxa"/>
          <w:bottom w:w="28" w:type="dxa"/>
          <w:right w:w="28" w:type="dxa"/>
        </w:tblCellMar>
      </w:tblPr>
      <w:tblGrid>
        <w:gridCol w:w="4006"/>
        <w:gridCol w:w="146"/>
        <w:gridCol w:w="325"/>
        <w:gridCol w:w="1205"/>
        <w:gridCol w:w="146"/>
        <w:gridCol w:w="146"/>
        <w:gridCol w:w="468"/>
        <w:gridCol w:w="1632"/>
        <w:gridCol w:w="166"/>
        <w:gridCol w:w="146"/>
        <w:gridCol w:w="211"/>
        <w:gridCol w:w="781"/>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 burden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engineering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corporate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profit or loss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(1) Includes corporate compensation, professional services and information technology expenses, and other general and administrative corporate expenses. </w:t>
        <w:br/>
        <w:t xml:space="preserve">(2) Includes foreign exchange (gain) loss and pension expense.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segment information is as follows for the three months ended March 31, 2025:</w:t>
      </w:r>
    </w:p>
    <w:tbl>
      <w:tblPr>
        <w:tblW w:w="7286" w:type="dxa"/>
        <w:jc w:val="left"/>
        <w:tblInd w:w="0" w:type="dxa"/>
        <w:tblLayout w:type="fixed"/>
        <w:tblCellMar>
          <w:top w:w="28" w:type="dxa"/>
          <w:left w:w="28" w:type="dxa"/>
          <w:bottom w:w="28" w:type="dxa"/>
          <w:right w:w="28" w:type="dxa"/>
        </w:tblCellMar>
      </w:tblPr>
      <w:tblGrid>
        <w:gridCol w:w="2881"/>
        <w:gridCol w:w="146"/>
        <w:gridCol w:w="412"/>
        <w:gridCol w:w="1118"/>
        <w:gridCol w:w="146"/>
        <w:gridCol w:w="146"/>
        <w:gridCol w:w="564"/>
        <w:gridCol w:w="1536"/>
        <w:gridCol w:w="14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Engineered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Industrial Process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The amounts of depreciation and amortization disclosed by reportable segment are included within other segment expense captions, such as shop burden or general and administrative expense.</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Geographic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Net sales by geographic area are as follows:</w:t>
      </w:r>
    </w:p>
    <w:tbl>
      <w:tblPr>
        <w:tblW w:w="4277" w:type="dxa"/>
        <w:jc w:val="left"/>
        <w:tblInd w:w="0" w:type="dxa"/>
        <w:tblLayout w:type="fixed"/>
        <w:tblCellMar>
          <w:top w:w="28" w:type="dxa"/>
          <w:left w:w="28" w:type="dxa"/>
          <w:bottom w:w="28" w:type="dxa"/>
          <w:right w:w="28" w:type="dxa"/>
        </w:tblCellMar>
      </w:tblPr>
      <w:tblGrid>
        <w:gridCol w:w="1486"/>
        <w:gridCol w:w="146"/>
        <w:gridCol w:w="218"/>
        <w:gridCol w:w="808"/>
        <w:gridCol w:w="151"/>
        <w:gridCol w:w="151"/>
        <w:gridCol w:w="218"/>
        <w:gridCol w:w="808"/>
        <w:gridCol w:w="2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205,919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176,697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geographical area data for net sales is based upon the country location of the Company's business unit generating such sales.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Long-lived assets by geographic area are as follows:</w:t>
      </w:r>
    </w:p>
    <w:tbl>
      <w:tblPr>
        <w:tblW w:w="5555" w:type="dxa"/>
        <w:jc w:val="left"/>
        <w:tblInd w:w="0" w:type="dxa"/>
        <w:tblLayout w:type="fixed"/>
        <w:tblCellMar>
          <w:top w:w="28" w:type="dxa"/>
          <w:left w:w="28" w:type="dxa"/>
          <w:bottom w:w="28" w:type="dxa"/>
          <w:right w:w="28" w:type="dxa"/>
        </w:tblCellMar>
      </w:tblPr>
      <w:tblGrid>
        <w:gridCol w:w="2066"/>
        <w:gridCol w:w="146"/>
        <w:gridCol w:w="268"/>
        <w:gridCol w:w="992"/>
        <w:gridCol w:w="146"/>
        <w:gridCol w:w="146"/>
        <w:gridCol w:w="319"/>
        <w:gridCol w:w="1181"/>
        <w:gridCol w:w="291"/>
      </w:tblGrid>
      <w:tr>
        <w:trPr/>
        <w:tc>
          <w:tcPr>
            <w:tcW w:w="2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359,584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483,588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geographical area data for long-lived assets is based upon physical location of such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CECO ENVIRONMENTAL CORP.</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MANAGEMENT’S DISCUSSION AND ANALYSIS OF FINANCIAL CONDITION</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AND RESULTS OF OPERATIONS</w:t>
      </w:r>
    </w:p>
    <w:p>
      <w:pPr>
        <w:pStyle w:val="TextBody"/>
        <w:bidi w:val="0"/>
        <w:jc w:val="left"/>
        <w:rPr/>
      </w:pPr>
      <w:r>
        <w:rPr/>
        <w:t> </w:t>
      </w:r>
    </w:p>
    <w:p>
      <w:pPr>
        <w:pStyle w:val="TextBody"/>
        <w:bidi w:val="0"/>
        <w:jc w:val="left"/>
        <w:rPr/>
      </w:pPr>
      <w:r>
        <w:rPr/>
        <w:t> </w:t>
      </w:r>
    </w:p>
    <w:p>
      <w:pPr>
        <w:pStyle w:val="TextBody"/>
        <w:bidi w:val="0"/>
        <w:spacing w:before="240" w:after="24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Condensed Consolidated Statements of Operations for the three months ended March 31, 2026 and 2025 reflect the consolidated operations of the Company and its subsidiaries.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CECO Environmental Corp. (“CECO,” “we,” “us,” "our," or the “Company”) is a leading environmentally focused, diversified industrial company, serving the broad landscape of industrial air, industrial water and energy transition markets globally providing innovative technology and application expertise through a collection of focused operating companies with niche leadership positions and well-established brands in fragmented markets with flexible business models and established supply chains. CECO helps companies grow their business with safe, clean, and more efficient solutions that help protect people, the environment and industrial equipment. CECO's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February 23, 2026, the Company entered into an Agreement and Plan of Merger with Thermon Group Holdings, Inc. ("Thermon"), pursuant to which CECO will acquire Thermon in a cash and stock transaction. The consummation of the Merger is subject to the satisfaction or waiver of customary closing conditions, including stockholder approvals and regulatory approvals. We expect to fund the cash portion of the merger consideration and related transaction costs with available cash and borrowings under our existing credit facilities. For additional details, see Note 15 to the unaudited condensed consolidated financial statements within Item 1 of this Quarterly Report on Form 10-Q.</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Market Pressures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senior management team monitors and manages the Company's ability to operate effectively as the result of market pressures. Against the current backdrop of a rapidly evolving global commercial environment, we believe we are comparatively well-positioned as we execute and manufacture a majority of our business in the same regions in which we sell, with our cost and revenue bases largely aligned as a result. Recently, international trade has been impacted by conflict in the Middle East and geopolitical tariff considerations. To mitigate potential impacts from further escalation of conflict in the Middle East, we have implemented contingency planning measures and continue to assess potential effects on our operations, supply chain, and financial results. To mitigate potential tariff-related impacts, we have worked strategically with customers and suppliers to optimize terms and pricing, sourcing locations, and logistics routes and schedules. While we will continue to take a proactive approach on our efforts to mitigate the impacts of these matters, our business and results could be adversely affected by further policy developments. Additionally, we could experience shortages of raw materials and additional inflationary pressures for certain materials and labor. We have secured raw materials from existing and alternate suppliers and have taken other mitigating actions to mitigate supply disruptions; however, we cannot guarantee that we will be able to continue to do so in the future. If we are unable to continue to mitigate the effects of these supply disruptions and/or inflationary pressures, our business, results and financial condition could be adversely affected.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Note Regarding Use of Non-GAAP Financial Measures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has provided the non-GAAP financial measures of non-GAAP operating income and non-GAAP operating margin as a result of items that the Company believes are not indicative of its ongoing operations. These include transactions associated with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Company’s acquisitions, divestiture, and the items described below in “Consolidated Results.” The Company believes that these items are not necessarily indicative of the Company’s ongoing operations and their exclusion provides individuals with additional information to better compare the Company's results over multiple periods. The Company utilizes this information to evaluate its ongoing financial performance.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Consolidated Results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Condensed Consolidated Statements of Operations for the three and three months ended March 31, 2026 and 2025 are as follows:</w:t>
      </w:r>
    </w:p>
    <w:tbl>
      <w:tblPr>
        <w:tblW w:w="7952" w:type="dxa"/>
        <w:jc w:val="left"/>
        <w:tblInd w:w="0" w:type="dxa"/>
        <w:tblLayout w:type="fixed"/>
        <w:tblCellMar>
          <w:top w:w="28" w:type="dxa"/>
          <w:left w:w="28" w:type="dxa"/>
          <w:bottom w:w="28" w:type="dxa"/>
          <w:right w:w="28" w:type="dxa"/>
        </w:tblCellMar>
      </w:tblPr>
      <w:tblGrid>
        <w:gridCol w:w="4641"/>
        <w:gridCol w:w="146"/>
        <w:gridCol w:w="288"/>
        <w:gridCol w:w="697"/>
        <w:gridCol w:w="349"/>
        <w:gridCol w:w="199"/>
        <w:gridCol w:w="288"/>
        <w:gridCol w:w="697"/>
        <w:gridCol w:w="256"/>
        <w:gridCol w:w="3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millions, except ratios)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31.0</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Percent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22.3</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and integration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0.9</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 attributable to CECO Environmental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To compare operating performance between the three months ended March 31, 2026 and 2025, the Company has adjusted GAAP operating (loss) income to exclude (1) amortization of intangible assets, (2) acquisition and integration expenses, which include legal, accounting, and other expenses, inclusive of those incurred in connection with the proposed Thermon transaction (3) gain on the sale of the Global Pump Solutions business as discussed in Note 16, and (4) other non-recurring expenses, restructuring expenses primarily relating to severance, facility exits, and associated legal expenses, asbestos litigation expenses relating to future settlement payments, executive transition expenses, and third party professional consulting fees associated with Enterprise Resource Planning system implementations.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presents the reconciliation of GAAP operating income and GAAP operating margin to non-GAAP operating income and non-GAAP operating margin: </w:t>
      </w:r>
    </w:p>
    <w:tbl>
      <w:tblPr>
        <w:tblW w:w="7996" w:type="dxa"/>
        <w:jc w:val="left"/>
        <w:tblInd w:w="0" w:type="dxa"/>
        <w:tblLayout w:type="fixed"/>
        <w:tblCellMar>
          <w:top w:w="28" w:type="dxa"/>
          <w:left w:w="28" w:type="dxa"/>
          <w:bottom w:w="28" w:type="dxa"/>
          <w:right w:w="28" w:type="dxa"/>
        </w:tblCellMar>
      </w:tblPr>
      <w:tblGrid>
        <w:gridCol w:w="4636"/>
        <w:gridCol w:w="146"/>
        <w:gridCol w:w="271"/>
        <w:gridCol w:w="599"/>
        <w:gridCol w:w="348"/>
        <w:gridCol w:w="187"/>
        <w:gridCol w:w="271"/>
        <w:gridCol w:w="676"/>
        <w:gridCol w:w="271"/>
        <w:gridCol w:w="5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ratios)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as reported in accordance with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Operating margin in accordance with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 and integration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Non-GAAP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Net sales for the three months ended March 31, 2026 increased $29.2 million, or 16.5%, to $205.9 million compared with $176.7 million for the three months ended March 31, 2025. The increase in net sales is driven by execution and delivery on the Company's record backlog, with growth primarily coming from exhaust and selective catalytic reduction systems.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Gross profit increased $1.7 million, or 2.7%, to $63.9 million in the three months ended March 31, 2026 compared with $62.2 million in the three months ended March 31, 2025. The increase in gross profit was primarily attributable to higher sales volume. Gross profit as a percentage of sales decreased to 31.0% in the three months ended March 31, 2026 compared with 35.2% in the three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ended March 31, 2025. The decrease was primarily attributable to the divestiture of the higher-margin Global Pump Solutions business in 2025, improved backlog conversion in international markets, and project mix.</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Selling and administrative expenses were $46.0 million for the three months ended March 31, 2026 compared with $53.6 million for the three months ended March 31, 2025. The decrease was attributable to the divestiture of the Global Pump Solutions business and lower general administrative expense throughout the Company. As a percentage of sales, selling and administrative expenses decreased to 22.3% in the three months ended March 31, 2026 compared with 30.3% in the three months ended March 31, 2025.</w:t>
      </w:r>
    </w:p>
    <w:p>
      <w:pPr>
        <w:pStyle w:val="TextBody"/>
        <w:bidi w:val="0"/>
        <w:jc w:val="left"/>
        <w:rPr>
          <w:rFonts w:ascii="Times New Roman" w:hAnsi="Times New Roman"/>
          <w:color w:val="000000"/>
          <w:sz w:val="20"/>
        </w:rPr>
      </w:pPr>
      <w:r>
        <w:rPr>
          <w:rFonts w:ascii="Times New Roman" w:hAnsi="Times New Roman"/>
          <w:color w:val="000000"/>
          <w:sz w:val="20"/>
        </w:rPr>
        <w:t>Amortization expense was $4.0 million for the three months ended March 31, 2026 compared with $3.1 million for the three months ended March 31, 2025. The increase in expense is attributable to increased intangible assets attributable to the prior year acquisition.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Acquisition and integration expenses were $10.3 million for the three months ended March 31, 2026 compared with $8.1 million for the three months ended March 31, 2025. The increase is driven by costs incurred in connection with the proposed Thermon transaction during the first quarter of 2026, partially offset by the non-recurrence of costs related to the Profire acquisition that were incurred in the first quarter of 2025.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Operating income decreased $60.0 million to $1.9 million for the three months ended March 31, 2026 compared with operating income of $61.9 million for the three months ended March 31, 2025. The prior year period included a $64.5 million gain on the sale of the Global Pump Solutions business. Excluding this gain, the decrease in operating income is primarily attributable to costs associated with the proposed Thermon transaction, partially offset by higher gross profit and lower selling and administrative costs.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Non-GAAP operating income was $17.9 million for the three months ended March 31, 2026 compared with $8.6 million for the three months ended March 31, 2025. Non-GAAP operating income as a percentage of sales increased to 8.7% for the three months ended March 31, 2026 from 4.9% for the three months ended March 31, 2025. </w:t>
      </w:r>
    </w:p>
    <w:p>
      <w:pPr>
        <w:pStyle w:val="TextBody"/>
        <w:bidi w:val="0"/>
        <w:jc w:val="left"/>
        <w:rPr>
          <w:rFonts w:ascii="Times New Roman" w:hAnsi="Times New Roman"/>
          <w:sz w:val="20"/>
        </w:rPr>
      </w:pPr>
      <w:r>
        <w:rPr>
          <w:rFonts w:ascii="Times New Roman" w:hAnsi="Times New Roman"/>
          <w:color w:val="000000"/>
          <w:sz w:val="20"/>
        </w:rPr>
        <w:t>Interest expense decreased to $4.2 million in the three months ended March 31, 2026 compared with interest expense of $6.2</w:t>
      </w:r>
      <w:r>
        <w:rPr>
          <w:rFonts w:ascii="Times New Roman" w:hAnsi="Times New Roman"/>
          <w:color w:val="FFFFFF"/>
          <w:sz w:val="20"/>
        </w:rPr>
        <w:t xml:space="preserve"> </w:t>
      </w:r>
      <w:r>
        <w:rPr>
          <w:rFonts w:ascii="Times New Roman" w:hAnsi="Times New Roman"/>
          <w:color w:val="000000"/>
          <w:sz w:val="20"/>
        </w:rPr>
        <w:t>million for the three months ended March 31, 2025. The decrease in interest expense is primarily due to a decrease in the average outstanding debt balance and lower interest rates.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 benefit was $3.5 million for the three months ended March 31, 2026 compared with income tax expense of $18.6 million for the three months ended March 31, 2025. The effective income tax rate for the three months ended March 31, 2026 was (93.4% ) compared with 33.8% for the three months ended March 31, 2025. Our effective tax rate is affected by certain other permanent differences, including transaction costs, state income taxes, non-deductible incentive stock-based compensation, and differences in tax rates among the jurisdictions in which we operate. The prior year period was also impacted by the gain on the sale of the Global Pump Solutions business.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Orders booked were $449.5 million during the three months ended March 31, 2026 compared with $227.9 million in the three months ended March 31, 2025, an increase of $221.6 million, or 98%. The increase is primarily driven by demand for the company’s emissions and exhaust systems applications that support large scale natural gas power generation projects.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Business Segments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operations are organized and reviewed by management along its product lines and end markets that the segment</w:t>
        <w:br/>
        <w:t>serves and are presented in two reportable segments. The results of the segments are reviewed through segment profit, which</w:t>
        <w:br/>
        <w:t>represents income from operations as adjusted for certain items.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Financial results by segment are as follows:</w:t>
      </w:r>
    </w:p>
    <w:tbl>
      <w:tblPr>
        <w:tblW w:w="5408" w:type="dxa"/>
        <w:jc w:val="left"/>
        <w:tblInd w:w="0" w:type="dxa"/>
        <w:tblLayout w:type="fixed"/>
        <w:tblCellMar>
          <w:top w:w="28" w:type="dxa"/>
          <w:left w:w="28" w:type="dxa"/>
          <w:bottom w:w="28" w:type="dxa"/>
          <w:right w:w="28" w:type="dxa"/>
        </w:tblCellMar>
      </w:tblPr>
      <w:tblGrid>
        <w:gridCol w:w="2371"/>
        <w:gridCol w:w="146"/>
        <w:gridCol w:w="218"/>
        <w:gridCol w:w="808"/>
        <w:gridCol w:w="151"/>
        <w:gridCol w:w="151"/>
        <w:gridCol w:w="218"/>
        <w:gridCol w:w="808"/>
        <w:gridCol w:w="146"/>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205,919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pPr>
      <w:r>
        <w:rPr/>
        <w:t> </w:t>
      </w:r>
    </w:p>
    <w:tbl>
      <w:tblPr>
        <w:tblW w:w="5406" w:type="dxa"/>
        <w:jc w:val="left"/>
        <w:tblInd w:w="0" w:type="dxa"/>
        <w:tblLayout w:type="fixed"/>
        <w:tblCellMar>
          <w:top w:w="28" w:type="dxa"/>
          <w:left w:w="28" w:type="dxa"/>
          <w:bottom w:w="28" w:type="dxa"/>
          <w:right w:w="28" w:type="dxa"/>
        </w:tblCellMar>
      </w:tblPr>
      <w:tblGrid>
        <w:gridCol w:w="2371"/>
        <w:gridCol w:w="146"/>
        <w:gridCol w:w="240"/>
        <w:gridCol w:w="770"/>
        <w:gridCol w:w="166"/>
        <w:gridCol w:w="166"/>
        <w:gridCol w:w="240"/>
        <w:gridCol w:w="770"/>
        <w:gridCol w:w="146"/>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Engineered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Process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i/>
          <w:color w:val="000000"/>
          <w:sz w:val="20"/>
          <w:u w:val="single"/>
        </w:rPr>
      </w:pPr>
      <w:r>
        <w:rPr>
          <w:rFonts w:ascii="Times New Roman" w:hAnsi="Times New Roman"/>
          <w:i/>
          <w:color w:val="000000"/>
          <w:sz w:val="20"/>
          <w:u w:val="single"/>
        </w:rPr>
        <w:t>Engineered Systems Segment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Engineered Systems segment net sales increased $30.1 million to $150.5 million for the three months ended March 31, 2026 compared with $120.4 million for the three months ended March 31, 2025. The increase is led by backlog execution on large scale power projects.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Segment profit for the Engineered Systems segment increased $7.0 million to $29.8 million for the three months ended March 31, 2026 compared with $22.8 million for the three months ended March 31, 2025. The operating income increase is attributable to higher gross profit related to increased net sales.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Engineered Systems segment orders booked increased $220.1 million, or 135%, to $383.0 million during the three months ended March 31, 2026 compared with $162.9 million in the three months ended March 31, 2025. The increase is attributable to demand for the company’s emissions and exhaust systems technologies, supporting infrastructure projects in natural gas power generation. </w:t>
      </w:r>
    </w:p>
    <w:p>
      <w:pPr>
        <w:pStyle w:val="TextBody"/>
        <w:bidi w:val="0"/>
        <w:spacing w:before="0" w:after="240"/>
        <w:jc w:val="left"/>
        <w:rPr>
          <w:rFonts w:ascii="Times New Roman" w:hAnsi="Times New Roman"/>
          <w:i/>
          <w:color w:val="000000"/>
          <w:sz w:val="20"/>
          <w:u w:val="single"/>
        </w:rPr>
      </w:pPr>
      <w:r>
        <w:rPr>
          <w:rFonts w:ascii="Times New Roman" w:hAnsi="Times New Roman"/>
          <w:i/>
          <w:color w:val="000000"/>
          <w:sz w:val="20"/>
          <w:u w:val="single"/>
        </w:rPr>
        <w:t>Industrial Process Solutions Segment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Industrial Process Solutions segment net sales decreased $0.9 million to $55.4 million for the three months ended March 31, 2026 compared with $56.3 million for the three months ended March 31, 2025. The decrease is primarily attributable to the divestiture of the Global Pump Solutions business, nearly fully offset by backlog execution on industrial and ducting applications.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Segment profit for the Industrial Process Solutions segment decreased $65.0 million to $6.4 million for the three months ended March 31, 2026 compared with $71.4 million for the three months ended March 31, 2025. The prior year period included a $64.5 million gain on the sale of the Global Pump Solutions business. Excluding this gain, the change in segment profit is in line with sales volume.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Industrial Process Solutions segment orders booked increased $1.5 million, or 2%, to $66.5 million during the three months ended March 31, 2026 compared with $65.0 million in the three months ended March 31, 2025. The increase is primarily attributable to demand for the company’s scrubber technology, particularly in international markets, partially offset by the divestiture of the Global Pump Solutions business.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Backlog (i.e., unfulfilled or remaining performance obligations) represents the sales we expect to recognize for our products and services for which control has not yet transferred to the customer. Backlog increased to $1,035.1 million as of March 31, 2026, from $793.1 million as of December 31, 2025. Our customers may have the right to cancel a given order. Historically, cancellations have not been significant. Backlog is adjusted on a quarterly basis for adjustments in foreign currency exchange rates. Substantially all backlog is expected to be delivered within 12 to 24 months, with a majority within 12 months. Backlog is not defined by GAAP and our methodology for calculating backlog may not be consistent with methodologies used by other companies.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information regarding recent accounting pronouncements, see Note 2 to the unaudited condensed consolidated financial statements within Item 1 of this Quarterly Report on Form 10-Q.</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When we undertake large jobs, our working capital objective is to make these projects self-funding. We work to achieve this by obtaining customer advanced payments, structuring our contracts with progress billing provisions, when possible, utilizing extended payment terms from material suppliers, and paying sub-contractors after payment from our customers, which is an industry practice.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investment in working capital is funded by cash flows from operations and by our revolving line of credit under our Credit Facility (as defined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At March 31, 2026, the Company had working capital of $133.4 million, compared with $104.4 million at December 31, 2025. The ratio of current assets to current liabilities was 1.33 to 1.00 on March 31, 2026, as compared with a ratio of 1.34 to 1.00 on December 31,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March 31, 2026 and December 31, 2025, cash and cash equivalents totaled $45.4 million and $33.1 million, respectively. As of March 31, 2026 and December 31, 2025, $36.0 million and $26.4 million, respectively, of our cash and cash equivalents were held by certain foreign subsidiaries, as well as being denominated in foreign currencies.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Debt consisted of the following:</w:t>
      </w:r>
    </w:p>
    <w:tbl>
      <w:tblPr>
        <w:tblW w:w="8755" w:type="dxa"/>
        <w:jc w:val="left"/>
        <w:tblInd w:w="0" w:type="dxa"/>
        <w:tblLayout w:type="fixed"/>
        <w:tblCellMar>
          <w:top w:w="28" w:type="dxa"/>
          <w:left w:w="28" w:type="dxa"/>
          <w:bottom w:w="28" w:type="dxa"/>
          <w:right w:w="28" w:type="dxa"/>
        </w:tblCellMar>
      </w:tblPr>
      <w:tblGrid>
        <w:gridCol w:w="5146"/>
        <w:gridCol w:w="146"/>
        <w:gridCol w:w="268"/>
        <w:gridCol w:w="992"/>
        <w:gridCol w:w="166"/>
        <w:gridCol w:w="146"/>
        <w:gridCol w:w="319"/>
        <w:gridCol w:w="1181"/>
        <w:gridCol w:w="3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Credit Facility (defined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 under the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under the joint venture 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Credit Facility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Company’s outstanding borrowings in the United States consist of a senior secured revolver loan with sub-facilities for letters of credit, swing-line loans and multi-currency loans (collectively, the “Credit Facility”). As of March 31, 2026 and December 31, 2025, the Company was in compliance with all related financial and other restrictive covenants under the Credit Facility.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January 30, 2026, the Company entered into the Fourth Amended and Restated Credit Agreement, which provided for a senior secured revolving credit facility in an initial aggregate principal amount of up to $700.0 million. On March 30, 2026, the Company entered into Amendment No. 1 to Fourth Amended and Restated Credit Agreement, which provides for a senior secured revolving credit facility in an initial aggregate principal amount of up to $740.0 million.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See Note 8 to the unaudited condensed consolidated financial statements within Item 1 of this Quarterly Report on Form 10-Q for further information on the Company’s debt facilities.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Total unused credit availability under our existing Credit Facility is as follows: </w:t>
      </w:r>
    </w:p>
    <w:tbl>
      <w:tblPr>
        <w:tblW w:w="7785" w:type="dxa"/>
        <w:jc w:val="left"/>
        <w:tblInd w:w="0" w:type="dxa"/>
        <w:tblLayout w:type="fixed"/>
        <w:tblCellMar>
          <w:top w:w="28" w:type="dxa"/>
          <w:left w:w="28" w:type="dxa"/>
          <w:bottom w:w="28" w:type="dxa"/>
          <w:right w:w="28" w:type="dxa"/>
        </w:tblCellMar>
      </w:tblPr>
      <w:tblGrid>
        <w:gridCol w:w="4156"/>
        <w:gridCol w:w="146"/>
        <w:gridCol w:w="315"/>
        <w:gridCol w:w="945"/>
        <w:gridCol w:w="166"/>
        <w:gridCol w:w="146"/>
        <w:gridCol w:w="376"/>
        <w:gridCol w:w="1124"/>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 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Draw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Letters of credit open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unused credit availability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available based on borrowing limitations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available borrowing capacity under the Credit Facility is defined as the lower of (a) the Credit Facility amount less outstanding borrowings and Letters of Credit on the Credit Facility, and (b) the Company's trailing twelve month EBITDA, as defined in the Credit Agreement, by a factor of the maximum leverage ratio, less outstanding borrowings on the Credit Facility.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Overview of Cash Flows and Liquidity</w:t>
      </w:r>
    </w:p>
    <w:tbl>
      <w:tblPr>
        <w:tblW w:w="9040" w:type="dxa"/>
        <w:jc w:val="left"/>
        <w:tblInd w:w="0" w:type="dxa"/>
        <w:tblLayout w:type="fixed"/>
        <w:tblCellMar>
          <w:top w:w="28" w:type="dxa"/>
          <w:left w:w="28" w:type="dxa"/>
          <w:bottom w:w="28" w:type="dxa"/>
          <w:right w:w="28" w:type="dxa"/>
        </w:tblCellMar>
      </w:tblPr>
      <w:tblGrid>
        <w:gridCol w:w="6331"/>
        <w:gridCol w:w="146"/>
        <w:gridCol w:w="220"/>
        <w:gridCol w:w="770"/>
        <w:gridCol w:w="173"/>
        <w:gridCol w:w="152"/>
        <w:gridCol w:w="220"/>
        <w:gridCol w:w="817"/>
        <w:gridCol w:w="21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12,280</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Operating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March 31, 2026, $13.1 million of cash was used in operating activities compared with $11.7 million used in operations in the prior year period, representing a decrease of $1.4 million. The decrease was primarily driven by unfavorable changes in net working capital, which includes a substantial increase in accounts receivable due to long duration projects for emissions management technologies as well as timing of billings.</w:t>
      </w:r>
    </w:p>
    <w:p>
      <w:pPr>
        <w:pStyle w:val="TextBody"/>
        <w:bidi w:val="0"/>
        <w:spacing w:before="0" w:after="240"/>
        <w:jc w:val="left"/>
        <w:rPr>
          <w:rFonts w:ascii="Times New Roman" w:hAnsi="Times New Roman"/>
          <w:sz w:val="20"/>
        </w:rPr>
      </w:pPr>
      <w:r>
        <w:rPr>
          <w:rFonts w:ascii="Times New Roman" w:hAnsi="Times New Roman"/>
          <w:b/>
          <w:color w:val="000000"/>
          <w:sz w:val="20"/>
        </w:rPr>
        <w:t>Investing Activities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March 31, 2026, net cash used in investing activities was $9.2 million compared with $4.8 million provided by investing activities in the prior year period. The difference was driven by non-recurring events in the first quarter of 2025, including the sale of the Global Pump Solutions business and acquisition of Profire.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Financing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March 31, 2026, $34.6 million was provided by financing activities compared with $115.8 million provided by financing activities in the prior year period, for a decrease of $81.1 million. The decrease is attributable to net borrowing activity in the periods. Net borrowing activity in the prior year period was driven by the acquisition of Profire.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Management believes there have been no changes during the three months ended March 31, 2026 to the items that the Company disclosed as its critical accounting policies and estimates in Management’s Discussion and Analysis of Financial Condition and Results of Operations in the Company’s Annual Report on Form 10-K for the year ended December 31,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or that otherwise address events, or developments that CECO expects, believes, or anticipates will or may occur in the future,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 this Quarterly Report on Form 10-Q include, but are not limited to, statements regarding the proposed transaction with Thermon Group Holdings, Inc. (“Thermon”), pro forma descriptions of the combined company and its operations, integration and transition plans, synergies, opportunities and anticipated future performance. However, the absence of these words or similar expressions does not mean that a statement is not forward-looking.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“Item 1A. Risk Factors” of this Quarterly Report on Form 10-Q, in the Company’s Annual Report on Form 10-K for the fiscal year ended December 31, 2025, and in the Company’s Registration Statement on Form S-4 (File No. 333-294294), which was declared effective by the SEC on April 22, 2026, and include, but are not limited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risk that the proposed transaction with Thermon could have an adverse effect on the ability of CECO and Thermon to retain customers and retain and hire key personnel and maintain relationships with their suppliers and customers and on their operating results and business generally;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diversion of management's attention from ongoing business operations in connection with the proposed Thermon transaction and the integration of recent acquisitions;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outcome of any legal proceedings that have been or may in the future be instituted related to the proposed Thermon transaction or other transactions or the occurrence of any event, change, or other circumstances that could give rise to the termination of the Merger Agreement;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possibility that stockholders of CECO or Thermon may not approve the proposed Thermon transaction;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amount of the costs, fees, expenses and other charges related to the proposed Thermon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risk that any announcements relating to the proposed Thermon transaction could have adverse effects on the market price of CECO’s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achievement of the anticipated benefits of the proposed Thermon transaction, our ability to successfully integrate acquired businesses and realize the synergies from acquisitions, which may result in the combined company not operating as effectively and efficiently as expected, as well as a number of factors related to our business, including the sensitivity of our business to economic and financial market conditions generally and economic conditions in CECO’s service areas;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dependence on fixed price contracts and the risks associated with the Thermon business, including actual costs exceeding estimates and method of accounting for revenue;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effect of growth on our infrastructure, resources and existing sales;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expand operations in both new and existing markets;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potential for contract delay or cancellation as a result of on-going or worsening supply chain challenges, or other customer-driven project delays relating to supply chain challenges or other customer considerations, including those related to the conflict in the Middle East;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liabilities arising from faulty services or products that could result in significant professional or product liability, warranty or other claims;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or developments with respect to any litigation or investigation;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failure to meet timely completion or performance standards that could result in higher cost and reduced profits or, in some cases, losses on projects;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potential for fluctuations in prices for manufactured components and raw materials, including as a result of tariffs and surcharges, and rising energy costs;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inflationary pressures relating to rising raw material costs and the cost of labor;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substantial amount of debt incurred in connection with our strategic transactions and our ability to repay or refinance it or incur additional debt in the future;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federal, state or local government regulations, including with respect to tax policy;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repurchase shares of our common stock and the amounts and timing of repurchases,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successfully realize the expected benefits of our restructuring program;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economic and political conditions generally;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optimize our business portfolio by identifying acquisition targets, executing upon any strategic acquisitions or divestitures, integrating acquired businesses and realizing the synergies from strategic transactions;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unpredictability and severity of catastrophic events, including cybersecurity threats, acts of terrorism or outbreak of war or hostilities or public health crises, as well as management’s response to any of the aforementioned factors;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remediate our material weaknesses, or any other material weakness that we may identify in the future, that</w:t>
        <w:br/>
        <w:t>could result in material misstatements in our financial statements;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risk that the proposed transaction with Thermon may not be completed on the anticipated terms or timeline, or at all, including as a result of the failure to obtain required regulatory or stockholder approvals;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risk that the announcement or pendency of the proposed transaction could disrupt our business, including our</w:t>
        <w:br/>
        <w:t>relationships with customers, suppliers and employees, and could divert management’s attention from ongoing business</w:t>
        <w:br/>
        <w:t>operations;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risk that we may be unable to successfully integrate Thermon’s business or realize anticipated benefits, synergies or</w:t>
        <w:br/>
        <w:t>growth opportunities;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risk that transaction-related costs and expenses may be greater than expected;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risk of litigation or regulatory proceedings arising in connection with the proposed transaction.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All forward-looking statements are based on assumptions that CECO believes to be reasonable but that may not prove to be accurate as many of these risks are beyond management’s ability to control or predict. Such forward-looking statements are based on assumptions and analyses made by management in light of their perceptions of current conditions, expected future developments,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other factors that management believe are appropriate under the circumstances. These statements are subject to a number of known and unknown risks and uncertainties.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 we undertake no obligation to update or review any forward-looking statements, whether as a result of new information, future events or otherwise.</w:t>
      </w:r>
    </w:p>
    <w:p>
      <w:pPr>
        <w:pStyle w:val="TextBody"/>
        <w:bidi w:val="0"/>
        <w:spacing w:before="0" w:after="240"/>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carrying value of the Company’s total long-term debt and current maturities of long-term debt at March 31, 2026 was $257.0 million. Market risk was estimated as the potential decrease (increase) in future earnings and cash flows resulting from a hypothetical 10% increase (decrease) in the Company’s estimated weighted average borrowing rate at March 31, 2026. Most of the interest on the Company’s debt is indexed to SOFR market rates. The estimated annual impact of a hypothetical 10% change in the estimated weighted average borrowing rate at March 31, 2026 is $1.6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has wholly-owned subsidiaries in several countries, including in the Netherlands, Canada, the People’s Republic of China, Mexico, United Kingdom, Singapore, India, United Arab Emirates, Germany, South Korea and Saudi Arabia.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included in “Other expense” line of the Condensed Consolidated Statements of Operations were $1.5 million and $0.6 million for the three months ended March 31, 2026 and 2025, respectively. </w:t>
      </w:r>
    </w:p>
    <w:p>
      <w:pPr>
        <w:pStyle w:val="TextBody"/>
        <w:bidi w:val="0"/>
        <w:spacing w:before="0" w:after="240"/>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rFonts w:ascii="Times New Roman" w:hAnsi="Times New Roman"/>
          <w:color w:val="000000"/>
          <w:sz w:val="20"/>
        </w:rPr>
      </w:pPr>
      <w:r>
        <w:rPr>
          <w:rFonts w:ascii="Times New Roman" w:hAnsi="Times New Roman"/>
          <w:color w:val="000000"/>
          <w:sz w:val="20"/>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The Company’s management, with the participation of the Company’s Chief Executive Officer ("CEO") and Chief Financial Officer ("CFO"), evaluated the effectiveness of the Company’s disclosure controls and procedures as of the end of the period covered by this Quarterly Report on Form 10-Q. Based on that evaluation, our management, including our CEO and CFO, concluded that our disclosure controls and procedures were not effective as of March 31, 2026, due to certain material weaknesses in our internal control over financial reporting, as further described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conclusion by our CEO and CFO that our disclosure controls and procedures as of March 31, 2026 were not effective, and notwithstanding the material weaknesses in our internal control over financial reporting described below, our management believes that the consolidated financial statements and related financial information included in this Quarterly Report on Form 10-Q fairly present, in all material respects, our financial position, results of operations and cash flows as of the dates presented, and for the periods ended on such dates, in conformity with U.S. GAAP.</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Identification of Material Weaknesses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previously reported, we have identified the following deficiencies in our control environment, control activities and monitoring activities that constitute material weaknesses, either individually or in the aggregate, which remain unremediated as of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Verantis Environmental Solutions Group ("Verantis") business, which was acquired in December 2024, we did not appropriately integrate the entity into our established governance and control framework; did not retain sufficient resources with appropriate levels of knowledge, experience, and training to support accounting and financial reporting processes and control objectives at this business; failed to implement effective controls over the segregation of duties and certain information technology controls; and did not develop and perform ongoing evaluations to ascertain whether the components of internal control were present and functioning.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consistently assess the proper level of completeness and accuracy of information used in the execution of controls related to balance sheet reconciliations.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material weaknesses did not result in any material misstatement in our interim or audited financial statements or disclosures, and there were no changes required to any of our previously released interim or audited consolidated financial statements.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Management’s Plan for Remediation of the Material Weaknesses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committed to maintaining strong internal control over financial reporting. Management, with the oversight of the Audit Committee of the Board of Directors, is taking comprehensive actions to remediate the material weaknesses described above. Our remediation plan includes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updating control documentation, expanding education and training, and ensuring that controls are prepared and reviewed at the appropriate level of precision.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hired and will continue to hire accounting and finance personnel with the requisite skills and expertise to perform control activities related to the financial close process. We will continue to augment our internal resources by engaging external consultants with technical experience in accounting, financial reporting, and internal controls, until we add sufficient in-house skills to our staff.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continue to focus on enhancing our information technology controls, specifically the assessment and integration of such controls at newly acquired entities.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the guidance and participation of our internal audit function, we will develop an enhanced monitoring program to (1) evaluate and assess whether controls are present and functioning in a timely manner and (2) hold individuals accountable for their internal control responsibilities.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material weaknesses will not be considered remediated until the controls operate for a sufficient period of time and management has concluded, through testing, that these controls are operating effectively. We believe the above measures will remediate the control deficiencies identified and strengthen our internal control over financial reporting. As we continue to evaluate and work to remediate the control deficiencies that gave rise to the material weaknesses, we may determine that additional measures or time are required to address the control deficiencies or that we need to modify or otherwise adjust the remediation measures described above. We will continue to assess the effectiveness of our remediation efforts in connection with our evaluation of our internal control over financial reporting.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for the identification of the material weaknesses above, there were no changes during the quarter ended March 31, 2026 in our internal control over financial reporting that materially affected, or are reasonably likely to materially affect, our internal control over financial reporting.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0" w:after="240"/>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See Note 14 to the unaudited Condensed Consolidated Financial Statements contained in Part I, Item 1 of this Quarterly Report on Form 10-Q for information regarding legal proceedings in which the Company is involved. </w:t>
      </w:r>
    </w:p>
    <w:p>
      <w:pPr>
        <w:pStyle w:val="TextBody"/>
        <w:bidi w:val="0"/>
        <w:spacing w:before="0" w:after="24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have been no material changes in the Company’s risk factors that were disclosed in “Part I – Item 1A. Risk Factors” of the Company's Annual Report on Form 10-K for the year ended December 31, 2025 and in the Company’s Registration Statement on Form S-4 (File No. 333-294294), which was declared effective by the SEC on April 22, 2026.</w:t>
      </w:r>
    </w:p>
    <w:p>
      <w:pPr>
        <w:pStyle w:val="TextBody"/>
        <w:bidi w:val="0"/>
        <w:spacing w:before="0" w:after="24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provides information about our purchases of the Company's equity securities for the three months ended March 31, 2026:</w:t>
      </w:r>
    </w:p>
    <w:tbl>
      <w:tblPr>
        <w:tblW w:w="10205" w:type="dxa"/>
        <w:jc w:val="left"/>
        <w:tblInd w:w="0" w:type="dxa"/>
        <w:tblLayout w:type="fixed"/>
        <w:tblCellMar>
          <w:top w:w="28" w:type="dxa"/>
          <w:left w:w="28" w:type="dxa"/>
          <w:bottom w:w="28" w:type="dxa"/>
          <w:right w:w="28" w:type="dxa"/>
        </w:tblCellMar>
      </w:tblPr>
      <w:tblGrid>
        <w:gridCol w:w="1315"/>
        <w:gridCol w:w="346"/>
        <w:gridCol w:w="355"/>
        <w:gridCol w:w="846"/>
        <w:gridCol w:w="346"/>
        <w:gridCol w:w="346"/>
        <w:gridCol w:w="371"/>
        <w:gridCol w:w="609"/>
        <w:gridCol w:w="346"/>
        <w:gridCol w:w="346"/>
        <w:gridCol w:w="539"/>
        <w:gridCol w:w="1284"/>
        <w:gridCol w:w="346"/>
        <w:gridCol w:w="346"/>
        <w:gridCol w:w="782"/>
        <w:gridCol w:w="1287"/>
        <w:gridCol w:w="395"/>
      </w:tblGrid>
      <w:tr>
        <w:trPr/>
        <w:tc>
          <w:tcPr>
            <w:tcW w:w="13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Issuer's Purchases of Equity Securities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br/>
              <w:t>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w:t>
            </w:r>
            <w:r>
              <w:rPr>
                <w:rFonts w:ascii="Times New Roman" w:hAnsi="Times New Roman"/>
                <w:b/>
                <w:color w:val="000000"/>
                <w:sz w:val="11"/>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2026 - January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 February 28,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 March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 On May 10, 2022, the Board of Directors authorized a $20.0 million share repurchase program, which expired on April 30, 2025. See Note 9 to the unaudited Condensed Consolidated Financial Statements contained in Part I, Item 1 of this Quarterly Report on Form 10-Q for information regarding the Company's share repurchase program.</w:t>
      </w:r>
    </w:p>
    <w:p>
      <w:pPr>
        <w:pStyle w:val="TextBody"/>
        <w:bidi w:val="0"/>
        <w:spacing w:before="120" w:after="240"/>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4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24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sz w:val="20"/>
        </w:rPr>
      </w:pPr>
      <w:r>
        <w:rPr>
          <w:rFonts w:ascii="Times New Roman" w:hAnsi="Times New Roman"/>
          <w:i/>
          <w:color w:val="000000"/>
          <w:sz w:val="20"/>
        </w:rPr>
        <w:t>Rule 10b5-1 Trading Plans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During the three months ended March 31, 2026, no director or Section 16 officer of the Company adopted or terminated a “Rule 10b5-1 trading arrangement,” or “non-Rule 10b5-1 trading arrangement,” as each term is defined in Item 408(a) of Regulation S-K.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592"/>
        <w:gridCol w:w="146"/>
        <w:gridCol w:w="9467"/>
      </w:tblGrid>
      <w:tr>
        <w:trPr/>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7" w:type="dxa"/>
            <w:tcBorders/>
            <w:vAlign w:val="center"/>
          </w:tcPr>
          <w:p>
            <w:pPr>
              <w:pStyle w:val="TableContents"/>
              <w:bidi w:val="0"/>
              <w:spacing w:before="0" w:after="283"/>
              <w:jc w:val="left"/>
              <w:rPr>
                <w:sz w:val="4"/>
                <w:szCs w:val="4"/>
              </w:rPr>
            </w:pPr>
            <w:r>
              <w:rPr>
                <w:sz w:val="4"/>
                <w:szCs w:val="4"/>
              </w:rPr>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as of February 23, 2026, by and among CECO Environmental Corp., Longhorn Merger Sub, Inc., Longhorn Merger Sub LLC and Thermon Group Holdings, Inc. (incorporated by reference to Exhibit 2.1 to the Company’s Current Report on Form 8-K filed with the SEC on February 24, 2026).</w:t>
              </w:r>
            </w:hyperlink>
          </w:p>
        </w:tc>
      </w:tr>
      <w:tr>
        <w:trPr/>
        <w:tc>
          <w:tcPr>
            <w:tcW w:w="5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Fourth Amended and Restated Credit Agreement, dated as of January 30, 2026, among CECO Environmental Corp., its subsidiaries from time to time party thereto, the lenders from time to time party thereto, and Bank of America, N.A., as Administrative Agent (incorporated by reference to Exhibit 10.1 to the Company’s Current Report on Form 8-K filed with the SEC on February 4, 2026).</w:t>
            </w:r>
          </w:p>
        </w:tc>
      </w:tr>
      <w:tr>
        <w:trPr/>
        <w:tc>
          <w:tcPr>
            <w:tcW w:w="5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Voting Agreement (incorporated by reference to Exhibit 10.1 to the Company’s Current Report on Form 8-K filed with the SEC on February 24, 2026).</w:t>
              </w:r>
            </w:hyperlink>
          </w:p>
        </w:tc>
      </w:tr>
      <w:tr>
        <w:trPr/>
        <w:tc>
          <w:tcPr>
            <w:tcW w:w="5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Amendment No. 1 to Fourth Amended and Restated Credit Agreement, dated as of March 30, 2026, among CECO Environmental Corp., its subsidiaries party thereto, the lenders party thereto, and Bank of America, N.A., as Administrative Agent (incorporated by reference to Exhibit 10.1 to the Company’s Current Report on Form 8-K filed with the SEC on April 2, 2026).</w:t>
            </w:r>
          </w:p>
        </w:tc>
      </w:tr>
      <w:tr>
        <w:trPr/>
        <w:tc>
          <w:tcPr>
            <w:tcW w:w="5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Rule 13(a)/15d-14(a) Certification by Chief Executive Officer</w:t>
            </w:r>
          </w:p>
        </w:tc>
      </w:tr>
      <w:tr>
        <w:trPr/>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Rule 13(a)/15d-14(a) Certification by Chief Financial Officer</w:t>
            </w:r>
          </w:p>
        </w:tc>
      </w:tr>
      <w:tr>
        <w:trPr/>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of Chief Executive Officer (18 U.S. Section 1350)</w:t>
            </w:r>
          </w:p>
        </w:tc>
      </w:tr>
      <w:tr>
        <w:trPr/>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of Chief Financial Officer (18 U.S. Section 1350)</w:t>
            </w:r>
          </w:p>
        </w:tc>
      </w:tr>
      <w:tr>
        <w:trPr/>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schedules, exhibits, and similar attachments have been omitted pursuant to Item 601(a)(5) of Regulation S-K. The Company hereby undertakes to furnish supplemental copies of any of the omitted schedules or exhibits to the U.S. Securities and Exchange Commission upon request.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387" w:type="dxa"/>
        <w:jc w:val="left"/>
        <w:tblInd w:w="0" w:type="dxa"/>
        <w:tblLayout w:type="fixed"/>
        <w:tblCellMar>
          <w:top w:w="28" w:type="dxa"/>
          <w:left w:w="28" w:type="dxa"/>
          <w:bottom w:w="28" w:type="dxa"/>
          <w:right w:w="28" w:type="dxa"/>
        </w:tblCellMar>
      </w:tblPr>
      <w:tblGrid>
        <w:gridCol w:w="421"/>
        <w:gridCol w:w="4966"/>
      </w:tblGrid>
      <w:tr>
        <w:trPr/>
        <w:tc>
          <w:tcPr>
            <w:tcW w:w="42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53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CECO Environmental Corp.</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Kiril Kovachev</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Kiril Kovachev</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Accounting Officer</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(principal accounting officer and duly authorized officer)</w:t>
            </w:r>
          </w:p>
        </w:tc>
      </w:tr>
    </w:tbl>
    <w:p>
      <w:pPr>
        <w:pStyle w:val="TextBody"/>
        <w:bidi w:val="0"/>
        <w:jc w:val="left"/>
        <w:rPr>
          <w:rFonts w:ascii="Times New Roman" w:hAnsi="Times New Roman"/>
          <w:color w:val="000000"/>
          <w:sz w:val="20"/>
        </w:rPr>
      </w:pPr>
      <w:bookmarkStart w:id="21" w:name="signatures"/>
      <w:bookmarkEnd w:id="21"/>
      <w:r>
        <w:rPr>
          <w:rFonts w:ascii="Times New Roman" w:hAnsi="Times New Roman"/>
          <w:color w:val="000000"/>
          <w:sz w:val="20"/>
        </w:rPr>
        <w:t>Date: April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bookmarkStart w:id="22" w:name="ceco-ex31_1.htm"/>
      <w:bookmarkStart w:id="23" w:name="kscecoex31_1"/>
      <w:bookmarkEnd w:id="22"/>
      <w:bookmarkEnd w:id="23"/>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Gleason,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CECO Environmental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Todd Gleason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Gleason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eco-ex31_2.htm"/>
      <w:bookmarkStart w:id="25" w:name="kscecoex31_2"/>
      <w:bookmarkEnd w:id="24"/>
      <w:bookmarkEnd w:id="25"/>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Johansson,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CECO Environmental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Johansson</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Johansson</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eco-ex32_1.htm"/>
      <w:bookmarkStart w:id="27" w:name="kscecoex32_1"/>
      <w:bookmarkEnd w:id="26"/>
      <w:bookmarkEnd w:id="27"/>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CECO Environmental Corp. (the “Company”) on Form 10-Q for the three month period ended March 31, 2026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as of the dates and for the periods expressed in the Report.</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Todd Gleason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Gleason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ceco-ex32_2.htm"/>
      <w:bookmarkStart w:id="29" w:name="kscecoex32_2"/>
      <w:bookmarkEnd w:id="28"/>
      <w:bookmarkEnd w:id="29"/>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CECO Environmental Corp. (the “Company”) on Form 10-Q for the three month period ended March 31, 2026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as of the dates and for the periods expressed in the Report.</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Johansson</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Johansson</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197/000110465926018825/tm267105d1_ex2-1.htm" TargetMode="External"/><Relationship Id="rId4" Type="http://schemas.openxmlformats.org/officeDocument/2006/relationships/hyperlink" Target="https://www.sec.gov/Archives/edgar/data/3197/000110465926018825/tm267105d1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17600</Words>
  <Characters>97392</Characters>
  <CharactersWithSpaces>115669</CharactersWithSpaces>
  <Paragraphs>4415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