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eco-20260630.htm"/>
      <w:bookmarkStart w:id="1" w:name="ksceco2026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9437" w:type="dxa"/>
        <w:jc w:val="left"/>
        <w:tblInd w:w="0" w:type="dxa"/>
        <w:tblLayout w:type="fixed"/>
        <w:tblCellMar>
          <w:top w:w="28" w:type="dxa"/>
          <w:left w:w="28" w:type="dxa"/>
          <w:bottom w:w="28" w:type="dxa"/>
          <w:right w:w="28" w:type="dxa"/>
        </w:tblCellMar>
      </w:tblPr>
      <w:tblGrid>
        <w:gridCol w:w="331"/>
        <w:gridCol w:w="9106"/>
      </w:tblGrid>
      <w:tr>
        <w:trPr/>
        <w:tc>
          <w:tcPr>
            <w:tcW w:w="331"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0-07099</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790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361950"/>
                    </a:xfrm>
                    <a:prstGeom prst="rect">
                      <a:avLst/>
                    </a:prstGeom>
                  </pic:spPr>
                </pic:pic>
              </a:graphicData>
            </a:graphic>
          </wp:inline>
        </w:drawing>
      </w:r>
    </w:p>
    <w:p>
      <w:pPr>
        <w:pStyle w:val="TextBody"/>
        <w:bidi w:val="0"/>
        <w:spacing w:before="120" w:after="283"/>
        <w:jc w:val="center"/>
        <w:rPr>
          <w:rFonts w:ascii="Times New Roman" w:hAnsi="Times New Roman"/>
          <w:b/>
          <w:color w:val="000000"/>
          <w:sz w:val="38"/>
        </w:rPr>
      </w:pPr>
      <w:r>
        <w:rPr>
          <w:rFonts w:ascii="Times New Roman" w:hAnsi="Times New Roman"/>
          <w:b/>
          <w:color w:val="000000"/>
          <w:sz w:val="38"/>
        </w:rPr>
        <w:t>CECO ENVIRONMENTAL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386"/>
        <w:gridCol w:w="146"/>
        <w:gridCol w:w="14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13-2566064</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5080 Spectrum Drive</w:t>
            </w:r>
          </w:p>
          <w:p>
            <w:pPr>
              <w:pStyle w:val="TableContents"/>
              <w:bidi w:val="0"/>
              <w:jc w:val="center"/>
              <w:rPr>
                <w:rFonts w:ascii="Times New Roman" w:hAnsi="Times New Roman"/>
                <w:b/>
                <w:color w:val="000000"/>
                <w:sz w:val="20"/>
              </w:rPr>
            </w:pPr>
            <w:r>
              <w:rPr>
                <w:rFonts w:ascii="Times New Roman" w:hAnsi="Times New Roman"/>
                <w:b/>
                <w:color w:val="000000"/>
                <w:sz w:val="20"/>
              </w:rPr>
              <w:t>Suite 800E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Addison, Texas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(214) 357-6181</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7638" w:type="dxa"/>
        <w:jc w:val="left"/>
        <w:tblInd w:w="0" w:type="dxa"/>
        <w:tblLayout w:type="fixed"/>
        <w:tblCellMar>
          <w:top w:w="28" w:type="dxa"/>
          <w:left w:w="28" w:type="dxa"/>
          <w:bottom w:w="28" w:type="dxa"/>
          <w:right w:w="28" w:type="dxa"/>
        </w:tblCellMar>
      </w:tblPr>
      <w:tblGrid>
        <w:gridCol w:w="3106"/>
        <w:gridCol w:w="1261"/>
        <w:gridCol w:w="3271"/>
      </w:tblGrid>
      <w:tr>
        <w:trPr/>
        <w:tc>
          <w:tcPr>
            <w:tcW w:w="31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10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$0.01 per share</w:t>
            </w:r>
          </w:p>
        </w:tc>
        <w:tc>
          <w:tcPr>
            <w:tcW w:w="126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CECO</w:t>
            </w:r>
          </w:p>
        </w:tc>
        <w:tc>
          <w:tcPr>
            <w:tcW w:w="32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both"/>
        <w:rPr>
          <w:rFonts w:ascii="Times New Roman" w:hAnsi="Times New Roman"/>
          <w:color w:val="000000"/>
          <w:sz w:val="20"/>
        </w:rPr>
      </w:pPr>
      <w:r>
        <w:rPr>
          <w:rFonts w:ascii="Times New Roman" w:hAnsi="Times New Roman"/>
          <w:color w:val="000000"/>
          <w:sz w:val="20"/>
        </w:rPr>
        <w:t>The number of shares outstanding of each of the issuer’s classes of common equity, as of the latest practical date: 58,569,830 shares of common stock, par value $0.01 per share, as of August 3, 2026.</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CECO ENVIRONMENTAL CORP.</w:t>
      </w:r>
    </w:p>
    <w:p>
      <w:pPr>
        <w:pStyle w:val="TextBody"/>
        <w:bidi w:val="0"/>
        <w:jc w:val="center"/>
        <w:rPr>
          <w:rFonts w:ascii="Times New Roman" w:hAnsi="Times New Roman"/>
          <w:color w:val="000000"/>
          <w:sz w:val="20"/>
        </w:rPr>
      </w:pPr>
      <w:r>
        <w:rPr>
          <w:rFonts w:ascii="Times New Roman" w:hAnsi="Times New Roman"/>
          <w:color w:val="000000"/>
          <w:sz w:val="20"/>
        </w:rPr>
        <w:t>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For the quarter ended June 30, 2026</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881"/>
        <w:gridCol w:w="8174"/>
        <w:gridCol w:w="146"/>
        <w:gridCol w:w="362"/>
      </w:tblGrid>
      <w:tr>
        <w:trPr/>
        <w:tc>
          <w:tcPr>
            <w:tcW w:w="64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ompre">
              <w:r>
                <w:rPr>
                  <w:rStyle w:val="InternetLink"/>
                  <w:rFonts w:ascii="Times New Roman" w:hAnsi="Times New Roman"/>
                  <w:color w:val="0000FF"/>
                  <w:sz w:val="20"/>
                  <w:u w:val="single"/>
                </w:rPr>
                <w:t>Condensed Consolidated Statements of Comprehensive (Loss) Income for the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equity">
              <w:r>
                <w:rPr>
                  <w:rStyle w:val="InternetLink"/>
                  <w:rFonts w:ascii="Times New Roman" w:hAnsi="Times New Roman"/>
                  <w:color w:val="0000FF"/>
                  <w:sz w:val="20"/>
                  <w:u w:val="single"/>
                </w:rPr>
                <w:t>Condensed Consolidated Statements of Shareholders’ Equity for the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7"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spacing w:before="240" w:after="283"/>
        <w:jc w:val="left"/>
        <w:rPr>
          <w:rFonts w:ascii="Times New Roman" w:hAnsi="Times New Roman"/>
          <w:b/>
          <w:color w:val="000000"/>
          <w:sz w:val="18"/>
        </w:rPr>
      </w:pPr>
      <w:bookmarkStart w:id="2" w:name="part_i_financial_information"/>
      <w:bookmarkEnd w:id="2"/>
      <w:r>
        <w:rPr>
          <w:rFonts w:ascii="Times New Roman" w:hAnsi="Times New Roman"/>
          <w:b/>
          <w:color w:val="000000"/>
          <w:sz w:val="18"/>
        </w:rPr>
        <w:t>PART I – FINANCIAL INFORMATION</w:t>
      </w:r>
    </w:p>
    <w:p>
      <w:pPr>
        <w:pStyle w:val="TextBody"/>
        <w:bidi w:val="0"/>
        <w:jc w:val="left"/>
        <w:rPr/>
      </w:pPr>
      <w:r>
        <w:rPr/>
        <w:t> </w:t>
      </w:r>
    </w:p>
    <w:p>
      <w:pPr>
        <w:pStyle w:val="TextBody"/>
        <w:bidi w:val="0"/>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49"/>
        <w:gridCol w:w="146"/>
        <w:gridCol w:w="211"/>
        <w:gridCol w:w="931"/>
        <w:gridCol w:w="166"/>
        <w:gridCol w:w="146"/>
        <w:gridCol w:w="290"/>
        <w:gridCol w:w="1074"/>
        <w:gridCol w:w="792"/>
      </w:tblGrid>
      <w:tr>
        <w:trPr/>
        <w:tc>
          <w:tcPr>
            <w:tcW w:w="6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$7,834 and $9,866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410,182</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47,808</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96,966</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indefinite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305,830</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27,920</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570,587</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Common stock, $0.01 par value; 100,000,000 shares authorized, 58,444,845 and</w:t>
              <w:br/>
              <w:t>35,644,537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269,453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CECO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317,528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323,182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attributable to CECO Environmental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35,157,514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36,624,237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8933" w:type="dxa"/>
        <w:jc w:val="left"/>
        <w:tblInd w:w="0" w:type="dxa"/>
        <w:tblLayout w:type="fixed"/>
        <w:tblCellMar>
          <w:top w:w="28" w:type="dxa"/>
          <w:left w:w="28" w:type="dxa"/>
          <w:bottom w:w="28" w:type="dxa"/>
          <w:right w:w="28" w:type="dxa"/>
        </w:tblCellMar>
      </w:tblPr>
      <w:tblGrid>
        <w:gridCol w:w="3886"/>
        <w:gridCol w:w="218"/>
        <w:gridCol w:w="761"/>
        <w:gridCol w:w="171"/>
        <w:gridCol w:w="151"/>
        <w:gridCol w:w="218"/>
        <w:gridCol w:w="699"/>
        <w:gridCol w:w="146"/>
        <w:gridCol w:w="146"/>
        <w:gridCol w:w="211"/>
        <w:gridCol w:w="736"/>
        <w:gridCol w:w="166"/>
        <w:gridCol w:w="146"/>
        <w:gridCol w:w="211"/>
        <w:gridCol w:w="67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 gain</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8"/>
        <w:gridCol w:w="146"/>
        <w:gridCol w:w="146"/>
        <w:gridCol w:w="526"/>
        <w:gridCol w:w="146"/>
        <w:gridCol w:w="146"/>
        <w:gridCol w:w="216"/>
        <w:gridCol w:w="415"/>
        <w:gridCol w:w="146"/>
        <w:gridCol w:w="146"/>
        <w:gridCol w:w="181"/>
        <w:gridCol w:w="721"/>
        <w:gridCol w:w="151"/>
        <w:gridCol w:w="146"/>
        <w:gridCol w:w="181"/>
        <w:gridCol w:w="571"/>
        <w:gridCol w:w="151"/>
        <w:gridCol w:w="146"/>
        <w:gridCol w:w="263"/>
        <w:gridCol w:w="833"/>
        <w:gridCol w:w="151"/>
        <w:gridCol w:w="146"/>
        <w:gridCol w:w="322"/>
        <w:gridCol w:w="804"/>
        <w:gridCol w:w="151"/>
        <w:gridCol w:w="146"/>
        <w:gridCol w:w="194"/>
        <w:gridCol w:w="778"/>
        <w:gridCol w:w="198"/>
      </w:tblGrid>
      <w:tr>
        <w:trPr/>
        <w:tc>
          <w:tcPr>
            <w:tcW w:w="1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Earnings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323,182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264,595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317,200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1,792,365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1,792,592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12,559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2,069,492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2,081,138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5"/>
        <w:gridCol w:w="146"/>
        <w:gridCol w:w="146"/>
        <w:gridCol w:w="526"/>
        <w:gridCol w:w="146"/>
        <w:gridCol w:w="146"/>
        <w:gridCol w:w="216"/>
        <w:gridCol w:w="415"/>
        <w:gridCol w:w="146"/>
        <w:gridCol w:w="146"/>
        <w:gridCol w:w="181"/>
        <w:gridCol w:w="601"/>
        <w:gridCol w:w="151"/>
        <w:gridCol w:w="146"/>
        <w:gridCol w:w="181"/>
        <w:gridCol w:w="526"/>
        <w:gridCol w:w="146"/>
        <w:gridCol w:w="146"/>
        <w:gridCol w:w="263"/>
        <w:gridCol w:w="833"/>
        <w:gridCol w:w="151"/>
        <w:gridCol w:w="146"/>
        <w:gridCol w:w="322"/>
        <w:gridCol w:w="804"/>
        <w:gridCol w:w="151"/>
        <w:gridCol w:w="146"/>
        <w:gridCol w:w="230"/>
        <w:gridCol w:w="766"/>
        <w:gridCol w:w="197"/>
      </w:tblGrid>
      <w:tr>
        <w:trPr/>
        <w:tc>
          <w:tcPr>
            <w:tcW w:w="2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251,893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36,442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255,807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290,051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303,220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b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foreign currency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Intangible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fair value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Fair value adjustment to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loss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discount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(Recovery) allowance for 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obsolescence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 and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proceeds for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revolving credit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revolving credit lines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finance leases and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fees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consideration paid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awards surrendered by employees for tax liability, net of proceeds from employee stock purchase plan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jc w:val="center"/>
        <w:rPr>
          <w:rFonts w:ascii="Times New Roman" w:hAnsi="Times New Roman"/>
          <w:color w:val="000000"/>
          <w:sz w:val="20"/>
          <w:u w:val="single"/>
        </w:rPr>
      </w:pPr>
      <w:bookmarkStart w:id="9" w:name="notes_consolidated_financial_statements"/>
      <w:bookmarkEnd w:id="9"/>
      <w:r>
        <w:rPr>
          <w:rFonts w:ascii="Times New Roman" w:hAnsi="Times New Roman"/>
          <w:color w:val="000000"/>
          <w:sz w:val="20"/>
          <w:u w:val="single"/>
        </w:rPr>
        <w:t>NOTES TO CONDENSED CONSOLIDATED FINANCIAL STATEMENTS</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(unaudited)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Basis of Reporting for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2026 and the results of operations, cash flows and shareholders’ equity for the three and six months ended June 30, 2026 and 2025. The results of operations for the three and six months ended June 30, 2026 are not necessarily indicative of the results to be expected for the full year. The balance sheet as of December 31, 2025 has been derived from the audited consolidated financial statements included in the Company’s Annual Report on Form 10-K for the year ended December 31, 2025 as filed with the SEC on March 2, 2026 (the “Form 10-K”). Certain prior period amounts were reclassified to conform to the presentation in the current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months ended June 30, 2026, the Company completed the acquisition of Thermon Group Holdings ("Thermon"), as discussed in Note 14. As a result, Thermon's assets, liabilities, and results of operations have been included in the Company's condensed consolidated financial statements commencing on the acquisition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and accompanying notes should be read in conjunction with the audited financial statements and the notes thereto included in the Form 10-K.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otherwise indicated, all balances within tables are in thousands, except per share amounts.</w:t>
      </w:r>
    </w:p>
    <w:p>
      <w:pPr>
        <w:pStyle w:val="TextBody"/>
        <w:bidi w:val="0"/>
        <w:spacing w:before="0" w:after="240"/>
        <w:jc w:val="left"/>
        <w:rPr>
          <w:rFonts w:ascii="Times New Roman" w:hAnsi="Times New Roman"/>
          <w:sz w:val="20"/>
        </w:rPr>
      </w:pPr>
      <w:r>
        <w:rPr>
          <w:rFonts w:ascii="Times New Roman" w:hAnsi="Times New Roman"/>
          <w:b/>
          <w:color w:val="000000"/>
          <w:sz w:val="20"/>
        </w:rPr>
        <w:t>2. Recent Financial Accounting Pronouncements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considered the impact of all Accounting Standards Updates ("ASUs") issued by the Financial Accounting Standards Board ("FASB"). The ASUs issued but not listed below were assessed and determined to be either not applicable or are expected to have minimal impact on the Company's consolidated financial statements.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Accounting Standards Adopted in Fiscal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January 1, 2026, the Company adopted ASU 2025-05, Financial Instruments - Credit Losses (Topic 326): Measurement of Credit Losses for Accounts Receivable and Contract Assets, which introduces a practical expedient for estimating credit losses on current accounts receivable and contract assets. Adoption did not have a material impact on the Company's condensed consolidated financial statements.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Accounting Standards to be Adopted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The Company is currently evaluating the impact the adoption of the standard will have on the Company’s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December 15, 2026, and interim periods beginning after December 15, 2027. The Company is currently evaluating the impact the adoption of the standard will have on the Company’s consolidated financial statements.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 xml:space="preserve">3. Accounts Receivable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Accounts receivable as of June 30, 2026 and December 31, 2025 consisted of the following:</w:t>
      </w:r>
    </w:p>
    <w:tbl>
      <w:tblPr>
        <w:tblW w:w="6245" w:type="dxa"/>
        <w:jc w:val="left"/>
        <w:tblInd w:w="0" w:type="dxa"/>
        <w:tblLayout w:type="fixed"/>
        <w:tblCellMar>
          <w:top w:w="28" w:type="dxa"/>
          <w:left w:w="28" w:type="dxa"/>
          <w:bottom w:w="28" w:type="dxa"/>
          <w:right w:w="28" w:type="dxa"/>
        </w:tblCellMar>
      </w:tblPr>
      <w:tblGrid>
        <w:gridCol w:w="2751"/>
        <w:gridCol w:w="146"/>
        <w:gridCol w:w="239"/>
        <w:gridCol w:w="886"/>
        <w:gridCol w:w="166"/>
        <w:gridCol w:w="146"/>
        <w:gridCol w:w="319"/>
        <w:gridCol w:w="118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net as of the beginning of the prior year period, or January 1, 2025, were $159.5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Balances billed but not paid by customers under retainage provisions in contracts within the Condensed Consolidated Balance Sheets amounted to approximately $10.9 million and $10.9 million at June 30, 2026 and December 31, 2025, respectively. Retainage receivables on contracts in progress are generally collected up to 24 months following contract completion, and are recorded in either "Accounts receivable, net" or "Deferred charges and other assets" within the Condensed Consolidated Balance Sheets depending on timing of expected collection.</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 activity for the six months ended June 30, 2026 and 2025 consisted of the following:</w:t>
      </w:r>
    </w:p>
    <w:p>
      <w:pPr>
        <w:pStyle w:val="TextBody"/>
        <w:bidi w:val="0"/>
        <w:jc w:val="left"/>
        <w:rPr/>
      </w:pPr>
      <w:r>
        <w:rPr/>
        <w:t> </w:t>
      </w:r>
    </w:p>
    <w:tbl>
      <w:tblPr>
        <w:tblW w:w="5958" w:type="dxa"/>
        <w:jc w:val="left"/>
        <w:tblInd w:w="0" w:type="dxa"/>
        <w:tblLayout w:type="fixed"/>
        <w:tblCellMar>
          <w:top w:w="28" w:type="dxa"/>
          <w:left w:w="28" w:type="dxa"/>
          <w:bottom w:w="28" w:type="dxa"/>
          <w:right w:w="28" w:type="dxa"/>
        </w:tblCellMar>
      </w:tblPr>
      <w:tblGrid>
        <w:gridCol w:w="3231"/>
        <w:gridCol w:w="146"/>
        <w:gridCol w:w="214"/>
        <w:gridCol w:w="640"/>
        <w:gridCol w:w="168"/>
        <w:gridCol w:w="148"/>
        <w:gridCol w:w="214"/>
        <w:gridCol w:w="640"/>
        <w:gridCol w:w="166"/>
        <w:gridCol w:w="3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(Recovery) allowance for 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40"/>
        <w:jc w:val="left"/>
        <w:rPr>
          <w:rFonts w:ascii="Times New Roman" w:hAnsi="Times New Roman"/>
          <w:b/>
          <w:color w:val="000000"/>
          <w:sz w:val="20"/>
        </w:rPr>
      </w:pPr>
      <w:r>
        <w:rPr>
          <w:rFonts w:ascii="Times New Roman" w:hAnsi="Times New Roman"/>
          <w:b/>
          <w:color w:val="000000"/>
          <w:sz w:val="20"/>
        </w:rPr>
        <w:t xml:space="preserve">4. Contract Assets and Liabilities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Contract assets and liabilities as of June 30, 2026 and December 31, 2025 consisted of the following:</w:t>
      </w:r>
    </w:p>
    <w:tbl>
      <w:tblPr>
        <w:tblW w:w="9540" w:type="dxa"/>
        <w:jc w:val="left"/>
        <w:tblInd w:w="0" w:type="dxa"/>
        <w:tblLayout w:type="fixed"/>
        <w:tblCellMar>
          <w:top w:w="28" w:type="dxa"/>
          <w:left w:w="28" w:type="dxa"/>
          <w:bottom w:w="28" w:type="dxa"/>
          <w:right w:w="28" w:type="dxa"/>
        </w:tblCellMar>
      </w:tblPr>
      <w:tblGrid>
        <w:gridCol w:w="6286"/>
        <w:gridCol w:w="146"/>
        <w:gridCol w:w="239"/>
        <w:gridCol w:w="886"/>
        <w:gridCol w:w="146"/>
        <w:gridCol w:w="146"/>
        <w:gridCol w:w="319"/>
        <w:gridCol w:w="1181"/>
        <w:gridCol w:w="1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beginning of the prior year period, or January 1, 2025, costs and estimated earnings in excess of billings on uncompleted contracts and billings in excess of costs and estimated earnings on uncompleted contracts were $69.9 million and $81.5 million, respectively. The contract liabilities recorded in “Accrued expenses” on the Condensed Consolidated Balance Sheets were $30.2 million, $15.3 million and $9.7 million as of June 30, 2026, December 31, 2025 and January 1, 2025, respectively. Approximately 50% of the Company's contract liabilities as of December 31, 2025 were recognized as revenue in the six months ended June 30, 2026.</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Inventories as of June 30, 2026 and December 31, 2025 consisted of the following:</w:t>
      </w:r>
    </w:p>
    <w:tbl>
      <w:tblPr>
        <w:tblW w:w="5370" w:type="dxa"/>
        <w:jc w:val="left"/>
        <w:tblInd w:w="0" w:type="dxa"/>
        <w:tblLayout w:type="fixed"/>
        <w:tblCellMar>
          <w:top w:w="28" w:type="dxa"/>
          <w:left w:w="28" w:type="dxa"/>
          <w:bottom w:w="28" w:type="dxa"/>
          <w:right w:w="28" w:type="dxa"/>
        </w:tblCellMar>
      </w:tblPr>
      <w:tblGrid>
        <w:gridCol w:w="1716"/>
        <w:gridCol w:w="346"/>
        <w:gridCol w:w="239"/>
        <w:gridCol w:w="886"/>
        <w:gridCol w:w="146"/>
        <w:gridCol w:w="146"/>
        <w:gridCol w:w="357"/>
        <w:gridCol w:w="1143"/>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Adjustments to the allowance for obsolete inventory, as recorded to cost of sales, amounted to an increase of $0.4 million and increase of $0.1 million for the three months ended June 30, 2026 and 2025, respectively, and an increase of $1.5 million and increase of $0.2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6. Goodwill and Intangible Assets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Goodwill and indefinite life intangible asset activity for the six months ended June 30, 2026 and the year ended December 31, 2025 was as follows:</w:t>
      </w:r>
    </w:p>
    <w:tbl>
      <w:tblPr>
        <w:tblW w:w="8410" w:type="dxa"/>
        <w:jc w:val="left"/>
        <w:tblInd w:w="0" w:type="dxa"/>
        <w:tblLayout w:type="fixed"/>
        <w:tblCellMar>
          <w:top w:w="28" w:type="dxa"/>
          <w:left w:w="28" w:type="dxa"/>
          <w:bottom w:w="28" w:type="dxa"/>
          <w:right w:w="28" w:type="dxa"/>
        </w:tblCellMar>
      </w:tblPr>
      <w:tblGrid>
        <w:gridCol w:w="2641"/>
        <w:gridCol w:w="146"/>
        <w:gridCol w:w="229"/>
        <w:gridCol w:w="1012"/>
        <w:gridCol w:w="180"/>
        <w:gridCol w:w="158"/>
        <w:gridCol w:w="251"/>
        <w:gridCol w:w="680"/>
        <w:gridCol w:w="166"/>
        <w:gridCol w:w="146"/>
        <w:gridCol w:w="239"/>
        <w:gridCol w:w="887"/>
        <w:gridCol w:w="188"/>
        <w:gridCol w:w="165"/>
        <w:gridCol w:w="251"/>
        <w:gridCol w:w="680"/>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Goodwill / Tradename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269,747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1,501,199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three months ended March 31, 2026, the Company, through its Pinnacle Processes Inc. ("PPI") (formerly known as Effox-Flextor-Mader, Inc.) joint venture, completed the acquisition of Flexible Specialty Products ("FSP"), as discussed in Note 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months ended June 30, 2026, the Company completed the acquisition of Thermon Group Holdings ("Thermon"), as discussed in Note 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Finite life intangible assets as of June 30, 2026 and December 31, 2025 consisted of the following:</w:t>
      </w:r>
    </w:p>
    <w:tbl>
      <w:tblPr>
        <w:tblW w:w="10205" w:type="dxa"/>
        <w:jc w:val="left"/>
        <w:tblInd w:w="0" w:type="dxa"/>
        <w:tblLayout w:type="fixed"/>
        <w:tblCellMar>
          <w:top w:w="28" w:type="dxa"/>
          <w:left w:w="28" w:type="dxa"/>
          <w:bottom w:w="28" w:type="dxa"/>
          <w:right w:w="28" w:type="dxa"/>
        </w:tblCellMar>
      </w:tblPr>
      <w:tblGrid>
        <w:gridCol w:w="2801"/>
        <w:gridCol w:w="146"/>
        <w:gridCol w:w="211"/>
        <w:gridCol w:w="931"/>
        <w:gridCol w:w="166"/>
        <w:gridCol w:w="146"/>
        <w:gridCol w:w="467"/>
        <w:gridCol w:w="1500"/>
        <w:gridCol w:w="146"/>
        <w:gridCol w:w="146"/>
        <w:gridCol w:w="211"/>
        <w:gridCol w:w="781"/>
        <w:gridCol w:w="146"/>
        <w:gridCol w:w="146"/>
        <w:gridCol w:w="467"/>
        <w:gridCol w:w="1500"/>
        <w:gridCol w:w="294"/>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intangible assets – 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83,433</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Finite life intangible asset activity for the six months ended June 30, 2026 and 2025 was as follows:</w:t>
      </w:r>
    </w:p>
    <w:tbl>
      <w:tblPr>
        <w:tblW w:w="7474" w:type="dxa"/>
        <w:jc w:val="left"/>
        <w:tblInd w:w="0" w:type="dxa"/>
        <w:tblLayout w:type="fixed"/>
        <w:tblCellMar>
          <w:top w:w="28" w:type="dxa"/>
          <w:left w:w="28" w:type="dxa"/>
          <w:bottom w:w="28" w:type="dxa"/>
          <w:right w:w="28" w:type="dxa"/>
        </w:tblCellMar>
      </w:tblPr>
      <w:tblGrid>
        <w:gridCol w:w="4621"/>
        <w:gridCol w:w="146"/>
        <w:gridCol w:w="211"/>
        <w:gridCol w:w="781"/>
        <w:gridCol w:w="166"/>
        <w:gridCol w:w="146"/>
        <w:gridCol w:w="211"/>
        <w:gridCol w:w="781"/>
        <w:gridCol w:w="4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second quarter of 2026, the Company shut down its Western Air Ducts business located in the United Kingdom. As a result, the Company recorded an impairment charge of $1.7 million related to finite life intangible assets. This was recorded to "'Other operating expense (income)" on the Condensed Consolidated Statements of Operations. In the first quarter of 2025, the Company completed the divestiture of its Global Pump Solutions business, and recognized $4.0 million related to the removal of the net book value of its intangible assets. This was recorded to "Gain on sale of Global Pump Solutions business" on the Condensed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Amortization expense of finite life intangible assets was $7.8 million and $2.9 million for the three months ended June 30, 2026 and 2025, respectively, and $11.8 million and $6.0 million for the six months ended June 30, 2026 and 2025, respectively. Amortization over the next five years for finite life intangibles is expected to be $28.9 million for the remainder of 2026, $70.9 million in 2027, $68.2 million in 2028, $63.5 million in 2029, $62.7 million in 2030, and $705.2 million thereafter. The weighted average amortization periods for finite life intangible assets was 20.3 years as of June 30, 2026, inclusive of weighted average amortization periods for technology, customer lists, and tradenames and other of 19.4, 21.6, and 18.8 years,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Annually during the fourth quarter, or more often as circumstances require, the Company completes an impairment assessment of its goodwill and indefinite life intangible assets at the reporting unit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property, plant and equipment, right-of-use assets, and finite life intangible assets are reviewed whenever events or changes in circumstances occur that indicate possible impairment. If events or changes in circumstances occur that indicate possible impairment, the impairment review is based on an undiscounted cash flows analysis at the lowest level at which cash flows of the long-lived assets are largely independent of other groups of assets and liabilities. When impairment is indicated, the estimated future cash flows are then discounted to determine the estimated fair value of the asset or asset group and an impairment charge is recorded for the difference between the carrying value and the estimated fair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did not identify any other triggering events that would require an interim impairment assessment, or record an additional impairment of goodwill, indefinite life intangible assets, finite life intangible assets, right-of-use assets, or property, plant and equipment during the three or six months ended June 30, 2026, other than as related to the Western Air Ducts business as discussed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assumptions about future conditions important to its assessment of potential impairment are subject to uncertainty, and the Company will continue to monitor these conditions in future periods as new information becomes available and will update its analysis accordingly.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7. Accrued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Accrued expenses as of June 30, 2026 and December 31, 2025 consisted of the following:</w:t>
      </w:r>
    </w:p>
    <w:tbl>
      <w:tblPr>
        <w:tblW w:w="6610" w:type="dxa"/>
        <w:jc w:val="left"/>
        <w:tblInd w:w="0" w:type="dxa"/>
        <w:tblLayout w:type="fixed"/>
        <w:tblCellMar>
          <w:top w:w="28" w:type="dxa"/>
          <w:left w:w="28" w:type="dxa"/>
          <w:bottom w:w="28" w:type="dxa"/>
          <w:right w:w="28" w:type="dxa"/>
        </w:tblCellMar>
      </w:tblPr>
      <w:tblGrid>
        <w:gridCol w:w="2956"/>
        <w:gridCol w:w="346"/>
        <w:gridCol w:w="239"/>
        <w:gridCol w:w="886"/>
        <w:gridCol w:w="146"/>
        <w:gridCol w:w="146"/>
        <w:gridCol w:w="357"/>
        <w:gridCol w:w="1143"/>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Senior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Debt as of June 30, 2026 and December 31, 2025 consisted of the following:</w:t>
      </w:r>
    </w:p>
    <w:tbl>
      <w:tblPr>
        <w:tblW w:w="8620" w:type="dxa"/>
        <w:jc w:val="left"/>
        <w:tblInd w:w="0" w:type="dxa"/>
        <w:tblLayout w:type="fixed"/>
        <w:tblCellMar>
          <w:top w:w="28" w:type="dxa"/>
          <w:left w:w="28" w:type="dxa"/>
          <w:bottom w:w="28" w:type="dxa"/>
          <w:right w:w="28" w:type="dxa"/>
        </w:tblCellMar>
      </w:tblPr>
      <w:tblGrid>
        <w:gridCol w:w="5146"/>
        <w:gridCol w:w="146"/>
        <w:gridCol w:w="239"/>
        <w:gridCol w:w="886"/>
        <w:gridCol w:w="166"/>
        <w:gridCol w:w="146"/>
        <w:gridCol w:w="319"/>
        <w:gridCol w:w="118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Scheduled principal payments under the Credit Facility and joint venture term debt are $6.9 million for the remainder of 2026, $15.7 million in 2027, $14.7 million in 2028, $17.6 million in 2029, and $17.6 million in 2030, with the remainder due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maturity in 2031. The Term Loan is payable in quarterly principal installments of $2.9 million through June 30, 2028, increasing to $4.4 million through December 31, 2030 with the remainder due upon maturity on January 30, 2031.</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7, 2024, the Company entered into the Third Amended and Restated Credit Agreement (the “Legacy Credit Agreement”), among the Company, its subsidiaries from time to time party thereto, the lenders from time to time party thereto and Bank of America, N.A., as administrative agent, which amended and restated in its entirety the Company’s prior credit agreement. The Legacy Credit Agreement provided for a senior secured revolving credit facility in an initial aggregate principal amount of up to $400.0 million (the "Legacy 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30, 2026, the Company entered into the Fourth Amended and Restated Credit Agreement (the “2026 Credit Agreement”), among the Company, its subsidiaries from time to time party thereto, the lenders from time to time party thereto, and Bank of America, N.A., as administrative agent, which amended and restated in its entirety the Legacy Credit Agreement. The 2026 Credit Agreement provided for a senior secured revolving credit facility in an initial aggregate principal amount of up to $700.0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30, 2026, the Company entered into Amendment No. 1 to Fourth Amended and Restated Credit Agreement (the “Amendment”), among the Company, its subsidiaries party thereto, the lenders party thereto (the "Lenders"), and Bank of America, N.A., as administrative agent (the “Agent”), which amends the Credit Agreement (the 2026 Credit Agreement as amended by the Amendment, the “Credit Agreement”). The Amendment provided for a senior secured revolving credit facility in an initial aggregate principal amount of up to $740.0 million and added an incremental senior secured delayed-draw term loan commitment in an initial aggregate principal amount of $235 million (the “Incremental Term A-1 Loan Facility”; together with the Revolving Facility, the “Credit Facility”), subject only to the satisfaction or waiver of the related conditions precedent set forth in the Credit Agreement, including, without limitation, the consummation of the merger and acquisition contemplated by that certain Agreement and Plan of Merger, dated as of February 23, 2026, by and among the Company, Longhorn Merger Sub, Inc., Longhorn Merger Sub LLC, and Thermon.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1, 2026, the Company borrowed $235.0 million on the Incremental Term A-1 Loan Facility.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and December 31, 2025, $22.5 million and $23.8 million of letters of credit were outstanding, under the Credit Facility, respectively. Total unused credit availability, in consideration of borrowing limitations, under the Company’s Credit Facility was $220.5 million and $123.6 million at June 30, 2026 and December 31, 2025, respectively. The Company's available borrowing capacity under the Credit Facility is defined as the lower of (a) the Credit Facility amount less outstanding borrowings and Letters of Credit on the Credit Facility, and (b) the Company's trailing twelve month EBITDA, as defined in the Credit Agreement, by a factor of the maximum leverage ratio, less outstanding borrowings on the Credit Facility. Revolving loans may be borrowed, repaid and reborrowed until January 30, 2031, at which time all outstanding balances of the Credit Facility must be repaid.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Legacy Credit Facility accrued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Legacy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Legacy Credit Agreement, whether the Company has elected for interest on such loans to accrue at a daily rate or a term rate: (a) for term rate loans, if denominated (1) in U.S. Dollars,</w:t>
        <w:br/>
        <w:t>Term SOFR (as defined in the Legacy Credit Agreement inclusive of a 0.10% per annum adjustment), (2) in euros, EURIBOR, (3) in Canadian dollars, the Term CORRA Rate (as defined in the Legacy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Legacy Credit Agreement inclusive of a 0.10% per annum adjustment), (2) in pounds sterling, a rate per annum equal to SONIA (as defined in the Legacy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Credit Facility accrues interest (a) with respect to base rate loans, at an annual rate equal to an applicable rate spread of between 0.50% and 2.00% (fluctuating based on the Company’s Consolidated Net Leverage Ratio, as defined in the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Agreement), plus a rate equal to the highest of (1) the Agent’s prime rate, (2) the federal funds rate plus one-half of 1.00%, (3) Daily Simple SOFR (as defined in the Credit Agreement) plus 1.00% and (4) 1.00%, (b) for all other loans, at an annual rate equal to an applicable rate spread of between 1.50% and 3.00%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on Base Rate loans is payable quarterly in arrears on the last day of each calendar quarter and at maturity. Interest on Term SOFR rate loans is payable on the last date of each applicable Interest Period (as defined in the Credit Agreement), but in no event less than once every three months and at maturity. The weighted average stated interest rate on outstanding borrowings was 6.13% and 6.41% at June 30, 2026 and December 31, 2025, respectively. The effective interest rate was 6.51% and 7.06% at June 30, 2026 and December 31, 2025,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financial covenants and the commencement of the Thermon acquisition, the Company is now required to maintain a Consolidated Net Leverage Ratio not greater than 4.5 to 1.00 with step downs to 4.25 to 1.00 on June 30, 2027 and 4.00 to 1.00 on December 31, 2027 and a Consolidated Secured Net Leverage Ratio (as defined in the Credit Agreement) not greater than 4.25 to 1.00 with step downs to 4.00 to 1.00 on June 30, 2027 and 3.50 to 1.00 on December 31, 2027, in each case as of the last day of each fiscal quarter of the Company. With the commencement of the Thermon acquisition, the Company is no longer required to maintain a Consolidated Fixed Charge Coverage Ratio (as defined in the Credit Agreement) as of the last day of each fiscal quarter of the Company of not less than 1.25 to 1.00; and is now required to maintain a Consolidated Interest Coverage Ratio (as defined in the Credit Agreement) as of the last day of each fiscal quarter of the Company of not less than 3.00 to 1.00.</w:t>
        <w:br/>
        <w:b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2026 Credit Agreement and the Amendment thereto and the related financing of the Thermon acquisition, the Company incurred $5.0 million in customary closing and underwriting fees associated with the revolving credit facility. These costs were deferred and are being amortized over the term of the amended facility. In connection with the Incremental Term A-1 Loan Facility, $2.7 million of deferred financing costs were recorded as debt issuance costs and are being amortized over the term of the Term A-1 Loan.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and December 31, 2025, the Company was in compliance with all related financial and other restrictive covenants under the Credit Facility.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Joint Venture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March 7, 2022, the PPI joint venture, for which the Company holds 63% of the equity, entered into a loan agreement secured by the assets of PPI in the aggregate principal amount of $11.0 million for the acquisition of General Rubber, LLC. As of June 30, 2026 and December 31, 2025, $4.7 million and $5.6 million was outstanding under the loan, respectively. Principal will be paid back to the lender monthly with the final installment due by February 27, 2027. Interest is accrued at the per annum rate based on PPI's choice of the 1/3/6 month Term SOFR rate plus 3.25%, with a floor rate of 3.75%. Interest is paid monthly on the last day of each month. The interest rate at June 30, 2026 and December 31, 2025 was 6.87% and 7.27%, respectively. As of June 30, 2026 and December 31, 2025, PPI was in compliance with all related financial and other restrictive covenants under this loan agreement. This loan balance does not impact the Company’s borrowing capacity or the financial covenants under the Credit Facility. As of June 30, 2026, there were $22.0 million in current assets (including $2.6 million of cash, $8.8 million of accounts receivable, and $4.9 million of inventories), $35.9 million in long-lived assets (including $32.1 million of goodwill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intangible assets), and $19.7 million in total liabilities (including $4.7 million of debt and $5.4 million of accounts payable and accrued expenses) related to PPI included in the Condensed Consolidated Balance Sheets. As of December 31, 2025, there were $20.7 million in current assets (including $1.9 million of cash, $10.4 million of accounts receivable, and $4.3 million of inventories), $24.4 million in long-lived assets (including $23.9 million of goodwill and intangible assets), and $14.2 million in total liabilities (including $5.6 million of debt and $4.9 million of accounts payable and accrued expenses) related to PPI included in the Condensed Consolidated Balance Sheets. For the three months ended June 30, 2026 and 2025, PPI accounted for $13.0 million and $12.5 million in revenue, respectively, and $0.6 million and $1.6 million in net income, respectively, included in the Company's results. For the six months ended June 30, 2026 and 2025, PPI accounted for $26.3 million and $23.5 million in revenue, respectively, and $0.9 million and $2.4 million in net income, respectively, included in the Company's results.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Other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maintains bank guarantee facilities and bilateral lines of credit in various countries that are supported by cash, letters of credit, pledged assets or collateral available under the Credit Facility. The Credit Facility allows letters of credit and bank guarantee issuances of up to $175.0 million towards bilateral lines of credit secured through pledged assets and collateral under the Credit Facility. As of June 30, 2026 and December 31, 2025, $46.9 million and $38.6 million in bank guarantees were outstanding, respectively. Separately, CECO had $8.9 million and $3.0 million outstanding as of June 30, 2026 and December 31, 2025, respectively, on all other lines of credit or other local collateral.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9. (Loss) Earnings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computational components of basic and diluted (loss) earnings per share for the three months ended June 30, 2026 and 2025 are as follows:</w:t>
      </w:r>
    </w:p>
    <w:tbl>
      <w:tblPr>
        <w:tblW w:w="9276" w:type="dxa"/>
        <w:jc w:val="left"/>
        <w:tblInd w:w="0" w:type="dxa"/>
        <w:tblLayout w:type="fixed"/>
        <w:tblCellMar>
          <w:top w:w="28" w:type="dxa"/>
          <w:left w:w="28" w:type="dxa"/>
          <w:bottom w:w="28" w:type="dxa"/>
          <w:right w:w="28" w:type="dxa"/>
        </w:tblCellMar>
      </w:tblPr>
      <w:tblGrid>
        <w:gridCol w:w="6721"/>
        <w:gridCol w:w="146"/>
        <w:gridCol w:w="218"/>
        <w:gridCol w:w="761"/>
        <w:gridCol w:w="171"/>
        <w:gridCol w:w="151"/>
        <w:gridCol w:w="218"/>
        <w:gridCol w:w="699"/>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Numerator </w:t>
            </w:r>
            <w:r>
              <w:rPr>
                <w:rFonts w:ascii="Times New Roman" w:hAnsi="Times New Roman"/>
                <w:color w:val="000000"/>
                <w:sz w:val="20"/>
              </w:rPr>
              <w:t>(for 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income attributable to CECO Environmental Corp.</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1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equivalents arising from stock options and restricted stock awards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computational components of basic and diluted (loss) earnings per share for the six months ended June 30, 2026 and 2025 are as follows:</w:t>
      </w:r>
    </w:p>
    <w:tbl>
      <w:tblPr>
        <w:tblW w:w="9204" w:type="dxa"/>
        <w:jc w:val="left"/>
        <w:tblInd w:w="0" w:type="dxa"/>
        <w:tblLayout w:type="fixed"/>
        <w:tblCellMar>
          <w:top w:w="28" w:type="dxa"/>
          <w:left w:w="28" w:type="dxa"/>
          <w:bottom w:w="28" w:type="dxa"/>
          <w:right w:w="28" w:type="dxa"/>
        </w:tblCellMar>
      </w:tblPr>
      <w:tblGrid>
        <w:gridCol w:w="6721"/>
        <w:gridCol w:w="146"/>
        <w:gridCol w:w="211"/>
        <w:gridCol w:w="736"/>
        <w:gridCol w:w="166"/>
        <w:gridCol w:w="146"/>
        <w:gridCol w:w="211"/>
        <w:gridCol w:w="676"/>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Numerator </w:t>
            </w:r>
            <w:r>
              <w:rPr>
                <w:rFonts w:ascii="Times New Roman" w:hAnsi="Times New Roman"/>
                <w:color w:val="000000"/>
                <w:sz w:val="20"/>
              </w:rPr>
              <w:t>(for 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income attributable to CECO Environmental Corp.</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equivalents arising from stock options and restricted stock awards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Options and restricted stock units included in the computation of diluted earnings per share are calculated using the treasury stock method. For each of the three months ended June 30, 2026 and 2025, zero and 0.2, and for the six months ended June 30, 2026 and 2025, zero million and 0.3 million, respectively, of outstanding options and restricted stock units were excluded from the computation of diluted earnings per share due to their having an anti-dilutive effect. For the three and six months ended June 30, 2026, the Company had a net loss. As a result, no potentially dilutive shares were included in the computation, as their inclusion would have been anti-dilutive. The shares that could potentially dilute earnings per share in the future were 2.0 million and 2.0 million for the three and six months ended June 30,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Once a restricted stock unit vests, it is included in the computation of weighted average shares outstanding for purposes of basic and diluted earnings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Common Stock Repurchase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May 10, 2022, the Company's Board of Directors authorized a share repurchase program under which the Company was able to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There were no shares repurchased under the program during the three or six months ended June 30, 2025. This program expired during the second quarter of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10. Share-Based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recognized $12.4 million and $2.9 million of expense related to share-based compensation during the three months ended June 30, 2026 and 2025, respectively, and $12.8 million and $6.2 million during the six months ended June 30, 2026 and 2025, respectively, which was measured based upon the fair value of the awards at the grant date. Included in current period expense was $8.5 million of share-based compensation expense recognized in connection with the accelerated vesting of certain legacy Thermon equity awards triggered by the acquisition. This was recorded to "Acquisition and integration expense" on the Condensed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granted approximately 25,243 and 203,000 restricted stock units during the three months ended June 30, 2026 and 2025, respectively, and approximately 251,712 and 590,000 restricted stock units during the six months ended June 30, 2026 and 2025, respectively. In addition, the Company granted 17,563 and 67,000 stock options during the six months ended June 30, 2026 and 2025, respectively. No stock options were granted during the three months ended June 30, 2026 and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were no options exercised during the three and six months ended June 30, 2026 or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files income tax returns in various federal, state and local jurisdictions. Tax years from 2021 forward remain open for examination by Federal authorities. Tax years from 2018 forward remain open for all significant state and foreign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and December 31, 2025, the liability for uncertain tax positions totaled approximately $1.4 million and $1.3 million, respectively, which is included in “Other liabilities” on the Condensed Consolidated Balance Sheets. The Company recognizes accrued interest related to uncertain tax positions and penalties, if any, in income tax expense within the Condensed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June 30, 2026 and December 31, 2025, the Company recorded deferred income taxes of approximately $1.7 million and $1.1 million, respectively, on the undistributed earnings of its foreign subsidiaries.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Income tax benefit was $10.1 million for the three months ended June 30, 2026, compared with income tax expense of $4.5 million for the three months ended June 30, 2025. Income tax benefit was $13.6 million for the six months ended June 30, 2026 compared with income tax expense of $23.1 million for the six months ended June 30, 2025. The effective income tax rate for the three months ended June 30, 2026 was 22.6% compared with 30.9% for the three months ended June 30, 2025, and the effective income tax rate for the six months ended June 30, 2026 was 28.1% compared with 33.2% for the six months ended June 30, 2025. The effective income tax rates for the three and six months ended June 30, 2026 and 2025 differ from the United States federal statutory rate due to certain other permanent differences, including the gain on the sale of the Global Pump Solutions business, state income taxes, non-deductible incentive stock-based compensation and differences in tax rates among jurisdictions in which it operates.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incurred. Aspects of Pillar Two legislation have been enacted in certain jurisdictions in which the Company operates effective for accounting periods commencing on or after January 1, 2024. Historically, the Company has not met the Pillar Two revenue threshold. With the acquisition of Thermon, the combined Company will meet the Pillar Two threshold in 2026. The Company expects to meet the Transitional Country-by-Country Safe Harbor rules.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12. Financial Instruments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financial instruments consist primarily of investments in cash and cash equivalents, receivables and certain other assets, notes payable, and accounts payable, which approximate fair value at June 30, 2026 and December 31, 2025, due to their short-term nature or variable, market-driven interest rates.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fair value of the debt issued under the Credit Facility and joint venture term loan was $736.7 million and $214.2 million at June 30, 2026 and December 31, 2025, respectively. The fair value was determined considering market conditions, the Company's credit worthiness and the current terms of our debt, which is considered Level 2 on the fair value hierarchy.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June 30, 2026 and December 31, 2025, the Company had cash and cash equivalents of $61.1 million and $33.1 million, respectively, of which $49.1 million and $26.4 million, respectively, was held outside of the United States, principally in China, Canada, India, Netherlands, United Arab Emirates, and United Kingdom.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subject to routine legal claims, proceedings, and investigations associated with contract and employment-related litigation matters, warranty claims, asbestos matters, and audits of state and local tax returns arising in the ordinary course of its business. Following the acquisition of Thermon on June 1, 2026, the Company has also assumed responsibility for legal matters associated with Thermon’s historical operations; however, none of such matters are believed to be material to the Company’s consolidated financial condition, results of operations, or liquidity. The final outcome and impact of open matters, and related claims and investigations that may be brought in the future, are subject to many variables, and cannot be predicted. The Company regularly assesses such matters to determine the degree of probability that it will incur a material loss as a result of such matters, as well as the range of possible loss. The Company records accruals for estimated losses relating to claims and lawsuits when available information indicates that a loss is probable and the amount of the loss, or range of loss, can be reasonably estimated.</w:t>
        <w:br/>
        <w:br/>
        <w:t>Based upon information presently available, and in light of legal and other factual defenses available to the Company, the Company does not believe that it is reasonably possible that such litigation will have a material adverse effect on the Company’s financial condition, future operating results or liquidity.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14. Acquisitions</w:t>
      </w:r>
    </w:p>
    <w:p>
      <w:pPr>
        <w:pStyle w:val="TextBody"/>
        <w:bidi w:val="0"/>
        <w:spacing w:before="0" w:after="240"/>
        <w:jc w:val="left"/>
        <w:rPr>
          <w:rFonts w:ascii="Times New Roman" w:hAnsi="Times New Roman"/>
          <w:sz w:val="20"/>
        </w:rPr>
      </w:pPr>
      <w:r>
        <w:rPr>
          <w:rFonts w:ascii="Times New Roman" w:hAnsi="Times New Roman"/>
          <w:i/>
          <w:color w:val="000000"/>
          <w:sz w:val="20"/>
        </w:rPr>
        <w:t>Thermon Group Holdings, Inc.</w:t>
        <w:br/>
        <w:br/>
      </w:r>
      <w:r>
        <w:rPr>
          <w:rFonts w:ascii="Times New Roman" w:hAnsi="Times New Roman"/>
          <w:color w:val="000000"/>
          <w:sz w:val="20"/>
        </w:rPr>
        <w:t xml:space="preserve">On June 1, 2026 (the “Closing Date”), the Company completed its merger (the "Merger") with Thermon Group Holdings, Inc. (“Thermon”), pursuant to the Agreement and Plan of Merger (the “Merger Agreement”) dated February 23, 2026, entered into by the Company with Longhorn Merger Sub, Inc. and Longhorn Merger Sub LLC, each a direct wholly owned subsidiary of the Company (together, the “Merger Subs”) and Thermon. Pursuant to the Merger Agreement, on the Closing Date, Merger Sub Inc. merged with and into Thermon (the “First Merger”), with Thermon surviving the First Merger as a wholly owned subsidiary of CECO. Immediately after the First Merger, Thermon merged with and into Merger Sub LLC (the “Second Merger”), with Merger Sub LLC surviving the Second Merger as a wholly owned subsidiary of CECO. In connection with the Second Merger, the name of the surviving entity was changed to Thermon Group Holdings, LLC. The First Merger and the Second Merger are collectively referred to as the “Merger.”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Merger was accounted for as a business combination under ASC 805 Business Combinations, with the Company identified as the accounting acquirer. Concurrently with the execution of the Merger Agreement, on February 23, 2026, the Company entered into the financing (as further described in Note 8), which was also completed on June 1,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the terms of the Merger Agreement, each holder of Thermon common stock ("Thermon Common Stock", and "Thermon Shareholders") had the ability to elect to receive, for each share of Thermon Common Stock they own, one of the following forms of consideration: (i) consideration consisting of $10.00 in cash and 0.6840 shares of CECO common stock (“Mixed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Consideration”), (ii) consideration of $63.89 per share (“All-Cash Consideration”), or (iii) consideration of 0.8110 shares of CECO common stock per share (“All-Stock Consideration”), in each case subject to proration and allocation procedures designed to ensure that the aggregate amount of cash and stock paid in the transaction does not exceed certain limits specified in the Merger Agreement. Thermon Shareholders who did not make an election received the Mixed Consideration. The share value of the Mixed, All-Cash Consideration, and All-Stock Consideration are all approximately $64, based on the closing stock price of $79.03 per share of CECO on June 1, 2026, which represents an approximate 4.7% premium to the closing stock price of $61.14 per share of Thermon on its last day of trading on May 29, 2026. Per the Merger Agreement, Thermon’s existing restricted stock units (“RSU Awards”) and performance unit awards (“PU Awards”) were assumed by the Company and converted into awards based on the Company's common stock, while in</w:t>
        <w:noBreakHyphen/>
        <w:t>the</w:t>
        <w:noBreakHyphen/>
        <w:t>money stock options (“In-the-Money Options”) were cancelled in exchange for cash consideration equal to the All-Cash Consideration less the exercise price per share of Thermon Common Stock subject to the In-the-Money Options, as of immediately prior to the closing (the “Option Consideration”), and out</w:t>
        <w:noBreakHyphen/>
        <w:t>of</w:t>
        <w:noBreakHyphen/>
        <w:t>the</w:t>
        <w:noBreakHyphen/>
        <w:t>money options were cancelled for no consideration. Under the provisions of the Merger Agreement, the Company elected to cancel the RSU Awards and PU Awards held by individuals residing or providing services outside the U.S. at closing (“Non-U.S. Award”), and pay cash consideration equal to the number of underlying shares multiplied by the per</w:t>
        <w:noBreakHyphen/>
        <w:t>share All-Cash Consideration (“Non-U.S. Award Cash Consideration”). The following table summarizes the fair value of consideration transferred for the Merger:</w:t>
      </w:r>
    </w:p>
    <w:tbl>
      <w:tblPr>
        <w:tblW w:w="10205" w:type="dxa"/>
        <w:jc w:val="left"/>
        <w:tblInd w:w="0" w:type="dxa"/>
        <w:tblLayout w:type="fixed"/>
        <w:tblCellMar>
          <w:top w:w="28" w:type="dxa"/>
          <w:left w:w="28" w:type="dxa"/>
          <w:bottom w:w="28" w:type="dxa"/>
          <w:right w:w="28" w:type="dxa"/>
        </w:tblCellMar>
      </w:tblPr>
      <w:tblGrid>
        <w:gridCol w:w="8155"/>
        <w:gridCol w:w="246"/>
        <w:gridCol w:w="246"/>
        <w:gridCol w:w="211"/>
        <w:gridCol w:w="1036"/>
        <w:gridCol w:w="311"/>
      </w:tblGrid>
      <w:tr>
        <w:trPr/>
        <w:tc>
          <w:tcPr>
            <w:tcW w:w="8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Mixed Consideration (Mixed elections and non-electors)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Stock component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Thermon's Common Stock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17,231,130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ratio per Merger Agreement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CECO Common Stock shares issued to Thermon shareholders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11,786,093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CECO Common Stock closing price as of June 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Consideration in the form of CECO's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Cash component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Thermon's Common Stock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17,231,130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 Share Cash Consideration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Consideration in form of cash</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Mixed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Thermon's Common Stock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2,142,408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 share Cash Consideration</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All-Cash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issued due to Maximum Aggregate Stock Shares proration per the Merger Agreement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Thermon's Common Stock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13,566,156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ratio per Merger Agreement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CECO Common Stock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11,002,153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CECO Common Stock shares due to Maximum Aggregate Stock Shares proration per the Merger Agreement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CECO Common Stock shares issued pursuant to the Maximum Aggregate Stock Shares proration per the Merger Agreement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10,744,658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1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CECO Common Stock closing price as of June 1, 2026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Fractional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Merger Consideration per the Merger Agreement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2,110,069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Pre-combination value of replaced Thermon equity awards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Thermon equity awards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Thermon indebtedness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D&amp;O tail insurance premium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preliminary consideration transferred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2,264,100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purchase price was allocated, on a preliminary basis, among assets acquired and liabilities assumed based on available information. The determination of the estimated fair value of assets acquired requires management’s judgment and often involves the use of significant estimates and assumptions, including assumptions with respect to future cash inflows and outflows, discount rates, royalty rates, customer attrition rates, asset lives, and market multiples, among other items. Fair values were determined by management using a variety of methodologies and resources, including external independent valuation experts. The valuation methods consisted of multi-period excess earnings, relief from royalty, current replacement cost, and other valuation techniques to determine the fair value of assets acquired and liabilities assumed.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preliminarily recognized fair values of the assets acquired and liabilities assumed and allocated $1,210.5 million to goodwill. Goodwill primarily represents expected synergies from combining operations, expanded market opportunities, acquired workforce, future technologies, and other benefits that do not qualify for separate recognition. Goodwill is not expected to be deductible for income tax purposes.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preliminary allocation of the purchase price is subject to change as the Company continues to obtain and assess relevant information that existed as of the acquisition date. A final determination of the fair value of assets acquired, including any identifiable intangible assets, and liabilities assumed will be performed within one year of the Closing Date. The preliminary allocation of the total estimated purchase consideration is as follows:</w:t>
      </w:r>
    </w:p>
    <w:tbl>
      <w:tblPr>
        <w:tblW w:w="8623" w:type="dxa"/>
        <w:jc w:val="left"/>
        <w:tblInd w:w="0" w:type="dxa"/>
        <w:tblLayout w:type="fixed"/>
        <w:tblCellMar>
          <w:top w:w="28" w:type="dxa"/>
          <w:left w:w="28" w:type="dxa"/>
          <w:bottom w:w="28" w:type="dxa"/>
          <w:right w:w="28" w:type="dxa"/>
        </w:tblCellMar>
      </w:tblPr>
      <w:tblGrid>
        <w:gridCol w:w="6286"/>
        <w:gridCol w:w="246"/>
        <w:gridCol w:w="332"/>
        <w:gridCol w:w="1468"/>
        <w:gridCol w:w="291"/>
      </w:tblGrid>
      <w:tr>
        <w:trPr/>
        <w:tc>
          <w:tcPr>
            <w:tcW w:w="6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Fair 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preliminary consideration transferred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2,264,100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1,410,871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1,053,629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1,210,471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Acquired intangible assets consisted of the following:</w:t>
      </w:r>
    </w:p>
    <w:tbl>
      <w:tblPr>
        <w:tblW w:w="4135" w:type="dxa"/>
        <w:jc w:val="left"/>
        <w:tblInd w:w="0" w:type="dxa"/>
        <w:tblLayout w:type="fixed"/>
        <w:tblCellMar>
          <w:top w:w="28" w:type="dxa"/>
          <w:left w:w="28" w:type="dxa"/>
          <w:bottom w:w="28" w:type="dxa"/>
          <w:right w:w="28" w:type="dxa"/>
        </w:tblCellMar>
      </w:tblPr>
      <w:tblGrid>
        <w:gridCol w:w="2806"/>
        <w:gridCol w:w="146"/>
        <w:gridCol w:w="211"/>
        <w:gridCol w:w="7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Acquired intangible assets are amortized on a straight line or accelerated basis over their estimated useful lives of approximately 20 years for technology, 20 to 25 years for customer lists, 20 years for tradenames, and 3 years for customer backlog.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June 1, 2026 Closing Date through June 30, 2026, Thermon accounted for $49.6 million in revenue, and $5.3 million in net loss, in the Company's results. Thermon's net loss includes the impact of $3.6 million of intangible amortization from the Closing Date through June 30, 2026, as well as a $9.5 million charge related to the recognition of costs stemming from the step up of fair value of inventory.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Total acquisition-related costs related to the Thermon acquisition of $22.6 million and $34.3 million were reported in "Acquisition and integration expense" on the Condensed Consolidated Statements of Operations for the three and six months ended June 30,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incurred approximately $8.9 million of acquisition-related costs associated with executive transition and separation arrangements for certain legacy Thermon executives in connection with the acquisition. These costs were recorded within "Acquisition and other integration expenses" in the Condensed Consolidated Statements of Operations.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Flexible Specialty Products LLC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February 13, 2026, the Company, through its PPI JV, completed its acquisition of FSP for $6.8 million in cash. The transaction was financed through cash on hand. As additional consideration in the acquisition of FSP, the former owners of FSP are also entitled to earn-out payments up to $4.0 million based upon specified financial results through December 31, 2029. Based on projections at the acquisition date, the Company estimated the fair value of the earn-out to be $3.3 million. FSP is a custom manufacturer and supplier of industrial fabric expansion joints, metal bellows, metal hose, and other specialty flexible connectors for ductwork and piping with its primary operations in Englewood, Florida and is reported within the Engineered Systems segment. The following table summarizes the preliminary fair values of the assets acquired and liabilities assumed at the date of closing.</w:t>
      </w:r>
    </w:p>
    <w:tbl>
      <w:tblPr>
        <w:tblW w:w="7400" w:type="dxa"/>
        <w:jc w:val="left"/>
        <w:tblInd w:w="0" w:type="dxa"/>
        <w:tblLayout w:type="fixed"/>
        <w:tblCellMar>
          <w:top w:w="28" w:type="dxa"/>
          <w:left w:w="28" w:type="dxa"/>
          <w:bottom w:w="28" w:type="dxa"/>
          <w:right w:w="28" w:type="dxa"/>
        </w:tblCellMar>
      </w:tblPr>
      <w:tblGrid>
        <w:gridCol w:w="5956"/>
        <w:gridCol w:w="146"/>
        <w:gridCol w:w="211"/>
        <w:gridCol w:w="676"/>
        <w:gridCol w:w="4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cash of $134 and accounts receivable of $861)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acquired customer lists intangible assets valued at $6.1 million. This asset was determined to have a useful life of 10 years. </w:t>
      </w:r>
    </w:p>
    <w:p>
      <w:pPr>
        <w:pStyle w:val="TextBody"/>
        <w:bidi w:val="0"/>
        <w:spacing w:before="0" w:after="240"/>
        <w:jc w:val="left"/>
        <w:rPr>
          <w:rFonts w:ascii="Times New Roman" w:hAnsi="Times New Roman"/>
          <w:sz w:val="20"/>
        </w:rPr>
      </w:pPr>
      <w:r>
        <w:rPr>
          <w:rFonts w:ascii="Times New Roman" w:hAnsi="Times New Roman"/>
          <w:color w:val="000000"/>
          <w:sz w:val="20"/>
        </w:rPr>
        <w:t>During the three and six months ended June 30, 2026, FSP accounted for $1.4 million and $1.8 million in revenue, respectively, and $0.5 million and $0.7 million in net income, respectively, in the condensed consolidated results.</w:t>
        <w:br/>
        <w:br/>
      </w:r>
      <w:r>
        <w:rPr>
          <w:rFonts w:ascii="Times New Roman" w:hAnsi="Times New Roman"/>
          <w:i/>
          <w:color w:val="000000"/>
          <w:sz w:val="20"/>
        </w:rPr>
        <w:t>Profire Energy,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Operations.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55" w:type="dxa"/>
        <w:jc w:val="left"/>
        <w:tblInd w:w="0" w:type="dxa"/>
        <w:tblLayout w:type="fixed"/>
        <w:tblCellMar>
          <w:top w:w="28" w:type="dxa"/>
          <w:left w:w="28" w:type="dxa"/>
          <w:bottom w:w="28" w:type="dxa"/>
          <w:right w:w="28" w:type="dxa"/>
        </w:tblCellMar>
      </w:tblPr>
      <w:tblGrid>
        <w:gridCol w:w="8206"/>
        <w:gridCol w:w="146"/>
        <w:gridCol w:w="211"/>
        <w:gridCol w:w="781"/>
        <w:gridCol w:w="411"/>
      </w:tblGrid>
      <w:tr>
        <w:trPr/>
        <w:tc>
          <w:tcPr>
            <w:tcW w:w="8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cash and cash equivalents of $22,675 and accounts receivable of $14,151)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acquired property and equipment consisting of $14.7 million of land, building and improvements, $2.1 million of vehicles, and $0.6 million of machinery and equipment and other.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acquired technology, customer lists, and tradename intangible assets valued at $3.6 million, $34.5 million, and $3.7 million, respectively. These assets were determined to have useful lives of 7, 10, and 10 years, respectively.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acquisitions disclosed above, with the exception of Profire, are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 Acquisition and integration expenses, recorded within "Other operating expenses" on the Condensed Consolidated Statements of Operations are related to acquisition activities, which include retention, legal, accounting, banking, and other expenses.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unaudited supplemental pro forma information is based on estimates and assumptions that the Company believes are reasonable and reflects the effects of the Thermon acquisition and related financing, including the recognition of certain cost of sales and acquired intangible assets, depreciation of acquired property, plant and equipment, amortization of the prepaid directors' and officers' ("D&amp;O") liability insurance tail policy required under the Merger Agreement, incremental share-based compensation expense associated with the conversion and cash settlement of Thermon equity awards, and incremental interest expense, including the amortization of deferred financing costs. Material, nonrecurring pro forma adjustments directly attributable to the Thermon acquisition include transaction costs of $34.3 million that were incurred during the six months ended June 30, 2026, which are assumed to have occurred on the pro forma closing date of January 1, 2025 and recognized as if incurred in the first quarter of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unaudited supplemental pro forma information is presented for informational purposes only and does not purport to represent what the Company's results of operations would have been had the acquisition of Thermon and the related financing occurred on January 1, 2025, nor is it necessarily indicative of future operating results.</w:t>
      </w:r>
    </w:p>
    <w:tbl>
      <w:tblPr>
        <w:tblW w:w="10205" w:type="dxa"/>
        <w:jc w:val="left"/>
        <w:tblInd w:w="0" w:type="dxa"/>
        <w:tblLayout w:type="fixed"/>
        <w:tblCellMar>
          <w:top w:w="28" w:type="dxa"/>
          <w:left w:w="28" w:type="dxa"/>
          <w:bottom w:w="28" w:type="dxa"/>
          <w:right w:w="28" w:type="dxa"/>
        </w:tblCellMar>
      </w:tblPr>
      <w:tblGrid>
        <w:gridCol w:w="5004"/>
        <w:gridCol w:w="146"/>
        <w:gridCol w:w="211"/>
        <w:gridCol w:w="781"/>
        <w:gridCol w:w="146"/>
        <w:gridCol w:w="146"/>
        <w:gridCol w:w="211"/>
        <w:gridCol w:w="781"/>
        <w:gridCol w:w="146"/>
        <w:gridCol w:w="146"/>
        <w:gridCol w:w="211"/>
        <w:gridCol w:w="781"/>
        <w:gridCol w:w="146"/>
        <w:gridCol w:w="146"/>
        <w:gridCol w:w="211"/>
        <w:gridCol w:w="781"/>
        <w:gridCol w:w="211"/>
      </w:tblGrid>
      <w:tr>
        <w:trPr/>
        <w:tc>
          <w:tcPr>
            <w:tcW w:w="5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CECO Environmental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15. Divestiture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March 31, 2025, the Company finalized the sale of its Global Pump Solutions business to a third party for a purchase price of $108.7 million, as adjusted for purchase adjustments. In the third quarter of 2025, the Company agreed to a working capital adjustment with the purchaser that reduced the amount to be released from escrow by $0.8 million, with a corresponding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reduction in the previously recognized gain. The Company received cash proceeds of $107.9 million, inclusive of the purchase price, purchase price adjustments and $2.0 million released from escrow in the third quarter of 2025. The Company recognized a pre-tax gain on sale of business of $63.7 million. The Global Pump Solutions business consisted of three niche leadership severe service industrial metallic, fiberglass and thermoplastic centrifugal pump brands: Dean, Fybroc and Sethco. The business primarily operated from locations in Indianapolis, Indiana and Telford, Pennsylvania, and was included within the Industrial Processing Solutions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Amounts related to the transaction are as follows:</w:t>
      </w:r>
    </w:p>
    <w:tbl>
      <w:tblPr>
        <w:tblW w:w="6050" w:type="dxa"/>
        <w:jc w:val="left"/>
        <w:tblInd w:w="0" w:type="dxa"/>
        <w:tblLayout w:type="fixed"/>
        <w:tblCellMar>
          <w:top w:w="28" w:type="dxa"/>
          <w:left w:w="28" w:type="dxa"/>
          <w:bottom w:w="28" w:type="dxa"/>
          <w:right w:w="28" w:type="dxa"/>
        </w:tblCellMar>
      </w:tblPr>
      <w:tblGrid>
        <w:gridCol w:w="4501"/>
        <w:gridCol w:w="146"/>
        <w:gridCol w:w="211"/>
        <w:gridCol w:w="781"/>
        <w:gridCol w:w="4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Assets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Liabilities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16. Business Segment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operations are organized and reviewed by management along its product lines or end markets that the segment serves and are presented in three reportable segments. Segment profit is reviewed quarterly by the chief operating decision maker ("CODM"), which is the Company's Chief Executive Officer, for the purposes of allocating resources, including personnel, capital, and financial resources, and assessing performance, including the monitoring of budget versus actual results. During the fourth quarter of 2025, management updated the definition of the segment profit measure used by the CODM. The presentation of prior period segment information has been recast to conform to this updated measure. During the second quarter of 2026, the Thermal Solutions segment was created following the acquisition of Thermon. Asset information by segment is not reported internally or otherwise regularly reviewed by the CODM. </w:t>
        <w:br/>
        <w:br/>
        <w:t>The Company’s reportable segments are organized as groups of similar products and services, as described as follows: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Engineered Systems:</w:t>
      </w:r>
      <w:r>
        <w:rPr>
          <w:rFonts w:ascii="Times New Roman" w:hAnsi="Times New Roman"/>
          <w:color w:val="000000"/>
          <w:sz w:val="20"/>
        </w:rPr>
        <w:t xml:space="preserve"> The Company's Engineered Systems segment serves the power generation, hydrocarbon processing,</w:t>
        <w:br/>
        <w:t>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Industrial Process Solutions:</w:t>
      </w:r>
      <w:r>
        <w:rPr>
          <w:rFonts w:ascii="Times New Roman" w:hAnsi="Times New Roman"/>
          <w:color w:val="000000"/>
          <w:sz w:val="20"/>
        </w:rPr>
        <w:t xml:space="preserve"> The Company's Industrial Process Solutions segment serves the broad industrial sector with</w:t>
        <w:b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Thermal Solutions:</w:t>
      </w:r>
      <w:r>
        <w:rPr>
          <w:rFonts w:ascii="Times New Roman" w:hAnsi="Times New Roman"/>
          <w:color w:val="000000"/>
          <w:sz w:val="20"/>
        </w:rPr>
        <w:t xml:space="preserve"> The Company's Thermal Solutions segment serves the general industrial, chemical and petrochemical, oil, gas, power generation, commercial, food and beverage processing, and rail and transit sectors. The Company, through this segment, offers a full suite of products including heating units, electrode and gas-fired boilers, heating cables, industrial heating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blankets and related products, temporary power solutions and tubing bundles, engineering, installation and maintenance services, and software design optimization and wireless and network control systems.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from operations to total consolidated net loss before taxes is as follows for the three months ended June 30, 2026:</w:t>
      </w:r>
    </w:p>
    <w:tbl>
      <w:tblPr>
        <w:tblW w:w="10205" w:type="dxa"/>
        <w:jc w:val="left"/>
        <w:tblInd w:w="0" w:type="dxa"/>
        <w:tblLayout w:type="fixed"/>
        <w:tblCellMar>
          <w:top w:w="28" w:type="dxa"/>
          <w:left w:w="28" w:type="dxa"/>
          <w:bottom w:w="28" w:type="dxa"/>
          <w:right w:w="28" w:type="dxa"/>
        </w:tblCellMar>
      </w:tblPr>
      <w:tblGrid>
        <w:gridCol w:w="3292"/>
        <w:gridCol w:w="146"/>
        <w:gridCol w:w="318"/>
        <w:gridCol w:w="1020"/>
        <w:gridCol w:w="146"/>
        <w:gridCol w:w="146"/>
        <w:gridCol w:w="306"/>
        <w:gridCol w:w="1136"/>
        <w:gridCol w:w="146"/>
        <w:gridCol w:w="146"/>
        <w:gridCol w:w="452"/>
        <w:gridCol w:w="1452"/>
        <w:gridCol w:w="146"/>
        <w:gridCol w:w="146"/>
        <w:gridCol w:w="211"/>
        <w:gridCol w:w="781"/>
        <w:gridCol w:w="215"/>
      </w:tblGrid>
      <w:tr>
        <w:trPr/>
        <w:tc>
          <w:tcPr>
            <w:tcW w:w="3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Thermal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from operations to total consolidated net loss before taxes is as follows for the six months ended June 30, 2026:</w:t>
      </w:r>
    </w:p>
    <w:tbl>
      <w:tblPr>
        <w:tblW w:w="10205" w:type="dxa"/>
        <w:jc w:val="left"/>
        <w:tblInd w:w="0" w:type="dxa"/>
        <w:tblLayout w:type="fixed"/>
        <w:tblCellMar>
          <w:top w:w="28" w:type="dxa"/>
          <w:left w:w="28" w:type="dxa"/>
          <w:bottom w:w="28" w:type="dxa"/>
          <w:right w:w="28" w:type="dxa"/>
        </w:tblCellMar>
      </w:tblPr>
      <w:tblGrid>
        <w:gridCol w:w="3283"/>
        <w:gridCol w:w="146"/>
        <w:gridCol w:w="317"/>
        <w:gridCol w:w="1018"/>
        <w:gridCol w:w="146"/>
        <w:gridCol w:w="146"/>
        <w:gridCol w:w="306"/>
        <w:gridCol w:w="1135"/>
        <w:gridCol w:w="146"/>
        <w:gridCol w:w="146"/>
        <w:gridCol w:w="407"/>
        <w:gridCol w:w="1510"/>
        <w:gridCol w:w="146"/>
        <w:gridCol w:w="146"/>
        <w:gridCol w:w="211"/>
        <w:gridCol w:w="781"/>
        <w:gridCol w:w="215"/>
      </w:tblGrid>
      <w:tr>
        <w:trPr/>
        <w:tc>
          <w:tcPr>
            <w:tcW w:w="3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Thermal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segment information is as follows for the three and six months ended June 30, 2026:</w:t>
      </w:r>
    </w:p>
    <w:tbl>
      <w:tblPr>
        <w:tblW w:w="9003" w:type="dxa"/>
        <w:jc w:val="left"/>
        <w:tblInd w:w="0" w:type="dxa"/>
        <w:tblLayout w:type="fixed"/>
        <w:tblCellMar>
          <w:top w:w="28" w:type="dxa"/>
          <w:left w:w="28" w:type="dxa"/>
          <w:bottom w:w="28" w:type="dxa"/>
          <w:right w:w="28" w:type="dxa"/>
        </w:tblCellMar>
      </w:tblPr>
      <w:tblGrid>
        <w:gridCol w:w="2881"/>
        <w:gridCol w:w="146"/>
        <w:gridCol w:w="384"/>
        <w:gridCol w:w="1041"/>
        <w:gridCol w:w="146"/>
        <w:gridCol w:w="146"/>
        <w:gridCol w:w="412"/>
        <w:gridCol w:w="1118"/>
        <w:gridCol w:w="146"/>
        <w:gridCol w:w="146"/>
        <w:gridCol w:w="564"/>
        <w:gridCol w:w="1536"/>
        <w:gridCol w:w="14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Thermal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2881"/>
        <w:gridCol w:w="146"/>
        <w:gridCol w:w="384"/>
        <w:gridCol w:w="1041"/>
        <w:gridCol w:w="146"/>
        <w:gridCol w:w="146"/>
        <w:gridCol w:w="412"/>
        <w:gridCol w:w="1118"/>
        <w:gridCol w:w="146"/>
        <w:gridCol w:w="146"/>
        <w:gridCol w:w="564"/>
        <w:gridCol w:w="1536"/>
        <w:gridCol w:w="14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Thermal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The amounts of depreciation and amortization disclosed by reportable segment are included within other segment expense captions, such as shop burden or general and administrative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to total consolidated net income before taxes is as follows for the three months ended June 30, 2025:</w:t>
      </w:r>
    </w:p>
    <w:tbl>
      <w:tblPr>
        <w:tblW w:w="9569" w:type="dxa"/>
        <w:jc w:val="left"/>
        <w:tblInd w:w="0" w:type="dxa"/>
        <w:tblLayout w:type="fixed"/>
        <w:tblCellMar>
          <w:top w:w="28" w:type="dxa"/>
          <w:left w:w="28" w:type="dxa"/>
          <w:bottom w:w="28" w:type="dxa"/>
          <w:right w:w="28" w:type="dxa"/>
        </w:tblCellMar>
      </w:tblPr>
      <w:tblGrid>
        <w:gridCol w:w="4006"/>
        <w:gridCol w:w="146"/>
        <w:gridCol w:w="325"/>
        <w:gridCol w:w="1205"/>
        <w:gridCol w:w="146"/>
        <w:gridCol w:w="146"/>
        <w:gridCol w:w="499"/>
        <w:gridCol w:w="1601"/>
        <w:gridCol w:w="146"/>
        <w:gridCol w:w="146"/>
        <w:gridCol w:w="211"/>
        <w:gridCol w:w="78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to total consolidated net income before taxes is as follows for the six months ended June 30, 2025:</w:t>
      </w:r>
    </w:p>
    <w:tbl>
      <w:tblPr>
        <w:tblW w:w="9589" w:type="dxa"/>
        <w:jc w:val="left"/>
        <w:tblInd w:w="0" w:type="dxa"/>
        <w:tblLayout w:type="fixed"/>
        <w:tblCellMar>
          <w:top w:w="28" w:type="dxa"/>
          <w:left w:w="28" w:type="dxa"/>
          <w:bottom w:w="28" w:type="dxa"/>
          <w:right w:w="28" w:type="dxa"/>
        </w:tblCellMar>
      </w:tblPr>
      <w:tblGrid>
        <w:gridCol w:w="4006"/>
        <w:gridCol w:w="146"/>
        <w:gridCol w:w="325"/>
        <w:gridCol w:w="1205"/>
        <w:gridCol w:w="146"/>
        <w:gridCol w:w="146"/>
        <w:gridCol w:w="446"/>
        <w:gridCol w:w="1654"/>
        <w:gridCol w:w="166"/>
        <w:gridCol w:w="146"/>
        <w:gridCol w:w="211"/>
        <w:gridCol w:w="78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and pension expense.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segment information is as follows for the three and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0"/>
        <w:gridCol w:w="146"/>
        <w:gridCol w:w="384"/>
        <w:gridCol w:w="998"/>
        <w:gridCol w:w="191"/>
        <w:gridCol w:w="191"/>
        <w:gridCol w:w="488"/>
        <w:gridCol w:w="1304"/>
        <w:gridCol w:w="146"/>
        <w:gridCol w:w="146"/>
        <w:gridCol w:w="380"/>
        <w:gridCol w:w="1003"/>
        <w:gridCol w:w="180"/>
        <w:gridCol w:w="180"/>
        <w:gridCol w:w="488"/>
        <w:gridCol w:w="1304"/>
        <w:gridCol w:w="196"/>
      </w:tblGrid>
      <w:tr>
        <w:trPr/>
        <w:tc>
          <w:tcPr>
            <w:tcW w:w="2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The amounts of depreciation and amortization disclosed by reportable segment are included within other segment expense captions, such as shop burden or general and administrative expense.</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Geographic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Net sales by geographic area are as follows:</w:t>
      </w:r>
    </w:p>
    <w:tbl>
      <w:tblPr>
        <w:tblW w:w="6767" w:type="dxa"/>
        <w:jc w:val="left"/>
        <w:tblInd w:w="0" w:type="dxa"/>
        <w:tblLayout w:type="fixed"/>
        <w:tblCellMar>
          <w:top w:w="28" w:type="dxa"/>
          <w:left w:w="28" w:type="dxa"/>
          <w:bottom w:w="28" w:type="dxa"/>
          <w:right w:w="28" w:type="dxa"/>
        </w:tblCellMar>
      </w:tblPr>
      <w:tblGrid>
        <w:gridCol w:w="1486"/>
        <w:gridCol w:w="146"/>
        <w:gridCol w:w="211"/>
        <w:gridCol w:w="781"/>
        <w:gridCol w:w="146"/>
        <w:gridCol w:w="146"/>
        <w:gridCol w:w="211"/>
        <w:gridCol w:w="781"/>
        <w:gridCol w:w="146"/>
        <w:gridCol w:w="146"/>
        <w:gridCol w:w="211"/>
        <w:gridCol w:w="781"/>
        <w:gridCol w:w="146"/>
        <w:gridCol w:w="146"/>
        <w:gridCol w:w="211"/>
        <w:gridCol w:w="781"/>
        <w:gridCol w:w="2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geographical area data for net sales is based upon the country location of the Company's business unit generating such sales.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Long-lived assets by geographic area are as follows:</w:t>
      </w:r>
    </w:p>
    <w:tbl>
      <w:tblPr>
        <w:tblW w:w="5437" w:type="dxa"/>
        <w:jc w:val="left"/>
        <w:tblInd w:w="0" w:type="dxa"/>
        <w:tblLayout w:type="fixed"/>
        <w:tblCellMar>
          <w:top w:w="28" w:type="dxa"/>
          <w:left w:w="28" w:type="dxa"/>
          <w:bottom w:w="28" w:type="dxa"/>
          <w:right w:w="28" w:type="dxa"/>
        </w:tblCellMar>
      </w:tblPr>
      <w:tblGrid>
        <w:gridCol w:w="2066"/>
        <w:gridCol w:w="146"/>
        <w:gridCol w:w="211"/>
        <w:gridCol w:w="931"/>
        <w:gridCol w:w="146"/>
        <w:gridCol w:w="146"/>
        <w:gridCol w:w="319"/>
        <w:gridCol w:w="1181"/>
        <w:gridCol w:w="291"/>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483,587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geographical area data for long-lived assets is based upon physical location of such assets.</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MANAGEMENT’S DISCUSSION AND ANALYSIS OF FINANCIAL CONDITION</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AND RESULTS OF OPERATIONS</w:t>
      </w:r>
    </w:p>
    <w:p>
      <w:pPr>
        <w:pStyle w:val="TextBody"/>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Condensed Consolidated Statements of Operations for the three and six months ended June 30, 2026 and 2025 reflect the consolidated operations of the Company and its subsidiaries.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CECO Environmental Corp. (“CECO,” “we,” “us,” "our," or the “Company”)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well-established brands in fragmented markets with flexible business models and established supply chains. CECO helps companies grow their business with safe, clean, and more efficient solutions that help protect people, the environment and industrial equipment. CECO's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 </w:t>
      </w:r>
    </w:p>
    <w:p>
      <w:pPr>
        <w:pStyle w:val="TextBody"/>
        <w:bidi w:val="0"/>
        <w:jc w:val="left"/>
        <w:rPr>
          <w:rFonts w:ascii="Times New Roman" w:hAnsi="Times New Roman"/>
          <w:color w:val="000000"/>
          <w:sz w:val="20"/>
        </w:rPr>
      </w:pPr>
      <w:r>
        <w:rPr>
          <w:rFonts w:ascii="Times New Roman" w:hAnsi="Times New Roman"/>
          <w:color w:val="000000"/>
          <w:sz w:val="20"/>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the merger transactions contemplated thereby. On June 1, 2026, the Company consummated the previously announced merger with Thermon in accordance with the terms of the Merger Agreement. The cash portion of the merger consideration and related transaction costs were funded with available cash and borrowings under our existing credit facilities. For additional details, see Note 14 to the unaudited condensed consolidated financial statements within Item 1 of this Quarterly Report on Form 10-Q. The acquisition of Thermon significantly impacts the comparability of the Company’s results of operations, financial condition, and cash flows for the three and six months ended June 30, 2026 compared to the corresponding prior-year periods.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Market Pressures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conflict in the Middle East and geopolitical tariff considerations. To mitigate potential impacts from further escalation of conflict in the Middle East, we have implemented contingency planning measures and continue to assess potential effects on our operations, supply chain, and financial results.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these matters, our business and results could be adversely affected by further policy developments. Additionally, we could experience shortages of raw materials and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adversely affected.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Note Regarding Use of Non-GAAP Financial Measures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Condensed Consolidated Statements of Operations for the three and six months ended June 30, 2026 and 2025 are as follows:</w:t>
      </w:r>
    </w:p>
    <w:tbl>
      <w:tblPr>
        <w:tblW w:w="10137" w:type="dxa"/>
        <w:jc w:val="left"/>
        <w:tblInd w:w="0" w:type="dxa"/>
        <w:tblLayout w:type="fixed"/>
        <w:tblCellMar>
          <w:top w:w="28" w:type="dxa"/>
          <w:left w:w="28" w:type="dxa"/>
          <w:bottom w:w="28" w:type="dxa"/>
          <w:right w:w="28" w:type="dxa"/>
        </w:tblCellMar>
      </w:tblPr>
      <w:tblGrid>
        <w:gridCol w:w="4641"/>
        <w:gridCol w:w="146"/>
        <w:gridCol w:w="262"/>
        <w:gridCol w:w="653"/>
        <w:gridCol w:w="392"/>
        <w:gridCol w:w="181"/>
        <w:gridCol w:w="262"/>
        <w:gridCol w:w="634"/>
        <w:gridCol w:w="256"/>
        <w:gridCol w:w="146"/>
        <w:gridCol w:w="239"/>
        <w:gridCol w:w="595"/>
        <w:gridCol w:w="357"/>
        <w:gridCol w:w="165"/>
        <w:gridCol w:w="239"/>
        <w:gridCol w:w="578"/>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millions, except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(11.6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(6.4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 attributable to CECO Environmental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To compare operating performance between the three and six months ended June 30, 2026 and 2025, the Company has adjusted GAAP operating (loss) income to exclude (1) amortization of intangible assets, (2) acquisition and integration expenses, which include legal, accounting, and other expenses, (3) gain on the sale of the Global Pump Solutions business as discussed in Note 15, and (4) other expenses, including restructuring expenses primarily relating to severance, facility exits, and associated legal expenses, asbestos litigation expenses relating to future settlement payments, executive transition expenses, purchase accounting inventory adjustments, and third party professional consulting fees associated with Enterprise Resource Planning system implementations.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the reconciliation of GAAP operating (loss) income and GAAP operating margin to non-GAAP operating income and non-GAAP operating margin: </w:t>
      </w:r>
    </w:p>
    <w:tbl>
      <w:tblPr>
        <w:tblW w:w="10205" w:type="dxa"/>
        <w:jc w:val="left"/>
        <w:tblInd w:w="0" w:type="dxa"/>
        <w:tblLayout w:type="fixed"/>
        <w:tblCellMar>
          <w:top w:w="28" w:type="dxa"/>
          <w:left w:w="28" w:type="dxa"/>
          <w:bottom w:w="28" w:type="dxa"/>
          <w:right w:w="28" w:type="dxa"/>
        </w:tblCellMar>
      </w:tblPr>
      <w:tblGrid>
        <w:gridCol w:w="4740"/>
        <w:gridCol w:w="146"/>
        <w:gridCol w:w="243"/>
        <w:gridCol w:w="607"/>
        <w:gridCol w:w="375"/>
        <w:gridCol w:w="168"/>
        <w:gridCol w:w="243"/>
        <w:gridCol w:w="538"/>
        <w:gridCol w:w="271"/>
        <w:gridCol w:w="146"/>
        <w:gridCol w:w="218"/>
        <w:gridCol w:w="543"/>
        <w:gridCol w:w="335"/>
        <w:gridCol w:w="150"/>
        <w:gridCol w:w="218"/>
        <w:gridCol w:w="543"/>
        <w:gridCol w:w="721"/>
      </w:tblGrid>
      <w:tr>
        <w:trPr/>
        <w:tc>
          <w:tcPr>
            <w:tcW w:w="4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 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Operating margin in accordance with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(11.6</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22.1</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Other expense (income)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Non-GAAP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11.3</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10.2</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(1) includes $9.5 million related to the inventory fair value adjustment for the three and six months ended June 30,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Net sales for the three months ended June 30, 2026 increased $99.6 million, or 53.7%, to $285.0 million compared with $185.4 million for the three months ended June 30, 2025, inclusive of organic growth of 44%. Approximately 82.1% of net sales for the three months ended June 30, 2026 is attributable to organic revenue, which the Company defines as revenue from businesses owned for more than twelve months. The increase in organic revenue is driven by strong order intake in preceding quarters, which contributes to the backlog position. During the quarter, the Company continues to execute customer projects and satisfy contractual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without experiencing material delays. The largest contributor to organic revenue growth is demand for products and solutions serving power generation end markets. The remainder of the increase in net sales is attributable to the recent acquisition and integration of Thermon.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Net sales for the six months ended June 30, 2026 increased $128.8 million, or 35.6%, to $490.9 million compared with $362.1 million for the six months ended June 30, 2025, inclusive of organic growth of 42%. The increase in organic revenue is driven by significant order intake in the preceding quarters which led to a record backlog position. The Company executed customer projects in accordance with contractual commitments without experiencing material delays. The largest driver of organic revenue is demand for products and solutions supporting power generation end markets. The remainder of the increase in net sales is attributable to the Company’s recent integration of Thermon.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profit increased $19.4 million, or 28.9%, to $86.5 million in the three months ended June 30, 2026 compared with $67.1 million in the three months ended June 30, 2025. The increase in gross profit is primarily attributable to the increase in sales volume as described above. Gross profit as a percentage of sales decreased to 30.3% in the three months ended June 30, 2026 compared with 36.2% in the three months ended June 30, 2025. The decrease is primarily attributable to project mix and the timing of project completions within the power generation and industrial solutions end markets. Adjusted gross profit margin was 33.7% for the three months ended June 30, 2026 and excludes acquisition-related costs associated with the Thermon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profit increased $21.1 million, or 16.3%, to $150.4 million in the six months ended June 30, 2026 compared with $129.3 million in the six months ended June 30, 2025. The increase in gross profit is primarily attributable to the increase in sales volume as described above. Gross profit as a percentage of sales decreased to 30.6% in the six months ended June 30, 2026 and 35.7% in the six months ended June 30, 2025. The decrease is attributable to project mix and the timing of project completions within the power generation and industrial solutions end markets. Adjusted gross profit margin was 32.6% for the six months ended June 30, 2026 and excludes acquisition-related costs associated with the Thermon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and administrative expenses were $63.9 million for the three months ended June 30, 2026 compared with $48.8 million for the three months ended June 30, 2025. The increase is primarily attributable to selling and administrative expenses associated with the Thermon acquisition.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and administrative expenses were $110.0 million for the six months ended June 30, 2026 compared with $102.4 million for the six months ended June 30, 2025. The increase is primarily attributable to selling and administrative expenses associated with the Thermon acquisition, partially offset by lower selling and administrative expenses within the Industrial Process Solutions segment, primarily reflecting the absence of the Global Pump Solutions business following its divestiture on March 31,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Amortization expense was $7.8 million for the three months ended June 30, 2026 compared with $2.9 million for the three months ended June 30, 2025. The increase in expense is attributable to increased intangible assets from current and prior year acquisitions.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Amortization expense was $11.8 million for the six months ended June 30, 2026 compared with $6.0 million for the six months ended June 30, 2025. The increase in expense is attributable to increased intangible assets from current and prior year acquisitions.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Operating income decreased $51.3 million to $(33.2) million for the three months ended June 30, 2026 compared with operating income of $18.1 million for the three months ended June 30, 2025. The decrease in operating income is primarily attributable to acquisition and integration expenses associated with Thermon.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Operating income decreased $111.2 million to $(31.3) million for the six months ended June 30, 2026 compared with operating income of $79.9 million for the six months ended June 30, 2025. The decrease in operating income is primarily attributable to the gain on the sale of the Global Pump Solutions business recognized in the first quarter of 2025 and acquisition and integration expenses associated with Thermon.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Non-GAAP operating income was $32.1 million for the three months ended June 30, 2026 compared with $18.3 million for the three months ended June 30, 2025. Non-GAAP operating income as a percentage of sales increased to 11.3% for the three months ended June 30, 2026 from 9.9% for the three months ended June 30, 2025. The increase in non-GAAP operating income is driven by the increase in gross profit, partially offset by the increase in selling and administrative expenses as described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Non-GAAP operating income was $49.9 million for the six months ended June 30, 2026 compared with $26.9 million for the six months ended June 30, 2025. Non-GAAP operating income as a percentage of sales was flat at 10.2% for the both the six months ended June 30, 2026 and 2025. The increase in non-GAAP operating income is driven by the increase in gross profit, partially offset by the increase in selling and administrative expenses as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rPr>
        <w:t>Interest expense increased to $9.1 million in the three months ended June 30, 2026 compared with interest expense of $4.9</w:t>
      </w:r>
      <w:r>
        <w:rPr>
          <w:rFonts w:ascii="Times New Roman" w:hAnsi="Times New Roman"/>
          <w:color w:val="FFFFFF"/>
          <w:sz w:val="20"/>
        </w:rPr>
        <w:t xml:space="preserve"> </w:t>
      </w:r>
      <w:r>
        <w:rPr>
          <w:rFonts w:ascii="Times New Roman" w:hAnsi="Times New Roman"/>
          <w:color w:val="000000"/>
          <w:sz w:val="20"/>
        </w:rPr>
        <w:t xml:space="preserve">million for the three months ended June 30, 2025. The increase in interest expense is primarily due to increased debt balances. </w:t>
      </w:r>
    </w:p>
    <w:p>
      <w:pPr>
        <w:pStyle w:val="TextBody"/>
        <w:bidi w:val="0"/>
        <w:spacing w:before="0" w:after="240"/>
        <w:jc w:val="left"/>
        <w:rPr>
          <w:rFonts w:ascii="Times New Roman" w:hAnsi="Times New Roman"/>
          <w:sz w:val="20"/>
        </w:rPr>
      </w:pPr>
      <w:r>
        <w:rPr>
          <w:rFonts w:ascii="Times New Roman" w:hAnsi="Times New Roman"/>
          <w:color w:val="000000"/>
          <w:sz w:val="20"/>
        </w:rPr>
        <w:t>Interest expense increased to $13.3 million in the six months ended June 30, 2026 compared with interest expense of $11.1</w:t>
      </w:r>
      <w:r>
        <w:rPr>
          <w:rFonts w:ascii="Times New Roman" w:hAnsi="Times New Roman"/>
          <w:color w:val="FFFFFF"/>
          <w:sz w:val="20"/>
        </w:rPr>
        <w:t xml:space="preserve"> </w:t>
      </w:r>
      <w:r>
        <w:rPr>
          <w:rFonts w:ascii="Times New Roman" w:hAnsi="Times New Roman"/>
          <w:color w:val="000000"/>
          <w:sz w:val="20"/>
        </w:rPr>
        <w:t xml:space="preserve">million for the six months ended June 30, 2025. The increase in interest expense is primarily due to increased debt balances.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Income tax benefit was $10.1 million for the three months ended June 30, 2026 compared with income tax expense of $4.5 million for the three months ended June 30, 2025. Income tax expense was $13.6 million for the six months ended June 30, 2026 compared with income tax expense of $23.1 million for the six months ended June 30, 2025. The effective income tax rate for the three months ended June 30, 2026 was 22.6% compared with 30.9% for the three months ended June 30, 2025. The effective income tax rate for the six months ended June 30, 2026 was 28.1% compared with 33.2% for the six months ended June 30, 2025. The effective income tax rates for the three and six months ended June 30, 2026 and June 30, 2025 differ from the United States federal statutory rate. Our effective tax rate is affected by other permanent differences, including the gain on the sale of the Global Pump Solutions business, state income taxes, non-deductible incentive stock-based compensation, and differences in tax rates among the jurisdictions in which we operate.</w:t>
      </w:r>
    </w:p>
    <w:p>
      <w:pPr>
        <w:pStyle w:val="TextBody"/>
        <w:bidi w:val="0"/>
        <w:spacing w:before="0" w:after="240"/>
        <w:jc w:val="left"/>
        <w:rPr>
          <w:rFonts w:ascii="Times New Roman" w:hAnsi="Times New Roman"/>
          <w:sz w:val="20"/>
        </w:rPr>
      </w:pPr>
      <w:r>
        <w:rPr>
          <w:rFonts w:ascii="Times New Roman" w:hAnsi="Times New Roman"/>
          <w:color w:val="000000"/>
          <w:sz w:val="20"/>
        </w:rPr>
        <w:t>Orders booked</w:t>
      </w:r>
      <w:r>
        <w:rPr>
          <w:rFonts w:ascii="Times New Roman" w:hAnsi="Times New Roman"/>
          <w:color w:val="FF0000"/>
          <w:sz w:val="20"/>
        </w:rPr>
        <w:t xml:space="preserve"> </w:t>
      </w:r>
      <w:r>
        <w:rPr>
          <w:rFonts w:ascii="Times New Roman" w:hAnsi="Times New Roman"/>
          <w:color w:val="000000"/>
          <w:sz w:val="20"/>
        </w:rPr>
        <w:t>increased $524.4 million, or 192%, to $798.5 million during the three months ended June 30, 2026 compared with $274.1 million in the three months ended June 30, 2025, inclusive of organic growth of 185%, as defined as the change in orders excluding the impact of orders recorded in the twelve month period subsequent to acquisition dates. The increase is primarily driven by demand for the Company’s emissions and exhaust systems applications supporting large-scale natural gas power generation projects.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Orders booked increased $745.9 million, or 149%, to $1,248.0 million during the six months ended June 30, 2026 compared with $502.1 million in the six months ended June 30, 2025, inclusive of organic growth of 155%. The increase is primarily driven by demand for the Company’s emissions and exhaust system applications supporting large-scale natural gas power generation projects.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Business Segments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operations are organized and reviewed by management along its product lines and end markets that the segment</w:t>
        <w:br/>
        <w:t>serves and are presented in three reportable segments. The results of the segments are reviewed through segment profit, which represents income from operations as adjusted for certain items.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Financial results by segment are as follows:</w:t>
      </w:r>
    </w:p>
    <w:tbl>
      <w:tblPr>
        <w:tblW w:w="7752" w:type="dxa"/>
        <w:jc w:val="left"/>
        <w:tblInd w:w="0" w:type="dxa"/>
        <w:tblLayout w:type="fixed"/>
        <w:tblCellMar>
          <w:top w:w="28" w:type="dxa"/>
          <w:left w:w="28" w:type="dxa"/>
          <w:bottom w:w="28" w:type="dxa"/>
          <w:right w:w="28" w:type="dxa"/>
        </w:tblCellMar>
      </w:tblPr>
      <w:tblGrid>
        <w:gridCol w:w="2371"/>
        <w:gridCol w:w="146"/>
        <w:gridCol w:w="211"/>
        <w:gridCol w:w="781"/>
        <w:gridCol w:w="146"/>
        <w:gridCol w:w="146"/>
        <w:gridCol w:w="211"/>
        <w:gridCol w:w="781"/>
        <w:gridCol w:w="146"/>
        <w:gridCol w:w="146"/>
        <w:gridCol w:w="211"/>
        <w:gridCol w:w="781"/>
        <w:gridCol w:w="146"/>
        <w:gridCol w:w="146"/>
        <w:gridCol w:w="211"/>
        <w:gridCol w:w="78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Thermal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tbl>
      <w:tblPr>
        <w:tblW w:w="7587" w:type="dxa"/>
        <w:jc w:val="left"/>
        <w:tblInd w:w="0" w:type="dxa"/>
        <w:tblLayout w:type="fixed"/>
        <w:tblCellMar>
          <w:top w:w="28" w:type="dxa"/>
          <w:left w:w="28" w:type="dxa"/>
          <w:bottom w:w="28" w:type="dxa"/>
          <w:right w:w="28" w:type="dxa"/>
        </w:tblCellMar>
      </w:tblPr>
      <w:tblGrid>
        <w:gridCol w:w="2371"/>
        <w:gridCol w:w="146"/>
        <w:gridCol w:w="226"/>
        <w:gridCol w:w="726"/>
        <w:gridCol w:w="156"/>
        <w:gridCol w:w="156"/>
        <w:gridCol w:w="226"/>
        <w:gridCol w:w="726"/>
        <w:gridCol w:w="146"/>
        <w:gridCol w:w="146"/>
        <w:gridCol w:w="211"/>
        <w:gridCol w:w="676"/>
        <w:gridCol w:w="146"/>
        <w:gridCol w:w="146"/>
        <w:gridCol w:w="211"/>
        <w:gridCol w:w="78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Thermal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46,423</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information technology, and other general and administrative corporate expenses. </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Engineered Systems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Engineered Systems segment net sales increased $45.2 million to $173.7 million for the three months ended June 30, 2026 compared with $128.5 million for the three months ended June 30, 2025, inclusive of organic growth of 54.3%. The increase is led by backlog execution on large scale natural gas power generation projects.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Engineered Systems segment net sales increased $75.3 million to $324.2 million for the six months ended June 30, 2026 compared with $248.9 million for the six months ended June 30, 2025, inclusive of organic growth of 48%. The increase is led by backlog execution on large scale natural gas power generation projects.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Segment profit for the Engineered Systems segment increased $9.4 million to $36.0 million for the three months ended June 30, 2026 compared with $26.6 million for the three months ended June 30, 2025. The increase is attributable to higher gross profit related to increased net sales.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Segment profit for the Engineered Systems segment increased $16.3 million to $65.8 million for the six months ended June 30, 2026 compared with $49.5 million for the six months ended June 30, 2025. The operating income increase is attributable to higher gross profit related to increased net sales, partially offset by an increase in selling and administrative expense.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Engineered Systems segment orders booked increased $447.9 million, or 200%, to $672.1 million during the three months ended June 30, 2026 compared with $224.2 million in the three months ended June 30, 2025, inclusive of organic growth of 173.8%. The increase is primarily attributable to the Company's energy and power technologies. Investments in energy infrastructure and growth in midstream and downstream markets have resulted in increased demand for emissions, and acoustics products.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Engineered Systems segment orders booked increased $668.1 million, or 173%, to $1,055.1 million during the six months ended June 30, 2026 compared with $387.0 million in the six months ended June 30, 2025, inclusive of organic growth of 198.1%. The increase is primarily attributable to the Company's energy and power technologies. Investments in energy infrastructure and growth in midstream and downstream markets have resulted in increased demand for emissions and acoustics products. </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Industrial Process Solutions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Industrial Process Solutions segment net sales increased $4.8 million to $61.7 million for the three months ended June 30, 2026 compared with $56.9 million for the three months ended June 30, 2025, inclusive of organic growth of 84%. The increase is primarily attributable to project execution on semiconductor and industrial ducting backlog.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Industrial Process Solutions segment net sales increased $3.9 million to $117.1 million for the six months ended June 30, 2026 compared with $113.2 million for the six months ended June 30, 2025, inclusive of organic growth of 67%. The increase is primarily attributable to project execution on semiconductor and industrial ducting backlog.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Segment profit for the Industrial Process Solutions segment decreased $1.8 million to $8.9 million for the three months ended June 30, 2026 compared with $10.7 million for the three months ended June 30, 2025. The decrease is primarily attributable to project mix.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Segment profit for the Industrial Process Solutions segment decreased $65.8 million to $15.4 million for the six months ended June 30, 2026 compared with $81.2 million for the six months ended June 30, 2025. The decrease is primarily attributable to the gain on the sale of the Global Pump Solutions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Industrial Process Solutions segment orders booked increased $40.4 million, or 81%, to $90.3 million during the three months ended June 30, 2026 compared with $49.9 million in the three months ended June 30, 2025, inclusive of organic growth of 157%. The increase is primarily attributable to higher demand for the Company's scrubber technologies in semiconductor and international markets.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Industrial Process Solutions segment orders booked increased $41.9 million, or 36%, to $156.8 million during the six months ended June 30, 2026 compared with $114.9 million in the six months ended June 30, 2025, inclusive of organic growth of 103.6%. The increase is primarily attributable to the higher demand for the Company's scrubber technologies in semiconductor and international markets.</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Thermal Solutions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Thermal Solutions segment represents the Thermon business, acquired in June 2026. As such, there is no comparative financial information reflected in the Company's previously filed Quarterly Reports on Form 10-Q.</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Backlog (i.e., unfulfilled or remaining performance obligations) represents the sales we expect to recognize for our products and services for which control has not yet transferred to the customer. Backlog increased to $1,819.1 million as of June 30, 2026,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$793.1 million as of December 31, 2025. Thermon contributed $262.0 million to our backlog figure as of June 30, 2026, with the remaining increase primarily attributable to our growing orders. Our customers may have the right to cancel a given order. Historically, cancellations have not been significant. Backlog is adjusted on a quarterly basis for adjustments in foreign currency exchange rates. Substantially all backlog is expected to be delivered within 12 to 24 months, with a majority within 12 months. Backlog is not defined by GAAP and our methodology for calculating backlog may not be consistent with methodologies used by other companies.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information regarding recent accounting pronouncements, see Note 2 to the unaudited condensed consolidated financial statements within Item 1 of this Quarterly Report on Form 10-Q.</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When we undertake large jobs, our working capital objective is to make these projects self-funding. We work to achieve this by obtaining customer advanced payments, structuring our contracts with progress billing provisions, when possible, utilizing extended payment terms from material suppliers, and paying sub-contractors after payment from our customers, which is an industry practice. Our investment in working capital is funded by cash flows from operations and by our revolving line of credit under our Credit Facility (as defined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June 30, 2026, the Company had working capital of $327.3 million, compared with $104.4 million at December 31, 2025. The ratio of current assets to current liabilities was 1.50 to 1.00 on June 30, 2026, as compared with a ratio of 1.34 to 1.00 on December 31,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June 30, 2026 and December 31, 2025, cash and cash equivalents totaled $61.1 million and $33.1 million, respectively. As of June 30, 2026 and December 31, 2025, $49.1 million and $26.4 million, respectively, of our cash and cash equivalents were held by certain foreign subsidiaries, as well as being denominated in foreign currencies.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Debt consisted of the following:</w:t>
      </w:r>
    </w:p>
    <w:tbl>
      <w:tblPr>
        <w:tblW w:w="8620" w:type="dxa"/>
        <w:jc w:val="left"/>
        <w:tblInd w:w="0" w:type="dxa"/>
        <w:tblLayout w:type="fixed"/>
        <w:tblCellMar>
          <w:top w:w="28" w:type="dxa"/>
          <w:left w:w="28" w:type="dxa"/>
          <w:bottom w:w="28" w:type="dxa"/>
          <w:right w:w="28" w:type="dxa"/>
        </w:tblCellMar>
      </w:tblPr>
      <w:tblGrid>
        <w:gridCol w:w="5146"/>
        <w:gridCol w:w="146"/>
        <w:gridCol w:w="239"/>
        <w:gridCol w:w="886"/>
        <w:gridCol w:w="166"/>
        <w:gridCol w:w="146"/>
        <w:gridCol w:w="319"/>
        <w:gridCol w:w="118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outstanding borrowings in the United States consist of a senior secured revolver loan with sub-facilities for letters of credit, swing-line loans and multi-currency loans (collectively, the “Credit Facility”). As of June 30, 2026 and December 31, 2025, the Company was in compliance with all related financial and other restrictive covenants under the Credit Facility.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30, 2026, the Company entered into the Fourth Amended and Restated Credit Agreement, which provided for a senior secured revolving credit facility in an initial aggregate principal amount of up to $700.0 million. On March 30, 2026, the Company entered into Amendment No. 1 to Fourth Amended and Restated Credit Agreement, which provides for a senior secured revolving credit facility in an initial aggregate principal amount of up to $740.0 million, and added an incremental senior secured delayed-draw term loan commitment in an initial aggregate principal amount of $235 million (the “Incremental Term A-1 Loan Facility”), subject only to the satisfaction or waiver of the related conditions precedent set forth in the Credit Agreement. On June 1, 2026, the Company borrowed $235.0 million on the Incremental Term A-1 Loan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8 to the unaudited condensed consolidated financial statements within Item 1 of this Quarterly Report on Form 10-Q for further information on the Company’s debt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Total unused credit availability under our existing Credit Facility is as follows: </w:t>
      </w:r>
    </w:p>
    <w:tbl>
      <w:tblPr>
        <w:tblW w:w="7650" w:type="dxa"/>
        <w:jc w:val="left"/>
        <w:tblInd w:w="0" w:type="dxa"/>
        <w:tblLayout w:type="fixed"/>
        <w:tblCellMar>
          <w:top w:w="28" w:type="dxa"/>
          <w:left w:w="28" w:type="dxa"/>
          <w:bottom w:w="28" w:type="dxa"/>
          <w:right w:w="28" w:type="dxa"/>
        </w:tblCellMar>
      </w:tblPr>
      <w:tblGrid>
        <w:gridCol w:w="4156"/>
        <w:gridCol w:w="146"/>
        <w:gridCol w:w="282"/>
        <w:gridCol w:w="843"/>
        <w:gridCol w:w="166"/>
        <w:gridCol w:w="146"/>
        <w:gridCol w:w="376"/>
        <w:gridCol w:w="1124"/>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Draw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Letters of credit open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unused credit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available based on borrowing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available secured borrowing capacity under the Credit Facility is defined as the lower of (a) the Credit Facility amount less outstanding borrowings and Letters of Credit on the Credit Facility, and (b) the Company's trailing twelve month EBITDA, as defined in the Credit Agreement, by a factor of the maximum leverage ratio, less outstanding borrowings on the Credit Facility.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 of Cash Flows and Liquidity</w:t>
      </w:r>
    </w:p>
    <w:tbl>
      <w:tblPr>
        <w:tblW w:w="8999" w:type="dxa"/>
        <w:jc w:val="left"/>
        <w:tblInd w:w="0" w:type="dxa"/>
        <w:tblLayout w:type="fixed"/>
        <w:tblCellMar>
          <w:top w:w="28" w:type="dxa"/>
          <w:left w:w="28" w:type="dxa"/>
          <w:bottom w:w="28" w:type="dxa"/>
          <w:right w:w="28" w:type="dxa"/>
        </w:tblCellMar>
      </w:tblPr>
      <w:tblGrid>
        <w:gridCol w:w="6331"/>
        <w:gridCol w:w="146"/>
        <w:gridCol w:w="211"/>
        <w:gridCol w:w="841"/>
        <w:gridCol w:w="166"/>
        <w:gridCol w:w="146"/>
        <w:gridCol w:w="211"/>
        <w:gridCol w:w="736"/>
        <w:gridCol w:w="2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the six months ended June 30, 2026, $32.4 million of cash was used in operating activities compared with $19.4 million used in operations in the prior year period, representing an decrease of $13.1 million. Cash flows from operating activities in the first six months of 2026 was lower in 2026 primarily due to larger investments in operating assets and liabilities commensurate with growth in the business. </w:t>
      </w:r>
    </w:p>
    <w:p>
      <w:pPr>
        <w:pStyle w:val="TextBody"/>
        <w:bidi w:val="0"/>
        <w:spacing w:before="0" w:after="240"/>
        <w:jc w:val="left"/>
        <w:rPr>
          <w:rFonts w:ascii="Times New Roman" w:hAnsi="Times New Roman"/>
          <w:sz w:val="20"/>
        </w:rPr>
      </w:pPr>
      <w:r>
        <w:rPr>
          <w:rFonts w:ascii="Times New Roman" w:hAnsi="Times New Roman"/>
          <w:b/>
          <w:color w:val="000000"/>
          <w:sz w:val="20"/>
        </w:rPr>
        <w:t>Investing Activities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$444.4 million compared with $3.8 million provided by investing activities in the prior year period. For the six months ended June 30, 2026, the Company used $329.6 million in the acquisition of Thermon, as well as $6.6 million in the acquisition of Flexible Specialty Products. As part of the Thermon acquisition, the Company repaid approximately $141.7 million of the acquiree's outstanding indebtedness at closing. This cash outlay was partially offset by cash and cash equivalents received from Thermon of $41.5 million. The repayment of debt was treated as a component of the consideration transferred. In the prior year period, the Company received $105.9 million related to the sale of the Global Pump Solutions business as discussed in Note 15, offset by $97.6 million used in the acquisition of Profire as discussed in Note 14.</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six months ended June 30, 2026, $509.0 million was provided by financing activities compared with $14.2 million provided by financing activities in the prior year period, for an increase of $494.9 million. The increase was driven by increased borrowings on the Company's Credit Facility, inclusive of the Incremental Term A-1 Loan Facility, to fund the cash consideration and other closing costs paid in connection with the acquisition of Thermon.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Management believes there have been no changes during the six months ended June 30, 2026 to the items that the Company disclosed as its critical accounting policies and estimates in Management’s Discussion and Analysis of Financial Condition and Results of Operations in the Company’s Annual Report on Form 10-K for the year ended December 31,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expectations or that otherwise address events, or developments that CECO expects, believes, or anticipates will or may occur in the future,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 this Quarterly Report on Form 10-Q include, but are not limited to, statements regarding: the integration of Thermon Group Holdings, Inc. (“Thermon”), which was acquired by the Company on June 1, 2026; the anticipated benefits and synergies of the Thermon acquisition; descriptions of the combined company and its operations following the acquisition; and anticipated future performance.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2025, and include, but are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successfully integrate the Thermon business with CECO’s existing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risks related to disruption of management time from ongoing business operations due to the integration of Thermon;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combined company to retain customers and retain and hire key personnel and maintain relationships with suppliers following the Thermon acquisition, and the effects on the combined company’s operating results and business generally;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the Thermon integration could distract management and that the Company will incur substantial integration and transaction-related costs;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problems may arise in successfully integrating the Thermon business, which may result in the combined company not operating as effectively and efficiently as expected;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the combined company may be unable to achieve the synergies anticipated from the Thermon acquisition or that it may take longer than expected to achieve those synergies;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dependence on fixed price contracts and the risks associated therewith, including actual costs exceeding estimates and method of accounting for revenue;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effect of growth on our infrastructure, resources and existing sales;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expand operations in both new and existing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for contract delay or cancellation as a result of on-going or worsening supply chain challenges, or other customer-driven project delays relating to supply chain challenges or other customer considerations, including those related to conflict in the Middle East;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liabilities arising from faulty services or products that could result in significant professional or product liability, warranty or other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or developments with respect to any litigation or investigation;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meet timely completion or performance standards that could result in higher cost and reduced profits or, in some cases, losses on projects;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for fluctuations in prices for manufactured components and raw materials, including as a result of tariffs and surcharges, and rising energy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inflationary pressures relating to rising raw material costs and the cost of labor;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substantial amount of debt incurred in connection with our strategic transactions and our ability to repay or refinance it or incur additional debt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federal, state or local government regulations, including with respect to tax policy;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repurchase shares of our common stock and the amounts and timing of repurchases;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successfully realize the expected benefits of our restructuring program;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economic and political conditions generally;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optimize our business portfolio by identifying acquisition targets, executing upon any strategic acquisitions or divestitures, integrating acquired businesses and realizing the synergies from strategic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unpredictability and severity of catastrophic events, including cybersecurity threats, acts of terrorism or outbreak of war or hostilities or public health crises, as well as management’s response to any of the aforementioned factors;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remediate our material weaknesses, or any other material weakness that we may identify in the future, that could result in material misstatements in our financial statements.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 we undertake no obligation to update or review any forward-looking statements, whether as a result of new information, future events or otherwise.</w:t>
      </w:r>
    </w:p>
    <w:p>
      <w:pPr>
        <w:pStyle w:val="TextBody"/>
        <w:bidi w:val="0"/>
        <w:spacing w:before="0" w:after="24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carrying value of the Company’s total long-term debt at June 30, 2026 was $736.7 million. Market risk was estimated as the potential decrease (increase) in future earnings and cash flows resulting from a hypothetical 10% increase (decrease) in the Company’s estimated weighted average borrowing rate at June 30, 2026. Most of the interest on the Company’s debt is indexed to SOFR market rates. The estimated annual impact of a hypothetical 10% change in the estimated weighted average borrowing rate at June 30, 2026 is $3.0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wholly-owned subsidiaries in several countries, including in the Netherlands, Canada, the People’s Republic of China, Mexico, United Kingdom, Singapore, India, United Arab Emirates, Germany, South Korea and Saudi Arabia.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losses included in “Other expense, net” line of the Condensed Consolidated Statements of Operations were $2.1 million and $(1.4) million for the three months ended June 30, 2026 and 2025, respectively, and $3.4 million and $(0.9) million for the six months ended June 30, 2026 and 2025, respectively. </w:t>
      </w:r>
    </w:p>
    <w:p>
      <w:pPr>
        <w:pStyle w:val="TextBody"/>
        <w:bidi w:val="0"/>
        <w:spacing w:before="0" w:after="240"/>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("CEO") and Chief Financial Officer ("CFO"), evaluated the effectiveness of the Company’s disclosure controls and procedures as of the end of the period covered by this Quarterly Report on Form 10-Q. Based on that evaluation, our management, including our CEO and CFO, concluded that our disclosure controls and procedures were not effective as of June 30, 2026, due to certain material weaknesses in our internal control over financial reporting, as further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conclusion by our CEO and CFO that our disclosure controls and procedures as of June 30, 2026 were not effective, and notwithstanding the material weaknesses in our internal control over financial reporting described below, our management believes that the consolidated financial statements and related financial information included in this Quarterly Report on Form 10-Q fairly present, in all material respects, our financial position, results of operations and cash flows as of the dates presented, and for the periods ended on such dates, in conformity with U.S. GAAP.</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Identification of Material Weaknesses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reported, we have identified the following deficiencies in our control environment, control activities and monitoring activities that constitute material weaknesses, either individually or in the aggregate, which remain unremediated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Verantis Environmental Solutions Group ("Verantis") business, which was acquired in December 2024, we did not appropriately integrate the entity into our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consistently assess the proper level of completeness and accuracy of information used in the execution of controls related to balance sheet reconciliations.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material weaknesses did not result in any material misstatement in our interim or audited financial statements or disclosures, and there were no changes required to any of our previously released interim or audited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Management’s Plan for Remediation of the Material Weaknesses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committed to maintaining strong internal control over financial reporting. Management, with the oversight of the Audit Committee of the Board of Directors, is taking comprehensive actions to remediate the material weaknesses described above. Our remediation plan includes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updating control documentation, expanding education and training, and ensuring that controls are prepared and reviewed at the appropriate level of precision.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hired and will continue to hire accounting and finance personnel with the requisite skills and expertise to perform control activities related to the financial close process. We will continue to augment our internal resources by engaging external consultants with technical experience in accounting, financial reporting, and internal controls, until we add sufficient in-house skills to our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continue to focus on enhancing our information technology controls, specifically the assessment and integration of such controls at newly acquired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guidance and participation of our internal audit function, we will develop an enhanced monitoring program to (1) evaluate and assess whether controls are present and functioning in a timely manner and (2) hold individuals accountable for their internal control responsibilities.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material weaknesses will not be considered remediated until the applicable controls operate for a sufficient period of time and management has concluded, through testing, that these controls are operating effectively. We believe the above measures will remediate the control deficiencies identified and strengthen our internal control over financial reporting. As we continue to evaluate and work to remediate the control deficiencies that gave rise to the material weaknesses,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the identification of the material weaknesses above, there were no changes during the quarter ended June 30, 2026 in our internal control over financial reporting that materially affected, or are reasonably likely to materially affect, our internal control over financial reporting.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management, including its CEO and CFO, does not expect that its disclosure controls and procedures or its internal control over financial reporting will prevent or detect all errors and all fraud. A control system, no matter how well-designed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0" w:after="240"/>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See Note 13 to the unaudited Condensed Consolidated Financial Statements contained in Part I, Item 1 of this Quarterly Report on Form 10-Q for information regarding legal proceedings in which the Company is involved. </w:t>
      </w:r>
    </w:p>
    <w:p>
      <w:pPr>
        <w:pStyle w:val="TextBody"/>
        <w:bidi w:val="0"/>
        <w:spacing w:before="0" w:after="24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have been no material changes in the Company’s risk factors that were disclosed in “Part I – Item 1A. Risk Factors” of the Company's Annual Report on Form 10-K for the year ended December 31, 2025. The Company continues to evaluate and integrate Thermon’s operations, systems, controls, and personnel, and the risks associated with the integration are consistent with those described in the Company’s Annual Report on Form 10-K for the year ended December 31, 2025.</w:t>
      </w:r>
    </w:p>
    <w:p>
      <w:pPr>
        <w:pStyle w:val="TextBody"/>
        <w:bidi w:val="0"/>
        <w:spacing w:before="0" w:after="24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provides information about our purchases of the Company's equity securities for the three months ended June 30, 2026:</w:t>
      </w:r>
    </w:p>
    <w:tbl>
      <w:tblPr>
        <w:tblW w:w="10205" w:type="dxa"/>
        <w:jc w:val="left"/>
        <w:tblInd w:w="0" w:type="dxa"/>
        <w:tblLayout w:type="fixed"/>
        <w:tblCellMar>
          <w:top w:w="28" w:type="dxa"/>
          <w:left w:w="28" w:type="dxa"/>
          <w:bottom w:w="28" w:type="dxa"/>
          <w:right w:w="28" w:type="dxa"/>
        </w:tblCellMar>
      </w:tblPr>
      <w:tblGrid>
        <w:gridCol w:w="1219"/>
        <w:gridCol w:w="346"/>
        <w:gridCol w:w="358"/>
        <w:gridCol w:w="855"/>
        <w:gridCol w:w="346"/>
        <w:gridCol w:w="346"/>
        <w:gridCol w:w="375"/>
        <w:gridCol w:w="616"/>
        <w:gridCol w:w="346"/>
        <w:gridCol w:w="346"/>
        <w:gridCol w:w="549"/>
        <w:gridCol w:w="1308"/>
        <w:gridCol w:w="346"/>
        <w:gridCol w:w="346"/>
        <w:gridCol w:w="797"/>
        <w:gridCol w:w="1311"/>
        <w:gridCol w:w="395"/>
      </w:tblGrid>
      <w:tr>
        <w:trPr/>
        <w:tc>
          <w:tcPr>
            <w:tcW w:w="12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Issuer's Purchases of Equity Securities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br/>
              <w:t>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w:t>
            </w:r>
            <w:r>
              <w:rPr>
                <w:rFonts w:ascii="Times New Roman" w:hAnsi="Times New Roman"/>
                <w:b/>
                <w:color w:val="000000"/>
                <w:sz w:val="11"/>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 On May 10, 2022, the Board of Directors authorized a $20.0 million share repurchase program, which expired on April 30, 2025. See Note 9 to the unaudited Condensed Consolidated Financial Statements contained in Part I, Item 1 of this Quarterly Report on Form 10-Q for information regarding the Company's share repurchase program.</w:t>
      </w:r>
    </w:p>
    <w:p>
      <w:pPr>
        <w:pStyle w:val="TextBody"/>
        <w:bidi w:val="0"/>
        <w:spacing w:before="120" w:after="24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sz w:val="20"/>
        </w:rPr>
      </w:pPr>
      <w:r>
        <w:rPr>
          <w:rFonts w:ascii="Times New Roman" w:hAnsi="Times New Roman"/>
          <w:i/>
          <w:color w:val="000000"/>
          <w:sz w:val="20"/>
        </w:rPr>
        <w:t>Rule 10b5-1 Trading Plans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the three months ended June 30, 2026, no director or Section 16 officer of the Company adopted or terminated a “Rule 10b5-1 trading arrangement,” or “non-Rule 10b5-1 trading arrangement,” as each term is defined in Item 408(a) of Regulation S-K.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09"/>
        <w:gridCol w:w="146"/>
        <w:gridCol w:w="9350"/>
      </w:tblGrid>
      <w:tr>
        <w:trPr/>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0" w:type="dxa"/>
            <w:tcBorders/>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CECO Environmental Corp., effective as of June 1, 2026 (incorporated by reference to Exhibit 3.1 to the Company’s Form 8-K dated June 1, 2026).</w:t>
              </w:r>
            </w:hyperlink>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CECO Environmental Corp. 2026 Equity And Incentive Compensation Plan (incorporated by reference to Exhibit 10.1 to the Company’s Form 8-K dated May 28, 2026).</w:t>
              </w:r>
            </w:hyperlink>
          </w:p>
        </w:tc>
      </w:tr>
      <w:tr>
        <w:trPr/>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Rule 13(a)/15d-14(a) Certification by Chief Executive Officer</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Rule 13(a)/15d-14(a) Certification by Chief Financial Officer</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Chief Executive Officer (18 U.S. Section 1350)</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Chief Financial Officer (18 U.S. Section 1350)</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87" w:type="dxa"/>
        <w:jc w:val="left"/>
        <w:tblInd w:w="0" w:type="dxa"/>
        <w:tblLayout w:type="fixed"/>
        <w:tblCellMar>
          <w:top w:w="28" w:type="dxa"/>
          <w:left w:w="28" w:type="dxa"/>
          <w:bottom w:w="28" w:type="dxa"/>
          <w:right w:w="28" w:type="dxa"/>
        </w:tblCellMar>
      </w:tblPr>
      <w:tblGrid>
        <w:gridCol w:w="421"/>
        <w:gridCol w:w="4966"/>
      </w:tblGrid>
      <w:tr>
        <w:trPr/>
        <w:tc>
          <w:tcPr>
            <w:tcW w:w="42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3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CECO Environmental Corp.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Kiril Kovachev</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Kiril Kovachev</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Accounting Officer</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accounting officer and duly authorized officer)</w:t>
            </w:r>
          </w:p>
        </w:tc>
      </w:tr>
    </w:tbl>
    <w:p>
      <w:pPr>
        <w:pStyle w:val="TextBody"/>
        <w:bidi w:val="0"/>
        <w:jc w:val="left"/>
        <w:rPr>
          <w:rFonts w:ascii="Times New Roman" w:hAnsi="Times New Roman"/>
          <w:color w:val="000000"/>
          <w:sz w:val="20"/>
        </w:rPr>
      </w:pPr>
      <w:bookmarkStart w:id="21" w:name="signatures"/>
      <w:bookmarkEnd w:id="21"/>
      <w:r>
        <w:rPr>
          <w:rFonts w:ascii="Times New Roman" w:hAnsi="Times New Roman"/>
          <w:color w:val="000000"/>
          <w:sz w:val="20"/>
        </w:rPr>
        <w:t>Date: August 10,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2" w:name="ceco-ex31_1.htm"/>
      <w:bookmarkStart w:id="23" w:name="kscecoex31_1"/>
      <w:bookmarkEnd w:id="22"/>
      <w:bookmarkEnd w:id="2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Gleason,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10,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eco-ex31_2.htm"/>
      <w:bookmarkStart w:id="25" w:name="kscecoex31_2"/>
      <w:bookmarkEnd w:id="24"/>
      <w:bookmarkEnd w:id="25"/>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Johansson,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10,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eco-ex32_1.htm"/>
      <w:bookmarkStart w:id="27" w:name="kscecoex32_1"/>
      <w:bookmarkEnd w:id="26"/>
      <w:bookmarkEnd w:id="27"/>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three month period ended June 30, 2026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Todd Gleason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10,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eco-ex32_2.htm"/>
      <w:bookmarkStart w:id="29" w:name="kscecoex32_2"/>
      <w:bookmarkEnd w:id="28"/>
      <w:bookmarkEnd w:id="29"/>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three month period ended June 30, 2026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10,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97/000110465926068661/tm2616015d2_ex3-1.htm" TargetMode="External"/><Relationship Id="rId4" Type="http://schemas.openxmlformats.org/officeDocument/2006/relationships/hyperlink" Target="https://www.sec.gov/Archives/edgar/data/3197/000110465926067250/tm2615816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20960</Words>
  <Characters>115927</Characters>
  <CharactersWithSpaces>138126</CharactersWithSpaces>
  <Paragraphs>6298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