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46355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(Mark one)</w:t>
      </w:r>
    </w:p>
    <w:p>
      <w:pPr>
        <w:spacing w:after="0" w:line="4" w:lineRule="exact"/>
        <w:rPr>
          <w:sz w:val="24"/>
          <w:szCs w:val="24"/>
          <w:color w:val="auto"/>
        </w:rPr>
      </w:pPr>
    </w:p>
    <w:p>
      <w:pPr>
        <w:ind w:left="2820" w:hanging="312"/>
        <w:spacing w:after="0"/>
        <w:tabs>
          <w:tab w:leader="none" w:pos="28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jc w:val="center"/>
        <w:ind w:right="-19"/>
        <w:spacing w:after="0" w:line="233" w:lineRule="auto"/>
        <w:rPr>
          <w:sz w:val="20"/>
          <w:szCs w:val="20"/>
          <w:color w:val="auto"/>
        </w:rPr>
      </w:pPr>
      <w:r>
        <w:rPr>
          <w:rFonts w:ascii="Arial" w:cs="Arial" w:eastAsia="Arial" w:hAnsi="Arial"/>
          <w:sz w:val="16"/>
          <w:szCs w:val="16"/>
          <w:b w:val="1"/>
          <w:bCs w:val="1"/>
          <w:color w:val="auto"/>
        </w:rPr>
        <w:t>or</w:t>
      </w:r>
    </w:p>
    <w:p>
      <w:pPr>
        <w:ind w:left="2720" w:hanging="314"/>
        <w:spacing w:after="0"/>
        <w:tabs>
          <w:tab w:leader="none" w:pos="27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4" w:lineRule="exact"/>
        <w:rPr>
          <w:sz w:val="24"/>
          <w:szCs w:val="24"/>
          <w:color w:val="auto"/>
        </w:rPr>
      </w:pPr>
    </w:p>
    <w:p>
      <w:pPr>
        <w:ind w:left="3860"/>
        <w:spacing w:after="0"/>
        <w:tabs>
          <w:tab w:leader="none" w:pos="71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3870960</wp:posOffset>
            </wp:positionH>
            <wp:positionV relativeFrom="paragraph">
              <wp:posOffset>20320</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54610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495300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58420</wp:posOffset>
            </wp:positionV>
            <wp:extent cx="796925"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692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680" w:type="dxa"/>
            <w:vAlign w:val="bottom"/>
          </w:tcPr>
          <w:p>
            <w:pPr>
              <w:spacing w:after="0"/>
              <w:rPr>
                <w:sz w:val="16"/>
                <w:szCs w:val="16"/>
                <w:color w:val="auto"/>
              </w:rPr>
            </w:pPr>
          </w:p>
        </w:tc>
        <w:tc>
          <w:tcPr>
            <w:tcW w:w="3140" w:type="dxa"/>
            <w:vAlign w:val="bottom"/>
          </w:tcPr>
          <w:p>
            <w:pPr>
              <w:jc w:val="center"/>
              <w:ind w:left="942"/>
              <w:spacing w:after="0"/>
              <w:rPr>
                <w:sz w:val="20"/>
                <w:szCs w:val="20"/>
                <w:color w:val="auto"/>
              </w:rPr>
            </w:pPr>
            <w:r>
              <w:rPr>
                <w:rFonts w:ascii="Arial" w:cs="Arial" w:eastAsia="Arial" w:hAnsi="Arial"/>
                <w:sz w:val="16"/>
                <w:szCs w:val="16"/>
                <w:b w:val="1"/>
                <w:bCs w:val="1"/>
                <w:color w:val="auto"/>
                <w:w w:val="91"/>
              </w:rPr>
              <w:t>Delaware</w:t>
            </w:r>
          </w:p>
        </w:tc>
        <w:tc>
          <w:tcPr>
            <w:tcW w:w="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760" w:type="dxa"/>
            <w:vAlign w:val="bottom"/>
            <w:gridSpan w:val="2"/>
          </w:tcPr>
          <w:p>
            <w:pPr>
              <w:jc w:val="right"/>
              <w:ind w:right="1705"/>
              <w:spacing w:after="0"/>
              <w:rPr>
                <w:sz w:val="20"/>
                <w:szCs w:val="20"/>
                <w:color w:val="auto"/>
              </w:rPr>
            </w:pPr>
            <w:r>
              <w:rPr>
                <w:rFonts w:ascii="Arial" w:cs="Arial" w:eastAsia="Arial" w:hAnsi="Arial"/>
                <w:sz w:val="16"/>
                <w:szCs w:val="16"/>
                <w:b w:val="1"/>
                <w:bCs w:val="1"/>
                <w:color w:val="auto"/>
              </w:rPr>
              <w:t>13-2566064</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3140" w:type="dxa"/>
            <w:vAlign w:val="bottom"/>
          </w:tcPr>
          <w:p>
            <w:pPr>
              <w:jc w:val="center"/>
              <w:ind w:lef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20" w:type="dxa"/>
            <w:vAlign w:val="bottom"/>
          </w:tcPr>
          <w:p>
            <w:pPr>
              <w:jc w:val="center"/>
              <w:ind w:right="625"/>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3140" w:type="dxa"/>
            <w:vAlign w:val="bottom"/>
          </w:tcPr>
          <w:p>
            <w:pPr>
              <w:jc w:val="center"/>
              <w:ind w:left="942"/>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20" w:type="dxa"/>
            <w:vAlign w:val="bottom"/>
          </w:tcPr>
          <w:p>
            <w:pPr>
              <w:jc w:val="center"/>
              <w:ind w:right="645"/>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28"/>
        </w:trPr>
        <w:tc>
          <w:tcPr>
            <w:tcW w:w="680" w:type="dxa"/>
            <w:vAlign w:val="bottom"/>
          </w:tcPr>
          <w:p>
            <w:pPr>
              <w:spacing w:after="0"/>
              <w:rPr>
                <w:sz w:val="19"/>
                <w:szCs w:val="19"/>
                <w:color w:val="auto"/>
              </w:rPr>
            </w:pPr>
          </w:p>
        </w:tc>
        <w:tc>
          <w:tcPr>
            <w:tcW w:w="3140" w:type="dxa"/>
            <w:vAlign w:val="bottom"/>
          </w:tcPr>
          <w:p>
            <w:pPr>
              <w:jc w:val="center"/>
              <w:ind w:left="942"/>
              <w:spacing w:after="0"/>
              <w:rPr>
                <w:sz w:val="20"/>
                <w:szCs w:val="20"/>
                <w:color w:val="auto"/>
              </w:rPr>
            </w:pPr>
            <w:r>
              <w:rPr>
                <w:rFonts w:ascii="Arial" w:cs="Arial" w:eastAsia="Arial" w:hAnsi="Arial"/>
                <w:sz w:val="16"/>
                <w:szCs w:val="16"/>
                <w:b w:val="1"/>
                <w:bCs w:val="1"/>
                <w:color w:val="auto"/>
                <w:w w:val="94"/>
              </w:rPr>
              <w:t>14651 North Dallas Parkway</w:t>
            </w:r>
          </w:p>
        </w:tc>
        <w:tc>
          <w:tcPr>
            <w:tcW w:w="4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3140" w:type="dxa"/>
            <w:vAlign w:val="bottom"/>
          </w:tcPr>
          <w:p>
            <w:pPr>
              <w:jc w:val="center"/>
              <w:ind w:left="942"/>
              <w:spacing w:after="0" w:line="162" w:lineRule="exact"/>
              <w:rPr>
                <w:sz w:val="20"/>
                <w:szCs w:val="20"/>
                <w:color w:val="auto"/>
              </w:rPr>
            </w:pPr>
            <w:r>
              <w:rPr>
                <w:rFonts w:ascii="Arial" w:cs="Arial" w:eastAsia="Arial" w:hAnsi="Arial"/>
                <w:sz w:val="16"/>
                <w:szCs w:val="16"/>
                <w:b w:val="1"/>
                <w:bCs w:val="1"/>
                <w:color w:val="auto"/>
                <w:w w:val="91"/>
              </w:rPr>
              <w:t>Suite 500</w:t>
            </w:r>
          </w:p>
        </w:tc>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gridSpan w:val="2"/>
            <w:vMerge w:val="restart"/>
          </w:tcPr>
          <w:p>
            <w:pPr>
              <w:jc w:val="right"/>
              <w:ind w:right="1885"/>
              <w:spacing w:after="0"/>
              <w:rPr>
                <w:sz w:val="20"/>
                <w:szCs w:val="20"/>
                <w:color w:val="auto"/>
              </w:rPr>
            </w:pPr>
            <w:r>
              <w:rPr>
                <w:rFonts w:ascii="Arial" w:cs="Arial" w:eastAsia="Arial" w:hAnsi="Arial"/>
                <w:sz w:val="16"/>
                <w:szCs w:val="16"/>
                <w:b w:val="1"/>
                <w:bCs w:val="1"/>
                <w:color w:val="auto"/>
              </w:rPr>
              <w:t>75254</w:t>
            </w:r>
          </w:p>
        </w:tc>
        <w:tc>
          <w:tcPr>
            <w:tcW w:w="0" w:type="dxa"/>
            <w:vAlign w:val="bottom"/>
          </w:tcPr>
          <w:p>
            <w:pPr>
              <w:spacing w:after="0"/>
              <w:rPr>
                <w:sz w:val="1"/>
                <w:szCs w:val="1"/>
                <w:color w:val="auto"/>
              </w:rPr>
            </w:pPr>
          </w:p>
        </w:tc>
      </w:tr>
      <w:tr>
        <w:trPr>
          <w:trHeight w:val="193"/>
        </w:trPr>
        <w:tc>
          <w:tcPr>
            <w:tcW w:w="680" w:type="dxa"/>
            <w:vAlign w:val="bottom"/>
          </w:tcPr>
          <w:p>
            <w:pPr>
              <w:spacing w:after="0"/>
              <w:rPr>
                <w:sz w:val="16"/>
                <w:szCs w:val="16"/>
                <w:color w:val="auto"/>
              </w:rPr>
            </w:pPr>
          </w:p>
        </w:tc>
        <w:tc>
          <w:tcPr>
            <w:tcW w:w="3140" w:type="dxa"/>
            <w:vAlign w:val="bottom"/>
          </w:tcPr>
          <w:p>
            <w:pPr>
              <w:jc w:val="center"/>
              <w:ind w:left="962"/>
              <w:spacing w:after="0"/>
              <w:rPr>
                <w:sz w:val="20"/>
                <w:szCs w:val="20"/>
                <w:color w:val="auto"/>
              </w:rPr>
            </w:pPr>
            <w:r>
              <w:rPr>
                <w:rFonts w:ascii="Arial" w:cs="Arial" w:eastAsia="Arial" w:hAnsi="Arial"/>
                <w:sz w:val="16"/>
                <w:szCs w:val="16"/>
                <w:b w:val="1"/>
                <w:bCs w:val="1"/>
                <w:color w:val="auto"/>
                <w:w w:val="88"/>
              </w:rPr>
              <w:t>Dallas, Texas</w:t>
            </w:r>
          </w:p>
        </w:tc>
        <w:tc>
          <w:tcPr>
            <w:tcW w:w="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0" w:type="dxa"/>
            <w:vAlign w:val="bottom"/>
          </w:tcPr>
          <w:p>
            <w:pPr>
              <w:spacing w:after="0"/>
              <w:rPr>
                <w:sz w:val="16"/>
                <w:szCs w:val="16"/>
                <w:color w:val="auto"/>
              </w:rPr>
            </w:pPr>
          </w:p>
        </w:tc>
        <w:tc>
          <w:tcPr>
            <w:tcW w:w="6220" w:type="dxa"/>
            <w:vAlign w:val="bottom"/>
            <w:gridSpan w:val="3"/>
          </w:tcPr>
          <w:p>
            <w:pPr>
              <w:jc w:val="center"/>
              <w:ind w:right="19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 w:type="dxa"/>
            <w:vAlign w:val="bottom"/>
          </w:tcPr>
          <w:p>
            <w:pPr>
              <w:spacing w:after="0"/>
              <w:rPr>
                <w:sz w:val="16"/>
                <w:szCs w:val="16"/>
                <w:color w:val="auto"/>
              </w:rPr>
            </w:pPr>
          </w:p>
        </w:tc>
        <w:tc>
          <w:tcPr>
            <w:tcW w:w="3620" w:type="dxa"/>
            <w:vAlign w:val="bottom"/>
          </w:tcPr>
          <w:p>
            <w:pPr>
              <w:jc w:val="center"/>
              <w:ind w:right="64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9980" w:type="dxa"/>
            <w:vAlign w:val="bottom"/>
            <w:gridSpan w:val="5"/>
          </w:tcPr>
          <w:p>
            <w:pPr>
              <w:jc w:val="center"/>
              <w:ind w:right="5"/>
              <w:spacing w:after="0"/>
              <w:rPr>
                <w:sz w:val="20"/>
                <w:szCs w:val="20"/>
                <w:color w:val="auto"/>
              </w:rPr>
            </w:pPr>
            <w:r>
              <w:rPr>
                <w:rFonts w:ascii="Arial" w:cs="Arial" w:eastAsia="Arial" w:hAnsi="Arial"/>
                <w:sz w:val="16"/>
                <w:szCs w:val="16"/>
                <w:b w:val="1"/>
                <w:bCs w:val="1"/>
                <w:color w:val="auto"/>
                <w:w w:val="90"/>
              </w:rPr>
              <w:t>Registrant’s telephone number, including area code: (214) 357-6181</w:t>
            </w: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6840" w:type="dxa"/>
            <w:vAlign w:val="bottom"/>
            <w:tcBorders>
              <w:bottom w:val="single" w:sz="8" w:color="auto"/>
            </w:tcBorders>
            <w:gridSpan w:val="4"/>
          </w:tcPr>
          <w:p>
            <w:pPr>
              <w:jc w:val="center"/>
              <w:ind w:right="3165"/>
              <w:spacing w:after="0"/>
              <w:rPr>
                <w:sz w:val="20"/>
                <w:szCs w:val="20"/>
                <w:color w:val="auto"/>
              </w:rPr>
            </w:pPr>
            <w:r>
              <w:rPr>
                <w:rFonts w:ascii="Arial" w:cs="Arial" w:eastAsia="Arial" w:hAnsi="Arial"/>
                <w:sz w:val="16"/>
                <w:szCs w:val="16"/>
                <w:b w:val="1"/>
                <w:bCs w:val="1"/>
                <w:color w:val="auto"/>
                <w:w w:val="89"/>
              </w:rPr>
              <w:t>Securities registered under Section 12(b) of the Act:</w:t>
            </w:r>
          </w:p>
        </w:tc>
        <w:tc>
          <w:tcPr>
            <w:tcW w:w="0" w:type="dxa"/>
            <w:vAlign w:val="bottom"/>
          </w:tcPr>
          <w:p>
            <w:pPr>
              <w:spacing w:after="0"/>
              <w:rPr>
                <w:sz w:val="1"/>
                <w:szCs w:val="1"/>
                <w:color w:val="auto"/>
              </w:rPr>
            </w:pPr>
          </w:p>
        </w:tc>
      </w:tr>
      <w:tr>
        <w:trPr>
          <w:trHeight w:val="186"/>
        </w:trPr>
        <w:tc>
          <w:tcPr>
            <w:tcW w:w="680" w:type="dxa"/>
            <w:vAlign w:val="bottom"/>
            <w:tcBorders>
              <w:right w:val="single" w:sz="8" w:color="auto"/>
            </w:tcBorders>
          </w:tcPr>
          <w:p>
            <w:pPr>
              <w:spacing w:after="0"/>
              <w:rPr>
                <w:sz w:val="16"/>
                <w:szCs w:val="16"/>
                <w:color w:val="auto"/>
              </w:rPr>
            </w:pPr>
          </w:p>
        </w:tc>
        <w:tc>
          <w:tcPr>
            <w:tcW w:w="3140" w:type="dxa"/>
            <w:vAlign w:val="bottom"/>
          </w:tcPr>
          <w:p>
            <w:pPr>
              <w:jc w:val="center"/>
              <w:ind w:left="322"/>
              <w:spacing w:after="0"/>
              <w:rPr>
                <w:sz w:val="20"/>
                <w:szCs w:val="20"/>
                <w:color w:val="auto"/>
              </w:rPr>
            </w:pPr>
            <w:r>
              <w:rPr>
                <w:rFonts w:ascii="Arial" w:cs="Arial" w:eastAsia="Arial" w:hAnsi="Arial"/>
                <w:sz w:val="16"/>
                <w:szCs w:val="16"/>
                <w:color w:val="auto"/>
                <w:w w:val="92"/>
              </w:rPr>
              <w:t>Title of each class</w:t>
            </w:r>
          </w:p>
        </w:tc>
        <w:tc>
          <w:tcPr>
            <w:tcW w:w="400" w:type="dxa"/>
            <w:vAlign w:val="bottom"/>
            <w:tcBorders>
              <w:right w:val="single" w:sz="8" w:color="auto"/>
            </w:tcBorders>
          </w:tcPr>
          <w:p>
            <w:pPr>
              <w:spacing w:after="0"/>
              <w:rPr>
                <w:sz w:val="16"/>
                <w:szCs w:val="16"/>
                <w:color w:val="auto"/>
              </w:rPr>
            </w:pPr>
          </w:p>
        </w:tc>
        <w:tc>
          <w:tcPr>
            <w:tcW w:w="2680" w:type="dxa"/>
            <w:vAlign w:val="bottom"/>
          </w:tcPr>
          <w:p>
            <w:pPr>
              <w:jc w:val="center"/>
              <w:ind w:left="39"/>
              <w:spacing w:after="0"/>
              <w:rPr>
                <w:sz w:val="20"/>
                <w:szCs w:val="20"/>
                <w:color w:val="auto"/>
              </w:rPr>
            </w:pPr>
            <w:r>
              <w:rPr>
                <w:rFonts w:ascii="Arial" w:cs="Arial" w:eastAsia="Arial" w:hAnsi="Arial"/>
                <w:sz w:val="16"/>
                <w:szCs w:val="16"/>
                <w:color w:val="auto"/>
                <w:w w:val="92"/>
              </w:rPr>
              <w:t>Trading Symbol</w:t>
            </w:r>
          </w:p>
        </w:tc>
        <w:tc>
          <w:tcPr>
            <w:tcW w:w="1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50"/>
        </w:trPr>
        <w:tc>
          <w:tcPr>
            <w:tcW w:w="680" w:type="dxa"/>
            <w:vAlign w:val="bottom"/>
            <w:tcBorders>
              <w:right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80" w:type="dxa"/>
            <w:vAlign w:val="bottom"/>
            <w:tcBorders>
              <w:right w:val="single" w:sz="8" w:color="auto"/>
            </w:tcBorders>
          </w:tcPr>
          <w:p>
            <w:pPr>
              <w:spacing w:after="0"/>
              <w:rPr>
                <w:sz w:val="17"/>
                <w:szCs w:val="17"/>
                <w:color w:val="auto"/>
              </w:rPr>
            </w:pPr>
          </w:p>
        </w:tc>
        <w:tc>
          <w:tcPr>
            <w:tcW w:w="3140" w:type="dxa"/>
            <w:vAlign w:val="bottom"/>
            <w:tcBorders>
              <w:bottom w:val="single" w:sz="8" w:color="auto"/>
            </w:tcBorders>
          </w:tcPr>
          <w:p>
            <w:pPr>
              <w:jc w:val="center"/>
              <w:ind w:left="322"/>
              <w:spacing w:after="0"/>
              <w:rPr>
                <w:sz w:val="20"/>
                <w:szCs w:val="20"/>
                <w:color w:val="auto"/>
              </w:rPr>
            </w:pPr>
            <w:r>
              <w:rPr>
                <w:rFonts w:ascii="Arial" w:cs="Arial" w:eastAsia="Arial" w:hAnsi="Arial"/>
                <w:sz w:val="16"/>
                <w:szCs w:val="16"/>
                <w:color w:val="auto"/>
                <w:w w:val="91"/>
              </w:rPr>
              <w:t>Common Stock, par value $0.01 per share</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89"/>
              </w:rPr>
              <w:t>CECE</w:t>
            </w:r>
          </w:p>
        </w:tc>
        <w:tc>
          <w:tcPr>
            <w:tcW w:w="140" w:type="dxa"/>
            <w:vAlign w:val="bottom"/>
            <w:tcBorders>
              <w:bottom w:val="single" w:sz="8" w:color="auto"/>
              <w:right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c>
          <w:tcPr>
            <w:tcW w:w="0" w:type="dxa"/>
            <w:vAlign w:val="bottom"/>
          </w:tcPr>
          <w:p>
            <w:pPr>
              <w:spacing w:after="0"/>
              <w:rPr>
                <w:sz w:val="1"/>
                <w:szCs w:val="1"/>
                <w:color w:val="auto"/>
              </w:rPr>
            </w:pPr>
          </w:p>
        </w:tc>
      </w:tr>
      <w:tr>
        <w:trPr>
          <w:trHeight w:val="175"/>
        </w:trPr>
        <w:tc>
          <w:tcPr>
            <w:tcW w:w="6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840" w:type="dxa"/>
            <w:vAlign w:val="bottom"/>
            <w:gridSpan w:val="4"/>
          </w:tcPr>
          <w:p>
            <w:pPr>
              <w:ind w:left="220"/>
              <w:spacing w:after="0"/>
              <w:rPr>
                <w:sz w:val="20"/>
                <w:szCs w:val="20"/>
                <w:color w:val="auto"/>
              </w:rPr>
            </w:pPr>
            <w:r>
              <w:rPr>
                <w:rFonts w:ascii="Arial" w:cs="Arial" w:eastAsia="Arial" w:hAnsi="Arial"/>
                <w:sz w:val="14"/>
                <w:szCs w:val="14"/>
                <w:color w:val="auto"/>
              </w:rPr>
              <w:t>Securities registered pursuant to Section 12(g) of the Act: None</w:t>
            </w:r>
          </w:p>
        </w:tc>
        <w:tc>
          <w:tcPr>
            <w:tcW w:w="0" w:type="dxa"/>
            <w:vAlign w:val="bottom"/>
          </w:tcPr>
          <w:p>
            <w:pPr>
              <w:spacing w:after="0"/>
              <w:rPr>
                <w:sz w:val="1"/>
                <w:szCs w:val="1"/>
                <w:color w:val="auto"/>
              </w:rPr>
            </w:pPr>
          </w:p>
        </w:tc>
      </w:tr>
      <w:tr>
        <w:trPr>
          <w:trHeight w:val="162"/>
        </w:trPr>
        <w:tc>
          <w:tcPr>
            <w:tcW w:w="6900" w:type="dxa"/>
            <w:vAlign w:val="bottom"/>
            <w:gridSpan w:val="4"/>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3760" w:type="dxa"/>
            <w:vAlign w:val="bottom"/>
            <w:gridSpan w:val="2"/>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6900" w:type="dxa"/>
            <w:vAlign w:val="bottom"/>
            <w:gridSpan w:val="4"/>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140" w:type="dxa"/>
            <w:vAlign w:val="bottom"/>
          </w:tcPr>
          <w:p>
            <w:pPr>
              <w:spacing w:after="0"/>
              <w:rPr>
                <w:sz w:val="19"/>
                <w:szCs w:val="19"/>
                <w:color w:val="auto"/>
              </w:rPr>
            </w:pPr>
          </w:p>
        </w:tc>
        <w:tc>
          <w:tcPr>
            <w:tcW w:w="3620" w:type="dxa"/>
            <w:vAlign w:val="bottom"/>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2"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96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3"/>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96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18"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720" w:val="left"/>
          <w:tab w:leader="none" w:pos="72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The aggregate market value of voting and non-voting common stock held by non-affiliates of the registrant was $173.9 million based upon the closing market price and shares of common stock outstanding as of June 30, 2021, the last business day of our most recently completed second fiscal quarter. For the purpose of the foregoing calculation only, all directors and executive officers of the registrant and owners of more than 10% of the registrant’s common stock are assumed to be affiliates of the registrant. This determination of affiliate status is not necessarily conclusive for any other purpose.</w:t>
      </w:r>
    </w:p>
    <w:p>
      <w:pPr>
        <w:spacing w:after="0" w:line="26" w:lineRule="exact"/>
        <w:rPr>
          <w:sz w:val="24"/>
          <w:szCs w:val="24"/>
          <w:color w:val="auto"/>
        </w:rPr>
      </w:pPr>
    </w:p>
    <w:p>
      <w:pPr>
        <w:ind w:left="520"/>
        <w:spacing w:after="0"/>
        <w:rPr>
          <w:sz w:val="20"/>
          <w:szCs w:val="20"/>
          <w:color w:val="auto"/>
        </w:rPr>
      </w:pPr>
      <w:r>
        <w:rPr>
          <w:rFonts w:ascii="Arial" w:cs="Arial" w:eastAsia="Arial" w:hAnsi="Arial"/>
          <w:sz w:val="14"/>
          <w:szCs w:val="14"/>
          <w:color w:val="auto"/>
        </w:rPr>
        <w:t>As of February 28, 2022, the registrant had 35,047,612 shares of common stock, par value $0.01 per share, outstanding.</w:t>
      </w:r>
    </w:p>
    <w:p>
      <w:pPr>
        <w:spacing w:after="0" w:line="51"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right="80" w:firstLine="509"/>
        <w:spacing w:after="0" w:line="273" w:lineRule="auto"/>
        <w:rPr>
          <w:sz w:val="20"/>
          <w:szCs w:val="20"/>
          <w:color w:val="auto"/>
        </w:rPr>
      </w:pPr>
      <w:r>
        <w:rPr>
          <w:rFonts w:ascii="Arial" w:cs="Arial" w:eastAsia="Arial" w:hAnsi="Arial"/>
          <w:sz w:val="14"/>
          <w:szCs w:val="14"/>
          <w:color w:val="auto"/>
        </w:rPr>
        <w:t>Portions of the definitive Proxy Statement for the 2022 Annual Meeting of Stockholders, which is to be filed with the Securities and Exchange Commission within 120 days of the fiscal year ended December 31, 2021, are incorporated by reference into Part III of this Annual Report to the extent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REPORT ON FORM 10-K</w:t>
      </w:r>
    </w:p>
    <w:p>
      <w:pPr>
        <w:jc w:val="center"/>
        <w:spacing w:after="0"/>
        <w:rPr>
          <w:sz w:val="20"/>
          <w:szCs w:val="20"/>
          <w:color w:val="auto"/>
        </w:rPr>
      </w:pPr>
      <w:r>
        <w:rPr>
          <w:rFonts w:ascii="Arial" w:cs="Arial" w:eastAsia="Arial" w:hAnsi="Arial"/>
          <w:sz w:val="18"/>
          <w:szCs w:val="18"/>
          <w:color w:val="auto"/>
        </w:rPr>
        <w:t>For the year ended December 31, 2020</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80" w:type="dxa"/>
            <w:vAlign w:val="bottom"/>
            <w:gridSpan w:val="7"/>
          </w:tcPr>
          <w:p>
            <w:pPr>
              <w:spacing w:after="0"/>
              <w:rPr>
                <w:sz w:val="20"/>
                <w:szCs w:val="20"/>
                <w:color w:val="auto"/>
              </w:rPr>
            </w:pPr>
            <w:r>
              <w:rPr>
                <w:rFonts w:ascii="Arial" w:cs="Arial" w:eastAsia="Arial" w:hAnsi="Arial"/>
                <w:sz w:val="14"/>
                <w:szCs w:val="14"/>
                <w:b w:val="1"/>
                <w:bCs w:val="1"/>
                <w:color w:val="auto"/>
              </w:rPr>
              <w:t>Item</w:t>
            </w:r>
          </w:p>
        </w:tc>
        <w:tc>
          <w:tcPr>
            <w:tcW w:w="20" w:type="dxa"/>
            <w:vAlign w:val="bottom"/>
          </w:tcPr>
          <w:p>
            <w:pPr>
              <w:spacing w:after="0"/>
              <w:rPr>
                <w:sz w:val="16"/>
                <w:szCs w:val="16"/>
                <w:color w:val="auto"/>
              </w:rPr>
            </w:pPr>
          </w:p>
        </w:tc>
        <w:tc>
          <w:tcPr>
            <w:tcW w:w="8180" w:type="dxa"/>
            <w:vAlign w:val="bottom"/>
            <w:gridSpan w:val="25"/>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5"/>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PART I.</w:t>
              </w:r>
            </w:hyperlink>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8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20" w:type="dxa"/>
            <w:vAlign w:val="bottom"/>
            <w:tcBorders>
              <w:bottom w:val="single" w:sz="8" w:color="0000EE"/>
            </w:tcBorders>
          </w:tcPr>
          <w:p>
            <w:pPr>
              <w:spacing w:after="0"/>
              <w:rPr>
                <w:sz w:val="24"/>
                <w:szCs w:val="24"/>
                <w:color w:val="auto"/>
              </w:rPr>
            </w:pPr>
          </w:p>
        </w:tc>
        <w:tc>
          <w:tcPr>
            <w:tcW w:w="7520" w:type="dxa"/>
            <w:vAlign w:val="bottom"/>
            <w:gridSpan w:val="2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1A.</w:t>
            </w:r>
          </w:p>
        </w:tc>
        <w:tc>
          <w:tcPr>
            <w:tcW w:w="20" w:type="dxa"/>
            <w:vAlign w:val="bottom"/>
          </w:tcPr>
          <w:p>
            <w:pPr>
              <w:spacing w:after="0"/>
              <w:rPr>
                <w:sz w:val="24"/>
                <w:szCs w:val="24"/>
                <w:color w:val="auto"/>
              </w:rPr>
            </w:pPr>
          </w:p>
        </w:tc>
        <w:tc>
          <w:tcPr>
            <w:tcW w:w="90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12">
              <w:r>
                <w:rPr>
                  <w:rFonts w:ascii="Arial" w:cs="Arial" w:eastAsia="Arial" w:hAnsi="Arial"/>
                  <w:sz w:val="18"/>
                  <w:szCs w:val="18"/>
                  <w:color w:val="0000FF"/>
                  <w:w w:val="87"/>
                </w:rPr>
                <w:t>Risk Factors</w:t>
              </w:r>
            </w:hyperlink>
          </w:p>
        </w:tc>
        <w:tc>
          <w:tcPr>
            <w:tcW w:w="20" w:type="dxa"/>
            <w:vAlign w:val="bottom"/>
            <w:tcBorders>
              <w:bottom w:val="single" w:sz="8" w:color="0000EE"/>
            </w:tcBorders>
          </w:tcPr>
          <w:p>
            <w:pPr>
              <w:spacing w:after="0"/>
              <w:rPr>
                <w:sz w:val="24"/>
                <w:szCs w:val="24"/>
                <w:color w:val="auto"/>
              </w:rPr>
            </w:pPr>
          </w:p>
        </w:tc>
        <w:tc>
          <w:tcPr>
            <w:tcW w:w="7260" w:type="dxa"/>
            <w:vAlign w:val="bottom"/>
            <w:gridSpan w:val="19"/>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1B.</w:t>
            </w:r>
          </w:p>
        </w:tc>
        <w:tc>
          <w:tcPr>
            <w:tcW w:w="20" w:type="dxa"/>
            <w:vAlign w:val="bottom"/>
          </w:tcPr>
          <w:p>
            <w:pPr>
              <w:spacing w:after="0"/>
              <w:rPr>
                <w:sz w:val="24"/>
                <w:szCs w:val="24"/>
                <w:color w:val="auto"/>
              </w:rPr>
            </w:pPr>
          </w:p>
        </w:tc>
        <w:tc>
          <w:tcPr>
            <w:tcW w:w="204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Unresolved Staff Comments</w:t>
              </w:r>
            </w:hyperlink>
          </w:p>
        </w:tc>
        <w:tc>
          <w:tcPr>
            <w:tcW w:w="6140" w:type="dxa"/>
            <w:vAlign w:val="bottom"/>
            <w:gridSpan w:val="1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2.</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Properties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3.</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4.</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Mine Safety Disclosures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PART II.</w:t>
              </w:r>
            </w:hyperlink>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top w:val="single" w:sz="8" w:color="0000EE"/>
            </w:tcBorders>
          </w:tcPr>
          <w:p>
            <w:pPr>
              <w:spacing w:after="0"/>
              <w:rPr>
                <w:sz w:val="24"/>
                <w:szCs w:val="24"/>
                <w:color w:val="auto"/>
              </w:rPr>
            </w:pPr>
          </w:p>
        </w:tc>
        <w:tc>
          <w:tcPr>
            <w:tcW w:w="6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Item 5.</w:t>
            </w:r>
          </w:p>
        </w:tc>
        <w:tc>
          <w:tcPr>
            <w:tcW w:w="17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w w:val="97"/>
              </w:rPr>
            </w:pPr>
            <w:hyperlink w:anchor="page25">
              <w:r>
                <w:rPr>
                  <w:rFonts w:ascii="Arial" w:cs="Arial" w:eastAsia="Arial" w:hAnsi="Arial"/>
                  <w:sz w:val="18"/>
                  <w:szCs w:val="18"/>
                  <w:color w:val="0000FF"/>
                  <w:w w:val="97"/>
                </w:rPr>
                <w:t>Market for the Registrant’s Common Equity, Related Stockholder Matters and Issuer Purchases of Equity</w:t>
              </w:r>
            </w:hyperlink>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w:anchor="page25">
              <w:r>
                <w:rPr>
                  <w:rFonts w:ascii="Arial" w:cs="Arial" w:eastAsia="Arial" w:hAnsi="Arial"/>
                  <w:sz w:val="18"/>
                  <w:szCs w:val="18"/>
                  <w:color w:val="0000FF"/>
                </w:rPr>
                <w:t>Securities</w:t>
              </w:r>
            </w:hyperlink>
          </w:p>
        </w:tc>
        <w:tc>
          <w:tcPr>
            <w:tcW w:w="5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6.</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[Reserved]</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7.</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7A.</w:t>
            </w:r>
          </w:p>
        </w:tc>
        <w:tc>
          <w:tcPr>
            <w:tcW w:w="20" w:type="dxa"/>
            <w:vAlign w:val="bottom"/>
          </w:tcPr>
          <w:p>
            <w:pPr>
              <w:spacing w:after="0"/>
              <w:rPr>
                <w:sz w:val="24"/>
                <w:szCs w:val="24"/>
                <w:color w:val="auto"/>
              </w:rPr>
            </w:pPr>
          </w:p>
        </w:tc>
        <w:tc>
          <w:tcPr>
            <w:tcW w:w="6440" w:type="dxa"/>
            <w:vAlign w:val="bottom"/>
            <w:tcBorders>
              <w:top w:val="single" w:sz="8" w:color="0000FF"/>
            </w:tcBorders>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1740" w:type="dxa"/>
            <w:vAlign w:val="bottom"/>
            <w:gridSpan w:val="4"/>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8.</w:t>
            </w:r>
          </w:p>
        </w:tc>
        <w:tc>
          <w:tcPr>
            <w:tcW w:w="20" w:type="dxa"/>
            <w:vAlign w:val="bottom"/>
          </w:tcPr>
          <w:p>
            <w:pPr>
              <w:spacing w:after="0"/>
              <w:rPr>
                <w:sz w:val="24"/>
                <w:szCs w:val="24"/>
                <w:color w:val="auto"/>
              </w:rPr>
            </w:pPr>
          </w:p>
        </w:tc>
        <w:tc>
          <w:tcPr>
            <w:tcW w:w="332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Financial Statements and Supplementary Data</w:t>
              </w:r>
            </w:hyperlink>
          </w:p>
        </w:tc>
        <w:tc>
          <w:tcPr>
            <w:tcW w:w="20" w:type="dxa"/>
            <w:vAlign w:val="bottom"/>
            <w:tcBorders>
              <w:top w:val="single" w:sz="8" w:color="0000FF"/>
              <w:bottom w:val="single" w:sz="8" w:color="0000EE"/>
            </w:tcBorders>
          </w:tcPr>
          <w:p>
            <w:pPr>
              <w:spacing w:after="0"/>
              <w:rPr>
                <w:sz w:val="24"/>
                <w:szCs w:val="24"/>
                <w:color w:val="auto"/>
              </w:rPr>
            </w:pPr>
          </w:p>
        </w:tc>
        <w:tc>
          <w:tcPr>
            <w:tcW w:w="1000" w:type="dxa"/>
            <w:vAlign w:val="bottom"/>
            <w:tcBorders>
              <w:top w:val="single" w:sz="8" w:color="0000FF"/>
            </w:tcBorders>
            <w:gridSpan w:val="2"/>
          </w:tcPr>
          <w:p>
            <w:pPr>
              <w:spacing w:after="0"/>
              <w:rPr>
                <w:sz w:val="24"/>
                <w:szCs w:val="24"/>
                <w:color w:val="auto"/>
              </w:rPr>
            </w:pPr>
          </w:p>
        </w:tc>
        <w:tc>
          <w:tcPr>
            <w:tcW w:w="3840" w:type="dxa"/>
            <w:vAlign w:val="bottom"/>
            <w:gridSpan w:val="7"/>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9.</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Changes in and Disagreements with Accountants on Accounting and Financial Disclosure</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9A.</w:t>
            </w:r>
          </w:p>
        </w:tc>
        <w:tc>
          <w:tcPr>
            <w:tcW w:w="20" w:type="dxa"/>
            <w:vAlign w:val="bottom"/>
          </w:tcPr>
          <w:p>
            <w:pPr>
              <w:spacing w:after="0"/>
              <w:rPr>
                <w:sz w:val="24"/>
                <w:szCs w:val="24"/>
                <w:color w:val="auto"/>
              </w:rPr>
            </w:pPr>
          </w:p>
        </w:tc>
        <w:tc>
          <w:tcPr>
            <w:tcW w:w="176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7"/>
              </w:rPr>
            </w:pPr>
            <w:hyperlink w:anchor="page40">
              <w:r>
                <w:rPr>
                  <w:rFonts w:ascii="Arial" w:cs="Arial" w:eastAsia="Arial" w:hAnsi="Arial"/>
                  <w:sz w:val="18"/>
                  <w:szCs w:val="18"/>
                  <w:color w:val="0000FF"/>
                  <w:w w:val="87"/>
                </w:rPr>
                <w:t>Controls and Procedures</w:t>
              </w:r>
            </w:hyperlink>
          </w:p>
        </w:tc>
        <w:tc>
          <w:tcPr>
            <w:tcW w:w="4700" w:type="dxa"/>
            <w:vAlign w:val="bottom"/>
            <w:tcBorders>
              <w:top w:val="single" w:sz="8" w:color="0000FF"/>
            </w:tcBorders>
            <w:gridSpan w:val="13"/>
          </w:tcPr>
          <w:p>
            <w:pPr>
              <w:spacing w:after="0"/>
              <w:rPr>
                <w:sz w:val="24"/>
                <w:szCs w:val="24"/>
                <w:color w:val="auto"/>
              </w:rPr>
            </w:pPr>
          </w:p>
        </w:tc>
        <w:tc>
          <w:tcPr>
            <w:tcW w:w="1720" w:type="dxa"/>
            <w:vAlign w:val="bottom"/>
            <w:gridSpan w:val="3"/>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9B.</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right w:val="single" w:sz="8" w:color="0000EE"/>
            </w:tcBorders>
            <w:gridSpan w:val="7"/>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9C</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Disclosure Regarding Foreign Jurisdictions that Prevent Inspection</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8"/>
        </w:trPr>
        <w:tc>
          <w:tcPr>
            <w:tcW w:w="20" w:type="dxa"/>
            <w:vAlign w:val="bottom"/>
            <w:tcBorders>
              <w:bottom w:val="single" w:sz="8" w:color="0000EE"/>
            </w:tcBorders>
          </w:tcPr>
          <w:p>
            <w:pPr>
              <w:spacing w:after="0"/>
              <w:rPr>
                <w:sz w:val="24"/>
                <w:szCs w:val="24"/>
                <w:color w:val="auto"/>
              </w:rPr>
            </w:pPr>
          </w:p>
        </w:tc>
        <w:tc>
          <w:tcPr>
            <w:tcW w:w="720" w:type="dxa"/>
            <w:vAlign w:val="bottom"/>
            <w:tcBorders>
              <w:bottom w:val="single" w:sz="8" w:color="0000FF"/>
            </w:tcBorders>
            <w:gridSpan w:val="4"/>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PART III.</w:t>
              </w:r>
            </w:hyperlink>
          </w:p>
        </w:tc>
        <w:tc>
          <w:tcPr>
            <w:tcW w:w="16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10.</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Directors, Executive Officers and Corporate Governance</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11.</w:t>
            </w:r>
          </w:p>
        </w:tc>
        <w:tc>
          <w:tcPr>
            <w:tcW w:w="20" w:type="dxa"/>
            <w:vAlign w:val="bottom"/>
          </w:tcPr>
          <w:p>
            <w:pPr>
              <w:spacing w:after="0"/>
              <w:rPr>
                <w:sz w:val="24"/>
                <w:szCs w:val="24"/>
                <w:color w:val="auto"/>
              </w:rPr>
            </w:pPr>
          </w:p>
        </w:tc>
        <w:tc>
          <w:tcPr>
            <w:tcW w:w="18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Executive Compensation</w:t>
              </w:r>
            </w:hyperlink>
          </w:p>
        </w:tc>
        <w:tc>
          <w:tcPr>
            <w:tcW w:w="20" w:type="dxa"/>
            <w:vAlign w:val="bottom"/>
            <w:tcBorders>
              <w:top w:val="single" w:sz="8" w:color="0000FF"/>
              <w:bottom w:val="single" w:sz="8" w:color="0000EE"/>
            </w:tcBorders>
          </w:tcPr>
          <w:p>
            <w:pPr>
              <w:spacing w:after="0"/>
              <w:rPr>
                <w:sz w:val="24"/>
                <w:szCs w:val="24"/>
                <w:color w:val="auto"/>
              </w:rPr>
            </w:pPr>
          </w:p>
        </w:tc>
        <w:tc>
          <w:tcPr>
            <w:tcW w:w="2260" w:type="dxa"/>
            <w:vAlign w:val="bottom"/>
            <w:tcBorders>
              <w:top w:val="single" w:sz="8" w:color="0000FF"/>
            </w:tcBorders>
            <w:gridSpan w:val="6"/>
          </w:tcPr>
          <w:p>
            <w:pPr>
              <w:spacing w:after="0"/>
              <w:rPr>
                <w:sz w:val="24"/>
                <w:szCs w:val="24"/>
                <w:color w:val="auto"/>
              </w:rPr>
            </w:pPr>
          </w:p>
        </w:tc>
        <w:tc>
          <w:tcPr>
            <w:tcW w:w="4100" w:type="dxa"/>
            <w:vAlign w:val="bottom"/>
            <w:gridSpan w:val="8"/>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12.</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Security Ownership of Certain Beneficial Owners and Management and Related Stockholder Matters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13.</w:t>
            </w:r>
          </w:p>
        </w:tc>
        <w:tc>
          <w:tcPr>
            <w:tcW w:w="20" w:type="dxa"/>
            <w:vAlign w:val="bottom"/>
          </w:tcPr>
          <w:p>
            <w:pPr>
              <w:spacing w:after="0"/>
              <w:rPr>
                <w:sz w:val="24"/>
                <w:szCs w:val="24"/>
                <w:color w:val="auto"/>
              </w:rPr>
            </w:pPr>
          </w:p>
        </w:tc>
        <w:tc>
          <w:tcPr>
            <w:tcW w:w="7280" w:type="dxa"/>
            <w:vAlign w:val="bottom"/>
            <w:tcBorders>
              <w:top w:val="single" w:sz="8" w:color="0000FF"/>
            </w:tcBorders>
            <w:gridSpan w:val="2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Certain Relationships and Related Transactions, and Director Independence</w:t>
              </w:r>
            </w:hyperlink>
          </w:p>
        </w:tc>
        <w:tc>
          <w:tcPr>
            <w:tcW w:w="900" w:type="dxa"/>
            <w:vAlign w:val="bottom"/>
            <w:gridSpan w:val="2"/>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14.</w:t>
            </w:r>
          </w:p>
        </w:tc>
        <w:tc>
          <w:tcPr>
            <w:tcW w:w="20" w:type="dxa"/>
            <w:vAlign w:val="bottom"/>
          </w:tcPr>
          <w:p>
            <w:pPr>
              <w:spacing w:after="0"/>
              <w:rPr>
                <w:sz w:val="24"/>
                <w:szCs w:val="24"/>
                <w:color w:val="auto"/>
              </w:rPr>
            </w:pPr>
          </w:p>
        </w:tc>
        <w:tc>
          <w:tcPr>
            <w:tcW w:w="5440" w:type="dxa"/>
            <w:vAlign w:val="bottom"/>
            <w:tcBorders>
              <w:top w:val="single" w:sz="8" w:color="0000FF"/>
            </w:tcBorders>
            <w:gridSpan w:val="2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Principal Accounting Fees and Services</w:t>
              </w:r>
            </w:hyperlink>
          </w:p>
        </w:tc>
        <w:tc>
          <w:tcPr>
            <w:tcW w:w="2740" w:type="dxa"/>
            <w:vAlign w:val="bottom"/>
            <w:gridSpan w:val="5"/>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20" w:type="dxa"/>
            <w:vAlign w:val="bottom"/>
            <w:tcBorders>
              <w:bottom w:val="single" w:sz="8" w:color="0000EE"/>
            </w:tcBorders>
          </w:tcPr>
          <w:p>
            <w:pPr>
              <w:spacing w:after="0"/>
              <w:rPr>
                <w:sz w:val="24"/>
                <w:szCs w:val="24"/>
                <w:color w:val="auto"/>
              </w:rPr>
            </w:pPr>
          </w:p>
        </w:tc>
        <w:tc>
          <w:tcPr>
            <w:tcW w:w="700" w:type="dxa"/>
            <w:vAlign w:val="bottom"/>
            <w:tcBorders>
              <w:bottom w:val="single" w:sz="8" w:color="0000FF"/>
            </w:tcBorders>
            <w:gridSpan w:val="3"/>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PART IV.</w:t>
              </w:r>
            </w:hyperlink>
          </w:p>
        </w:tc>
        <w:tc>
          <w:tcPr>
            <w:tcW w:w="16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15.</w:t>
            </w:r>
          </w:p>
        </w:tc>
        <w:tc>
          <w:tcPr>
            <w:tcW w:w="20" w:type="dxa"/>
            <w:vAlign w:val="bottom"/>
          </w:tcPr>
          <w:p>
            <w:pPr>
              <w:spacing w:after="0"/>
              <w:rPr>
                <w:sz w:val="24"/>
                <w:szCs w:val="24"/>
                <w:color w:val="auto"/>
              </w:rPr>
            </w:pPr>
          </w:p>
        </w:tc>
        <w:tc>
          <w:tcPr>
            <w:tcW w:w="8180" w:type="dxa"/>
            <w:vAlign w:val="bottom"/>
            <w:gridSpan w:val="2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 and Financial Statement Schedules</w:t>
              </w:r>
            </w:hyperlink>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sz w:val="20"/>
                <w:szCs w:val="20"/>
                <w:color w:val="auto"/>
              </w:rPr>
            </w:pPr>
            <w:r>
              <w:rPr>
                <w:rFonts w:ascii="Arial" w:cs="Arial" w:eastAsia="Arial" w:hAnsi="Arial"/>
                <w:sz w:val="18"/>
                <w:szCs w:val="18"/>
                <w:color w:val="auto"/>
              </w:rPr>
              <w:t>Item 16.</w:t>
            </w:r>
          </w:p>
        </w:tc>
        <w:tc>
          <w:tcPr>
            <w:tcW w:w="20" w:type="dxa"/>
            <w:vAlign w:val="bottom"/>
          </w:tcPr>
          <w:p>
            <w:pPr>
              <w:spacing w:after="0"/>
              <w:rPr>
                <w:sz w:val="24"/>
                <w:szCs w:val="24"/>
                <w:color w:val="auto"/>
              </w:rPr>
            </w:pPr>
          </w:p>
        </w:tc>
        <w:tc>
          <w:tcPr>
            <w:tcW w:w="3140" w:type="dxa"/>
            <w:vAlign w:val="bottom"/>
            <w:tcBorders>
              <w:top w:val="single" w:sz="8" w:color="0000FF"/>
            </w:tcBorders>
            <w:gridSpan w:val="1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Form 10-K Summary</w:t>
              </w:r>
            </w:hyperlink>
          </w:p>
        </w:tc>
        <w:tc>
          <w:tcPr>
            <w:tcW w:w="5040" w:type="dxa"/>
            <w:vAlign w:val="bottom"/>
            <w:gridSpan w:val="11"/>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80" w:type="dxa"/>
            <w:vAlign w:val="bottom"/>
            <w:gridSpan w:val="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SIGNATURES</w:t>
              </w:r>
            </w:hyperlink>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This Annual Report on Form 10-K includes forward-looking statements within the meaning of the Securities Act of 1933 and the Securities Exchange Act of 1934 (the “Exchange Act”) which are intended to be covered by the safe harbor for “forward-looking statements” provided by the Private Securities Litigation Reform Act of 1995. Any statements contained in this Annual Report on Form 10-K,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this Annual Report on Form 10-K and include, but are not limited to:</w:t>
      </w:r>
    </w:p>
    <w:p>
      <w:pPr>
        <w:spacing w:after="0" w:line="169"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sensitivity of our business to economic and financial market conditions generally and economic conditions in CECO’s service areas;</w:t>
      </w:r>
    </w:p>
    <w:p>
      <w:pPr>
        <w:spacing w:after="0" w:line="115" w:lineRule="exact"/>
        <w:rPr>
          <w:rFonts w:ascii="Arial" w:cs="Arial" w:eastAsia="Arial" w:hAnsi="Arial"/>
          <w:sz w:val="17"/>
          <w:szCs w:val="17"/>
          <w:color w:val="auto"/>
        </w:rPr>
      </w:pPr>
    </w:p>
    <w:p>
      <w:pPr>
        <w:ind w:left="760" w:right="6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fixed price contracts and the risks associated therewith, including actual costs exceeding estimates and method of accounting for revenue;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growth on CECO’s infrastructure, resources and existing sales;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expand operations in both new and existing markets;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contract delay or cancellation as a result of on-going or worsening supply chain challenges;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liabilities arising from faulty services or products that could result in significant professional or product liability, warranty or other claims;</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developments with respect to any litigation or investigation;</w:t>
      </w:r>
    </w:p>
    <w:p>
      <w:pPr>
        <w:spacing w:after="0" w:line="103" w:lineRule="exact"/>
        <w:rPr>
          <w:rFonts w:ascii="Arial" w:cs="Arial" w:eastAsia="Arial" w:hAnsi="Arial"/>
          <w:sz w:val="18"/>
          <w:szCs w:val="18"/>
          <w:color w:val="auto"/>
        </w:rPr>
      </w:pPr>
    </w:p>
    <w:p>
      <w:pPr>
        <w:ind w:left="760" w:right="46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meet timely completion or performance standards that could result in higher cost and reduced profits or, in some cases, losses on projects;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for fluctuations in prices for manufactured components and raw materials, including as a result of tariffs and surcharges;</w:t>
      </w:r>
    </w:p>
    <w:p>
      <w:pPr>
        <w:spacing w:after="0" w:line="115" w:lineRule="exact"/>
        <w:rPr>
          <w:rFonts w:ascii="Arial" w:cs="Arial" w:eastAsia="Arial" w:hAnsi="Arial"/>
          <w:sz w:val="17"/>
          <w:szCs w:val="17"/>
          <w:color w:val="auto"/>
        </w:rPr>
      </w:pPr>
    </w:p>
    <w:p>
      <w:pPr>
        <w:ind w:left="760" w:right="240" w:hanging="378"/>
        <w:spacing w:after="0" w:line="261"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substantial amount of debt incurred in connection with our strategic transactions and our ability to repay or refinance it or incur additional debt in the future;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federal, state or local government regulations;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repurchase shares of our common stock and the amounts and timing of repurchases, if any;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political conditions generally;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realize the expected benefits of our restructuring program;</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and realize the synergies from strategic transactions; and</w:t>
      </w:r>
    </w:p>
    <w:p>
      <w:pPr>
        <w:spacing w:after="0" w:line="103" w:lineRule="exact"/>
        <w:rPr>
          <w:rFonts w:ascii="Arial" w:cs="Arial" w:eastAsia="Arial" w:hAnsi="Arial"/>
          <w:sz w:val="18"/>
          <w:szCs w:val="18"/>
          <w:color w:val="auto"/>
        </w:rPr>
      </w:pPr>
    </w:p>
    <w:p>
      <w:pPr>
        <w:ind w:left="760" w:right="20" w:hanging="378"/>
        <w:spacing w:after="0" w:line="24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1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CECO Environmental Corp. (“CECO,” “we,” “us,” or the “Company”) is a leading environmentally focused, diversified industrial company whose solutions protect people, the environment, and industrial equipment. We focus on engineering, designing, building, and installing systems that capture, clean and destroy air- and water-borne emissions from industrial facilities as well as fluid handling, gas separation, and filtration systems. CECO provides innovative technology and application expertise that helps companies grow their businesses with safe, clean, and more efficient solutions to protect our shared environment.</w:t>
      </w:r>
    </w:p>
    <w:p>
      <w:pPr>
        <w:spacing w:after="0" w:line="18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CECO serves diverse industries globally by working to improve air and water quality, protect customer’s equipment, and provide customized engineered solutions in our customers’ mission critical applications. The industries CECO serves include power generation, petrochemical processing, general industrial, refining, midstream oil &amp; gas, electric vehicle production, poly silicon fabrication, battery recycling, and wastewater treatment, along with a wide range of other industries.</w:t>
      </w:r>
    </w:p>
    <w:p>
      <w:pPr>
        <w:spacing w:after="0" w:line="18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CECO has over $6 billion of installed equipment with end users, which we target to expand and grow a higher recurring revenue of aftermarket products and services.</w:t>
      </w:r>
    </w:p>
    <w:p>
      <w:pPr>
        <w:spacing w:after="0" w:line="17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customers include some of the largest natural gas processors, transmission and distribution companies, refineries, power generators, industrial manufacturing, engineering and construction companies, semiconductor manufacturers, compressor manufacturers, beverage can manufacturers, metals and minerals, and electric vehicle producers in the world.</w:t>
      </w:r>
    </w:p>
    <w:p>
      <w:pPr>
        <w:spacing w:after="0" w:line="182" w:lineRule="exact"/>
        <w:rPr>
          <w:sz w:val="20"/>
          <w:szCs w:val="20"/>
          <w:color w:val="auto"/>
        </w:rPr>
      </w:pPr>
    </w:p>
    <w:p>
      <w:pPr>
        <w:jc w:val="both"/>
        <w:ind w:right="440"/>
        <w:spacing w:after="0" w:line="248" w:lineRule="auto"/>
        <w:rPr>
          <w:sz w:val="20"/>
          <w:szCs w:val="20"/>
          <w:color w:val="auto"/>
        </w:rPr>
      </w:pPr>
      <w:r>
        <w:rPr>
          <w:rFonts w:ascii="Arial" w:cs="Arial" w:eastAsia="Arial" w:hAnsi="Arial"/>
          <w:sz w:val="18"/>
          <w:szCs w:val="18"/>
          <w:color w:val="auto"/>
        </w:rPr>
        <w:t>We believe our value differentiators include, but are not limited to, our product quality, reliability, on-time delivery and safety, supported by advanced engineering and operational excellence. We believe these are critical in maintaining our competitive position and have adopted a spirit of continuous improvement to ensure we maintain our market leadership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Overview</w:t>
      </w:r>
    </w:p>
    <w:p>
      <w:pPr>
        <w:spacing w:after="0" w:line="212"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We serve a growing $5 billion dollar global market that is highly fragmented and serves various end markets including power generation, petrochemical processing, general industrial, refining, oil &amp; gas, electric vehicle production, poly silicon fabrication, battery recycling, and wastewater treatment, along with a wide range of other industries.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believe demand for our products and services will continue to be driven by the following factors:</w:t>
      </w:r>
    </w:p>
    <w:p>
      <w:pPr>
        <w:spacing w:after="0" w:line="212" w:lineRule="exact"/>
        <w:rPr>
          <w:sz w:val="20"/>
          <w:szCs w:val="20"/>
          <w:color w:val="auto"/>
        </w:rPr>
      </w:pPr>
    </w:p>
    <w:p>
      <w:pPr>
        <w:ind w:left="1020" w:right="6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Global Focus on Environment. </w:t>
      </w:r>
      <w:r>
        <w:rPr>
          <w:rFonts w:ascii="Arial" w:cs="Arial" w:eastAsia="Arial" w:hAnsi="Arial"/>
          <w:sz w:val="18"/>
          <w:szCs w:val="18"/>
          <w:color w:val="auto"/>
        </w:rPr>
        <w:t>Increased demand for efficient solutions and reduced emissions for clean air and water remains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forefront of sustainable production. As our customers and end markets navigate this changing landscape, we are making production cleaner, more efficient and flexible, and workplaces safer, using the same high manufacturing standards our customers expect. Increasingly, society, along with government regulation, call for corporations to commit to the preservation and protection of the environment. We believe that through our air and water quality and emissions control initiatives, companies want to work with us to protect people and our planet from the harmful effects of industrial processes.</w:t>
      </w:r>
    </w:p>
    <w:p>
      <w:pPr>
        <w:spacing w:after="0" w:line="81" w:lineRule="exact"/>
        <w:rPr>
          <w:rFonts w:ascii="Arial" w:cs="Arial" w:eastAsia="Arial" w:hAnsi="Arial"/>
          <w:sz w:val="18"/>
          <w:szCs w:val="18"/>
          <w:color w:val="auto"/>
        </w:rPr>
      </w:pPr>
    </w:p>
    <w:p>
      <w:pPr>
        <w:ind w:left="1020" w:right="100" w:hanging="503"/>
        <w:spacing w:after="0" w:line="294"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Global Economic Conditions. </w:t>
      </w:r>
      <w:r>
        <w:rPr>
          <w:rFonts w:ascii="Arial" w:cs="Arial" w:eastAsia="Arial" w:hAnsi="Arial"/>
          <w:sz w:val="16"/>
          <w:szCs w:val="16"/>
          <w:color w:val="auto"/>
        </w:rPr>
        <w:t>The Company’s businesses are impacted by economic conditions around the globe. Higher economic growth</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factors that would increase industrial gross domestic product and capital expenditures are projected to impact the markets the Company serves and could affect the Company’s businesses by increasing demand for the Company’s products and services.</w:t>
      </w:r>
    </w:p>
    <w:p>
      <w:pPr>
        <w:spacing w:after="0" w:line="39" w:lineRule="exact"/>
        <w:rPr>
          <w:rFonts w:ascii="Arial" w:cs="Arial" w:eastAsia="Arial" w:hAnsi="Arial"/>
          <w:sz w:val="16"/>
          <w:szCs w:val="16"/>
          <w:color w:val="auto"/>
        </w:rPr>
      </w:pPr>
    </w:p>
    <w:p>
      <w:pPr>
        <w:ind w:left="1020" w:right="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Worldwide Industrialization</w:t>
      </w:r>
      <w:r>
        <w:rPr>
          <w:rFonts w:ascii="Arial" w:cs="Arial" w:eastAsia="Arial" w:hAnsi="Arial"/>
          <w:sz w:val="18"/>
          <w:szCs w:val="18"/>
          <w:color w:val="auto"/>
        </w:rPr>
        <w:t>. Global trade has increased significantly over the last decade and is driven by growth in emerging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China and India, as well as other developing nations in Asia and the Europe, Middle East, and Africa (“EMEA”) region.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We expect that more rigorous environmental regulations will be introduced to create a cleaner working environment and reduce environmental emissions as these economies evolve.</w:t>
      </w:r>
    </w:p>
    <w:p>
      <w:pPr>
        <w:spacing w:after="0" w:line="81" w:lineRule="exact"/>
        <w:rPr>
          <w:rFonts w:ascii="Arial" w:cs="Arial" w:eastAsia="Arial" w:hAnsi="Arial"/>
          <w:sz w:val="18"/>
          <w:szCs w:val="18"/>
          <w:color w:val="auto"/>
        </w:rPr>
      </w:pPr>
    </w:p>
    <w:p>
      <w:pPr>
        <w:jc w:val="both"/>
        <w:ind w:left="1020" w:right="760" w:hanging="503"/>
        <w:spacing w:after="0" w:line="24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Natural Gas Infrastructure</w:t>
      </w:r>
      <w:r>
        <w:rPr>
          <w:rFonts w:ascii="Arial" w:cs="Arial" w:eastAsia="Arial" w:hAnsi="Arial"/>
          <w:sz w:val="18"/>
          <w:szCs w:val="18"/>
          <w:color w:val="auto"/>
        </w:rPr>
        <w:t>. The natural gas industry consists of the exploration, production, processing, transportation, storage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natural gas. The International Energy Association (“IEA”) projects a pronounced shift in Organization for Economic Cooperation and Development (“OECD”) countries away from oil and coal towards natural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left="1020" w:right="120"/>
        <w:spacing w:after="0" w:line="248" w:lineRule="auto"/>
        <w:rPr>
          <w:sz w:val="20"/>
          <w:szCs w:val="20"/>
          <w:color w:val="auto"/>
        </w:rPr>
      </w:pPr>
      <w:r>
        <w:rPr>
          <w:rFonts w:ascii="Arial" w:cs="Arial" w:eastAsia="Arial" w:hAnsi="Arial"/>
          <w:sz w:val="18"/>
          <w:szCs w:val="18"/>
          <w:color w:val="auto"/>
        </w:rPr>
        <w:t>gas and renewables. Natural gas continues to be the fuel of choice for the electrical power and industrial sectors in many of the world’s regions, in part because of its lower carbon intensity compared with coal and oil, which makes it an attractive fuel source in countries where governments are implementing policies to reduce greenhouse gas emissions.</w:t>
      </w:r>
    </w:p>
    <w:p>
      <w:pPr>
        <w:spacing w:after="0" w:line="74" w:lineRule="exact"/>
        <w:rPr>
          <w:sz w:val="20"/>
          <w:szCs w:val="20"/>
          <w:color w:val="auto"/>
        </w:rPr>
      </w:pPr>
    </w:p>
    <w:p>
      <w:pPr>
        <w:ind w:left="1020" w:right="20" w:hanging="503"/>
        <w:spacing w:after="0" w:line="255"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Power Generation. </w:t>
      </w:r>
      <w:r>
        <w:rPr>
          <w:rFonts w:ascii="Arial" w:cs="Arial" w:eastAsia="Arial" w:hAnsi="Arial"/>
          <w:sz w:val="17"/>
          <w:szCs w:val="17"/>
          <w:color w:val="auto"/>
        </w:rPr>
        <w:t>Power generation encompasses a broad range of activities related to the production of electricity. The primary types of</w:t>
      </w:r>
      <w:r>
        <w:rPr>
          <w:rFonts w:ascii="Arial" w:cs="Arial" w:eastAsia="Arial" w:hAnsi="Arial"/>
          <w:sz w:val="17"/>
          <w:szCs w:val="17"/>
          <w:i w:val="1"/>
          <w:iCs w:val="1"/>
          <w:color w:val="auto"/>
        </w:rPr>
        <w:t xml:space="preserve"> </w:t>
      </w:r>
      <w:r>
        <w:rPr>
          <w:rFonts w:ascii="Arial" w:cs="Arial" w:eastAsia="Arial" w:hAnsi="Arial"/>
          <w:sz w:val="17"/>
          <w:szCs w:val="17"/>
          <w:color w:val="auto"/>
        </w:rPr>
        <w:t>fossil fuels used to generate electricity are coal, natural gas, solar, wind and nuclear. In the United States, concerns about potential environmental regulations enhance the attractiveness of natural gas-fired power plants compared with coal-fired power plants, which generally have higher pollutant emission rates than natural gas-powered plants. Natural gas-fired power plants have lower initial capital needs and are more flexible in terms of operating times than coal plants. The transition to hydrogen and other clean fuels (such as liquefied natural gas, liquefied petroleum gas, and renewable natural gas) to generate power are in their infancy but will be part of the energy transition over the next decade. These fuels will require exhaust emissions control in the form of water and air quality solutions.</w:t>
      </w:r>
    </w:p>
    <w:p>
      <w:pPr>
        <w:spacing w:after="0" w:line="71" w:lineRule="exact"/>
        <w:rPr>
          <w:rFonts w:ascii="Arial" w:cs="Arial" w:eastAsia="Arial" w:hAnsi="Arial"/>
          <w:sz w:val="17"/>
          <w:szCs w:val="17"/>
          <w:color w:val="auto"/>
        </w:rPr>
      </w:pPr>
    </w:p>
    <w:p>
      <w:pPr>
        <w:ind w:left="1020" w:right="34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Refining, Oil Production and Petrochemical Processing</w:t>
      </w:r>
      <w:r>
        <w:rPr>
          <w:rFonts w:ascii="Arial" w:cs="Arial" w:eastAsia="Arial" w:hAnsi="Arial"/>
          <w:sz w:val="18"/>
          <w:szCs w:val="18"/>
          <w:color w:val="auto"/>
        </w:rPr>
        <w:t>. Refining, oil production and petrochemical processing involves the producing,</w:t>
      </w:r>
      <w:r>
        <w:rPr>
          <w:rFonts w:ascii="Arial" w:cs="Arial" w:eastAsia="Arial" w:hAnsi="Arial"/>
          <w:sz w:val="18"/>
          <w:szCs w:val="18"/>
          <w:i w:val="1"/>
          <w:iCs w:val="1"/>
          <w:color w:val="auto"/>
        </w:rPr>
        <w:t xml:space="preserve"> </w:t>
      </w:r>
      <w:r>
        <w:rPr>
          <w:rFonts w:ascii="Arial" w:cs="Arial" w:eastAsia="Arial" w:hAnsi="Arial"/>
          <w:sz w:val="18"/>
          <w:szCs w:val="18"/>
          <w:color w:val="auto"/>
        </w:rPr>
        <w:t>refining and processing of fuels and chemicals for use in a variety of applications, such as gasoline, fertilizers and plastics. In response to increasing international demand for petrochemicals and refined products, companies are producing more products from new sources, constructing new refineries and petrochemical processing facilities as well as expanding existing facilities. In many cases, these new and expanded facilities must comply with stricter environmental regulations, which influence both choice of fuel and demand for systems to control exhaust emissions.</w:t>
      </w:r>
    </w:p>
    <w:p>
      <w:pPr>
        <w:spacing w:after="0" w:line="81" w:lineRule="exact"/>
        <w:rPr>
          <w:rFonts w:ascii="Arial" w:cs="Arial" w:eastAsia="Arial" w:hAnsi="Arial"/>
          <w:sz w:val="18"/>
          <w:szCs w:val="18"/>
          <w:color w:val="auto"/>
        </w:rPr>
      </w:pPr>
    </w:p>
    <w:p>
      <w:pPr>
        <w:ind w:left="1020" w:right="20" w:hanging="503"/>
        <w:spacing w:after="0" w:line="25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Stringent Regulatory Environment</w:t>
      </w:r>
      <w:r>
        <w:rPr>
          <w:rFonts w:ascii="Arial" w:cs="Arial" w:eastAsia="Arial" w:hAnsi="Arial"/>
          <w:sz w:val="17"/>
          <w:szCs w:val="17"/>
          <w:color w:val="auto"/>
        </w:rPr>
        <w:t>. The adoption of increasingly stringent environmental regulations globally requires businesses to pay strict</w:t>
      </w:r>
      <w:r>
        <w:rPr>
          <w:rFonts w:ascii="Arial" w:cs="Arial" w:eastAsia="Arial" w:hAnsi="Arial"/>
          <w:sz w:val="17"/>
          <w:szCs w:val="17"/>
          <w:i w:val="1"/>
          <w:iCs w:val="1"/>
          <w:color w:val="auto"/>
        </w:rPr>
        <w:t xml:space="preserve"> </w:t>
      </w:r>
      <w:r>
        <w:rPr>
          <w:rFonts w:ascii="Arial" w:cs="Arial" w:eastAsia="Arial" w:hAnsi="Arial"/>
          <w:sz w:val="17"/>
          <w:szCs w:val="17"/>
          <w:color w:val="auto"/>
        </w:rPr>
        <w:t>attention to environmental protection. Businesses and industries of all types from refineries, power, chemical processes, metals and minerals, energy market and industrial manufacturing must comply with these various international, federal, state and local government regulations or potentially face substantial fines or be forced to suspend production or alter their production processes. These increasingly stringent environmental regulations are a principal factor that drives our business.</w:t>
      </w:r>
    </w:p>
    <w:p>
      <w:pPr>
        <w:spacing w:after="0" w:line="174"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These factors, individually or collectively, tend to cause increases in industrial capital spending that are not directly impacted by general economic conditions, expansion, or capacity increases. In contrast, favorable conditions in the economy generally lead to plant expansions and the construction of new industrial sites. However, in a weak economy, customers tend to lengthen the time from their initial inquiry to the purchase order or defer purchases.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Mission and Strategy</w:t>
      </w:r>
    </w:p>
    <w:p>
      <w:pPr>
        <w:spacing w:after="0" w:line="21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mission is to help companies grow their business with safe, clean and more efficient solutions that help protect people, our shared environment and industrial equipment.</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seek to fulfill this mission through established global leadership in air quality and water treatment solutions focused on serving a diversified set of niche markets around the world. We will continue to leverage our innovative technology and application expertise to customers around the world. We work to improve air and water quality, protect customer's equipment, and provide custom engineered solutions for applications including power generation, petrochemical processing, general industrial, refining, midstream oil &amp; gas, electric vehicle production, poly silicon fabrication, battery recycling, and wastewater treatment along with a wide range of other applications.</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Our strategy to become the global leader in air quality and water treatment solutions is to drive an operating environment of performance excellence across the Company with a near term focus on targeted value creation enablers, and growth-oriented business segment performance.</w:t>
      </w:r>
    </w:p>
    <w:p>
      <w:pPr>
        <w:spacing w:after="0" w:line="147"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constantly look for opportunities to gain new customers and penetrate geographic locations and end markets with existing products and services or acquire new product or service opportunities. We intend to continue to expand our customer base and end markets and have continued to pursue potential attractive growth opportunities both domestically and internationally. In the past few years, we have expanded our international presence with new sales &amp; engineering hubs in the United Kingdom, Shanghai, Singapore, Pune India, and Dubai.</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1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During the first quarter of 2021, management determined that a realignment of the Company's segments was necessary to better reflect the solutions we provide, and the end markets we serve. As a result of this realignment, we combined the operating results of the prior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Industrial Solutions segment and the Fluid Handling Solutions segment into a single reportable segment named the Industrial Process Solutions segment.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Energy Solutions segment was renamed the Engineered Systems segment.</w:t>
      </w:r>
    </w:p>
    <w:p>
      <w:pPr>
        <w:spacing w:after="0" w:line="19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Our reportable segments continue to be focused on attractive end markets and each segment is aligned to generate profitable growth for the Company with a compelling technology and solution set to benefit customers.</w:t>
      </w:r>
    </w:p>
    <w:p>
      <w:pPr>
        <w:spacing w:after="0" w:line="167" w:lineRule="exact"/>
        <w:rPr>
          <w:sz w:val="20"/>
          <w:szCs w:val="20"/>
          <w:color w:val="auto"/>
        </w:rPr>
      </w:pPr>
    </w:p>
    <w:p>
      <w:pPr>
        <w:ind w:left="760" w:hanging="378"/>
        <w:spacing w:after="0" w:line="245"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Engineered Systems segment: </w:t>
      </w:r>
      <w:r>
        <w:rPr>
          <w:rFonts w:ascii="Arial" w:cs="Arial" w:eastAsia="Arial" w:hAnsi="Arial"/>
          <w:sz w:val="18"/>
          <w:szCs w:val="18"/>
          <w:color w:val="auto"/>
        </w:rPr>
        <w:t>Our Engineered Systems segment, formerly known as the Energy Solutions segment, serves the power</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refinery, water/wastewater and midstream oil &amp; gas markets. We are a key part of helping meet the global demand for environmental and equipment protection through our highly engineered platforms including emissions management, fluid bed cyclones, thermal acoustics, separation &amp; filtration, and dampers &amp; expansion joints.</w:t>
      </w:r>
    </w:p>
    <w:p>
      <w:pPr>
        <w:spacing w:after="0" w:line="180" w:lineRule="exact"/>
        <w:rPr>
          <w:rFonts w:ascii="Arial" w:cs="Arial" w:eastAsia="Arial" w:hAnsi="Arial"/>
          <w:sz w:val="18"/>
          <w:szCs w:val="18"/>
          <w:color w:val="auto"/>
        </w:rPr>
      </w:pPr>
    </w:p>
    <w:p>
      <w:pPr>
        <w:ind w:left="760" w:right="10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Industrial Process Solutions segment: </w:t>
      </w:r>
      <w:r>
        <w:rPr>
          <w:rFonts w:ascii="Arial" w:cs="Arial" w:eastAsia="Arial" w:hAnsi="Arial"/>
          <w:sz w:val="18"/>
          <w:szCs w:val="18"/>
          <w:color w:val="auto"/>
        </w:rPr>
        <w:t>Our Industrial Process Solutions segment is the combination of the segments formerly known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Solutions segment and our Fluid Handling Solutions segment, which serves the broad industrial air pollution control, beverage can, fluid handling, electric vehicle production, food and beverage, semi-conductor, process filtration, pharmaceutical, petrochemical, wastewater treatment, wood manufacturing, desalination, and aquaculture markets. We protect the air we collectively breathe, maintain clean and safe operations for employees, lower energy consumption, minimize waste for customers, and ensure they meet regulatory compliance standards for toxic emissions, fumes, volatile organic compounds and odors through our platforms including duct &amp; installation, industrial air, and fluid handling.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212"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i w:val="1"/>
          <w:iCs w:val="1"/>
          <w:color w:val="auto"/>
        </w:rPr>
        <w:t>Leading market position as a complete solution provider</w:t>
      </w:r>
      <w:r>
        <w:rPr>
          <w:rFonts w:ascii="Arial" w:cs="Arial" w:eastAsia="Arial" w:hAnsi="Arial"/>
          <w:sz w:val="17"/>
          <w:szCs w:val="17"/>
          <w:color w:val="auto"/>
        </w:rPr>
        <w:t>. We believe we are a leading provider of critical solutions in industrial air quality and water</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The multi-billion dollar global market is highly fragmented with numerous small and regional contracting firms separately supplying engineering services, fabrication, installation, testing and monitoring, products and spare parts. We offer our customers a complete end-to-end solution, including engineering and project management services, procurement and fabrication, construction and installation, aftermarket support, and sale of consumables, which allows our customers to avoid dealing with multiple vendors when managing projects.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Long-standing experience and customer relationships in growing industry</w:t>
      </w:r>
      <w:r>
        <w:rPr>
          <w:rFonts w:ascii="Arial" w:cs="Arial" w:eastAsia="Arial" w:hAnsi="Arial"/>
          <w:sz w:val="18"/>
          <w:szCs w:val="18"/>
          <w:color w:val="auto"/>
        </w:rPr>
        <w:t>. We have serviced the needs of our target markets for over 50 years. Our</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experience and expertise in providing diversified solutions enhances our overall customer relationships, and provides us with a competitive advantage in our markets relative to other companies in the industry. We believe this is evidenced by strong relationships with many of our world-class customers. We believe no single competitor has the resources to offer a similar portfolio of product and service capabilities. We offer the depth of a large organization, while our lean organizational structure keeps us close to our customers and markets, allowing us to offer rapid and complete solutions in each unique situation.</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i w:val="1"/>
          <w:iCs w:val="1"/>
          <w:color w:val="auto"/>
        </w:rPr>
        <w:t xml:space="preserve">Global diversification and broad customer base. </w:t>
      </w:r>
      <w:r>
        <w:rPr>
          <w:rFonts w:ascii="Arial" w:cs="Arial" w:eastAsia="Arial" w:hAnsi="Arial"/>
          <w:sz w:val="16"/>
          <w:szCs w:val="16"/>
          <w:color w:val="auto"/>
        </w:rPr>
        <w:t>The global diversity of our operations and customer base provides us with multiple growth opportunities.</w:t>
      </w:r>
      <w:r>
        <w:rPr>
          <w:rFonts w:ascii="Arial" w:cs="Arial" w:eastAsia="Arial" w:hAnsi="Arial"/>
          <w:sz w:val="16"/>
          <w:szCs w:val="16"/>
          <w:i w:val="1"/>
          <w:iCs w:val="1"/>
          <w:color w:val="auto"/>
        </w:rPr>
        <w:t xml:space="preserve"> </w:t>
      </w:r>
      <w:r>
        <w:rPr>
          <w:rFonts w:ascii="Arial" w:cs="Arial" w:eastAsia="Arial" w:hAnsi="Arial"/>
          <w:sz w:val="16"/>
          <w:szCs w:val="16"/>
          <w:color w:val="auto"/>
        </w:rPr>
        <w:t>As of December 31, 2021, we had a diversified customer base of approximately 6,500 active customers across a range of industries. We believe that the diversity of our customers and end markets mitigates our risk of a potential fluctuation or downturn in demand from any individual industry or particular customer. We believe we have the resources and capabilities to meet the needs of our customers as they upgrade and expand domestically as well as into new international markets. Once systems have been installed and a relationship has been established with the customer, we are often awarded repetitive service and maintenance business as the customers’ processes change and modifications or additions to their systems become necessary.</w:t>
      </w:r>
    </w:p>
    <w:p>
      <w:pPr>
        <w:spacing w:after="0" w:line="161"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i w:val="1"/>
          <w:iCs w:val="1"/>
          <w:color w:val="auto"/>
        </w:rPr>
        <w:t xml:space="preserve">Experienced management and engineering team. </w:t>
      </w:r>
      <w:r>
        <w:rPr>
          <w:rFonts w:ascii="Arial" w:cs="Arial" w:eastAsia="Arial" w:hAnsi="Arial"/>
          <w:sz w:val="16"/>
          <w:szCs w:val="16"/>
          <w:color w:val="auto"/>
        </w:rPr>
        <w:t>Our senior management team has substantial experience in industrial air quality and water treatment</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The business experience of our management team enables us to pursue our strategy. Our workforce includes approximately 250 engineers, designers, solution experts, and project managers whose significant specialized industry experience and technical expertise enables them to have a deep understanding of the solutions that will best suit the needs of our customers. The experience and stability of our management, operating and engineering teams have been crucial to our growth, developing and maintaining customer relationships, and increasing our market share.</w:t>
      </w:r>
    </w:p>
    <w:p>
      <w:pPr>
        <w:spacing w:after="0" w:line="15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i w:val="1"/>
          <w:iCs w:val="1"/>
          <w:color w:val="auto"/>
        </w:rPr>
        <w:t>Develop innovative solutions</w:t>
      </w:r>
      <w:r>
        <w:rPr>
          <w:rFonts w:ascii="Arial" w:cs="Arial" w:eastAsia="Arial" w:hAnsi="Arial"/>
          <w:sz w:val="16"/>
          <w:szCs w:val="16"/>
          <w:color w:val="auto"/>
        </w:rPr>
        <w:t>. We leverage our engineering and manufacturing expertise and strong customer relationships to develop new customized</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address the identified needs of our customers or a particular end market. We thoroughly analyze new product opportunities by considering projected demand for the product or service, price point, and expected operating costs, and only pursue those opportunities that we believe will contribute to earnings growth in the near-term. In addition, we continually improve our traditional technologies and adapt them to new industries and processes.</w:t>
      </w:r>
    </w:p>
    <w:p>
      <w:pPr>
        <w:spacing w:after="0" w:line="15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i w:val="1"/>
          <w:iCs w:val="1"/>
          <w:color w:val="auto"/>
        </w:rPr>
        <w:t>Disciplined acquisition program with successful integration</w:t>
      </w:r>
      <w:r>
        <w:rPr>
          <w:rFonts w:ascii="Arial" w:cs="Arial" w:eastAsia="Arial" w:hAnsi="Arial"/>
          <w:sz w:val="18"/>
          <w:szCs w:val="18"/>
          <w:color w:val="auto"/>
        </w:rPr>
        <w:t>. We believe that we have demonstrated an ability to successfully acquire and integrate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with complementary product or service offerings. We will continue to seek and execute additional strategic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6" w:name="page7"/>
    <w:bookmarkEnd w:id="6"/>
    <w:p>
      <w:pPr>
        <w:ind w:right="40"/>
        <w:spacing w:after="0" w:line="248" w:lineRule="auto"/>
        <w:rPr>
          <w:sz w:val="20"/>
          <w:szCs w:val="20"/>
          <w:color w:val="auto"/>
        </w:rPr>
      </w:pPr>
      <w:r>
        <w:rPr>
          <w:rFonts w:ascii="Arial" w:cs="Arial" w:eastAsia="Arial" w:hAnsi="Arial"/>
          <w:sz w:val="18"/>
          <w:szCs w:val="18"/>
          <w:color w:val="auto"/>
        </w:rPr>
        <w:t>acquisitions and focus on expanding our product service and breadth, as well as entering into new adjacent markets. We believe that the breadth and diversity of our products and services and our ability to deliver full solutions to various end markets provides us with multiple sources of stable growth and a competitive advantage relative to other players in the industry.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provide a wide spectrum of products and services including dampers and diverters, selective catalytic reduction and selective non-catalytic reduction systems, cyclonic technology, thermal oxidizers, filtration systems, scrubbers, water treatment and fluid handling equipment, and plant engineering services and engineered design build fabrication. Our products primarily compete on the basis of price, performance, speed of delivery, quality, customer support and single source.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Design and Research and Development</w:t>
      </w:r>
    </w:p>
    <w:p>
      <w:pPr>
        <w:spacing w:after="0" w:line="2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start by understanding our customers’ needs and delivering better outcomes for them by focusing new product development efforts that help protect our shared environment while working to improve a variety of operational outcomes including, but not limited to, facility uptime, production quality, employee safety, equipment protection and process performance. We produce specialized products that are often tailored to the specifications of a customer or application.</w:t>
      </w:r>
    </w:p>
    <w:p>
      <w:pPr>
        <w:spacing w:after="0" w:line="18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continually collaborate with our customers on their projects to develop the proper solution and ensure customer satisfaction. The project development cycle may follow many different paths depending on the specifics of the job and end market. The cycle can take from one to more than twelve months from concept and design to production but may vary significantly depending on developments that occur during the process, including among others, the emergence of new environmental demands, changes in design specifications and ability to obtain necessary approvals.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and Support</w:t>
      </w:r>
    </w:p>
    <w:p>
      <w:pPr>
        <w:spacing w:after="0" w:line="21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Our global selling strategy is to provide a solutions-based approach by being a single source provider of technology products and services. The strategy involves expanding our scope of products and services through selective acquisitions and the formation and integration of new business units. We believe this strategy provides a discernible competitive advantage. We execute this strategy by utilizing our portfolio of in-house technologies and those of third-party equipment suppliers. Many of these have been long-standing relationships, which have evolved from pure supplier roles to value-added business partnerships. This enables us to leverage existing business with selective alliances of suppliers and application specific engineering expertise. Our products primarily compete on the basis of price, performance, speed of delivery, quality, customer support, and single source. Our value proposition to customers is to provide competitively priced, customized solutions. Our industry-specific knowledge, accompanied by our product and service offerings, provides valuable synergies for design innovation.</w:t>
      </w:r>
    </w:p>
    <w:p>
      <w:pPr>
        <w:spacing w:after="0" w:line="18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sell and market our products and services with our own direct sales force, including employees in the United States, the Netherlands, United Kingdom, Canada, United Arab Emirates, India, China, and Singapore, in conjunction with outside sales representatives in North America, South America, Europe, Middle East, Asia, and India. We expect to continue expanding our sales and support capabilities and our network of outside sales representatives in key regions domestically and internationally.</w:t>
      </w:r>
    </w:p>
    <w:p>
      <w:pPr>
        <w:spacing w:after="0" w:line="188"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We market our offerings to our customers through a variety of channels including, but not limited to, digital, web, social media, email campaigns, individual customer visits, product announcements, brochures, magazine articles, advertisements and cover or article features in trade journals and other publications. We also participate in public relations and promotional events, including industry tradeshows and technical conferences.</w:t>
      </w:r>
    </w:p>
    <w:p>
      <w:pPr>
        <w:spacing w:after="0" w:line="16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customer service organization and sales force provides our customers with technical assistance, use and maintenance information as well as other key information regarding their purchase. We also actively provide our customers with access to key information regarding changes and pending changes in environmental regulations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 Moreover, this approach can lead to sales of annual service and support contracts as well as consumables. Our website also provides our customers with online tools and technical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21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In engineered systems, quality is defined as system performance. We review with our customers, before the contract is signed, the technical specification and the efficiency of the equipment that will be customized to meet their specific needs. We then review these same parameters internally to assure that warranties will be met. Standard project management and production management tools are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 w:name="page8"/>
    <w:bookmarkEnd w:id="7"/>
    <w:p>
      <w:pPr>
        <w:ind w:right="560"/>
        <w:spacing w:after="0" w:line="261" w:lineRule="auto"/>
        <w:rPr>
          <w:sz w:val="20"/>
          <w:szCs w:val="20"/>
          <w:color w:val="auto"/>
        </w:rPr>
      </w:pPr>
      <w:r>
        <w:rPr>
          <w:rFonts w:ascii="Arial" w:cs="Arial" w:eastAsia="Arial" w:hAnsi="Arial"/>
          <w:sz w:val="18"/>
          <w:szCs w:val="18"/>
          <w:color w:val="auto"/>
        </w:rPr>
        <w:t>used to help ensure that all work is done to specification and that project schedules are met. Equipment is tested at the site to ensure it is functioning properly.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are not dependent upon any single customer, and no customer comprised 10% or more of our consolidated revenues for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 and Subcontractors</w:t>
      </w:r>
    </w:p>
    <w:p>
      <w:pPr>
        <w:spacing w:after="0" w:line="212"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We purchase our raw materials and supplies from a variety of global sources. When possible, we directly secure angle iron and sheet plate products from steel mills, whereas other materials are purchased from a variety of steel service centers. Steel prices have traditionally been volatile, but we typically mitigate the risk of higher prices by including a “surcharge” on our standard products. On contract work, we try to mitigate the risk of higher prices by including the current price in our estimate and generally include price inflation clauses for protection.</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Typically, on turnkey projects, we subcontract manufacturing, electrical work, concrete work, controls, conveyors and insulation. We use subcontractors with whom we have good working relationships and review each project at the beginning and on an ongoing basis to help ensure that all work is being done according to our specifications. Subcontractors are generally paid when we are paid by our customers according to the terms of our contract with the customer. The Company’s asset-light business model focuses on effective management of subcontractors, which allows the Company to achieve targeted working capital levels through reduction in certain assets and reduced capital expenditures.</w:t>
      </w:r>
    </w:p>
    <w:p>
      <w:pPr>
        <w:spacing w:after="0" w:line="174"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While we believe we have a good relationship with our suppliers and subcontractors,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12"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Backlog was $213.9 million as of December 31, 2021 as compared to $183.1 million as of December 31, 2020. Backlog is adjusted on a quarterly basis for fluctuations in foreign currency exchange rates. Substantially all backlog is expected to be delivered within 12 to 18 months. Backlog is not defined by United States generally accepted accounting principles (“GAAP”) and our methodology for calculating backlog may not be consistent with methodologies used by other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markets we serve are highly fragmented with numerous small and regional participants. We believe no single company competes with us across the full range of our systems and products. Competition in the markets we serve is based on a number of considerations, including timeliness of delivery, technology, applications experience, know-how, reputation, product warranties, service and price. Demand for our product can vary period over period depending on conditions in the markets we serve. We believe our product quality, reliability, on-time delivery and safety supported by advanced engineering and operational excellence differentiate us from many of our competitors, including those competitors who often offer products at a lower price.</w:t>
      </w:r>
    </w:p>
    <w:p>
      <w:pPr>
        <w:spacing w:after="0" w:line="189"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Due to the size and shipping weight of many of our projects, localized manufacturing/fabrication capabilities are very important to our customers. As a result, competition varies widely by region and industry. The market for our engineered products is reasonably competitive and is characterized by technological change, continuously changing environmental regulations, and evolving customer requirements. We believe that the additional competitive factors in our markets include:</w:t>
      </w:r>
    </w:p>
    <w:p>
      <w:pPr>
        <w:spacing w:after="0" w:line="188"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track record;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portfolio of products with leading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design standard;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reliable solutions;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on-time delivery;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customer service and support;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operational stability, including reputation.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believe we compete favorably with respect to these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w:t>
      </w:r>
    </w:p>
    <w:p>
      <w:pPr>
        <w:spacing w:after="0" w:line="21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believe our operations are in compliance with applicable environmental laws and regulations. We believe that changes in environmental laws and regulations create opportunity given the nature of our business.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business is subject to numerous laws and regulations. While there are not currently regulations proposed or pending that we believe will result in material capital, operating or other costs to the business at this time, such regulations could be proposed and/or passed into law in 2022 or beyond. Other regulations currently in place could be withdrawn and replaced with more stringent requirements in 2022 or beyond. New laws and regulations and the costs of compliance with such new laws and regulations can only be broadly appraised until their implementation becomes more defined through regulatory guidance and enforcement.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1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rely on a combination of patent, trademark, copyright and trade secret laws, employee and third-party nondisclosure/confidentiality agreements and license agreements to protect our intellectual property. We sell most of our products under a number of registered trade names, brand names and registered trademarks, which we believe are widely recognized in the industry. While we hold patents within a number of our businesses, we do not view our patents to be material to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to Values and Ethics</w:t>
      </w:r>
    </w:p>
    <w:p>
      <w:pPr>
        <w:spacing w:after="0" w:line="23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At CECO, we act in accordance with our Code of Business Conduct and Ethics (“Code of Conduct”), which sets forth expectations and guidance for employees to make appropriate decisions. Our Code of Conduct covers topics such as anti-corruption, discrimination, harassment, data privacy, appropriate use of company assets, protecting confidential information, and reporting Code of Conduct violations. The Code of Conduct reflects our commitment to operating in a fair, honest, responsible and ethical manner and also provides direction for reporting complaints in the event of alleged violations of our policies ,including through an anonymous helpline. Our executive officers and managers maintain an “open door” policy, and any form of retaliation is strictly prohibited.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Management</w:t>
      </w:r>
    </w:p>
    <w:p>
      <w:pPr>
        <w:spacing w:after="0" w:line="198"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CECO recognizes that in order to drive innovation and operational excellence, we must identify, attract, retain and motivate world-class talent. As of December 31, 2021, CECO has approximately 730 employees, across eight countries. One-hundred and thirty of our US employees are unionized in our Pennsylvania, Tennessee and North Carolina facilities.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Leadership and People Development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To support personal and professional development, we have strategically committed resources to leadership and management development programs, product knowledge, job skills, and compliance training. In 2021, CECO continues to leverage a online learning platform so our employees can continue developing their skill sets and knowledge. Our learning platform offers over 16,000 courses and certifications ranging from job function to leadership and resource training. As of December 31, 2021, 82% of our employees have engaged with this learning platform and they are spending approximately 3 hours per month building their knowledge and skills. Additionally, in 2021 we further invested in high performing leaders by partnering with top US Universities including Wharton, Yale, MIT University of CA Berkeley, University of Pennsylvania and more, to build strategic, leadership and operational excellence skills. We also partnered with the Center of Creative Leadership to further reinforce leadership skills by investing in executive level coaching of high performing leaders. We believe this investment in our team members and leaders results in a more knowledgeable and competent workforce today while strengthening our succession plan and leadership bench for the future.</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provide a variety of resources to help our employees grow in their current roles and build new skills to thrive in the workplace of the future. Strategic talent reviews are conducted annually across all business areas. The Board is updated on the Company’s people strategy on an annual basis, which is refined based on business drivers, market factors and key initiatives designed to drive the corporate strategy and business results and meets to review our succession planning strategy and leadership pipeline for key roles, taking into account the Company’s long-term strategy.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Health and Safety</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At CECO, the health and safety of our employees is one of our highest priorities. We believe that all injuries, occupational illnesses and incidents are preventable, and we are committed to operating with a zero-incident culture. Through our environmental, health and safety program we implement policies and training programs, as well as perform self-audits to ensure our colleagues leave the workplace safely every day. To better understand employee safety at the site level, we have safety committees and safety scorecards to share best practices between sites. We currently share scorecard information monthly to foster visibility, accountability and commitment across our workplace, communicating and celebrating successful results across the enterprise. In addition to lagging indicators, such as injury performance, the scorecards highlight leading indicators such as safety observations and near-misses, as well as other proactive actions taken at each site to ensure worker safety. For the year ended December 31, 2021, CECO’s domestic Total Recordable Incident Rate (“TRIR”) was 1.9% as compared to our benchmark industry average TRIR of 4.1%.</w:t>
      </w:r>
    </w:p>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Our safety focus is also evident in our response to the COVID-19 pandemic around the globe. We implemented all government, federal and state policies, in addition to our enhanced policies procedures and protocols:</w:t>
      </w:r>
    </w:p>
    <w:p>
      <w:pPr>
        <w:spacing w:after="0" w:line="279"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implemented remote work and work from home flexibility for office job roles;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utilization of Microsoft Teams world-wide to enable collaboration while ensuring team safety;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to leverage an Emergency Paid Pandemic Leave policy to encourage those who are sick to stay home;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deep cleaning protocols across all locations;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initiated regular communication, public service announcements and mini-video sessions educating, promoting and encouraging the vaccine and highlighting our health and safety protocols and procedures;</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implemented the self-certification health assessment internationally as offices opened up in addition to continuing requirement for employees, partners and vendors at our manufacturing facilities (where allowed by local law);</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safety protocols to address actual and suspected COVID-19 cases and potential exposure;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prohibited all non-essential domestic and international travel for all employees;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masks to be worn in all locations where allowed by local law;</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on site visitors complete a health and travel declaration;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on site visitors traveling by plane, required a negative Polymerase Chain Reaction test before entering the facility.</w:t>
      </w:r>
    </w:p>
    <w:p>
      <w:pPr>
        <w:spacing w:after="0" w:line="34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CECO manufactures products and performs services deemed essential to critical infrastructure, including manufacturing, and energy, and, as a result, our facilities have continued operating during the COVID-19 pandemic. Importantly, during 2021, our experience and continuing focus on workplace safety have enabled us to preserve business continuity without sacrificing our commitment to keeping our colleagues and workplace visitors safe during the COVID-19 pandemic.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Equity, and an Inclusive Culture</w:t>
      </w:r>
    </w:p>
    <w:p>
      <w:pPr>
        <w:spacing w:after="0" w:line="19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At CECO we believe a diverse and inclusive workforce is critical to inspiring innovative thinking, creative problem-solving, performance, and results, so we cultivate an environment where team members feel valued, engaged, and inspired to give their best. The unique characteristics that shape each individual help inform our decisions as a company, and this mindset allows CECO to realize new opportunities and add value to our customers, partners, and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part of our efforts to expand CECO’s diverse workforce, we have:</w:t>
      </w:r>
    </w:p>
    <w:p>
      <w:pPr>
        <w:spacing w:after="0" w:line="104" w:lineRule="exact"/>
        <w:rPr>
          <w:sz w:val="20"/>
          <w:szCs w:val="20"/>
          <w:color w:val="auto"/>
        </w:rPr>
      </w:pPr>
    </w:p>
    <w:p>
      <w:pPr>
        <w:ind w:left="960" w:right="80" w:hanging="503"/>
        <w:spacing w:after="0" w:line="24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initiating recruitment efforts to attract and build a more diverse workforce, including expanding career opportunity postings on career websites to diverse job boards, as well as, search engines that aggregate and display job openings by employers, including those dedicated to diverse candidates;</w:t>
      </w:r>
    </w:p>
    <w:p>
      <w:pPr>
        <w:spacing w:after="0" w:line="73" w:lineRule="exact"/>
        <w:rPr>
          <w:rFonts w:ascii="Arial" w:cs="Arial" w:eastAsia="Arial" w:hAnsi="Arial"/>
          <w:sz w:val="18"/>
          <w:szCs w:val="18"/>
          <w:color w:val="auto"/>
        </w:rPr>
      </w:pPr>
    </w:p>
    <w:p>
      <w:pPr>
        <w:ind w:left="960" w:right="160" w:hanging="503"/>
        <w:spacing w:after="0" w:line="261"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invested in executive sponsorship training through the Yale School of Management so that a comprehensive Diversity, Equity and Inclusive roadmap could be designed and a partner selected to support us on this initiative.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10" w:name="page11"/>
    <w:bookmarkEnd w:id="10"/>
    <w:p>
      <w:pPr>
        <w:ind w:right="560"/>
        <w:spacing w:after="0" w:line="248" w:lineRule="auto"/>
        <w:rPr>
          <w:sz w:val="20"/>
          <w:szCs w:val="20"/>
          <w:color w:val="auto"/>
        </w:rPr>
      </w:pPr>
      <w:r>
        <w:rPr>
          <w:rFonts w:ascii="Arial" w:cs="Arial" w:eastAsia="Arial" w:hAnsi="Arial"/>
          <w:sz w:val="18"/>
          <w:szCs w:val="18"/>
          <w:color w:val="auto"/>
        </w:rPr>
        <w:t>CECO’s commitment to expanding our diverse workforce and enhancing our inclusive culture is driven by our recognition that a workplace that is reflective of our global customer base establishes a firm foundation to drive creativity and innovation, which lead to problem solving, development, performance, and business success.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CECO</w:t>
      </w:r>
    </w:p>
    <w:p>
      <w:pPr>
        <w:spacing w:after="0" w:line="212"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color w:val="auto"/>
        </w:rPr>
        <w:t>The following are the executive officers of the Company as of February 28, 2022. The terms of all officers expire at the next annual meeting of stockholders and upon the election of the successors of such officers.</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i w:val="1"/>
          <w:iCs w:val="1"/>
          <w:color w:val="auto"/>
        </w:rPr>
        <w:t xml:space="preserve">Todd Gleason </w:t>
      </w:r>
      <w:r>
        <w:rPr>
          <w:rFonts w:ascii="Arial" w:cs="Arial" w:eastAsia="Arial" w:hAnsi="Arial"/>
          <w:sz w:val="17"/>
          <w:szCs w:val="17"/>
          <w:color w:val="auto"/>
        </w:rPr>
        <w:t>(50) has served as a director and Chief Executive Officer since July 2020. Prior to joining the Company, Mr. Gleason most recently served,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2015 to July 2020, as President and Chief Executive Officer of Scientific Analytics Inc., a predictive analytic technologies and services company. Prior to that position, Mr. Gleason served from June 2007 to March 2015 in a number of senior officer and executive positions for Pentair plc, a water treatment company. During his tenure with Pentair, Mr. Gleason served as Senior Vice President and Corporate Officer from January 2013 to March 2015, President, Integration and Standardization from January 2010 to January 2013, and Vice President, Global Growth and Investor Relations from June 2007 to January 2010. Before joining Pentair, Mr. Gleason served as Vice President, Strategy and Investor Relations for American Standard Companies Inc. (later renamed to Trane Inc. prior to its acquisition by Ingersoll-Rand Company Limited), a global, diversified manufacturing company, and in a number of different roles (including as Chief Financial Officer, Honeywell Process Solutions) at Honeywell International Inc., a diversified technology and manufacturing company</w:t>
      </w:r>
      <w:r>
        <w:rPr>
          <w:rFonts w:ascii="Arial" w:cs="Arial" w:eastAsia="Arial" w:hAnsi="Arial"/>
          <w:sz w:val="17"/>
          <w:szCs w:val="17"/>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Matthew Eckl </w:t>
      </w:r>
      <w:r>
        <w:rPr>
          <w:rFonts w:ascii="Arial" w:cs="Arial" w:eastAsia="Arial" w:hAnsi="Arial"/>
          <w:sz w:val="16"/>
          <w:szCs w:val="16"/>
          <w:color w:val="auto"/>
        </w:rPr>
        <w:t>(41) has served as our Chief Financial Officer since January 2017. Prior to joining the Company, Mr. Eckl served as Vice President, Finance</w:t>
      </w:r>
    </w:p>
    <w:p>
      <w:pPr>
        <w:spacing w:after="0" w:line="3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Energy Group at Gardner Denver, Inc., a global provider of compressors, blowers, and vacuum pumps, from 2012 until January 2017. In this role, he oversaw a $1 billion revenue business group that designs, manufactures, markets and services pumps, fluid transfer equipment and engineered systems for oil &amp; gas and petrochemical industries. Prior to joining Gardner Denver, Mr. Eckl served in various roles of increasing responsibility within General Electric Company, a global digital industrial company, from 2002 until 2012, where he worked with various business groups to integrate new acquisitions and streamline financial reporting processes. Mr. Eckl earned a Bachelor’s degree in Management Information Systems from Pennsylvania State University.</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auto"/>
        </w:rPr>
        <w:t xml:space="preserve">Ramesh Nuggihalli </w:t>
      </w:r>
      <w:r>
        <w:rPr>
          <w:rFonts w:ascii="Arial" w:cs="Arial" w:eastAsia="Arial" w:hAnsi="Arial"/>
          <w:sz w:val="17"/>
          <w:szCs w:val="17"/>
          <w:color w:val="auto"/>
        </w:rPr>
        <w:t>(53) has served as our Chief Operating Officer since April 2021. Prior to joining the Company, Mr. Nuggihalli held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Officer role for NovaTech, LLC, a private industrial automation company, from July 2018 to November 2019. Prior to that, Mr. Nuggihalli was the President and Managing Director of Xylem Asia, a provider of premium field, portable, online and laboratory analytical instruments and software serving the water sector. Before Xylem, he was the Managing Director of Pentair Middle East based out of Dubai, UAE, serving the energy sector. Mr. Nuggihalli has more than 20 years of experience working in more than 25 countries managing complex international businesses in emerging markets. Mr. Nuggihalli has held executive leadership roles at Tyco International, a security systems company, Ametek, a global manufacturer of electronic instruments and electromechanical devices, General Electric, Babcock &amp; Wilcox, an American renewable environmental and thermal energy technologies and service provider and SNC-Lavalin, a Canadian company based in Montreal that provides engineering, procurement, and construction services to various industries, including mining and metallurgy, oil and gas, environment and water, infrastructure, and clean power. Mr. Nuggihalli, holds a bachelor’s degree in Engineering from the University of Mysore, India, a Master of Engineering degree from McGill University in Canada, and a Master of Business Administration from Wilfred Laurier University in Canada.</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Paul Gohr </w:t>
      </w:r>
      <w:r>
        <w:rPr>
          <w:rFonts w:ascii="Arial" w:cs="Arial" w:eastAsia="Arial" w:hAnsi="Arial"/>
          <w:sz w:val="17"/>
          <w:szCs w:val="17"/>
          <w:color w:val="auto"/>
        </w:rPr>
        <w:t>(40) has served as the Chief Accounting Officer since May 2017. Mr. Gohr previously served as our Vice President of Financial Reporting since</w:t>
      </w:r>
      <w:r>
        <w:rPr>
          <w:rFonts w:ascii="Arial" w:cs="Arial" w:eastAsia="Arial" w:hAnsi="Arial"/>
          <w:sz w:val="17"/>
          <w:szCs w:val="17"/>
          <w:i w:val="1"/>
          <w:iCs w:val="1"/>
          <w:color w:val="auto"/>
        </w:rPr>
        <w:t xml:space="preserve"> </w:t>
      </w:r>
      <w:r>
        <w:rPr>
          <w:rFonts w:ascii="Arial" w:cs="Arial" w:eastAsia="Arial" w:hAnsi="Arial"/>
          <w:sz w:val="17"/>
          <w:szCs w:val="17"/>
          <w:color w:val="auto"/>
        </w:rPr>
        <w:t>joining the Company in September 2014. From 2004 to 2014, Mr. Gohr served in various roles of increasing responsibility within Grant Thornton LLP, a global public accounting firm, most recently as a Senior Manager of Audit Services. While at Grant Thornton LLP, Mr. Gohr served a broad base of both public and private companies with international operations, many of which were acquisitive in nature. Mr. Gohr is a Certified Public Accountant. Mr. Gohr earned a Bachelor’s degree in Business, Accountancy and a Masters of Accountancy degree from Miami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1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 xml:space="preserve">We use the Investor Relations section of our website, </w:t>
      </w:r>
      <w:r>
        <w:rPr>
          <w:rFonts w:ascii="Arial" w:cs="Arial" w:eastAsia="Arial" w:hAnsi="Arial"/>
          <w:sz w:val="16"/>
          <w:szCs w:val="16"/>
          <w:u w:val="single" w:color="auto"/>
          <w:color w:val="auto"/>
        </w:rPr>
        <w:t>www.cecoenviro.com</w:t>
      </w:r>
      <w:r>
        <w:rPr>
          <w:rFonts w:ascii="Arial" w:cs="Arial" w:eastAsia="Arial" w:hAnsi="Arial"/>
          <w:sz w:val="16"/>
          <w:szCs w:val="16"/>
          <w:color w:val="auto"/>
        </w:rPr>
        <w:t xml:space="preserve">, as a channel for routine distribution of important information, including news releases, investor presentations and financial information. We post filings as soon as reasonably practicable after they are electronically filed with, or furnished to, the SEC, including our annual, quarterly, and current reports on Forms 10-K, 10-Q, and 8-K; proxy statements; and any amendments to those reports or statements. All such postings and filings are available on our website free of charge. The SEC also maintains a website,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that contains reports, proxy and information statements and other information regarding issuers that file electronically with the SEC. The content on any website referred to in this Annual Report on Form 10-K is not incorporated by reference into this Annual Report on Form 10-K unless expressly noted.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Although the risks are organized by headings, and each risk is discussed separately, many are interrelated. If any of these risks develop into actual events, it could materially and adversely affect our business, financial condition, results of operations and cash flows, and the trading price of your shares could decline and you may lose all or part of your investment.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Risks</w:t>
      </w:r>
    </w:p>
    <w:p>
      <w:pPr>
        <w:spacing w:after="0" w:line="21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i w:val="1"/>
          <w:iCs w:val="1"/>
          <w:color w:val="auto"/>
        </w:rPr>
        <w:t>We face risks related to health epidemics and other outbreaks, including the COVID-19 pandemic, which may adversely affect our business, results of operations and financial condition.</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face risks related to health epidemics and other outbreaks, including the COVID-19 pandemic. The COVID-19 pandemic persists in geographic areas in which we have operations, suppliers, customers and employees, and we expect it to continue to have a significant impact on our business, and may affect the demand for our products and disrupt our supply chain and the manufacturing and distribution of our products. It is unknown how long these disruptions could continue and such events may affect our business, results of operations and financial condition. As a key supplier to critical infrastructure projects within the United States, certain portions of our business have been designated an essential business, and we continue to operate our business in compliance with applicable state and local laws. We are observing recommended Centers for Disease Control and Prevention guidelines to minimize the risk of spreading the COVID-19 virus including implementing, where possible, work-from-home procedures and additional sanitization efforts where our facilities remain open. Additionally, the COVID-19 pandemic has also disrupted our international operations. Some of our facilities and our suppliers have experienced temporary disruptions as a result of the COVID-19 pandemic, and we continue to work closely with our global supply chain to proactively support customers during this critical time. We cannot predict whether our facilities will experience more significant disruptions in the future or the impact on our suppliers.</w:t>
      </w:r>
    </w:p>
    <w:p>
      <w:pPr>
        <w:spacing w:after="0" w:line="18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senior management team meets regularly to review and assess the status of the Company’s operations and the health and safety of its employees. The senior management team continues to monitor and manage the Company’s ability to operate effectively.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 Although vaccines are available in various countries where we operate, health concern risks remain and notwithstanding the Company’s continued efforts, it is possible the COVID-19 pandemic could further impact our operations and the operations of our suppliers and venders, particularly in light of newly emerging variant strains of the virus becoming more dominant, the potential resumption of high levels of infection and hospitalization, reduced efficacy of vaccines over time and the possibility that a large number of people decline to get vaccinated or receive booster shots. We cannot predict whether any of our manufacturing operations or suppliers will be disrupted by these events, or how long such disruptions would last. COVID-19 has had and may have further negative impacts on our operations, customers and supply chain despite the preventative and precautionary measures being taken.</w:t>
      </w:r>
    </w:p>
    <w:p>
      <w:pPr>
        <w:spacing w:after="0" w:line="183"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We have experienced and may continue to experience additional operating costs due to increased challenges with our workforce (including as a result of labor shortages, illness, absenteeism or government orders), access to supplies, capital and fundamental support services (such as shipping and transportation). Even after the COVID-19 pandemic has subsided, we may experience materially adverse impacts to our business due to any resulting supply chain disruptions, economic recession or depression. Furthermore, the impacts of potential worsening of global economic conditions, inflation resulting from government interventions and stimulus, and continued disruptions to and volatility in the financial markets remain unknown.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may be adversely affected by global economic conditions.</w:t>
      </w:r>
    </w:p>
    <w:p>
      <w:pPr>
        <w:spacing w:after="0" w:line="21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 national or global economic downturn or credit crisis may have a significant negative impact on our financial condition, future results of operations and cash flows. Specific risk factors related to these overall economic and credit conditions include the following:</w:t>
      </w:r>
    </w:p>
    <w:p>
      <w:pPr>
        <w:spacing w:after="0" w:line="171"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the COVID-19 pandemic may have on global capital markets;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customers or potential customers may reduce or delay their procurement or new product development;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key suppliers may have difficulties resulting in delays for our material purchases;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vendors, suppliers and other third parties may fail to perform their contractual obligations;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customers may become insolvent and/or unable to obtain credit to finance purchases of our products and services;</w:t>
      </w:r>
    </w:p>
    <w:p>
      <w:pPr>
        <w:spacing w:after="0" w:line="212"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These risk factors could reduce our product sales, increase our operating costs, impact our ability to collect customer receivables, lengthen our cash conversion cycle and increase our need for cash, which would ultimately decrease our profitability and negatively impact our financial condition. They could also limit our ability to expand through acquisitions due to the tightening of the credit markets.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dependence upon fixed-price contracts could adversely affect our operating results.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majority of our projects are currently performed on a fixed-price basis, while a limited number of projects are currently performed on a time and materials basis. Under a fixed-price contract, we agree on the price that we will receive for the entire project, based upon a defined scope, which includes specific assumptions and project criteria. If our estimates of the costs to complete the project are below the actual costs that we incur, our margins will decrease, or we may incur a loss. The revenue, cost and gross profit realized on a fixed-price contract will often vary from the estimated amounts because of unforeseen conditions or changes in job conditions and variations in labor and equipment productivity over the term of the contract, including those related to the COVID-19 pandemic. While our fixed-price contracts are typically not individually material to our operating results, if we are unsuccessful in mitigating these risks, we may realize gross profits that are different from those originally estimated and incur reduced profitability or losses on projects. Depending on the size of a project, these variations from estimated contract performance could have a significant effect on our operating results. In general, turnkey contracts to be performed on a fixed-price basis involve an increased risk of significant variations. Generally, our contracts and projects vary in length, depending on the size and complexity of the project, project owner demands and other factors. The foregoing risks are exacerbated for projects with longer-term durations and the inherent difficulties in estimating costs and of the interrelationship of the integrated services to be provided under these contracts whereby unanticipated costs or delays in performing part of the contract, including those related to the COVID-19 pandemic, can have compounding effects by increasing costs of performing other parts of the contract.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contract revenue may result in material adjustments that would adversely affect our financial condition and results of operations.</w:t>
      </w:r>
    </w:p>
    <w:p>
      <w:pPr>
        <w:spacing w:after="0" w:line="22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derive a significant portion of our revenues from fixed price contracts. 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Contract revenue and total direct cost estimates are reviewed and revised periodically as the work progresses and as change orders are approved, and adjustments are reflected in contract revenue in the period when these estimates are revised. These estimates are based on management’s reasonable assumptions and our historical experience, and are only estimates. Variation of actual results from these assumptions, which are outside the control of management and can differ from our historical experience, including for reasons related to the COVID-19 pandemic, could be material. To the extent that these adjustments result in an increase, a reduction or the elimination of previously reported contract revenue, we would recognize a credit or a charge against current earnings, which could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deliver our backlog on time could affect our future sales and profitability, and our relationships with our customers.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backlog was $213.9 million at December 31, 2021 and $183.1 million at December 31, 2020.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internal manufacturing plant capacity, available subcontractors and appropriate planning and scheduling of manufacturing resources. The COVID-19 pandemic has resulted in increased supply chain delays, cost inflation and workforce unavailability.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Volatility of oil and natural gas prices can adversely affect demand for our products and services.</w:t>
      </w:r>
    </w:p>
    <w:p>
      <w:pPr>
        <w:spacing w:after="0" w:line="21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Volatility in oil and natural gas prices can impact our customers’ activity levels and spending for our products and services. Current energy prices are important contributors to cash flow for our customers and their ability to fund capital expenditures. The COVID-19 pandemic has significantly disrupted demand for and expectations about future prices and price volatility, which are important for determining our customers’ future spending levels. Lower oil and natural gas prices generally lead to decreased spending by our customers. While higher oil and natural gas prices generally lead to increased spending by our customers, sustained high energy prices can be an impediment to economic growth, and can therefore negatively impact spending by our customers. Our customers also take into account the volatility of energy prices and other risk factors by requiring higher returns for individual projects if there is a higher perceived risk. Any of these factors could affect the demand for oil and natural gas and could have a material effect on our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performance may vary significantly from period to period.</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annual revenues and earnings have varied in the past and are likely to vary in the future. Our contracts generally stipulate customer-specific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 may cancel or delay projects. As a result, our backlog may not be indicative of our future revenue.</w:t>
      </w:r>
    </w:p>
    <w:p>
      <w:pPr>
        <w:spacing w:after="0" w:line="21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Customers may cancel or delay projects for reasons beyond our control, including for reasons related to and exasperated by the COVID-19 pandemic. Our orders normally contain cancellation provisions that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With rare exceptions, we are not issued contracts until a customer is ready to start work on a project. Thus, it is our experience that the only relationship between the length of a project and the possibility that a project may be cancelled is simply the fact that there is more time involved. For example, in a year-long project as opposed to a three-month project, more time is available for the customer to experience a softening in its business, which may cause the customer to cancel a project.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significant competition in the markets we serve.</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All of the industries in which we compete are highly competitive and highly fragmented. We compete in primarily mature markets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quality, reliability, on-time delivery and safety supported by advanced engineering and operational excellence. We must also be responsive to any technological developments and related changing customer requirements. Any failure by us to compete effectively in the markets we serve could have a material adverse effect on our financial condition, results of operations and cash flows.</w:t>
      </w:r>
    </w:p>
    <w:p>
      <w:pPr>
        <w:spacing w:after="0" w:line="189"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i w:val="1"/>
          <w:iCs w:val="1"/>
          <w:color w:val="auto"/>
        </w:rPr>
        <w:t>We may incur material costs as a result of existing or future product liability claims, or other claims and litigation that could adversely affect our financial condition, results of operations and cash flows; and our insurance coverage may not cover all claims or may be insufficient to cover the claims.</w:t>
      </w:r>
    </w:p>
    <w:p>
      <w:pPr>
        <w:spacing w:after="0" w:line="12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Despite our quality assurance measures, we may be exposed to product liability claims, other claims and litigation in the event that the use of our products results, or is alleged to result, in bodily injury and/or property damage or our products actually or allegedly fail to perform as expected. Such claims may also be accompanied by fraud and deceptive trade practices claims. While we maintain insurance coverage with respect to certain product liability and other claims, we may not be able to obtain such insurance on acceptable terms in the future, if at all, and any such insurance may not provide adequate coverage against product liability and other claims. Furthermore, our insurance may not cover damages from breach of contract by us or based on alleged fraud or deceptive trade practices. Any future damages that are not covered by insurance or are in excess of policy limits could have a material adverse effect on our financial condition, results of operations and cash flows. In addition, product liability and other claims can be expensive to</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defend and can divert the attention of management and other personnel for significant periods of time, regardless of the ultimate outcome.</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An unsuccessful defense of a product liability or other claim could have an adverse effect on our financial condition, results of operations and cash flows. Even if we are successful in defending against a claim relating to our products, claims of this nature could cause our customers to lose confidence in our products and us.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Liability to customers under warranties may adversely affect our reputation, our ability to obtain future business and our results of operations.</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provide certain warranties as to the proper operation and conformance to specifications of the products we manufacture or produce. Failure of our products to operate properly or to meet specifications may increase our costs by requiring additional engineering resources and services, replacement of parts and equipment or monetary reimbursement to customers. We have in the past received warranty claims, are currently subject to warranty claims, and we expect to continue to receive warranty claims in the future. To the extent that we incur substantial warranty claims in any period, our reputation, our ability to obtain future business and our results of operations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Increasing costs for manufactured components, raw materials, transportation, health care and energy prices may adversely affect our profitability.</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use a broad range of manufactured components and raw materials in our products, including raw steel, steel-related components, resin, filtration media and equipment such as fans and motors. Materials, wages and subcontracting costs comprise the largest components of our total costs. The current economic environment has resulted, and may continue to result, in price volatility and inflation of these costs. Further increases in the price of these items could further materially increase our operating costs and materially adversely affect our profit margins. Similarly, transportation, steel and health care costs have risen steadily over the past few years and represent an increasing burden for us. Although we try to contain these costs whenever possible, and although we try to pass along increased costs in the form of price increases to our customers, we may be unsuccessful in doing so, and even when successful, the timing of such price increases may lag significantly behind our incurrence of higher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 and Capital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gross profit are affected by shifts in our product mix.</w:t>
      </w:r>
    </w:p>
    <w:p>
      <w:pPr>
        <w:spacing w:after="0" w:line="21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of our products have higher gross profit margins than others. Consequently, changes in the product mix of our sales from quarter-to-quarter or from year-to-year can have a significant impact on our reported gross profit margins. Certain of our products also have a much higher internally manufactured cost component. Therefore, changes from quarter-to-quarter or from year-to-year can have a significant impact on our reported gross profit margins. In addition, contracts with a higher percentage of subcontracted work or equipment purchases may result in lower gross profit margins.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operations are dependent on third-party suppliers.</w:t>
      </w:r>
    </w:p>
    <w:p>
      <w:pPr>
        <w:spacing w:after="0" w:line="21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Although we are not dependent on any one supplier, we are dependent on the ability of our third-party suppliers to supply our raw materials, as well as certain specific component parts. The third-party suppliers upon which we depend may default on their obligations to us due to bankruptcy, insolvency, lack of liquidity, adverse economic conditions, operational failure, fraud, loss of key personnel or other reasons. For example, as a result of the COVID-19 pandemic and efforts to stop the spread of COVID-19, some of our third-party suppliers are experiencing delays in production or an inability to perform work. We cannot assure you that our third-party suppliers will dedicate sufficient resources to meet our scheduled delivery requirements or that our suppliers will have sufficient resources to satisfy our requirements during any period of sustained demand, and the global nature of the COVID-19 pandemic could result in there being fewer alternative suppliers. Failure of suppliers to supply, or delays in supplying, our raw materials or certain components, or allocations in the supply of certain high demand raw components, for any reason, including, without limitation, disruptions in our suppliers’ due to cybersecurity incidents, terrorist activity, public health crises (such as COVID-19), fires or other natural disasters could materially adversely affect our operations and ability to meet our own delivery schedules on a timely and competitive basis. Additionally, our third-party suppliers may provide us with raw materials or component parts that fail to meet our expectations or the expectations of our customers, which could subject us to product liability claims, other claims and litigation.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use of subcontractors could potentially harm our profitability and business reputation.</w:t>
      </w:r>
    </w:p>
    <w:p>
      <w:pPr>
        <w:spacing w:after="0" w:line="21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Occasionally we act as a prime contractor in some of the engineered projects we undertake. In our capacity as lead provider and when acting as a prime contractor, we perform a portion of the work on our projects with our own resources and typically subcontract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5" w:name="page16"/>
    <w:bookmarkEnd w:id="15"/>
    <w:p>
      <w:pPr>
        <w:ind w:right="640"/>
        <w:spacing w:after="0" w:line="248" w:lineRule="auto"/>
        <w:rPr>
          <w:sz w:val="20"/>
          <w:szCs w:val="20"/>
          <w:color w:val="auto"/>
        </w:rPr>
      </w:pPr>
      <w:r>
        <w:rPr>
          <w:rFonts w:ascii="Arial" w:cs="Arial" w:eastAsia="Arial" w:hAnsi="Arial"/>
          <w:sz w:val="18"/>
          <w:szCs w:val="18"/>
          <w:color w:val="auto"/>
        </w:rPr>
        <w:t>activities such as manufacturing, electrical work, concrete work, insulation, conveyors and controls. In our industry, the lead contractor is normally responsible for the performance of the entire contract, including subcontract work. Thus, when acting as a prime contractor, we are subject to risk associated with the failure of one or more subcontractors to perform as anticipated.</w:t>
      </w:r>
    </w:p>
    <w:p>
      <w:pPr>
        <w:spacing w:after="0" w:line="18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Moreover, the preventative or protective actions that governments, corporations, individuals or we may take to contain COVID-19 have resulted in, and may continue to result in, a period of reduced operations and business disruption for our subcontractors. The COVID-19 pandemic and related actions to stop the spread of COVID -19 have also prevented, and may continue to prevent, our subcontractors from meeting their obligations to us, which could also contribute to performance delays on our customer obligations and increase our costs. Any costs associated with the COVID-19 pandemic may not be fully recoverable or adequately covered by insurance.</w:t>
      </w:r>
    </w:p>
    <w:p>
      <w:pPr>
        <w:spacing w:after="0" w:line="189"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We employ subcontractors at various locations around the world to meet our customers’ needs in a timely manner, meet local content requirements and reduce costs. Subcontractors generally perform the majority of our manufacturing for international customers. We also utilize subcontractors in North America. The use of subcontractors decreases our control over the performance of these functions and could result in project delays, escalated costs and substandard quality. These risks could adversely affect our profitability and business reputation. In addition, many of our competitors, who have greater financial resources and greater bargaining power than we have, use the same subcontractors that we use and could potentially influence our ability to hire these subcontractors. If we were to lose relationships with key subcontractors, our business could be adversely impacted.</w:t>
      </w:r>
    </w:p>
    <w:p>
      <w:pPr>
        <w:spacing w:after="0" w:line="162" w:lineRule="exact"/>
        <w:rPr>
          <w:sz w:val="20"/>
          <w:szCs w:val="20"/>
          <w:color w:val="auto"/>
        </w:rPr>
      </w:pPr>
    </w:p>
    <w:p>
      <w:pPr>
        <w:ind w:right="660"/>
        <w:spacing w:after="0" w:line="291" w:lineRule="auto"/>
        <w:rPr>
          <w:sz w:val="20"/>
          <w:szCs w:val="20"/>
          <w:color w:val="auto"/>
        </w:rPr>
      </w:pPr>
      <w:r>
        <w:rPr>
          <w:rFonts w:ascii="Arial" w:cs="Arial" w:eastAsia="Arial" w:hAnsi="Arial"/>
          <w:sz w:val="17"/>
          <w:szCs w:val="17"/>
          <w:color w:val="auto"/>
        </w:rPr>
        <w:t>The COVID-19 pandemic has adversely affected the progress of construction projects across the globe and will likely continue to cause delays and disruptions. If projects are delayed or cancelled it could have a material adverse effect upon our business and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accounts receivable are related to larger contracts, which increases our exposure to credit risk.</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Significant portions of our sales are to customers who place large orders for custom products and whose activities are related to the power generation and oil &amp; gas industries. As a result, our exposure to credit risk is affected to some degree by conditions within these industries and governmental and or political conditions. We frequently attempt to reduce our exposure to credit risk by requiring progress or milestone payments and letters of credit as well as closely monitoring the credit worthiness of our customers. However, the continuing economic climate and other unanticipated events that affect our customers could have a materially adverse impact on our operating results. Further, we believe that the COVID-19 pandemic will continue to adversely impact our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billing terms can increase our exposure to working capital and credit risk.</w:t>
      </w:r>
    </w:p>
    <w:p>
      <w:pPr>
        <w:spacing w:after="0" w:line="212"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Our products are generally sold under contracts that allow us to bill upon the completion of certain agreed upon milestones or upon actual shipment of the product, and certain contracts include a retention provision.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Currency fluctuations may reduce profits on our foreign sales or increase our costs, either of which could adversely affect our financial results.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Given that approximately 38% of our 2021 revenues are outside the United States, we are subject to the impact of fluctuations in foreign currency exchange rates. Although our financial results are reported in U.S. dollars, a portion of our sales and operating costs are realized in foreign currencies. Our sales and profitability are impacted by the movement of the U.S. dollar against foreign currencies in the countries in which we generate sales and conduct operations. Long-term fluctuations in relative currency values could have an adverse effect on our operations and financial conditions.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ind w:right="600"/>
        <w:spacing w:after="0" w:line="261" w:lineRule="auto"/>
        <w:rPr>
          <w:sz w:val="20"/>
          <w:szCs w:val="20"/>
          <w:color w:val="auto"/>
        </w:rPr>
      </w:pPr>
      <w:r>
        <w:rPr>
          <w:rFonts w:ascii="Arial" w:cs="Arial" w:eastAsia="Arial" w:hAnsi="Arial"/>
          <w:sz w:val="18"/>
          <w:szCs w:val="18"/>
          <w:i w:val="1"/>
          <w:iCs w:val="1"/>
          <w:color w:val="auto"/>
        </w:rPr>
        <w:t>If our goodwill or indefinite lived intangibles become impaired, we may be required to recognize charges that would adversely impact our results of operations.</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As of December 31, 2021, goodwill and indefinite lived intangibles were $170.8 million, or 41.0%, of our total assets. Goodwill and indefinite lived intangible assets are not amortized, but instead are subject to annual impairment evaluations (or more frequently if circumstances require). Major factors that influence our evaluations are estimates for future revenue and expenses associated with the specific intangible asset or the reporting unit in which the goodwill resides. This is the most sensitive of our estimates related to our evaluations. Other factors considered in our evaluations include assumptions as to the business climate, industry and economic conditions. These assumptions are subjective and different estimates could have a significant impact on the results of our analyses. While management, based on current forecasts and outlooks, believes that the assumptions and estimates are reasonable, we can make no assurances that future actual operating results will be realized as planned and that there will not be material impairment charges as a result. In particular, an economic downturn could have a material adverse impact on our customers thereby forcing them to reduce or curtail doing business with us and such a result may materially affect the amount of cash flow generated by our future operations. Any write-down of goodwill or intangible assets resulting from future periodic evaluations could adversely materially impact our results of operations.</w:t>
      </w:r>
    </w:p>
    <w:p>
      <w:pPr>
        <w:spacing w:after="0" w:line="17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We may incur costs as a result of certain restructuring activities, which may negatively impact our financial results, and we may not achieve some or all of the expected benefits of our restructuring plans.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are continuously seeking the most cost-effective means and structure to serve our customers, protect our stockholders and respond to changes in our markets. From time to time, we may engage in restructuring activities in an effort to improve cost competitiveness and profitability. We may not achieve the desired or anticipated benefits from these restructuring activities. As a result, restructuring costs may vary significantly from year to year depending on the scope of such activities. Such restructuring costs and expenses could adversely impact our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party to asbestos-containing product litigation that could adversely affect our financial condition, results of operations and cash flows.</w:t>
      </w:r>
    </w:p>
    <w:p>
      <w:pPr>
        <w:spacing w:after="0" w:line="21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Our subsidiary, Met-Pro, along with numerous other third parties, has been named as a defendant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that caused injuries (including death) and loss to the plaintiffs. The Company’s insurers have hired attorneys who, together with the Company, are vigorously defending these cases.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8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See Note 12 to the Consolidated Financial Statements contained in Part II, Item 8 of this Annual Report on Form 10-K for information regarding the asbestos-related litigation in which we are involved.</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We have $65.5 million of indebtedness as of December 31, 2021, and incurrence of additional indebtedness could adversely affect our ability to operate our business, remain in compliance with debt covenants, make payments on our debt and limit our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indebtedness could have important consequences for investors, including the following:</w:t>
      </w:r>
    </w:p>
    <w:p>
      <w:pPr>
        <w:spacing w:after="0" w:line="212" w:lineRule="exact"/>
        <w:rPr>
          <w:sz w:val="20"/>
          <w:szCs w:val="20"/>
          <w:color w:val="auto"/>
        </w:rPr>
      </w:pPr>
    </w:p>
    <w:p>
      <w:pPr>
        <w:ind w:left="760" w:right="120" w:hanging="378"/>
        <w:spacing w:after="0" w:line="248"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may be more difficult for us to satisfy our obligations with respect to the agreement governing our Credit Facility (as defined herein), and any failure to comply with the obligations of any of the agreements governing any additional indebtedness, including financial and other restrictive covenants, could result in an event of default under such agreements;</w:t>
      </w:r>
    </w:p>
    <w:p>
      <w:pPr>
        <w:spacing w:after="0" w:line="73"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covenants contained in our debt agreements, including our Credit Facility, limit our ability to borrow money in the future for acquisitions, capital expenditures or to meet our operating expenses or other general corporate obligations;</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our interest expense may increase because a substantial portion of our borrowings are at variable rates of interest, which, if interest rates increase, could result in higher interest expense;</w:t>
      </w:r>
    </w:p>
    <w:p>
      <w:pPr>
        <w:spacing w:after="0" w:line="62" w:lineRule="exact"/>
        <w:rPr>
          <w:rFonts w:ascii="Arial" w:cs="Arial" w:eastAsia="Arial" w:hAnsi="Arial"/>
          <w:sz w:val="18"/>
          <w:szCs w:val="18"/>
          <w:color w:val="auto"/>
        </w:rPr>
      </w:pPr>
    </w:p>
    <w:p>
      <w:pPr>
        <w:ind w:left="760" w:right="460" w:hanging="378"/>
        <w:spacing w:after="0" w:line="261"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need to use a portion of our cash flows to pay interest on our debt, which will reduce the amount of money we have for operations, working capital, capital expenditures, expansion, acquisitions or general corporate or other business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a higher level of debt than some of our competitors, which could put us at a competitive disadvantage;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more vulnerable to economic downturns and adverse developments in our industry or the economy in general;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debt level could limit our flexibility in planning for, or reacting to, changes in our business and the industry in which we operate.</w:t>
      </w:r>
    </w:p>
    <w:p>
      <w:pPr>
        <w:spacing w:after="0" w:line="212"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Our ability to meet our expenses and debt obligations will depend on our future performance, which will be affected by financial, business, economic, regulatory and other factors. We will not be able to control many of these factors. We cannot be certain that our earnings will be sufficient to allow us to pay the principal and interest on our existing or future debt and meet our other obligations. Moreover, we currently expect that the COVID-19 pandemic will continue to negatively impact our cash flow and liquidity.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 particularly in light of COVID-19’s impact on capital markets.</w:t>
      </w:r>
    </w:p>
    <w:p>
      <w:pPr>
        <w:spacing w:after="0" w:line="16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Our ability to execute our growth strategies may be limited by our ability to secure and retain additional financing on terms reasonably acceptable to us or at all. Certain of our competitors are larger companies that may have greater access to capital, and therefore may have a competitive advantage over us should our access to capital be limited.</w:t>
      </w:r>
    </w:p>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In connection with the amendment to the Credit Facility executed on December 17, 2021, we modified, among other things, a substitute reference rate for the London Inter-Bank Offered Rate (“LIBOR”). This modification was made as a result of and with the expectation that the publication of LIBOR will cease on or before June 30, 2023. The methodology for calculating these reference rates differs in a number of respects from the methodology for calculating LIBOR, and they are not expected to be the economic equivalent of LIBOR. As a result of such differences in methodology, among other factors, it is possible that these rates will perform differently from LIBOR in future periods and may be more volatile. Additionally, there can be no assurance that the new reference rates will attain market acceptance as replacements of LIBOR. These interest rates will fluctuate with changing market conditions and, if they increase, our interest expense will also increase. The market transition away from LIBOR to alternative reference rates is complex and could have a range of material adverse effects on our business, financial condition and results of operations. In particular, increased interest rate expense would adversely affect our cash flow and our ability to service our indebtedness and fund our operations.</w:t>
      </w:r>
    </w:p>
    <w:p>
      <w:pPr>
        <w:spacing w:after="0" w:line="16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We might be unable to protect our intellectual property rights and our products could infringe the intellectual property rights of others, which could expose us to costly disputes.</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Although we believe that our products do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guarantee that we will be able to do so in a timely manner, upon acceptable terms and conditions, or at all. Failure to do any of the foregoing could have a material adverse effect upon our business. Moreover, if our products infringe patents or proprietary rights of others, we could, under certain circumstances, become liable for damages, which also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pension plan may adversely impact our results of operations and cash flow.</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Significant changes in actual investment return on pension assets, discount rates and other factors may adversely affect our results of operations and pension plan contributions in future periods. GAAP requires that we calculate the income or expense of our plan using actuarial valuations. These valuations reflect assumptions about financial markets and interest rates. We establish the discount rate used to determine the present value of the projected and accumulated benefit obligation at the end of each year based upon the available market rates for high quality, fixed-income investments. An increase in the discount rate would increase future pension expense and, conversely, a decrease in the discount rate would decrease future pension expense. Funding requirements for our pension plan may become more significant. The ultimate amounts to be contributed are dependent upon, among other things, interest rates, underlying asset returns and the impact of legislative or regulatory changes related to pension funding obligations. For a discussion regarding the significant assumptions used to estimate pension expense, including discount rate and the expected long-term rate of return on plan assets, and how our financial statements can be affected by pension plan accounting policies, see “Critical Accounting Policies” included in this Annual Report on Form 10-K in “Item 7. Management’s Discussion and Analysis of Financial Condition and Results of Operations.”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8" w:name="page19"/>
    <w:bookmarkEnd w:id="18"/>
    <w:p>
      <w:pPr>
        <w:ind w:right="120"/>
        <w:spacing w:after="0" w:line="261" w:lineRule="auto"/>
        <w:rPr>
          <w:sz w:val="20"/>
          <w:szCs w:val="20"/>
          <w:color w:val="auto"/>
        </w:rPr>
      </w:pPr>
      <w:r>
        <w:rPr>
          <w:rFonts w:ascii="Arial" w:cs="Arial" w:eastAsia="Arial" w:hAnsi="Arial"/>
          <w:sz w:val="18"/>
          <w:szCs w:val="18"/>
          <w:i w:val="1"/>
          <w:iCs w:val="1"/>
          <w:color w:val="auto"/>
        </w:rPr>
        <w:t>We may be subject to substantial withdrawal liability assessments in the future related to multiemployer pension plans to which certain of our subsidiaries make contributions pursuant to collective bargaining agreements.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Under applicable federal law, any employer contributing to a multiemployer pension plan that completely ceases participating in the plan while the plan is underfunded is subject to payment of such employer’s assessed share of the aggregate unfunded vested benefits of the plan. In certain circumstances, an employer can be assessed a withdrawal liability for a partial withdrawal from a multiemployer pension plan. If any of these adverse events were to occur in the future, it could result in a substantial withdrawal liability assessment that could have a material adverse effect on our business, financial condition, results of operations or cash flows.</w:t>
      </w:r>
    </w:p>
    <w:p>
      <w:pPr>
        <w:spacing w:after="0" w:line="18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i w:val="1"/>
          <w:iCs w:val="1"/>
          <w:color w:val="auto"/>
        </w:rPr>
        <w:t>We have made and may make future acquisitions or divestitures, which involve numerous risks that could impact our financial condition, results of operations and cash flows.</w:t>
      </w:r>
    </w:p>
    <w:p>
      <w:pPr>
        <w:spacing w:after="0" w:line="17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operating strategy has involved expanding or contracting our scope of products and services through selective acquisitions or divestitures and the formation or elimination of new business units that are then integrated or separated into or out of our family of turnkey system providers. We have acquired other businesses, product or service lines, assets or technologies that are complementary to our business. We may be unable to find or consummate future acquisitions at acceptable prices and terms. We continually evaluate potential acquisition opportunities in the ordinary course of business.</w:t>
      </w:r>
    </w:p>
    <w:p>
      <w:pPr>
        <w:spacing w:after="0" w:line="15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their actual value or understand potential liabilities. This is particularly true with respect to acquisitions outside the United States.</w:t>
      </w:r>
    </w:p>
    <w:p>
      <w:pPr>
        <w:spacing w:after="0" w:line="17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addition, acquisitions of businesses may require additional debt or equity financing, resulting in additional leverage or dilution of ownership. Our Credit Facility contains certain covenants that limit, or which may have the effect of limiting, among other things, acquisitions, capital expenditures, the sale of assets and the incurrence of additional indebtedness.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Societal responses to climate change could adversely affect our business and performance, including indirectly through impacts on our customers.</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Concerns over the long-term impacts of climate change have led and will continue to lead to governmental efforts around the world to mitigate those impacts. Consumers and businesses also may change their behavior as a result of these concerns. We and our customers will need to respond to new laws and regulations as well as consumer and business preferences resulting from climate change concerns. We and our customers may face cost increases, asset value reductions and operating process changes. The impact on our customers will likely vary depending on their specific attributes, including reliance on or role in carbon intensive activities. Among the impacts to us could be a drop in demand for our products and services, particularly in oil &amp; gas industries. In addition, we could face reductions in our creditworthiness or in the value of our assets securing loans. Our efforts to take these risks into account in making business decisions, including by increasing our business with climate-friendly companies, may not be effective in protecting us from the negative impact of new laws and regulations or changes in consumer or business behavior.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Human Capital Management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attract and retain qualified employees.</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future success depends upon the continued service of our executive officers and other key management and technical personnel, and on our ability to continue to identify, attract, retain and motivate them. Implementing our business strategy requires specialized engineering and other talent, as our revenues are highly dependent on technological and product innovations. The market for employees in our industry is extremely competitive, and competitors for talent, particularly engineering talent, increasingly attempt to hire, and to varying degrees have been successful in hiring, our employees, including by establishing local offices near our headquarters. If we are unable to attract and retain qualified employees, our business may be harmed.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 stoppages or similar difficulties could significantly disrupt our operations.</w:t>
      </w:r>
    </w:p>
    <w:p>
      <w:pPr>
        <w:spacing w:after="0" w:line="21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of December 31, 2021, approximately 130 of our approximately 730 employees are represented by international or independent labor unions under various union contracts that expire from May 31, 2022 to April 30, 2023. It is possible that our workforce will become more unionized in the future. Although we consider our employee relations to generally be good, our existing labor agreements may not prevent a strike or work stoppage at one or more of our facilities, including due to the effects of COVID-19, may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have a material adverse effect on our business. Unionization activities could also increase our costs, which could have an adverse effect on our profitability.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Additionally, a work stoppage at one of our suppliers could adversely affect our operations if an alternative source of supply were not readily available.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Work stoppages by employees of our customers also could result in reduced demand for our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Cybersecurity Risks</w:t>
      </w:r>
    </w:p>
    <w:p>
      <w:pPr>
        <w:spacing w:after="0" w:line="21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i w:val="1"/>
          <w:iCs w:val="1"/>
          <w:color w:val="auto"/>
        </w:rPr>
        <w:t>Our dependence on information systems and the failure of such systems, could significantly disrupt our business and negatively affect our financial condition, results of operations and cash flows.</w:t>
      </w:r>
    </w:p>
    <w:p>
      <w:pPr>
        <w:spacing w:after="0" w:line="17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are highly dependent on information systems that are increasingly operated by third parties and as a result we have a limited ability to ensure their continued operation. We rely on information technology systems, networks and infrastructure in managing our day-to-day operations. In the event of systems failure or interruption, including those related to the COVID-19 pandemic, force majeure, telecommunications failures, criminal acts, including hardware or software break-ins or extortion attempts, or viruses, or other cybersecurity incidents, we will have limited ability to affect the timing and success of systems restoration and any resulting interruption in our ability to manage and operate our business could have a material adverse effect on our operating results.</w:t>
      </w:r>
    </w:p>
    <w:p>
      <w:pPr>
        <w:spacing w:after="0" w:line="18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Increased information technology cybersecurity threats and more sophisticated and targeted computer crime could pose a risk to our systems, networks, and products.</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Increased global information technology cybersecurity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training, comprehensive monitoring of our networks and systems, and maintenance of backup and protective systems, our systems, networks and products remain potentially vulnerable to advanced persistent threats. Depending on their nature and scope, such threats could potentially lead to the compromise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 We have cybersecurity insurance related to a breach event covering expenses for notification, credit monitoring, investigation, crisis management, public relations and legal advice. However, damage and claims arising from such incidents may not be covered or exceed the amount of any insurance available, or may result in increased cybersecurity and other insurance premiums. In response to the COVID-19 pandemic and an increased reliance on our information technology systems, we have taken proactive measures to strengthen our information technology systems, including completion of a National Institute of Standards and Technology ("NIST") assessment, upgraded security patches across all servers, development of best-in-class hack protection service, implementation of recurring company-wide security training and enablement of advanced security for our major information systems. Management provides the Audit Committee with regular updates on cybersecurity risk management.</w:t>
      </w:r>
    </w:p>
    <w:p>
      <w:pPr>
        <w:spacing w:after="0" w:line="168"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Furthermore, the Company may have access to sensitive, confidential, or personal data or information that may be subject to privacy and security laws, regulations, or other contractually-imposed controls. Despite our use of reasonable and appropriate controls, material security breaches, theft, misplaced, lost or corrupted data, programming, or employee errors and/or malfeasance could lead to the compromise or improper use of such sensitive, confidential, or personal data or information, resulting in possible negative consequences, such as fines, ransom demands, penalties, loss of reputation, competitiveness or customers, or other negative consequences resulting in adverse impacts to our results of operations or financial condition.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 and International Operations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can be significantly affected by changes in regulatory standards.</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markets that the Company serves are characterized by competitively imposed process standards and regulatory requirements, each of which influences the demand for our products and services. Changes in legislative, regulatory or industrial requirements may render certain of our products and processes obsolete. Conversely, these changes may present new business opportunities for us. Acceptance of new products and services may also be affected by the adoption of new government regulations requiring stricter standards. Our ability to anticipate changes in regulatory standards and to respond with new and enhanced products on a timely basis will be a significant factor in our ability to grow and to remain competitive. We cannot guarantee that we will be able to achieve the technological advances that may be necessary for us to remain competitive or that certain of our products or services will not become obsolete.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0" w:name="page21"/>
    <w:bookmarkEnd w:id="20"/>
    <w:p>
      <w:pPr>
        <w:ind w:right="20"/>
        <w:spacing w:after="0" w:line="261" w:lineRule="auto"/>
        <w:rPr>
          <w:sz w:val="20"/>
          <w:szCs w:val="20"/>
          <w:color w:val="auto"/>
        </w:rPr>
      </w:pPr>
      <w:r>
        <w:rPr>
          <w:rFonts w:ascii="Arial" w:cs="Arial" w:eastAsia="Arial" w:hAnsi="Arial"/>
          <w:sz w:val="18"/>
          <w:szCs w:val="18"/>
          <w:i w:val="1"/>
          <w:iCs w:val="1"/>
          <w:color w:val="auto"/>
        </w:rPr>
        <w:t>Changes in current environmental legislation and enforcement could have an adverse impact on the sale of our environmental control systems and products and on our financial condition, results of operations and cash flows.</w:t>
      </w:r>
    </w:p>
    <w:p>
      <w:pPr>
        <w:spacing w:after="0" w:line="171"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Our business is primarily driven by capital spending, clean air rules, plant upgrades by our customers to comply with laws and regulations governing the discharge of pollutants into the environment or otherwise relating to the protection of the environment or human health. These laws include, but are not limited to, United States federal statutes such as the Resource Conservation and Recovery Act of 1976, the Comprehensive Environmental Response, Compensation, and Liability Act of 1980, the Clean Water Act, the Clean Air Act, the Clean Air Interstate Rule, and the regulations implementing these statutes, as well as similar laws and regulations at state and local levels and in other countries. These United States laws and regulations may change and other countries may not adopt similar laws and regulations. Our business may be adversely impacted to the extent that environmental regulations are repealed, amended, implementation dates are delayed, or to the extent that regulatory authorities reduce enforcement.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outside of the United States are subject to political, investment and local business risks.</w:t>
      </w:r>
    </w:p>
    <w:p>
      <w:pPr>
        <w:spacing w:after="0" w:line="21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For the year ended December 31, 2021, approximately 38% of our total revenue was derived from products or services ultimately delivered or provided to end users outside the United States. As part of our operating strategy, we intend to expand our international operations through internal growth and selected acquisitions. Operations outside of the United States, particularly in emerging markets, are subject to a variety of risks that are different from or are in addition to the risks we face within the United States. Among others, these risks include: (i) local, economic, political and social conditions, including potential hyperinflationary conditions and political instability in certain countries; (ii) tax-related risks, including the imposition of taxes and the lack of beneficial treaties, that result in a higher effective tax rate for us; (iii) imposition of limitations on the remittance of dividends and payments by foreign subsidiaries; (iv) difficulties in enforcing agreements and collecting receivables through certain foreign local systems; (v) domestic and foreign customs, tariffs and quotas or other trade barriers; (vi) risk of nationalization of private enterprises by foreign governments; (vii) managing and obtaining support and distribution channels for overseas operations; (viii) hiring and retaining qualified management personnel for our overseas operations; (ix) the results of new trade agreements and changes in membership to international coalitions or unions, the United Kingdom’s exit from the European Union; and (x) the effects of COVID-19 and the extent to which the pandemic may disrupt global capital markets, supply chains, and/or our foreign operations.</w:t>
      </w:r>
    </w:p>
    <w:p>
      <w:pPr>
        <w:spacing w:after="0" w:line="167"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We are also exposed to risks relating to U.S. policy with respect to companies doing business in foreign jurisdictions. Changes in laws or policies governing the terms of foreign trade, in particular increased trade restrictions, tariffs or taxes on import from countries where we procure or manufacture products, such as China, could have a material adverse effect on our business and results of operations. For instance, the U.S. and Chinese governments have imposed a series of significant incremental retaliatory tariffs to certain imported goods. Given the uncertainty regarding the duration of the imposed tariffs, as well as the potential for additional tariffs by the U.S., China or other countries, as well as other changes in tax policy, trade regulations or trade agreements, and the Company’s ability to implement strategies to mitigate the impact of changes in tax policy, tariffs or other trade regulations, our exposure to the risks described above could have a material adverse effect on our business and results of operations.</w:t>
      </w:r>
    </w:p>
    <w:p>
      <w:pPr>
        <w:spacing w:after="0" w:line="1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compliance with foreign and domestic legal and regulatory requirements, including import, export, defense regulations and foreign exchange controls and anti-corruption laws, such as the Foreign Corrupt Practices Act, the United Kingdom’s Bribery Act, the European Union’s General Data Protection Regulations and similar laws of other jurisdictions, could adversely impact our ability to compete against companies in such jurisdictions. Moreover, the violation of such laws or regulations, by us or our representatives, could result in severe penalties including monetary fines, criminal proceedings and suspension of export privileges. We operate in many parts of the world that have experienced governmental corruption to some degree and, in certain circumstances, strict compliance with anti-bribery laws may conflict with local customs and practices. We cannot assure you that our internal controls and procedures will always protect us from reckless or criminal acts committed by our employees or agents. If we are found to be liable for such violations, we could suffer from criminal or civil penalties or other sanctions, including loss of export privileges or authorization needed to conduct aspects of our international business, which could have a material adverse effect on our business.</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occurrence of one or more of the foregoing factors could have a material adverse effect on our international operations or upon our financial condition, results of operations and cash flows.</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color w:val="auto"/>
        </w:rPr>
        <w:t>Changes in laws or regulations or the manner of their interpretation or enforcement could adversely impact our financial performance and restrict our ability to operate our business or execute our strategies.</w:t>
      </w:r>
    </w:p>
    <w:p>
      <w:pPr>
        <w:spacing w:after="0" w:line="171"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New laws or regulations, or changes in existing laws or regulations, or the manner of their interpretation or enforcement, could increase our cost of doing business and restrict our ability to operate our business or execute our strategies. In particular, there is continued uncertainty with respect to United States trade policies, treaties, government regulations and tariffs. Any changes the Biden administration makes to United States administrative policy could result in changes to existing trade agreements, greater restrictions on free trade generally and significant increases in tariffs on goods imported into the United States, particularly tariffs on products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ind w:right="300"/>
        <w:spacing w:after="0" w:line="248" w:lineRule="auto"/>
        <w:rPr>
          <w:sz w:val="20"/>
          <w:szCs w:val="20"/>
          <w:color w:val="auto"/>
        </w:rPr>
      </w:pPr>
      <w:r>
        <w:rPr>
          <w:rFonts w:ascii="Arial" w:cs="Arial" w:eastAsia="Arial" w:hAnsi="Arial"/>
          <w:sz w:val="18"/>
          <w:szCs w:val="18"/>
          <w:color w:val="auto"/>
        </w:rPr>
        <w:t>manufactured in Mexico and China, among other possible changes. A trade war or other governmental action related to tariffs or international trade agreements, and any resulting negative sentiments towards the United States as a result thereof, would likely have an adverse effect on our international operations or upon our business, financial condition,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i w:val="1"/>
          <w:iCs w:val="1"/>
          <w:color w:val="auto"/>
        </w:rPr>
        <w:t>The market price of our common stock may be volatile or may decline regardless of our operating performance and investors may not be able to resell shares they purchase at their purchase price.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stock market has experienced and may in the future experience volatility that has often been unrelated to the operating performance of particular companies. The market price of our common stock has experienced, and may continue to experience, substantial volatility. During 2021, the sales price of our common stock on the NASDAQ ranged from $5.77 to $9.47 per share. We expect our common stock to continue to be subject to fluctuations. Broad market and industry factors may adversely affect the market price of our common stock, regardless of our actual operating performance. Factors that could cause fluctuation in the common stock price may include, among other things:</w:t>
      </w:r>
    </w:p>
    <w:p>
      <w:pPr>
        <w:spacing w:after="0" w:line="174"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103" w:lineRule="exact"/>
        <w:rPr>
          <w:rFonts w:ascii="Arial" w:cs="Arial" w:eastAsia="Arial" w:hAnsi="Arial"/>
          <w:sz w:val="18"/>
          <w:szCs w:val="18"/>
          <w:color w:val="auto"/>
        </w:rPr>
      </w:pPr>
    </w:p>
    <w:p>
      <w:pPr>
        <w:ind w:left="760" w:hanging="378"/>
        <w:spacing w:after="0" w:line="248"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general economic conditions, including, but not limited to, withdrawals of investments in the stock markets generally or a tightening of credit available to potential acquirers of businesses, that result in lower average prices being paid for public company shares and lower valuations being placed on businesses;</w:t>
      </w:r>
    </w:p>
    <w:p>
      <w:pPr>
        <w:spacing w:after="0" w:line="7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domestic and international macroeconomic factors unrelated to our performance;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epidemics and other outbreaks, including the COVID-19 pandemic;</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to meet the expectations of the investment community;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industry trends and the business success of our customers;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key customers;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technological advances by us or our competitors;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events affecting the political and economic environment in the United States;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conditions or trends in our industry, including demand for our products and services, technological advances and governmental regulations;</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or other proceedings involving or affecting us;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our key personnel.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realization of any of these risks and other factors beyond our control could cause the market price of our common stock to decline significantly.</w:t>
      </w:r>
    </w:p>
    <w:p>
      <w:pPr>
        <w:spacing w:after="0" w:line="2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i w:val="1"/>
          <w:iCs w:val="1"/>
          <w:color w:val="auto"/>
        </w:rPr>
        <w:t>We are not currently paying dividends and cannot make assurances that we will pay dividends on our common stock and our indebtedness could limit our ability to pay dividends.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any of the years ended December 31, 2021, 2020 or 2019 and currently intend to retain future earnings, if any, to finance the operations, growth and development of our business into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issue preferred stock could adversely affect the rights of holders of our common stock.</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our common stock as to voting or dividend rights or rights upon our liquidation, dissolution or winding up.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Certain provisions in our charter documents have anti-takeover effects.</w:t>
      </w:r>
    </w:p>
    <w:p>
      <w:pPr>
        <w:spacing w:after="0" w:line="212"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 offer or otherwise acquire substantial amounts of our common stock or to launch other takeover attempts that a stockholder might consider to be in such stockholder’s best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maintain adequate internal controls could adversely affect our business.</w:t>
      </w:r>
    </w:p>
    <w:p>
      <w:pPr>
        <w:spacing w:after="0" w:line="212"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Under Section 404 of the Sarbanes-Oxley Act of 2002, we are required to include in each of our Annual Reports on Form 10-K a report containing our management’s assessment of the effectiveness of our internal control over financial reporting and an attestation report of our independent auditor. These laws, rules and regulations continue to evolve and could become increasingly stringent in the future. We have undertaken actions to enhance our ability to comply with the requirements of the Sarbanes-Oxley Act of 2002, including, but not limited to, the engagement of consultants, the documentation of existing controls and the implementation of new controls or modification of existing controls as deemed appropriate.</w:t>
      </w:r>
    </w:p>
    <w:p>
      <w:pPr>
        <w:spacing w:after="0" w:line="15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We continue to devote substantial time and resources to the documentation and testing of our controls, and to plan for and the implementation of remedial efforts in those instances where remediation is indicated. If we fail to maintain the adequacy of our internal controls, including remediating any material weaknesses or deficiencies in our internal controls, as such standards are modified, supplemented or amended in the future, we could be subject to regulatory actions, civil or criminal penalties or stockholder litigation. In addition, failure to maintain adequate internal controls could result in financial statements that do not accurately reflect our financial condition, results of operations and cash flows. We believe that the out-of-pocket costs, the diversion of management’s attention from running our day-to-day operations and operational changes caused by the need to comply with the requirements of Section 404 of the Sarbanes-Oxley Act of 2002 will continue to be significant.</w:t>
      </w:r>
    </w:p>
    <w:p>
      <w:pPr>
        <w:spacing w:after="0" w:line="18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i w:val="1"/>
          <w:iCs w:val="1"/>
          <w:color w:val="auto"/>
        </w:rPr>
        <w:t>There are inherent limitations in all internal control systems over financial reporting, and misstatements due to error or fraud may occur and not be detected.</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While we continue to take action to ensure compliance with the internal control, disclosure control and other requirements of the Sarbanes-Oxley Act of 2002 and the rules and regulations promulgated thereunder by the SEC, there are inherent limitations in our ability to control all circumstances. Our management, including our Chief Executive Officer and Chief Financial Officer, do not expect that our internal controls and disclosure controls can prevent all errors and all frauds. A control system, no matter how well conceived and operated, can provide only reasonable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180" w:lineRule="exact"/>
        <w:rPr>
          <w:sz w:val="20"/>
          <w:szCs w:val="20"/>
          <w:color w:val="auto"/>
        </w:rPr>
      </w:pPr>
    </w:p>
    <w:p>
      <w:pPr>
        <w:jc w:val="both"/>
        <w:ind w:right="180"/>
        <w:spacing w:after="0" w:line="243" w:lineRule="auto"/>
        <w:rPr>
          <w:sz w:val="20"/>
          <w:szCs w:val="20"/>
          <w:color w:val="auto"/>
        </w:rPr>
      </w:pPr>
      <w:r>
        <w:rPr>
          <w:rFonts w:ascii="Arial" w:cs="Arial" w:eastAsia="Arial" w:hAnsi="Arial"/>
          <w:sz w:val="18"/>
          <w:szCs w:val="18"/>
          <w:color w:val="auto"/>
        </w:rPr>
        <w:t>If we are not able to maintain the adequacy of our internal control over financial reporting, including any failure to implement required new or improved controls, or if we experience difficulties in their implementation, our business, financial condition and operating results could be harmed. We can give no assurances that any additional material weaknesses will not arise in the future due to our failure to implement and maintain adequate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24 principal operating facilities across 11 states and seven foreign countries. The Company’s executive offices are located in Dallas, Texas. We maintain our facilities in good operating condition, and we believe they are suitable and adequate for the purposes for which they are intended to conduct business. Our current capacity, with limited capital additions, is expected to be sufficient to meet production requirements for the near future. It is anticipated that most leases coming due in the near future will be renewed at expiration. The property we own is subject to collateral mortgages to secure the amounts owed under the Credit Facility. Information on the number and location of principal operating facilities by segment was as follows as of December 31, 2021.</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Segment</w:t>
            </w:r>
          </w:p>
        </w:tc>
        <w:tc>
          <w:tcPr>
            <w:tcW w:w="160" w:type="dxa"/>
            <w:vAlign w:val="bottom"/>
          </w:tcPr>
          <w:p>
            <w:pPr>
              <w:spacing w:after="0"/>
              <w:rPr>
                <w:sz w:val="19"/>
                <w:szCs w:val="19"/>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Owned</w:t>
            </w:r>
          </w:p>
        </w:tc>
        <w:tc>
          <w:tcPr>
            <w:tcW w:w="220" w:type="dxa"/>
            <w:vAlign w:val="bottom"/>
          </w:tcPr>
          <w:p>
            <w:pPr>
              <w:spacing w:after="0"/>
              <w:rPr>
                <w:sz w:val="19"/>
                <w:szCs w:val="19"/>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Leased</w:t>
            </w:r>
          </w:p>
        </w:tc>
        <w:tc>
          <w:tcPr>
            <w:tcW w:w="6120" w:type="dxa"/>
            <w:vAlign w:val="bottom"/>
            <w:tcBorders>
              <w:bottom w:val="single" w:sz="8" w:color="auto"/>
            </w:tcBorders>
            <w:gridSpan w:val="3"/>
          </w:tcPr>
          <w:p>
            <w:pPr>
              <w:ind w:left="2260"/>
              <w:spacing w:after="0"/>
              <w:rPr>
                <w:sz w:val="20"/>
                <w:szCs w:val="20"/>
                <w:color w:val="auto"/>
              </w:rPr>
            </w:pPr>
            <w:r>
              <w:rPr>
                <w:rFonts w:ascii="Arial" w:cs="Arial" w:eastAsia="Arial" w:hAnsi="Arial"/>
                <w:sz w:val="18"/>
                <w:szCs w:val="18"/>
                <w:b w:val="1"/>
                <w:bCs w:val="1"/>
                <w:color w:val="auto"/>
              </w:rPr>
              <w:t>Location of Facilities</w:t>
            </w:r>
          </w:p>
        </w:tc>
        <w:tc>
          <w:tcPr>
            <w:tcW w:w="0" w:type="dxa"/>
            <w:vAlign w:val="bottom"/>
          </w:tcPr>
          <w:p>
            <w:pPr>
              <w:spacing w:after="0"/>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980" w:type="dxa"/>
            <w:vAlign w:val="bottom"/>
          </w:tcPr>
          <w:p>
            <w:pPr>
              <w:ind w:left="1260"/>
              <w:spacing w:after="0" w:line="196" w:lineRule="exact"/>
              <w:rPr>
                <w:sz w:val="20"/>
                <w:szCs w:val="20"/>
                <w:color w:val="auto"/>
              </w:rPr>
            </w:pPr>
            <w:r>
              <w:rPr>
                <w:rFonts w:ascii="Arial" w:cs="Arial" w:eastAsia="Arial" w:hAnsi="Arial"/>
                <w:sz w:val="18"/>
                <w:szCs w:val="18"/>
                <w:b w:val="1"/>
                <w:bCs w:val="1"/>
                <w:color w:val="auto"/>
              </w:rPr>
              <w:t>States</w:t>
            </w:r>
          </w:p>
        </w:tc>
        <w:tc>
          <w:tcPr>
            <w:tcW w:w="160" w:type="dxa"/>
            <w:vAlign w:val="bottom"/>
          </w:tcPr>
          <w:p>
            <w:pPr>
              <w:spacing w:after="0"/>
              <w:rPr>
                <w:sz w:val="17"/>
                <w:szCs w:val="17"/>
                <w:color w:val="auto"/>
              </w:rPr>
            </w:pPr>
          </w:p>
        </w:tc>
        <w:tc>
          <w:tcPr>
            <w:tcW w:w="2980" w:type="dxa"/>
            <w:vAlign w:val="bottom"/>
          </w:tcPr>
          <w:p>
            <w:pPr>
              <w:ind w:left="1100"/>
              <w:spacing w:after="0" w:line="196" w:lineRule="exact"/>
              <w:rPr>
                <w:sz w:val="20"/>
                <w:szCs w:val="20"/>
                <w:color w:val="auto"/>
              </w:rPr>
            </w:pPr>
            <w:r>
              <w:rPr>
                <w:rFonts w:ascii="Arial" w:cs="Arial" w:eastAsia="Arial" w:hAnsi="Arial"/>
                <w:sz w:val="18"/>
                <w:szCs w:val="18"/>
                <w:b w:val="1"/>
                <w:bCs w:val="1"/>
                <w:color w:val="auto"/>
              </w:rPr>
              <w:t>Countries</w:t>
            </w:r>
          </w:p>
        </w:tc>
        <w:tc>
          <w:tcPr>
            <w:tcW w:w="0" w:type="dxa"/>
            <w:vAlign w:val="bottom"/>
          </w:tcPr>
          <w:p>
            <w:pPr>
              <w:spacing w:after="0"/>
              <w:rPr>
                <w:sz w:val="1"/>
                <w:szCs w:val="1"/>
                <w:color w:val="auto"/>
              </w:rPr>
            </w:pPr>
          </w:p>
        </w:tc>
      </w:tr>
      <w:tr>
        <w:trPr>
          <w:trHeight w:val="156"/>
        </w:trPr>
        <w:tc>
          <w:tcPr>
            <w:tcW w:w="3020" w:type="dxa"/>
            <w:vAlign w:val="bottom"/>
            <w:tcBorders>
              <w:top w:val="single" w:sz="8" w:color="auto"/>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Engineered Systems Segment</w:t>
            </w:r>
          </w:p>
        </w:tc>
        <w:tc>
          <w:tcPr>
            <w:tcW w:w="160" w:type="dxa"/>
            <w:vAlign w:val="bottom"/>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3"/>
                <w:szCs w:val="13"/>
                <w:color w:val="auto"/>
              </w:rPr>
            </w:pPr>
          </w:p>
        </w:tc>
        <w:tc>
          <w:tcPr>
            <w:tcW w:w="2980" w:type="dxa"/>
            <w:vAlign w:val="bottom"/>
            <w:tcBorders>
              <w:top w:val="single" w:sz="8" w:color="auto"/>
            </w:tcBorders>
            <w:shd w:val="clear" w:color="auto" w:fill="CFF0FC"/>
          </w:tcPr>
          <w:p>
            <w:pPr>
              <w:ind w:left="60"/>
              <w:spacing w:after="0" w:line="156" w:lineRule="exact"/>
              <w:rPr>
                <w:sz w:val="20"/>
                <w:szCs w:val="20"/>
                <w:color w:val="auto"/>
              </w:rPr>
            </w:pPr>
            <w:r>
              <w:rPr>
                <w:rFonts w:ascii="Arial" w:cs="Arial" w:eastAsia="Arial" w:hAnsi="Arial"/>
                <w:sz w:val="18"/>
                <w:szCs w:val="18"/>
                <w:color w:val="auto"/>
              </w:rPr>
              <w:t>California, Connecticut, New York,</w:t>
            </w:r>
          </w:p>
        </w:tc>
        <w:tc>
          <w:tcPr>
            <w:tcW w:w="160" w:type="dxa"/>
            <w:vAlign w:val="bottom"/>
            <w:shd w:val="clear" w:color="auto" w:fill="CFF0FC"/>
          </w:tcPr>
          <w:p>
            <w:pPr>
              <w:spacing w:after="0"/>
              <w:rPr>
                <w:sz w:val="13"/>
                <w:szCs w:val="13"/>
                <w:color w:val="auto"/>
              </w:rPr>
            </w:pPr>
          </w:p>
        </w:tc>
        <w:tc>
          <w:tcPr>
            <w:tcW w:w="2980" w:type="dxa"/>
            <w:vAlign w:val="bottom"/>
            <w:tcBorders>
              <w:top w:val="single" w:sz="8" w:color="auto"/>
            </w:tcBorders>
            <w:shd w:val="clear" w:color="auto" w:fill="CFF0FC"/>
          </w:tcPr>
          <w:p>
            <w:pPr>
              <w:ind w:left="60"/>
              <w:spacing w:after="0" w:line="156" w:lineRule="exact"/>
              <w:rPr>
                <w:sz w:val="20"/>
                <w:szCs w:val="20"/>
                <w:color w:val="auto"/>
              </w:rPr>
            </w:pPr>
            <w:r>
              <w:rPr>
                <w:rFonts w:ascii="Arial" w:cs="Arial" w:eastAsia="Arial" w:hAnsi="Arial"/>
                <w:sz w:val="18"/>
                <w:szCs w:val="18"/>
                <w:color w:val="auto"/>
              </w:rPr>
              <w:t>United States, The Netherlands,</w:t>
            </w:r>
          </w:p>
        </w:tc>
        <w:tc>
          <w:tcPr>
            <w:tcW w:w="0" w:type="dxa"/>
            <w:vAlign w:val="bottom"/>
          </w:tcPr>
          <w:p>
            <w:pPr>
              <w:spacing w:after="0"/>
              <w:rPr>
                <w:sz w:val="1"/>
                <w:szCs w:val="1"/>
                <w:color w:val="auto"/>
              </w:rPr>
            </w:pPr>
          </w:p>
        </w:tc>
      </w:tr>
      <w:tr>
        <w:trPr>
          <w:trHeight w:val="176"/>
        </w:trPr>
        <w:tc>
          <w:tcPr>
            <w:tcW w:w="3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9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Ohio, Texas</w:t>
            </w:r>
          </w:p>
        </w:tc>
        <w:tc>
          <w:tcPr>
            <w:tcW w:w="160" w:type="dxa"/>
            <w:vAlign w:val="bottom"/>
            <w:shd w:val="clear" w:color="auto" w:fill="CFF0FC"/>
          </w:tcPr>
          <w:p>
            <w:pPr>
              <w:spacing w:after="0"/>
              <w:rPr>
                <w:sz w:val="15"/>
                <w:szCs w:val="15"/>
                <w:color w:val="auto"/>
              </w:rPr>
            </w:pPr>
          </w:p>
        </w:tc>
        <w:tc>
          <w:tcPr>
            <w:tcW w:w="29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8"/>
              </w:rPr>
              <w:t>Canada, India, United Arab Emirates,</w:t>
            </w: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98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8"/>
              </w:rPr>
              <w:t>Singapore, United Kingdom, People's</w:t>
            </w:r>
          </w:p>
        </w:tc>
        <w:tc>
          <w:tcPr>
            <w:tcW w:w="0" w:type="dxa"/>
            <w:vAlign w:val="bottom"/>
          </w:tcPr>
          <w:p>
            <w:pPr>
              <w:spacing w:after="0"/>
              <w:rPr>
                <w:sz w:val="1"/>
                <w:szCs w:val="1"/>
                <w:color w:val="auto"/>
              </w:rPr>
            </w:pPr>
          </w:p>
        </w:tc>
      </w:tr>
      <w:tr>
        <w:trPr>
          <w:trHeight w:val="216"/>
        </w:trPr>
        <w:tc>
          <w:tcPr>
            <w:tcW w:w="3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Republic of China</w:t>
            </w:r>
          </w:p>
        </w:tc>
        <w:tc>
          <w:tcPr>
            <w:tcW w:w="0" w:type="dxa"/>
            <w:vAlign w:val="bottom"/>
          </w:tcPr>
          <w:p>
            <w:pPr>
              <w:spacing w:after="0"/>
              <w:rPr>
                <w:sz w:val="1"/>
                <w:szCs w:val="1"/>
                <w:color w:val="auto"/>
              </w:rPr>
            </w:pPr>
          </w:p>
        </w:tc>
      </w:tr>
      <w:tr>
        <w:trPr>
          <w:trHeight w:val="162"/>
        </w:trPr>
        <w:tc>
          <w:tcPr>
            <w:tcW w:w="3020" w:type="dxa"/>
            <w:vAlign w:val="bottom"/>
          </w:tcPr>
          <w:p>
            <w:pPr>
              <w:ind w:left="20"/>
              <w:spacing w:after="0" w:line="162" w:lineRule="exact"/>
              <w:rPr>
                <w:sz w:val="20"/>
                <w:szCs w:val="20"/>
                <w:color w:val="auto"/>
              </w:rPr>
            </w:pPr>
            <w:r>
              <w:rPr>
                <w:rFonts w:ascii="Arial" w:cs="Arial" w:eastAsia="Arial" w:hAnsi="Arial"/>
                <w:sz w:val="18"/>
                <w:szCs w:val="18"/>
                <w:color w:val="auto"/>
                <w:w w:val="99"/>
              </w:rPr>
              <w:t>Industrial Process Solutions Segment</w:t>
            </w:r>
          </w:p>
        </w:tc>
        <w:tc>
          <w:tcPr>
            <w:tcW w:w="92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9</w:t>
            </w:r>
          </w:p>
        </w:tc>
        <w:tc>
          <w:tcPr>
            <w:tcW w:w="220" w:type="dxa"/>
            <w:vAlign w:val="bottom"/>
          </w:tcPr>
          <w:p>
            <w:pPr>
              <w:spacing w:after="0"/>
              <w:rPr>
                <w:sz w:val="14"/>
                <w:szCs w:val="14"/>
                <w:color w:val="auto"/>
              </w:rPr>
            </w:pPr>
          </w:p>
        </w:tc>
        <w:tc>
          <w:tcPr>
            <w:tcW w:w="2980" w:type="dxa"/>
            <w:vAlign w:val="bottom"/>
          </w:tcPr>
          <w:p>
            <w:pPr>
              <w:ind w:left="20"/>
              <w:spacing w:after="0" w:line="162" w:lineRule="exact"/>
              <w:rPr>
                <w:sz w:val="20"/>
                <w:szCs w:val="20"/>
                <w:color w:val="auto"/>
              </w:rPr>
            </w:pPr>
            <w:r>
              <w:rPr>
                <w:rFonts w:ascii="Arial" w:cs="Arial" w:eastAsia="Arial" w:hAnsi="Arial"/>
                <w:sz w:val="18"/>
                <w:szCs w:val="18"/>
                <w:color w:val="auto"/>
              </w:rPr>
              <w:t>California, Illinois, Indiana, Michigan,</w:t>
            </w:r>
          </w:p>
        </w:tc>
        <w:tc>
          <w:tcPr>
            <w:tcW w:w="160" w:type="dxa"/>
            <w:vAlign w:val="bottom"/>
          </w:tcPr>
          <w:p>
            <w:pPr>
              <w:spacing w:after="0"/>
              <w:rPr>
                <w:sz w:val="14"/>
                <w:szCs w:val="14"/>
                <w:color w:val="auto"/>
              </w:rPr>
            </w:pPr>
          </w:p>
        </w:tc>
        <w:tc>
          <w:tcPr>
            <w:tcW w:w="2980" w:type="dxa"/>
            <w:vAlign w:val="bottom"/>
          </w:tcPr>
          <w:p>
            <w:pPr>
              <w:ind w:left="20"/>
              <w:spacing w:after="0" w:line="162" w:lineRule="exact"/>
              <w:rPr>
                <w:sz w:val="20"/>
                <w:szCs w:val="20"/>
                <w:color w:val="auto"/>
              </w:rPr>
            </w:pPr>
            <w:r>
              <w:rPr>
                <w:rFonts w:ascii="Arial" w:cs="Arial" w:eastAsia="Arial" w:hAnsi="Arial"/>
                <w:sz w:val="18"/>
                <w:szCs w:val="18"/>
                <w:color w:val="auto"/>
              </w:rPr>
              <w:t>United States, United Kingdom, The</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80" w:type="dxa"/>
            <w:vAlign w:val="bottom"/>
          </w:tcPr>
          <w:p>
            <w:pPr>
              <w:ind w:left="20"/>
              <w:spacing w:after="0" w:line="176" w:lineRule="exact"/>
              <w:rPr>
                <w:sz w:val="20"/>
                <w:szCs w:val="20"/>
                <w:color w:val="auto"/>
              </w:rPr>
            </w:pPr>
            <w:r>
              <w:rPr>
                <w:rFonts w:ascii="Arial" w:cs="Arial" w:eastAsia="Arial" w:hAnsi="Arial"/>
                <w:sz w:val="18"/>
                <w:szCs w:val="18"/>
                <w:color w:val="auto"/>
              </w:rPr>
              <w:t>North Carolina, Pennsylvania,</w:t>
            </w:r>
          </w:p>
        </w:tc>
        <w:tc>
          <w:tcPr>
            <w:tcW w:w="160" w:type="dxa"/>
            <w:vAlign w:val="bottom"/>
          </w:tcPr>
          <w:p>
            <w:pPr>
              <w:spacing w:after="0"/>
              <w:rPr>
                <w:sz w:val="15"/>
                <w:szCs w:val="15"/>
                <w:color w:val="auto"/>
              </w:rPr>
            </w:pPr>
          </w:p>
        </w:tc>
        <w:tc>
          <w:tcPr>
            <w:tcW w:w="2980" w:type="dxa"/>
            <w:vAlign w:val="bottom"/>
          </w:tcPr>
          <w:p>
            <w:pPr>
              <w:ind w:left="20"/>
              <w:spacing w:after="0" w:line="176" w:lineRule="exact"/>
              <w:rPr>
                <w:sz w:val="20"/>
                <w:szCs w:val="20"/>
                <w:color w:val="auto"/>
              </w:rPr>
            </w:pPr>
            <w:r>
              <w:rPr>
                <w:rFonts w:ascii="Arial" w:cs="Arial" w:eastAsia="Arial" w:hAnsi="Arial"/>
                <w:sz w:val="18"/>
                <w:szCs w:val="18"/>
                <w:color w:val="auto"/>
                <w:w w:val="91"/>
              </w:rPr>
              <w:t>Netherlands, People's Republic of China</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Tennessee</w:t>
            </w:r>
          </w:p>
        </w:tc>
        <w:tc>
          <w:tcPr>
            <w:tcW w:w="1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Borders>
              <w:bottom w:val="single" w:sz="8" w:color="CFF0FC"/>
            </w:tcBorders>
            <w:shd w:val="clear" w:color="auto" w:fill="CFF0FC"/>
          </w:tcPr>
          <w:p>
            <w:pPr>
              <w:spacing w:after="0"/>
              <w:rPr>
                <w:sz w:val="17"/>
                <w:szCs w:val="17"/>
                <w:color w:val="auto"/>
              </w:rPr>
            </w:pPr>
          </w:p>
        </w:tc>
        <w:tc>
          <w:tcPr>
            <w:tcW w:w="298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Ohio, Texas</w:t>
            </w:r>
          </w:p>
        </w:tc>
        <w:tc>
          <w:tcPr>
            <w:tcW w:w="160" w:type="dxa"/>
            <w:vAlign w:val="bottom"/>
            <w:tcBorders>
              <w:bottom w:val="single" w:sz="8" w:color="CFF0FC"/>
            </w:tcBorders>
            <w:shd w:val="clear" w:color="auto" w:fill="CFF0FC"/>
          </w:tcPr>
          <w:p>
            <w:pPr>
              <w:spacing w:after="0"/>
              <w:rPr>
                <w:sz w:val="17"/>
                <w:szCs w:val="17"/>
                <w:color w:val="auto"/>
              </w:rPr>
            </w:pPr>
          </w:p>
        </w:tc>
        <w:tc>
          <w:tcPr>
            <w:tcW w:w="298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-159385</wp:posOffset>
            </wp:positionV>
            <wp:extent cx="4318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-159385</wp:posOffset>
            </wp:positionV>
            <wp:extent cx="431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See Note 12 to the Consolidated Financial Statements contained in Part II, Item 8 of this Annual Report on Form 10-K for information regarding legal proceedings in which we are involved.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“CECE.”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16"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following graph sets forth the cumulative total return to CECO’s stockholders during the five years ended December 31, 2021, as well as the following indices: Russell 2000 Index, Standard and Poor’s (“S&amp;P”) 600 Small Cap Industrial Machinery Index, and S&amp;P 500 Index. The following graph assumes $100 was invested on December 31, 2016, including the reinvestment of dividends, in each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035040" cy="3206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504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timing, declaration, amount and payment of future dividends to our stockholders fall within the discretion of our Board of Directors and will depend on many factors, including our financial condition, results of operations and capital requirements, as well as applicable legal or regulatory constraints, industry practice and other business considerations that our Board of Directors considers relevant. We have not paid a cash dividend on our common stock in any of the years ended December 31, 2021, 2020 or 2019 and currently intend to retain future earnings, if any, to finance the operations, growth and development of our business into the foreseeable future. Payment of dividends is also subject to the continuing compliance with our financial covenants under our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1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approximate number of registered stockholders of record of our common stock as of February 28, 2022 was 272, although there is a larger number of beneficial owners.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purchases of our equity securities for the quarter ended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w w:val="92"/>
              </w:rPr>
              <w:t>Issuer's Purchases of Equity Securities</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1"/>
                <w:szCs w:val="11"/>
                <w:color w:val="auto"/>
              </w:rPr>
            </w:pPr>
          </w:p>
        </w:tc>
        <w:tc>
          <w:tcPr>
            <w:tcW w:w="12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Approximate Dollar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2"/>
                <w:szCs w:val="12"/>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Average Price Paid</w:t>
            </w:r>
          </w:p>
        </w:tc>
        <w:tc>
          <w:tcPr>
            <w:tcW w:w="3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Announced 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39"/>
              <w:spacing w:after="0" w:line="145" w:lineRule="exact"/>
              <w:rPr>
                <w:sz w:val="20"/>
                <w:szCs w:val="20"/>
                <w:color w:val="auto"/>
              </w:rPr>
            </w:pPr>
            <w:r>
              <w:rPr>
                <w:rFonts w:ascii="Arial" w:cs="Arial" w:eastAsia="Arial" w:hAnsi="Arial"/>
                <w:sz w:val="14"/>
                <w:szCs w:val="14"/>
                <w:b w:val="1"/>
                <w:bCs w:val="1"/>
                <w:color w:val="auto"/>
                <w:w w:val="92"/>
              </w:rPr>
              <w:t>the Plans 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Period (amounts in thousands, except per share data)</w:t>
            </w: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w w:val="90"/>
              </w:rPr>
              <w:t xml:space="preserve">Shares Purchased </w:t>
            </w:r>
            <w:r>
              <w:rPr>
                <w:rFonts w:ascii="Arial" w:cs="Arial" w:eastAsia="Arial" w:hAnsi="Arial"/>
                <w:sz w:val="19"/>
                <w:szCs w:val="19"/>
                <w:b w:val="1"/>
                <w:bCs w:val="1"/>
                <w:color w:val="auto"/>
                <w:w w:val="90"/>
                <w:vertAlign w:val="superscript"/>
              </w:rPr>
              <w:t>1</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Programs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1, 2021 - October 31, 2021</w:t>
            </w: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7.14</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ind w:left="1000"/>
              <w:spacing w:after="0" w:line="196"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November 1, 2021 - November 30, 2021</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ind w:left="100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1, 2021 - December 31, 2021</w:t>
            </w: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ind w:left="1000"/>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0"/>
              <w:spacing w:after="0" w:line="182" w:lineRule="exact"/>
              <w:rPr>
                <w:sz w:val="20"/>
                <w:szCs w:val="20"/>
                <w:color w:val="auto"/>
              </w:rPr>
            </w:pPr>
            <w:r>
              <w:rPr>
                <w:rFonts w:ascii="Arial" w:cs="Arial" w:eastAsia="Arial" w:hAnsi="Arial"/>
                <w:sz w:val="18"/>
                <w:szCs w:val="18"/>
                <w:color w:val="auto"/>
              </w:rPr>
              <w:t>Total</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177</w:t>
            </w:r>
          </w:p>
        </w:tc>
        <w:tc>
          <w:tcPr>
            <w:tcW w:w="4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7.14</w:t>
            </w:r>
          </w:p>
        </w:tc>
        <w:tc>
          <w:tcPr>
            <w:tcW w:w="15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ind w:left="1000"/>
              <w:spacing w:after="0" w:line="18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-159385</wp:posOffset>
            </wp:positionV>
            <wp:extent cx="431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-159385</wp:posOffset>
            </wp:positionV>
            <wp:extent cx="431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-159385</wp:posOffset>
            </wp:positionV>
            <wp:extent cx="3429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100" w:firstLine="8"/>
        <w:spacing w:after="0" w:line="261"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August 3, 2021, the Company publicly announced that its Board of Directors authorized a $5.0 million share repurchase program. In October 2021, the Company repurchased the remaining portion authorized under the Plan. See Note 9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Management’s discussion and analysis (“MD&amp;A”) should be read in conjunction with the consolidated financial statements and accompanying notes included in Item 8 of this Annual Report on Form 10-K, which include additional information about our accounting policies, practices and the transactions underlying our financial results. The preparation of our consolidated financial statements in conformity with GAAP requires us to make estimates and assumptions that affect the reported amounts in our consolidated financial statements and the accompanying notes including various claims and contingencies related to lawsuits, taxes, environmental and other matters arising during the normal course of business. We apply our best judgment, our knowledge of existing facts and circumstances and actions that we may undertake in the future in determining the estimates that affect our consolidated financial statements. We evaluate our estimates on an ongoing basis using our historical experience, as well as other factors we believe appropriate under the circumstances, such as current economic conditions, and adjust or revise our estimates as circumstances change. As future events and their effects cannot be determined with precision, actual results may differ from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1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CECO is a leading environmentally focused, diversified industrial company whose solutions protect people, the environment, and industrial equipment. We focus on engineering, designing, building, and installing systems that capture, clean and destroy air and water borne emissions from industrial facilities, as well as fluid handling, gas separation, and filtration systems. CECO provides innovative technology and application expertise that helps companies grow their businesses with safe, clean, and more efficient solutions to protect our shared environment.</w:t>
      </w:r>
    </w:p>
    <w:p>
      <w:pPr>
        <w:spacing w:after="0" w:line="172"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color w:val="auto"/>
        </w:rPr>
        <w:t>CECO serves diverse industries globally by working to improve air and water quality, protect customer's equipment, and provide customized engineered solutions in our customers’ mission critical applications. The industries CECO serves include power generation, petrochemical processing, general industrial, refining, midstream oil &amp; gas, electric vehicle production, poly silicon fabrication, battery recycling, and wastewater treatment, along with a wide range of other industries.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16"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A novel strain of coronavirus (“COVID-19”) surfaced in late 2019 and has spread around the world, including to the United States. In March 2020, the World Health Organization characterized COVID-19 as a pandemic. The COVID-19 pandemic persists in geographic areas in which we have operations, suppliers, customers and employees, and has had a significant impact on worldwide economic activity and on macroeconomic conditions and the end markets of our business.</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As a key supplier to critical infrastructure projects, CECO has worked to maintain ongoing operations. Within the United States, certain portions of our business have been designated an essential business, and we continue to operate our business in compliance with applicable state and local laws and are observing recommended Centers for Disease Control and Prevention guidelines to minimize the risk of spreading the COVID-19 virus including implementing, where possible, work-from-home procedures and additional sanitization efforts where facilities remain open to provide necessary services. This allows us to continue to serve our customers, however, the COVID-19 pandemic has also disrupted our international operations. Some of our facilities and our suppliers have experienced temporary disruptions as a result of the COVID-19 pandemic, and we continue to work closely with our global supply chain to proactively support customers during this critical time. We cannot predict whether our facilities will experience more significant disruptions in the future or the impact on our suppliers.</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senior management team meets regularly to review and assess the status of the Company's operations and the health and safety of its employees. The senior management team continues to monitor and manage the Company’s ability to operate effectively.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we cannot guarantee that we can continue to do so in the future. In this event, our business, results and financial condition could be adversely affected. Although vaccines are available in various countries where we operate, health concern risks remain and notwithstanding the Company's continued efforts, it is possible the COVID-19 pandemic could further impact our operations and the operations of our suppliers and venders, particularly in light of newly emerging variant strains of the virus becoming more dominant and the potential resumption of high levels of infection and hospitalization. We cannot predict whether any of our manufacturing, operations or suppliers will be disrupted by these events, or how long such disruptions would last. COVID-19 has had and may have further negative impacts on our operations, customers and supply chain despite the preventative and precautionary measures being taken.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Industry Trends and Corporate Strategy</w:t>
      </w:r>
    </w:p>
    <w:p>
      <w:pPr>
        <w:spacing w:after="0" w:line="212"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We are a global corporation with worldwide operations. As a global business, our operations are affected by worldwide, regional and industry-specific economic factors, wherever we operate or do business. Our geographic and industry diversity, and the breadth of our product and services portfolio, have helped mitigate the impact of any one industry or the economy of any single country on our consolidated operating results.</w:t>
      </w:r>
    </w:p>
    <w:p>
      <w:pPr>
        <w:spacing w:after="0" w:line="16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believe growth for our products and services is driven by the increase in demand for air quality and water treatment solutions, the energy transition, a shift towards cleaner sources of fuel such as natural gas, hydrogen, nuclear, and renewable sources, and increased awareness of our customer's corporate social responsibility to procure sustainable equipment that protects employees, the environment and their industrial equipment.</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With a shift to cleaner, more environmentally responsible power generation, power providers and industrial power consumers are building new facilities that use cleaner fuels. In developed markets, natural gas is the largest source of electricity generation. We supply product offerings throughout the entire natural gas infrastructure value chain and believe expansion will drive growth within our Engineered Systems segment for our gas separation &amp; filtration, pressure products, acoustical equipment , water treatment solutions and DeNOx SCR systems for natural-gas-fired power plants. Increased global natural gas production as a percent of total energy consumption, miles of new pipeline, including future CO2 and hydrogen pipelines, being added globally, and an increase in liquified natural gas ("LNG") capacity all stand to drive the need for our products.</w:t>
      </w:r>
    </w:p>
    <w:p>
      <w:pPr>
        <w:spacing w:after="0" w:line="175"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We also believe there is a growing trend to control and reduce air and water emissions for which our pollution control equipment will serve. In 2021, the US Congress passed the Infrastructure Investment and Jobs Act with $550 billion of new federal spending aimed at rebuilding roads and bridges, climate resilience, and other environmental initiatives. As industrial capital expenditures grow, corporations are seeking to do so with a smaller environmental impact. This regulatory and economic tailwind coupled with shareholders pressure on companies to improve their sustainability footprint serve as dual benefits to our opportunities for our portfolio of solutions.</w:t>
      </w:r>
    </w:p>
    <w:p>
      <w:pPr>
        <w:spacing w:after="0" w:line="189" w:lineRule="exact"/>
        <w:rPr>
          <w:sz w:val="20"/>
          <w:szCs w:val="20"/>
          <w:color w:val="auto"/>
        </w:rPr>
      </w:pPr>
    </w:p>
    <w:p>
      <w:pPr>
        <w:ind w:right="340"/>
        <w:spacing w:after="0" w:line="253" w:lineRule="auto"/>
        <w:rPr>
          <w:sz w:val="20"/>
          <w:szCs w:val="20"/>
          <w:color w:val="auto"/>
        </w:rPr>
      </w:pPr>
      <w:r>
        <w:rPr>
          <w:rFonts w:ascii="Arial" w:cs="Arial" w:eastAsia="Arial" w:hAnsi="Arial"/>
          <w:sz w:val="17"/>
          <w:szCs w:val="17"/>
          <w:color w:val="auto"/>
        </w:rPr>
        <w:t>We continue to focus on increasing revenues and profitability in emerging markets, where environmental standards are increasing, while continuing to strengthen and expand our product offerings and channels domestically. Our enterprise strategy consists of both an operational strategy and capital allocation strategy. Our operational strategy is driven by our technology platforms which are based on applications, customers and end markets served. Emphasis is placed on sales and operational excellence, margin expansion, after-market recurring revenue growth, cash flow generation, product management, and project management execution, all of which are critical to our operational strategy. Our capital allocation strategy is to significantly increase the size of CECO and transform the mix of businesses. We will focus our capital on building out our leading air quality and water treatment positions, while also shifting our portfolio mix towards businesses with more recurring revenue and more predictable cash flows, in end markets with strong secular growth trends and less in our traditionally cyclical, energy-centric end markets. Our combined enterprise strategy intends to transform CECO into an environmentally focused, diversified industrial organization.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Overview</w:t>
      </w:r>
    </w:p>
    <w:p>
      <w:pPr>
        <w:spacing w:after="0" w:line="2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operate our technology platforms serving their respective niche end markets. Our platforms are structured to win in their target markets with a core focus on understanding customer needs. Our business model requires scalable efficiencies enabling us to serve our customers with a variety of products that we typically classify into three categories: make-to-order, configure-to-order, and engineer-to-order. For our project-based platforms, we use an asset light business model leveraging third-party subcontract fabricators to execute for our customers world-wide. These platforms are focused on application engineering, project management, and supply chain execution for our customers.</w:t>
      </w:r>
    </w:p>
    <w:p>
      <w:pPr>
        <w:spacing w:after="0" w:line="18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Company’s operations management team has distinct industry expertise coupled with strong leadership skills resulting in a customer-first mindset across the business. The operations management team works closely with our Chief Executive Officer on global growth strategies, operational excellence, and employee development.</w:t>
      </w:r>
    </w:p>
    <w:p>
      <w:pPr>
        <w:spacing w:after="0" w:line="18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Within our segments we have monthly business reviews to ensure we are serving customers, achieving our operating plan, and executing on strategic growth initiatives. These reviews include, but are not limited to quotation reviews, project management reviews, financial and KPI analysis, financial and manufacturing scorecards, safety, and customer feedback. In these reviews we focus on metrics such as quality, customer satisfaction, on-time-delivery, lead-times, price, inflation, project margins, backlog, and above all, safety.</w:t>
      </w:r>
    </w:p>
    <w:p>
      <w:pPr>
        <w:spacing w:after="0" w:line="18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headquarters focuses on enabling the core back-office functions for scale, efficiency, and compliance. These key functions include: accounting, payroll, human resources/benefits, legal, information technology, marketing, environmental, health and safety,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ind w:right="340"/>
        <w:spacing w:after="0" w:line="261" w:lineRule="auto"/>
        <w:rPr>
          <w:sz w:val="20"/>
          <w:szCs w:val="20"/>
          <w:color w:val="auto"/>
        </w:rPr>
      </w:pPr>
      <w:r>
        <w:rPr>
          <w:rFonts w:ascii="Arial" w:cs="Arial" w:eastAsia="Arial" w:hAnsi="Arial"/>
          <w:sz w:val="18"/>
          <w:szCs w:val="18"/>
          <w:color w:val="auto"/>
        </w:rPr>
        <w:t>internal control over financial reporting, and administration. We have excellent collaboration between our operational platforms and our central service functions ensuring optimal efficiency and alignment on growth initiatives at the lowest possible cost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208" w:lineRule="exact"/>
        <w:rPr>
          <w:sz w:val="20"/>
          <w:szCs w:val="20"/>
          <w:color w:val="auto"/>
        </w:rPr>
      </w:pPr>
    </w:p>
    <w:p>
      <w:pPr>
        <w:ind w:left="760" w:right="40" w:hanging="378"/>
        <w:spacing w:after="0" w:line="245"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Engineered Systems segment: </w:t>
      </w:r>
      <w:r>
        <w:rPr>
          <w:rFonts w:ascii="Arial" w:cs="Arial" w:eastAsia="Arial" w:hAnsi="Arial"/>
          <w:sz w:val="18"/>
          <w:szCs w:val="18"/>
          <w:color w:val="auto"/>
        </w:rPr>
        <w:t>Our Engineered Systems segment, formerly known as the Energy Solutions segment, serves the power</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refinery, water/wastewater and midstream oil &amp; gas markets. We are a key part of helping meet the global demand for environmental and equipment protection through our highly engineered platforms including emissions management, fluid bed cyclones, thermal acoustics, separation &amp; filtration, and dampers &amp; expansion joints.</w:t>
      </w:r>
    </w:p>
    <w:p>
      <w:pPr>
        <w:spacing w:after="0" w:line="180" w:lineRule="exact"/>
        <w:rPr>
          <w:rFonts w:ascii="Arial" w:cs="Arial" w:eastAsia="Arial" w:hAnsi="Arial"/>
          <w:sz w:val="18"/>
          <w:szCs w:val="18"/>
          <w:color w:val="auto"/>
        </w:rPr>
      </w:pPr>
    </w:p>
    <w:p>
      <w:pPr>
        <w:ind w:left="760" w:right="14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Industrial Solutions segment: </w:t>
      </w:r>
      <w:r>
        <w:rPr>
          <w:rFonts w:ascii="Arial" w:cs="Arial" w:eastAsia="Arial" w:hAnsi="Arial"/>
          <w:sz w:val="18"/>
          <w:szCs w:val="18"/>
          <w:color w:val="auto"/>
        </w:rPr>
        <w:t>Our Industrial Process Solutions segment is the combination of the segments formerly known as our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segment and our Fluid Handling Solutions segment, which serves the broad industrial air pollution control, beverage can, fluid handling, electric vehicle production, food and beverage, semi-conductor, process filtration, pharmaceutical, petrochemical, wastewater treatment, wood manufacturing, desalination, and aquaculture markets. We protect the air we collectively breathe, maintain clean and safe operations for employees, lower energy consumption, minimize waste for customers, and ensure they meet regulatory compliance standards for toxic emissions, fumes, volatile organic compounds and odors through our platforms including duct &amp; installation, industrial air, and fluid handling.</w:t>
      </w:r>
    </w:p>
    <w:p>
      <w:pPr>
        <w:spacing w:after="0" w:line="18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Our focus is on increasing our operating margins as well as our gross margin percentage, which translates into stronger operating results.</w:t>
      </w:r>
    </w:p>
    <w:p>
      <w:pPr>
        <w:spacing w:after="0" w:line="18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cost of sales is principally driven by a number of factors, including material and subcontract prices and labor cost and availability. Changes in these factors may have a material impact on our overall gross profit margins.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break down costs of sales into five categories. They are:</w:t>
      </w:r>
    </w:p>
    <w:p>
      <w:pPr>
        <w:spacing w:after="0" w:line="212"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Subcontracts—Electrical work, concrete work, subcomponents and other subcontracts necessary to produce our products;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Labor—Our direct labor both in the shop and in the field;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Material—Raw material that we buy to build our products;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Equipment—Fans, motors, control panels and other equipment necessary for turnkey systems;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Factory overhead—Costs of facilities and supervision wages necessary to produce our products.</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general, subcontracts are the highest percentage of costs and also the most flexible followed by labor, material, and equipment. Due to the project nature and global orientation of several of our platforms, leveraging subcontract fabrication partners close to our customers increases our ability to meet customer delivery expectations at market competitive pricing. In periods where orders are infrequent, we do not have to maintain the fixed cost of a manufacturing plant. Across our various product lines, the relative relationships of these cost categories change and cause variations in gross margin percentage. Material and labor costs can increase fast, which also reduces gross margin percentage. As material cost inflation occurs, the Company seeks to pass this cost onto our customers as price increases.</w:t>
      </w:r>
    </w:p>
    <w:p>
      <w:pPr>
        <w:spacing w:after="0" w:line="189"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Selling and administrative expense principally includes sales and engineering payroll and related fringes, advertising and marketing expenditures as well as all corporate and administrative functions and other costs that support our operations. The majority of these expenses are fixed. An advantage of our asset light model is that as revenue grows, we have significant operating leverage on our fixed selling and administrative cost structure.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216"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The Company’s consolidated financial statements are prepared in accordance with accounting principles generally accepted in the United States of America (“GAAP”). These GAAP financial statements include certain charges the Company believes are not indicative of its ongoing operational performance.</w:t>
      </w:r>
    </w:p>
    <w:p>
      <w:pPr>
        <w:spacing w:after="0" w:line="12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a result, the Company provides financial information in this MD&amp;A that was not prepared in accordance with GAAP and should not be considered as an alternative to the information prepared in accordance with GAAP. The Company provides this supplemental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 w:name="page30"/>
    <w:bookmarkEnd w:id="29"/>
    <w:p>
      <w:pPr>
        <w:ind w:right="500"/>
        <w:spacing w:after="0" w:line="261" w:lineRule="auto"/>
        <w:rPr>
          <w:sz w:val="20"/>
          <w:szCs w:val="20"/>
          <w:color w:val="auto"/>
        </w:rPr>
      </w:pPr>
      <w:r>
        <w:rPr>
          <w:rFonts w:ascii="Arial" w:cs="Arial" w:eastAsia="Arial" w:hAnsi="Arial"/>
          <w:sz w:val="18"/>
          <w:szCs w:val="18"/>
          <w:color w:val="auto"/>
        </w:rPr>
        <w:t>non-GAAP financial information, which the Company’s management utilizes to evaluate its ongoing financial performance, and which the Company believes provides greater transparency to investors as supplemental information to its GAAP results.</w:t>
      </w:r>
    </w:p>
    <w:p>
      <w:pPr>
        <w:spacing w:after="0" w:line="17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Company has provided the non-GAAP financial measures including non-GAAP operating income, non-GAAP operating margin, and non-GAAP net income as a result of the adjustment for items that the Company believes are not indicative of its ongoing operations. These items include charges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and divestitures. While the Company cannot predict the exact timing or amounts of such charges, it does expect to treat these charges as special items in its future presentation of non-GAAP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income for the years ended December 31, 2021, 2020 and 2019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316.0</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341.9</w:t>
            </w:r>
          </w:p>
        </w:tc>
        <w:tc>
          <w:tcPr>
            <w:tcW w:w="220" w:type="dxa"/>
            <w:vAlign w:val="bottom"/>
            <w:shd w:val="clear" w:color="auto" w:fill="CFF0FC"/>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210.9</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227.8</w:t>
            </w:r>
          </w:p>
        </w:tc>
        <w:tc>
          <w:tcPr>
            <w:tcW w:w="220" w:type="dxa"/>
            <w:vAlign w:val="bottom"/>
          </w:tcPr>
          <w:p>
            <w:pPr>
              <w:spacing w:after="0"/>
              <w:rPr>
                <w:sz w:val="17"/>
                <w:szCs w:val="17"/>
                <w:color w:val="auto"/>
              </w:rPr>
            </w:pP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105.1</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114.1</w:t>
            </w:r>
          </w:p>
        </w:tc>
        <w:tc>
          <w:tcPr>
            <w:tcW w:w="220" w:type="dxa"/>
            <w:vAlign w:val="bottom"/>
            <w:shd w:val="clear" w:color="auto" w:fill="CFF0FC"/>
          </w:tcPr>
          <w:p>
            <w:pPr>
              <w:spacing w:after="0"/>
              <w:rPr>
                <w:sz w:val="17"/>
                <w:szCs w:val="17"/>
                <w:color w:val="auto"/>
              </w:rPr>
            </w:pPr>
          </w:p>
        </w:tc>
      </w:tr>
      <w:tr>
        <w:trPr>
          <w:trHeight w:val="203"/>
        </w:trPr>
        <w:tc>
          <w:tcPr>
            <w:tcW w:w="602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Percent of sales</w:t>
            </w: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i w:val="1"/>
                <w:iCs w:val="1"/>
                <w:color w:val="auto"/>
              </w:rPr>
              <w:t>31.1 %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i w:val="1"/>
                <w:iCs w:val="1"/>
                <w:color w:val="auto"/>
              </w:rPr>
              <w:t>33.3 %</w:t>
            </w:r>
          </w:p>
        </w:tc>
        <w:tc>
          <w:tcPr>
            <w:tcW w:w="340" w:type="dxa"/>
            <w:vAlign w:val="bottom"/>
          </w:tcPr>
          <w:p>
            <w:pPr>
              <w:spacing w:after="0"/>
              <w:rPr>
                <w:sz w:val="17"/>
                <w:szCs w:val="17"/>
                <w:color w:val="auto"/>
              </w:rPr>
            </w:pP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33.4 %</w:t>
            </w: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and administrative expenses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81.8</w:t>
            </w:r>
          </w:p>
        </w:tc>
        <w:tc>
          <w:tcPr>
            <w:tcW w:w="20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76.9</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85.9</w:t>
            </w:r>
          </w:p>
        </w:tc>
        <w:tc>
          <w:tcPr>
            <w:tcW w:w="220" w:type="dxa"/>
            <w:vAlign w:val="bottom"/>
            <w:shd w:val="clear" w:color="auto" w:fill="CFF0FC"/>
          </w:tcPr>
          <w:p>
            <w:pPr>
              <w:spacing w:after="0"/>
              <w:rPr>
                <w:sz w:val="17"/>
                <w:szCs w:val="17"/>
                <w:color w:val="auto"/>
              </w:rPr>
            </w:pPr>
          </w:p>
        </w:tc>
      </w:tr>
      <w:tr>
        <w:trPr>
          <w:trHeight w:val="203"/>
        </w:trPr>
        <w:tc>
          <w:tcPr>
            <w:tcW w:w="602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Percent of sales</w:t>
            </w: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i w:val="1"/>
                <w:iCs w:val="1"/>
                <w:color w:val="auto"/>
              </w:rPr>
              <w:t>25.2 %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i w:val="1"/>
                <w:iCs w:val="1"/>
                <w:color w:val="auto"/>
              </w:rPr>
              <w:t>24.3 %</w:t>
            </w:r>
          </w:p>
        </w:tc>
        <w:tc>
          <w:tcPr>
            <w:tcW w:w="340" w:type="dxa"/>
            <w:vAlign w:val="bottom"/>
          </w:tcPr>
          <w:p>
            <w:pPr>
              <w:spacing w:after="0"/>
              <w:rPr>
                <w:sz w:val="17"/>
                <w:szCs w:val="17"/>
                <w:color w:val="auto"/>
              </w:rPr>
            </w:pP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25.1 %</w:t>
            </w: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and earnout expenses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Restructuring expenses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and integration expenses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Executive transition expenses</w:t>
            </w:r>
          </w:p>
        </w:tc>
        <w:tc>
          <w:tcPr>
            <w:tcW w:w="34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divestitures, net of selling costs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7"/>
                <w:szCs w:val="17"/>
                <w:color w:val="auto"/>
              </w:rPr>
            </w:pPr>
          </w:p>
        </w:tc>
      </w:tr>
      <w:tr>
        <w:trPr>
          <w:trHeight w:val="203"/>
        </w:trPr>
        <w:tc>
          <w:tcPr>
            <w:tcW w:w="602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 impairment</w:t>
            </w:r>
          </w:p>
        </w:tc>
        <w:tc>
          <w:tcPr>
            <w:tcW w:w="34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196"/>
        </w:trPr>
        <w:tc>
          <w:tcPr>
            <w:tcW w:w="6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3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7"/>
                <w:szCs w:val="17"/>
                <w:color w:val="auto"/>
              </w:rPr>
            </w:pPr>
          </w:p>
        </w:tc>
      </w:tr>
      <w:tr>
        <w:trPr>
          <w:trHeight w:val="230"/>
        </w:trPr>
        <w:tc>
          <w:tcPr>
            <w:tcW w:w="6020" w:type="dxa"/>
            <w:vAlign w:val="bottom"/>
          </w:tcPr>
          <w:p>
            <w:pPr>
              <w:ind w:left="200"/>
              <w:spacing w:after="0"/>
              <w:rPr>
                <w:sz w:val="20"/>
                <w:szCs w:val="20"/>
                <w:color w:val="auto"/>
              </w:rPr>
            </w:pPr>
            <w:r>
              <w:rPr>
                <w:rFonts w:ascii="Arial" w:cs="Arial" w:eastAsia="Arial" w:hAnsi="Arial"/>
                <w:sz w:val="18"/>
                <w:szCs w:val="18"/>
                <w:i w:val="1"/>
                <w:iCs w:val="1"/>
                <w:color w:val="auto"/>
              </w:rPr>
              <w:t>Percent of sales</w:t>
            </w: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3.1 %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4.2 %</w:t>
            </w:r>
          </w:p>
        </w:tc>
        <w:tc>
          <w:tcPr>
            <w:tcW w:w="3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5.3 %</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212"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To compare operating performance between the years ended December 31, 2021, 2020 and 2019, the Company has adjusted GAAP operating income to exclude (1) amortization of intangible assets, earnout and retention expenses, (2) restructuring expenses primarily relating to severance, facility exits, and associated legal expenses, (3) acquisition and integration expenses, which include legal, accounting, and other expenses, (4) executive transition expenses, including severance for its former Chief Executive Officer, fees and expenses incurred in the search, for and hiring, of a new Chief Executive Officer, (5) loss on divestitures, net of selling costs necessary to complete the divestiture such as legal, accounting and compliance and (6) intangible asset impairment. See “Note Regarding Use of Non-GAAP Financial Measures” above. The following tables present the reconciliation of GAAP operating income and GAAP operating margin to non-GAAP operating income and non-GAAP operating margin, and GAAP net income to non-GAAP net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as reported in accordance with GAAP</w:t>
            </w: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13.3</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w:t>
            </w:r>
          </w:p>
        </w:tc>
        <w:tc>
          <w:tcPr>
            <w:tcW w:w="220" w:type="dxa"/>
            <w:vAlign w:val="bottom"/>
            <w:shd w:val="clear" w:color="auto" w:fill="CFF0FC"/>
          </w:tcPr>
          <w:p>
            <w:pPr>
              <w:spacing w:after="0"/>
              <w:rPr>
                <w:sz w:val="17"/>
                <w:szCs w:val="17"/>
                <w:color w:val="auto"/>
              </w:rPr>
            </w:pPr>
          </w:p>
        </w:tc>
      </w:tr>
      <w:tr>
        <w:trPr>
          <w:trHeight w:val="203"/>
        </w:trPr>
        <w:tc>
          <w:tcPr>
            <w:tcW w:w="482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Operating margin in accordance with GAAP</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i w:val="1"/>
                <w:iCs w:val="1"/>
                <w:color w:val="auto"/>
              </w:rPr>
              <w:t>3.1 %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i w:val="1"/>
                <w:iCs w:val="1"/>
                <w:color w:val="auto"/>
              </w:rPr>
              <w:t>4.2 %</w:t>
            </w:r>
          </w:p>
        </w:tc>
        <w:tc>
          <w:tcPr>
            <w:tcW w:w="340" w:type="dxa"/>
            <w:vAlign w:val="bottom"/>
          </w:tcPr>
          <w:p>
            <w:pPr>
              <w:spacing w:after="0"/>
              <w:rPr>
                <w:sz w:val="17"/>
                <w:szCs w:val="17"/>
                <w:color w:val="auto"/>
              </w:rPr>
            </w:pP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5.3 %</w:t>
            </w:r>
          </w:p>
        </w:tc>
      </w:tr>
      <w:tr>
        <w:trPr>
          <w:trHeight w:val="203"/>
        </w:trPr>
        <w:tc>
          <w:tcPr>
            <w:tcW w:w="48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Amortization and earnout expenses</w:t>
            </w: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7"/>
                <w:szCs w:val="17"/>
                <w:color w:val="auto"/>
              </w:rPr>
            </w:pPr>
          </w:p>
        </w:tc>
      </w:tr>
      <w:tr>
        <w:trPr>
          <w:trHeight w:val="203"/>
        </w:trPr>
        <w:tc>
          <w:tcPr>
            <w:tcW w:w="4820" w:type="dxa"/>
            <w:vAlign w:val="bottom"/>
          </w:tcPr>
          <w:p>
            <w:pPr>
              <w:ind w:left="380"/>
              <w:spacing w:after="0" w:line="202" w:lineRule="exact"/>
              <w:rPr>
                <w:sz w:val="20"/>
                <w:szCs w:val="20"/>
                <w:color w:val="auto"/>
              </w:rPr>
            </w:pPr>
            <w:r>
              <w:rPr>
                <w:rFonts w:ascii="Arial" w:cs="Arial" w:eastAsia="Arial" w:hAnsi="Arial"/>
                <w:sz w:val="18"/>
                <w:szCs w:val="18"/>
                <w:color w:val="auto"/>
              </w:rPr>
              <w:t>Restructuring expenses</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r>
      <w:tr>
        <w:trPr>
          <w:trHeight w:val="203"/>
        </w:trPr>
        <w:tc>
          <w:tcPr>
            <w:tcW w:w="48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Acquisition and integration expenses</w:t>
            </w: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7"/>
                <w:szCs w:val="17"/>
                <w:color w:val="auto"/>
              </w:rPr>
            </w:pPr>
          </w:p>
        </w:tc>
      </w:tr>
      <w:tr>
        <w:trPr>
          <w:trHeight w:val="203"/>
        </w:trPr>
        <w:tc>
          <w:tcPr>
            <w:tcW w:w="4820" w:type="dxa"/>
            <w:vAlign w:val="bottom"/>
          </w:tcPr>
          <w:p>
            <w:pPr>
              <w:ind w:left="380"/>
              <w:spacing w:after="0" w:line="202" w:lineRule="exact"/>
              <w:rPr>
                <w:sz w:val="20"/>
                <w:szCs w:val="20"/>
                <w:color w:val="auto"/>
              </w:rPr>
            </w:pPr>
            <w:r>
              <w:rPr>
                <w:rFonts w:ascii="Arial" w:cs="Arial" w:eastAsia="Arial" w:hAnsi="Arial"/>
                <w:sz w:val="18"/>
                <w:szCs w:val="18"/>
                <w:color w:val="auto"/>
              </w:rPr>
              <w:t>Executive transition expenses</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48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Loss on divestitures, net of selling costs</w:t>
            </w: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FF0FC"/>
          </w:tcPr>
          <w:p>
            <w:pPr>
              <w:spacing w:after="0"/>
              <w:rPr>
                <w:sz w:val="17"/>
                <w:szCs w:val="17"/>
                <w:color w:val="auto"/>
              </w:rPr>
            </w:pPr>
          </w:p>
        </w:tc>
      </w:tr>
      <w:tr>
        <w:trPr>
          <w:trHeight w:val="203"/>
        </w:trPr>
        <w:tc>
          <w:tcPr>
            <w:tcW w:w="4820" w:type="dxa"/>
            <w:vAlign w:val="bottom"/>
          </w:tcPr>
          <w:p>
            <w:pPr>
              <w:ind w:left="380"/>
              <w:spacing w:after="0" w:line="202" w:lineRule="exact"/>
              <w:rPr>
                <w:sz w:val="20"/>
                <w:szCs w:val="20"/>
                <w:color w:val="auto"/>
              </w:rPr>
            </w:pPr>
            <w:r>
              <w:rPr>
                <w:rFonts w:ascii="Arial" w:cs="Arial" w:eastAsia="Arial" w:hAnsi="Arial"/>
                <w:sz w:val="18"/>
                <w:szCs w:val="18"/>
                <w:color w:val="auto"/>
              </w:rPr>
              <w:t>Intangible asset impairment</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196"/>
        </w:trPr>
        <w:tc>
          <w:tcPr>
            <w:tcW w:w="4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Non-GAAP operating income</w:t>
            </w:r>
          </w:p>
        </w:tc>
        <w:tc>
          <w:tcPr>
            <w:tcW w:w="120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19.1</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w:t>
            </w:r>
          </w:p>
        </w:tc>
        <w:tc>
          <w:tcPr>
            <w:tcW w:w="3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w:t>
            </w:r>
          </w:p>
        </w:tc>
        <w:tc>
          <w:tcPr>
            <w:tcW w:w="220" w:type="dxa"/>
            <w:vAlign w:val="bottom"/>
            <w:shd w:val="clear" w:color="auto" w:fill="CFF0FC"/>
          </w:tcPr>
          <w:p>
            <w:pPr>
              <w:spacing w:after="0"/>
              <w:rPr>
                <w:sz w:val="17"/>
                <w:szCs w:val="17"/>
                <w:color w:val="auto"/>
              </w:rPr>
            </w:pPr>
          </w:p>
        </w:tc>
      </w:tr>
      <w:tr>
        <w:trPr>
          <w:trHeight w:val="230"/>
        </w:trPr>
        <w:tc>
          <w:tcPr>
            <w:tcW w:w="4820" w:type="dxa"/>
            <w:vAlign w:val="bottom"/>
          </w:tcPr>
          <w:p>
            <w:pPr>
              <w:ind w:left="200"/>
              <w:spacing w:after="0"/>
              <w:rPr>
                <w:sz w:val="20"/>
                <w:szCs w:val="20"/>
                <w:color w:val="auto"/>
              </w:rPr>
            </w:pPr>
            <w:r>
              <w:rPr>
                <w:rFonts w:ascii="Arial" w:cs="Arial" w:eastAsia="Arial" w:hAnsi="Arial"/>
                <w:sz w:val="18"/>
                <w:szCs w:val="18"/>
                <w:i w:val="1"/>
                <w:iCs w:val="1"/>
                <w:color w:val="auto"/>
              </w:rPr>
              <w:t>Non-GAAP operating margin</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5.9 %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8.9 %</w:t>
            </w:r>
          </w:p>
        </w:tc>
        <w:tc>
          <w:tcPr>
            <w:tcW w:w="34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8.2 %</w:t>
            </w:r>
          </w:p>
        </w:tc>
      </w:tr>
      <w:tr>
        <w:trPr>
          <w:trHeight w:val="607"/>
        </w:trPr>
        <w:tc>
          <w:tcPr>
            <w:tcW w:w="4820" w:type="dxa"/>
            <w:vAlign w:val="bottom"/>
          </w:tcPr>
          <w:p>
            <w:pPr>
              <w:spacing w:after="0"/>
              <w:rPr>
                <w:sz w:val="24"/>
                <w:szCs w:val="24"/>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01"/>
        </w:trPr>
        <w:tc>
          <w:tcPr>
            <w:tcW w:w="48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as reported in accordance with GAAP</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17"/>
                <w:szCs w:val="17"/>
                <w:color w:val="auto"/>
              </w:rPr>
            </w:pPr>
          </w:p>
        </w:tc>
      </w:tr>
      <w:tr>
        <w:trPr>
          <w:trHeight w:val="203"/>
        </w:trPr>
        <w:tc>
          <w:tcPr>
            <w:tcW w:w="6000" w:type="dxa"/>
            <w:vAlign w:val="bottom"/>
          </w:tcPr>
          <w:p>
            <w:pPr>
              <w:ind w:left="380"/>
              <w:spacing w:after="0" w:line="202" w:lineRule="exact"/>
              <w:rPr>
                <w:sz w:val="20"/>
                <w:szCs w:val="20"/>
                <w:color w:val="auto"/>
              </w:rPr>
            </w:pPr>
            <w:r>
              <w:rPr>
                <w:rFonts w:ascii="Arial" w:cs="Arial" w:eastAsia="Arial" w:hAnsi="Arial"/>
                <w:sz w:val="18"/>
                <w:szCs w:val="18"/>
                <w:color w:val="auto"/>
              </w:rPr>
              <w:t>Amortization and earnout expenses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r>
      <w:tr>
        <w:trPr>
          <w:trHeight w:val="203"/>
        </w:trPr>
        <w:tc>
          <w:tcPr>
            <w:tcW w:w="60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Restructuring expenses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7"/>
                <w:szCs w:val="17"/>
                <w:color w:val="auto"/>
              </w:rPr>
            </w:pPr>
          </w:p>
        </w:tc>
      </w:tr>
      <w:tr>
        <w:trPr>
          <w:trHeight w:val="202"/>
        </w:trPr>
        <w:tc>
          <w:tcPr>
            <w:tcW w:w="6000" w:type="dxa"/>
            <w:vAlign w:val="bottom"/>
          </w:tcPr>
          <w:p>
            <w:pPr>
              <w:ind w:left="380"/>
              <w:spacing w:after="0" w:line="202" w:lineRule="exact"/>
              <w:rPr>
                <w:sz w:val="20"/>
                <w:szCs w:val="20"/>
                <w:color w:val="auto"/>
              </w:rPr>
            </w:pPr>
            <w:r>
              <w:rPr>
                <w:rFonts w:ascii="Arial" w:cs="Arial" w:eastAsia="Arial" w:hAnsi="Arial"/>
                <w:sz w:val="18"/>
                <w:szCs w:val="18"/>
                <w:color w:val="auto"/>
              </w:rPr>
              <w:t>Acquisition and integration expenses</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0.5</w:t>
            </w:r>
          </w:p>
        </w:tc>
        <w:tc>
          <w:tcPr>
            <w:tcW w:w="220" w:type="dxa"/>
            <w:vAlign w:val="bottom"/>
          </w:tcPr>
          <w:p>
            <w:pPr>
              <w:spacing w:after="0"/>
              <w:rPr>
                <w:sz w:val="17"/>
                <w:szCs w:val="17"/>
                <w:color w:val="auto"/>
              </w:rPr>
            </w:pPr>
          </w:p>
        </w:tc>
      </w:tr>
      <w:tr>
        <w:trPr>
          <w:trHeight w:val="203"/>
        </w:trPr>
        <w:tc>
          <w:tcPr>
            <w:tcW w:w="60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Executive transition expenses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tcPr>
          <w:p>
            <w:pPr>
              <w:ind w:left="380"/>
              <w:spacing w:after="0" w:line="202" w:lineRule="exact"/>
              <w:rPr>
                <w:sz w:val="20"/>
                <w:szCs w:val="20"/>
                <w:color w:val="auto"/>
              </w:rPr>
            </w:pPr>
            <w:r>
              <w:rPr>
                <w:rFonts w:ascii="Arial" w:cs="Arial" w:eastAsia="Arial" w:hAnsi="Arial"/>
                <w:sz w:val="18"/>
                <w:szCs w:val="18"/>
                <w:color w:val="auto"/>
              </w:rPr>
              <w:t>Loss on divestitures, net of selling costs</w:t>
            </w:r>
          </w:p>
        </w:tc>
        <w:tc>
          <w:tcPr>
            <w:tcW w:w="34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20" w:type="dxa"/>
            <w:vAlign w:val="bottom"/>
          </w:tcPr>
          <w:p>
            <w:pPr>
              <w:spacing w:after="0"/>
              <w:rPr>
                <w:sz w:val="17"/>
                <w:szCs w:val="17"/>
                <w:color w:val="auto"/>
              </w:rPr>
            </w:pPr>
          </w:p>
        </w:tc>
      </w:tr>
      <w:tr>
        <w:trPr>
          <w:trHeight w:val="203"/>
        </w:trPr>
        <w:tc>
          <w:tcPr>
            <w:tcW w:w="60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Intangible asset impairment</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0.9</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6000" w:type="dxa"/>
            <w:vAlign w:val="bottom"/>
          </w:tcPr>
          <w:p>
            <w:pPr>
              <w:ind w:left="380"/>
              <w:spacing w:after="0" w:line="202" w:lineRule="exact"/>
              <w:rPr>
                <w:sz w:val="20"/>
                <w:szCs w:val="20"/>
                <w:color w:val="auto"/>
              </w:rPr>
            </w:pPr>
            <w:r>
              <w:rPr>
                <w:rFonts w:ascii="Arial" w:cs="Arial" w:eastAsia="Arial" w:hAnsi="Arial"/>
                <w:sz w:val="18"/>
                <w:szCs w:val="18"/>
                <w:color w:val="auto"/>
              </w:rPr>
              <w:t>Deferred financing fee adjustment</w:t>
            </w:r>
          </w:p>
        </w:tc>
        <w:tc>
          <w:tcPr>
            <w:tcW w:w="34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tcPr>
          <w:p>
            <w:pPr>
              <w:spacing w:after="0"/>
              <w:rPr>
                <w:sz w:val="17"/>
                <w:szCs w:val="17"/>
                <w:color w:val="auto"/>
              </w:rPr>
            </w:pPr>
          </w:p>
        </w:tc>
      </w:tr>
      <w:tr>
        <w:trPr>
          <w:trHeight w:val="203"/>
        </w:trPr>
        <w:tc>
          <w:tcPr>
            <w:tcW w:w="60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Foreign currency remeasurement</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(0.5 )</w:t>
            </w:r>
          </w:p>
        </w:tc>
      </w:tr>
      <w:tr>
        <w:trPr>
          <w:trHeight w:val="203"/>
        </w:trPr>
        <w:tc>
          <w:tcPr>
            <w:tcW w:w="6000" w:type="dxa"/>
            <w:vAlign w:val="bottom"/>
          </w:tcPr>
          <w:p>
            <w:pPr>
              <w:ind w:left="380"/>
              <w:spacing w:after="0" w:line="202" w:lineRule="exact"/>
              <w:rPr>
                <w:sz w:val="20"/>
                <w:szCs w:val="20"/>
                <w:color w:val="auto"/>
              </w:rPr>
            </w:pPr>
            <w:r>
              <w:rPr>
                <w:rFonts w:ascii="Arial" w:cs="Arial" w:eastAsia="Arial" w:hAnsi="Arial"/>
                <w:sz w:val="18"/>
                <w:szCs w:val="18"/>
                <w:color w:val="auto"/>
              </w:rPr>
              <w:t>Tax (benefit) expense of adjustments</w:t>
            </w:r>
          </w:p>
        </w:tc>
        <w:tc>
          <w:tcPr>
            <w:tcW w:w="34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(3.9 )</w:t>
            </w:r>
          </w:p>
        </w:tc>
        <w:tc>
          <w:tcPr>
            <w:tcW w:w="3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(2.5 )</w:t>
            </w:r>
          </w:p>
        </w:tc>
      </w:tr>
      <w:tr>
        <w:trPr>
          <w:trHeight w:val="203"/>
        </w:trPr>
        <w:tc>
          <w:tcPr>
            <w:tcW w:w="60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Zhongli tax benefit</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(4.4 )</w:t>
            </w:r>
          </w:p>
        </w:tc>
      </w:tr>
      <w:tr>
        <w:trPr>
          <w:trHeight w:val="196"/>
        </w:trPr>
        <w:tc>
          <w:tcPr>
            <w:tcW w:w="60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Non-GAAP net income</w:t>
            </w:r>
          </w:p>
        </w:tc>
        <w:tc>
          <w:tcPr>
            <w:tcW w:w="34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9.8</w:t>
            </w: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19.5</w:t>
            </w:r>
          </w:p>
        </w:tc>
        <w:tc>
          <w:tcPr>
            <w:tcW w:w="3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20.9</w:t>
            </w:r>
          </w:p>
        </w:tc>
        <w:tc>
          <w:tcPr>
            <w:tcW w:w="220" w:type="dxa"/>
            <w:vAlign w:val="bottom"/>
            <w:tcBorders>
              <w:top w:val="single" w:sz="8" w:color="CFF0FC"/>
            </w:tcBorders>
          </w:tcPr>
          <w:p>
            <w:pPr>
              <w:spacing w:after="0"/>
              <w:rPr>
                <w:sz w:val="17"/>
                <w:szCs w:val="17"/>
                <w:color w:val="auto"/>
              </w:rPr>
            </w:pP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i w:val="1"/>
                <w:iCs w:val="1"/>
                <w:color w:val="auto"/>
              </w:rPr>
              <w:t>Non-GAAP net income as a percentage of sales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i w:val="1"/>
                <w:iCs w:val="1"/>
                <w:color w:val="auto"/>
              </w:rPr>
              <w:t>3.0 %</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i w:val="1"/>
                <w:iCs w:val="1"/>
                <w:color w:val="auto"/>
              </w:rPr>
              <w:t>6.2 %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i w:val="1"/>
                <w:iCs w:val="1"/>
                <w:color w:val="auto"/>
              </w:rPr>
              <w:t>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-262255</wp:posOffset>
            </wp:positionV>
            <wp:extent cx="1454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-262255</wp:posOffset>
            </wp:positionV>
            <wp:extent cx="14605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-262255</wp:posOffset>
            </wp:positionV>
            <wp:extent cx="13716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1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Consolidated net sales in 2021 were $324.1 million compared with $316.0 million in 2020, an increase of $8.1 million. The increase is attributable to increases of $11.8 million in volatile organic compounds ("VOC") abatement solutions from the Environmental Integrated Solutions ("EIS") business, $8.0 million in our Regenerative Thermal Oxidizer ("RTO") solutions, $5.8 million in our industrial dampers and expansion joint products, $2.9 million in our pump products, and $2.3 million in our custom-designed dust collection and ventilation solutions. These increases were partially offset by the effects of the Covid-19 pandemic on global demand for certain products in 2021, which includes decreases of $16.7 million in our gas and water separation &amp; filtration products serving the midstream oil &amp; gas end markets, and $6.3 million in our custom-engineered fluid bed cyclone systems serving refinery markets.</w:t>
      </w:r>
    </w:p>
    <w:p>
      <w:pPr>
        <w:spacing w:after="0" w:line="162"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Gross profit decreased by $4.2 million, or 4.0%, to $100.9 million in 2021 compared with $105.1 million in 2020. The decrease in gross profit is primarily related to inflation, supply chain challenges, and lower margin mix of projects awarded in 2020 and executed during 2021. Gross profit as a percentage of sales decreased to 31.1% in 2021 compared with 33.3% in 2020, respectively. As described, we are currently experiencing shortages of raw materials and inflationary pressures for certain materials and labor. We expect these supply chain challenges and cost impacts to continue for the foreseeable future as markets recover. Although we have secured additional raw materials from existing and alternate suppliers and have taken other mitigating actions to mitigate supply disruptions, such as implementing price increases and material surcharges that are passed along to customers. We cannot guarantee that we can continue to do so in the future. In this event, our business, results and financial condition could be adversely affected.</w:t>
      </w:r>
    </w:p>
    <w:p>
      <w:pPr>
        <w:spacing w:after="0" w:line="16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Orders booked were $360.8 million in 2021 compared with $279.6 million in 2020. The increase is primarily attributable to increases in the electrical vehicle production, engineered wood, aluminum beverage can, refinery and power generation end markets.</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Selling and administrative expenses were $81.8 million in 2021 compared with $76.9 million in 2020. The increase is primarily attributed to cost reduction measures related to the COVID-19 pandemic implemented in 2020, that did not recur in 2021, such as furloughs and one-time reductions including wage reductions and travel restrictions. Selling and administrative expenses as a percentage of sales were 25.2% in 2021 compared with 24.3% in 2020.</w:t>
      </w:r>
    </w:p>
    <w:p>
      <w:pPr>
        <w:spacing w:after="0" w:line="147"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Amortization and earnout expense was $7.8 million in 2021 and $8.8 million in 2020. The decrease in expense is primarily attributable to $0.7 million decrease indefinite lived asset amortization and $0.3 million in lower earnout expenses. See Note 7 to the Consolidated Financial Statements for further discussion on earnout expenses.</w:t>
      </w:r>
    </w:p>
    <w:p>
      <w:pPr>
        <w:spacing w:after="0" w:line="18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Acquisitions and integration expenses related to various merger and acquisition diligence activities (including EIS and Mader acquisitions), which include legal, accounting and banking expenses were $0.8 million in 2021, as compared with $1.4 million in 2020.</w:t>
      </w:r>
    </w:p>
    <w:p>
      <w:pPr>
        <w:spacing w:after="0" w:line="171"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Operating income for 2021 was $9.9 million, a decrease of $3.4 million from $13.3 million in 2020. Operating income as a percentage of sales for 2021 was 3.1% compared with 4.2% for 2020. The decrease in operating income is primarily attributable to lower margin mix of products sold during the year, the discontinuance of certain COVID-19 cost reduction measures discussed above, partially offset by lower amortization and earnout expenses, restructuring expenses, acquisition and integration expenses, and executive transition expenses.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31" w:name="page32"/>
    <w:bookmarkEnd w:id="31"/>
    <w:p>
      <w:pPr>
        <w:ind w:right="100"/>
        <w:spacing w:after="0" w:line="248" w:lineRule="auto"/>
        <w:rPr>
          <w:sz w:val="20"/>
          <w:szCs w:val="20"/>
          <w:color w:val="auto"/>
        </w:rPr>
      </w:pPr>
      <w:r>
        <w:rPr>
          <w:rFonts w:ascii="Arial" w:cs="Arial" w:eastAsia="Arial" w:hAnsi="Arial"/>
          <w:sz w:val="18"/>
          <w:szCs w:val="18"/>
          <w:color w:val="auto"/>
        </w:rPr>
        <w:t>Non-GAAP operating income was $19.1 million in 2021 and $28.2 million in 2020. The decrease in non-GAAP operating income is primarily attributable to the lower gross profit and the discontinuance of certain COVID-19 cost reduction measures discussed above. Non-GAAP operating income as a percentage of sales for 2021 was 5.9% compared with 8.9% for 2020.</w:t>
      </w:r>
    </w:p>
    <w:p>
      <w:pPr>
        <w:spacing w:after="0" w:line="18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Interest expense decreased to $3.0 million in 2021 from $3.5 million in 2020. The decrease is due to lower interest rates and lower average debt balances in 2021 compared to 2020.</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Income tax expense was $2.7 million and $3.7 million in 2021 and 2020, respectively. The effective tax rate for 2021 was 57.6% compared with 30.1% in 2020.</w:t>
      </w:r>
    </w:p>
    <w:p>
      <w:pPr>
        <w:spacing w:after="0" w:line="171" w:lineRule="exact"/>
        <w:rPr>
          <w:sz w:val="20"/>
          <w:szCs w:val="20"/>
          <w:color w:val="auto"/>
        </w:rPr>
      </w:pPr>
    </w:p>
    <w:p>
      <w:pPr>
        <w:ind w:right="600"/>
        <w:spacing w:after="0" w:line="291" w:lineRule="auto"/>
        <w:rPr>
          <w:sz w:val="20"/>
          <w:szCs w:val="20"/>
          <w:color w:val="auto"/>
        </w:rPr>
      </w:pPr>
      <w:r>
        <w:rPr>
          <w:rFonts w:ascii="Arial" w:cs="Arial" w:eastAsia="Arial" w:hAnsi="Arial"/>
          <w:sz w:val="17"/>
          <w:szCs w:val="17"/>
          <w:color w:val="auto"/>
        </w:rPr>
        <w:t>Income tax expense and the effective tax rate for 2021 were affected by certain permanent differences, including state income taxes, non-deductible incentive stock-based compensation, tax credits, and differences in tax rates among the jurisdictions in which we operate.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1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See the Management Discussion and Analysis section of our Annual Report on Form 10-K for the year ended December 31, 2020 for a discussion of our consolidated results of operations for the year ended December 31, 2020 compared to the year ended December 31, 2019. The results of operations for our business segments for the year ended December 31, 2020 compared to the year ended December 31, 2019 has been recast below to give effect to the segment realignment in the first quarter of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first quarter of 2021, management determined that a realignment of the Company’s segments was necessary to better reflect the solutions we provide, and the end markets we serve. As a result of this realignment, we combined the operating results of the prior Industrial Solutions segment and Fluid Handling Solutions segment into a single reportable segment named the Industrial Process Solutions segment. Additionally, the Energy Solutions segment was renamed the Engineered Systems segment. The results of the segments for the prior year periods have been re-cast to reflect this re-alignment. See note 16 to the consolidated financial statements included in this report.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operations are organized and reviewed by management along its product lines and end markets that the segment serves and are presented in two reportable segments. The results of the segments are reviewed through the “Income from operations” line on the Consolidated Statements of Income. The amounts presented in the Net Sales table below and in the following comments regarding our net sales at the reportable business segment level exclude both intra-segment and inter-segment net sales. The Income from Operations table and corresponding comments regarding operating income (loss) at the reportable segment level include both intra-segment and inter-segment operating income. The exclusion of the Divestitures’ operating results subsequent to their disposition impacts the comparability of our segment operating results.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61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Sales (less intra-, inter-segment sales)</w:t>
            </w: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(table only in thousands)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1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Engineered Systems Segment</w:t>
            </w:r>
          </w:p>
        </w:tc>
        <w:tc>
          <w:tcPr>
            <w:tcW w:w="940" w:type="dxa"/>
            <w:vAlign w:val="bottom"/>
            <w:shd w:val="clear" w:color="auto" w:fill="CFF0FC"/>
          </w:tcPr>
          <w:p>
            <w:pPr>
              <w:jc w:val="right"/>
              <w:ind w:right="762"/>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89"/>
              </w:rPr>
              <w:t>186,926</w:t>
            </w:r>
          </w:p>
        </w:tc>
        <w:tc>
          <w:tcPr>
            <w:tcW w:w="8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89"/>
              </w:rPr>
              <w:t>205,494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w w:val="89"/>
              </w:rPr>
              <w:t>210,319</w:t>
            </w:r>
          </w:p>
        </w:tc>
        <w:tc>
          <w:tcPr>
            <w:tcW w:w="60" w:type="dxa"/>
            <w:vAlign w:val="bottom"/>
            <w:shd w:val="clear" w:color="auto" w:fill="CFF0FC"/>
          </w:tcPr>
          <w:p>
            <w:pPr>
              <w:spacing w:after="0"/>
              <w:rPr>
                <w:sz w:val="19"/>
                <w:szCs w:val="19"/>
                <w:color w:val="auto"/>
              </w:rPr>
            </w:pPr>
          </w:p>
        </w:tc>
      </w:tr>
      <w:tr>
        <w:trPr>
          <w:trHeight w:val="216"/>
        </w:trPr>
        <w:tc>
          <w:tcPr>
            <w:tcW w:w="6140" w:type="dxa"/>
            <w:vAlign w:val="bottom"/>
            <w:gridSpan w:val="2"/>
          </w:tcPr>
          <w:p>
            <w:pPr>
              <w:ind w:left="200"/>
              <w:spacing w:after="0"/>
              <w:rPr>
                <w:sz w:val="20"/>
                <w:szCs w:val="20"/>
                <w:color w:val="auto"/>
              </w:rPr>
            </w:pPr>
            <w:r>
              <w:rPr>
                <w:rFonts w:ascii="Arial" w:cs="Arial" w:eastAsia="Arial" w:hAnsi="Arial"/>
                <w:sz w:val="18"/>
                <w:szCs w:val="18"/>
                <w:color w:val="auto"/>
              </w:rPr>
              <w:t>Industrial Process Solutions Segment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137,214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9"/>
              </w:rPr>
              <w:t>110,517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w w:val="89"/>
              </w:rPr>
              <w:t>131,550</w:t>
            </w:r>
          </w:p>
        </w:tc>
        <w:tc>
          <w:tcPr>
            <w:tcW w:w="60" w:type="dxa"/>
            <w:vAlign w:val="bottom"/>
          </w:tcPr>
          <w:p>
            <w:pPr>
              <w:spacing w:after="0"/>
              <w:rPr>
                <w:sz w:val="18"/>
                <w:szCs w:val="18"/>
                <w:color w:val="auto"/>
              </w:rPr>
            </w:pPr>
          </w:p>
        </w:tc>
      </w:tr>
      <w:tr>
        <w:trPr>
          <w:trHeight w:val="236"/>
        </w:trPr>
        <w:tc>
          <w:tcPr>
            <w:tcW w:w="6140" w:type="dxa"/>
            <w:vAlign w:val="bottom"/>
            <w:tcBorders>
              <w:bottom w:val="single" w:sz="8" w:color="CFF0FC"/>
            </w:tcBorders>
            <w:gridSpan w:val="2"/>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Net sales</w:t>
            </w:r>
          </w:p>
        </w:tc>
        <w:tc>
          <w:tcPr>
            <w:tcW w:w="940" w:type="dxa"/>
            <w:vAlign w:val="bottom"/>
            <w:tcBorders>
              <w:bottom w:val="single" w:sz="8" w:color="auto"/>
            </w:tcBorders>
            <w:shd w:val="clear" w:color="auto" w:fill="CFF0FC"/>
          </w:tcPr>
          <w:p>
            <w:pPr>
              <w:jc w:val="right"/>
              <w:ind w:right="762"/>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89"/>
              </w:rPr>
              <w:t>324,140</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w w:val="89"/>
              </w:rPr>
              <w:t>316,011</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FF0FC"/>
          </w:tcPr>
          <w:p>
            <w:pPr>
              <w:ind w:left="580"/>
              <w:spacing w:after="0" w:line="196" w:lineRule="exact"/>
              <w:rPr>
                <w:sz w:val="20"/>
                <w:szCs w:val="20"/>
                <w:color w:val="auto"/>
              </w:rPr>
            </w:pPr>
            <w:r>
              <w:rPr>
                <w:rFonts w:ascii="Arial" w:cs="Arial" w:eastAsia="Arial" w:hAnsi="Arial"/>
                <w:sz w:val="18"/>
                <w:szCs w:val="18"/>
                <w:color w:val="auto"/>
                <w:w w:val="89"/>
              </w:rPr>
              <w:t>341,869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61"/>
        </w:trPr>
        <w:tc>
          <w:tcPr>
            <w:tcW w:w="6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6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(table only in thousands)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4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940" w:type="dxa"/>
            <w:vAlign w:val="bottom"/>
            <w:shd w:val="clear" w:color="auto" w:fill="CFF0FC"/>
          </w:tcPr>
          <w:p>
            <w:pPr>
              <w:jc w:val="right"/>
              <w:ind w:right="78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25,770</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34,170</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ind w:left="660"/>
              <w:spacing w:after="0" w:line="202" w:lineRule="exact"/>
              <w:rPr>
                <w:sz w:val="20"/>
                <w:szCs w:val="20"/>
                <w:color w:val="auto"/>
              </w:rPr>
            </w:pPr>
            <w:r>
              <w:rPr>
                <w:rFonts w:ascii="Arial" w:cs="Arial" w:eastAsia="Arial" w:hAnsi="Arial"/>
                <w:sz w:val="18"/>
                <w:szCs w:val="18"/>
                <w:color w:val="auto"/>
                <w:w w:val="87"/>
              </w:rPr>
              <w:t>33,886</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9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15,054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7,220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ind w:left="660"/>
              <w:spacing w:after="0" w:line="202" w:lineRule="exact"/>
              <w:rPr>
                <w:sz w:val="20"/>
                <w:szCs w:val="20"/>
                <w:color w:val="auto"/>
              </w:rPr>
            </w:pPr>
            <w:r>
              <w:rPr>
                <w:rFonts w:ascii="Arial" w:cs="Arial" w:eastAsia="Arial" w:hAnsi="Arial"/>
                <w:sz w:val="18"/>
                <w:szCs w:val="18"/>
                <w:color w:val="auto"/>
                <w:w w:val="87"/>
              </w:rPr>
              <w:t>11,237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Corporate and Other (1)</w:t>
            </w: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w w:val="91"/>
              </w:rPr>
              <w:t>(30,967 )</w:t>
            </w: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(28,044 )</w:t>
            </w:r>
          </w:p>
        </w:tc>
        <w:tc>
          <w:tcPr>
            <w:tcW w:w="36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ind w:left="600"/>
              <w:spacing w:after="0" w:line="202" w:lineRule="exact"/>
              <w:rPr>
                <w:sz w:val="20"/>
                <w:szCs w:val="20"/>
                <w:color w:val="auto"/>
              </w:rPr>
            </w:pPr>
            <w:r>
              <w:rPr>
                <w:rFonts w:ascii="Arial" w:cs="Arial" w:eastAsia="Arial" w:hAnsi="Arial"/>
                <w:sz w:val="18"/>
                <w:szCs w:val="18"/>
                <w:color w:val="auto"/>
                <w:w w:val="85"/>
              </w:rPr>
              <w:t>(27,133 )</w:t>
            </w:r>
          </w:p>
        </w:tc>
      </w:tr>
      <w:tr>
        <w:trPr>
          <w:trHeight w:val="196"/>
        </w:trPr>
        <w:tc>
          <w:tcPr>
            <w:tcW w:w="612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9,857</w:t>
            </w: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13,346</w:t>
            </w:r>
          </w:p>
        </w:tc>
        <w:tc>
          <w:tcPr>
            <w:tcW w:w="2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660"/>
              <w:spacing w:after="0" w:line="196" w:lineRule="exact"/>
              <w:rPr>
                <w:sz w:val="20"/>
                <w:szCs w:val="20"/>
                <w:color w:val="auto"/>
              </w:rPr>
            </w:pPr>
            <w:r>
              <w:rPr>
                <w:rFonts w:ascii="Arial" w:cs="Arial" w:eastAsia="Arial" w:hAnsi="Arial"/>
                <w:sz w:val="18"/>
                <w:szCs w:val="18"/>
                <w:color w:val="auto"/>
                <w:w w:val="87"/>
              </w:rPr>
              <w:t>17,990</w:t>
            </w:r>
          </w:p>
        </w:tc>
        <w:tc>
          <w:tcPr>
            <w:tcW w:w="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-1207770</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-1191260</wp:posOffset>
            </wp:positionV>
            <wp:extent cx="43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-1207770</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-1191260</wp:posOffset>
            </wp:positionV>
            <wp:extent cx="342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-1207770</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-1191260</wp:posOffset>
            </wp:positionV>
            <wp:extent cx="34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-159385</wp:posOffset>
            </wp:positionV>
            <wp:extent cx="60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-159385</wp:posOffset>
            </wp:positionV>
            <wp:extent cx="514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74" w:lineRule="exact"/>
        <w:rPr>
          <w:sz w:val="20"/>
          <w:szCs w:val="20"/>
          <w:color w:val="auto"/>
        </w:rPr>
      </w:pPr>
    </w:p>
    <w:p>
      <w:pPr>
        <w:jc w:val="both"/>
        <w:ind w:left="900" w:right="140" w:hanging="518"/>
        <w:spacing w:after="0" w:line="24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corporate compensation, professional services, information technology, other general and administrative corporate expenses and loss on divestitures, net of selling costs. This figure excludes earnout expenses / income, which are recorded in the segment in which the expense / income occurs.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Comparison of the years ended December 31, 2021 and 2020</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Engineered Systems segment</w:t>
      </w:r>
    </w:p>
    <w:p>
      <w:pPr>
        <w:spacing w:after="0" w:line="21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Our Engineered Systems segment net sales decreased $18.6 million to $186.9 million in 2021 compared with $205.5 million in 2020, a decrease of 9.1%. The decrease is primarily attributable to the effect of COVID-19 on global demand for certain products which included decreases of $16.7 million in our gas separation &amp; filtration products serving the midstream oil &amp; gas end markets, and $6.3 million in our custom-engineered fluid bed cyclone systems serving refinery markets, partially offset by an increase of $5.8 million in our industrial dampers and expansion joint products.</w:t>
      </w:r>
    </w:p>
    <w:p>
      <w:pPr>
        <w:spacing w:after="0" w:line="17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Operating income for the Engineered Systems segment decreased $8.4 million to $25.8 million for 2021 compared with $34.2 million in 2020, a decrease of 24.6%. The decrease in operating income in 2021 is primarily attributable to the decrease in gross profit of $9.2 million due to decrease in net sales, inflation, supply chain challenges and lower margin mix of projects awarded in 2020 and executed during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Process Solutions segment</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Our Industrial Process Solutions segment net sales increased $26.7 million to $137.2 million in 2021 compared with $110.5 million in 2020, an increase of 24.2%. The increase is primarily attributable to increases of $11.8 million in volatile organic compounds (“VOC”) abatement solutions from the Environmental Integrated Solutions (“EIS”) business serving the aluminum beverage can market, $8.0 million in our Regenerative Thermal Oxidizer ("RTO") solutions serving the electric vehicle and general industrial markets, $2.9 million in our pump products, and $2.3 million in our custom-designed dust collection and ventilation solutions serving the general industrial markets.</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Operating income increased $7.9 million to $15.1 million for 2021 compared with $7.2 million in 2020. The increase is primarily attributable to an increase of $5.0 million in gross profit driven by increased net sales, a decrease of $1.1 million in restructuring expenses related to the EIS acquisition, a decrease of $0.9 million related to impairment charges in the prior year, a decrease in selling, general and administrative expenses of $0.5 million and a decrease in earnout expenses of $0.3million.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 segment</w:t>
      </w:r>
    </w:p>
    <w:p>
      <w:pPr>
        <w:spacing w:after="0" w:line="212"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Operating expense for the Corporate and Other segment increased $3.0 million to $31.0 million for 2021 compared with $28.0 million for 2020. The increase is primarily attributable to a $5.4 million increase in selling, general and administrative expense related to the discontinuation of certain cost reduction measures in response to the COVID-19 pandemic, such as furloughs and one-time reductions including wage reductions and travel restrictions, partially offset by lower executive transition expense of $1.5 million, lower acquisition and integration expenses of $0.6 million, and lower restructuring expenses of $0.4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Engineered Systems segment</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Engineered Systems segment net sales decreased $4.8 million to $205.5 million in 2020 compared with $210.3 million in 2019, a decrease of 2.3%. The decrease is primarily attributable to decreases of $18.2 million in custom-engineered fluid bed cyclone systems that serve the refinery market offset by increases of $10.1 million in the Company’s custom acoustical technologies that serve the natural gas power generation markets and $3.3 million in volume increases in our emissions management and water filtration solutions technologies.</w:t>
      </w:r>
    </w:p>
    <w:p>
      <w:pPr>
        <w:spacing w:after="0" w:line="390"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Operating income increased $0.3 million to $34.2 million for 2020 compared with $33.9 million in 2019, an increase of 0.8%. The increase in operating income in 2020 is primarily attributable to the decrease of $2.6 million in selling and administrative expenses related to the cost reductions as described above and the decrease in amortization expenses of $1.1 million partially offset by a decrease in gross profit of $3.1 million due to lower net sales and unfavorable product mix and an increase of $0.3 million in restructuring expense.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Industrial Process Solutions segment</w:t>
      </w:r>
    </w:p>
    <w:p>
      <w:pPr>
        <w:spacing w:after="0" w:line="212"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Our Industrial Process Solutions segment net sales decreased $21.0 million in 2020 to $110.5 million compared with $131.5 million in 2019, a decrease of 16.0%. The decrease is primarily related to decreases of $24.5 million in our air pollution control technologies, $4.4 million attributable to volume decreases in the Company’s liquid filtration and pump solutions product line driven by lower demand from oil &amp; gas, hospitality and desalination end market customers, partially offset by $8.1 million increase in VOC abatement solutions from the EIS acquisition.</w:t>
      </w:r>
    </w:p>
    <w:p>
      <w:pPr>
        <w:spacing w:after="0" w:line="17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Operating income decreased $4.0 million to $7.2 million for 2020 compared with $11.2 million in 2019, a decrease of 35.7%. The decrease is primarily attributable to $6.2 million decrease in gross profit due to lower net sales, an increase of $1.5 million in amortization and earnout expenses primarily due to the EIS acquisition, $0.9 million impairment charges and $0.7 million in restructuring costs. These costs were partially offset by $5.0 million reduction in selling, general and administrative expenses related to cost reductions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 segment</w:t>
      </w:r>
    </w:p>
    <w:p>
      <w:pPr>
        <w:spacing w:after="0" w:line="21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Operating expense for the Corporate and Other segment increased $0.9 million to $28.0 million for 2020 compared with $27.1 million for 2019. The increase is primarily attributable to a $1.5 million increase in executive transition expenses, $0.9 million increase in acquisition and integration expenses, partially offset by $1.5 million decrease in selling and administration expenses related to cost reductions described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w:t>
      </w:r>
    </w:p>
    <w:p>
      <w:pPr>
        <w:spacing w:after="0" w:line="18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At December 31, 2021, the Company had working capital of $72.3 million, compared with $74.1 million at December 31, 2020. The ratio of current assets to current liabilities was 1.62 to 1.00 at December 31, 2021 as compared with a ratio of 1.68 to 1.00 at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and 2020, cash and cash equivalents totaled $29.9 million and $36.0 million, respectively. As of December 31, 2021 and 2020,</w:t>
      </w:r>
    </w:p>
    <w:p>
      <w:pPr>
        <w:spacing w:after="0" w:line="3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$22.6 million and $28.0 million, respectively, of our cash and cash equivalents were held by non-U.S. subsidiaries, as well as being denominated in foreign currencies.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5"/>
        </w:trPr>
        <w:tc>
          <w:tcPr>
            <w:tcW w:w="7700" w:type="dxa"/>
            <w:vAlign w:val="bottom"/>
          </w:tcPr>
          <w:p>
            <w:pPr>
              <w:ind w:left="20"/>
              <w:spacing w:after="0" w:line="156" w:lineRule="exact"/>
              <w:rPr>
                <w:sz w:val="20"/>
                <w:szCs w:val="20"/>
                <w:color w:val="auto"/>
              </w:rPr>
            </w:pPr>
            <w:r>
              <w:rPr>
                <w:rFonts w:ascii="Arial" w:cs="Arial" w:eastAsia="Arial" w:hAnsi="Arial"/>
                <w:sz w:val="18"/>
                <w:szCs w:val="18"/>
                <w:color w:val="auto"/>
              </w:rPr>
              <w:t>Outstanding borrowings under Credit Facility</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700" w:type="dxa"/>
            <w:vAlign w:val="bottom"/>
          </w:tcPr>
          <w:p>
            <w:pPr>
              <w:ind w:left="160"/>
              <w:spacing w:after="0" w:line="176" w:lineRule="exact"/>
              <w:rPr>
                <w:sz w:val="20"/>
                <w:szCs w:val="20"/>
                <w:color w:val="auto"/>
              </w:rPr>
            </w:pPr>
            <w:r>
              <w:rPr>
                <w:rFonts w:ascii="Arial" w:cs="Arial" w:eastAsia="Arial" w:hAnsi="Arial"/>
                <w:sz w:val="18"/>
                <w:szCs w:val="18"/>
                <w:color w:val="auto"/>
              </w:rPr>
              <w:t>Term loan payable in quarterly principal installments of $0.6 million</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tcPr>
          <w:p>
            <w:pPr>
              <w:ind w:left="20"/>
              <w:spacing w:after="0" w:line="176" w:lineRule="exact"/>
              <w:rPr>
                <w:sz w:val="20"/>
                <w:szCs w:val="20"/>
                <w:color w:val="auto"/>
              </w:rPr>
            </w:pPr>
            <w:r>
              <w:rPr>
                <w:rFonts w:ascii="Arial" w:cs="Arial" w:eastAsia="Arial" w:hAnsi="Arial"/>
                <w:sz w:val="18"/>
                <w:szCs w:val="18"/>
                <w:color w:val="auto"/>
              </w:rPr>
              <w:t>through September 2023, $0.8 million through September 2025 and $1.1 million thereafter with</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balance due upon maturity in September 2026.</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 Term loan</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43,511</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46,250</w:t>
            </w:r>
          </w:p>
        </w:tc>
        <w:tc>
          <w:tcPr>
            <w:tcW w:w="10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 Revolving Credit Loan</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22,000</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27,700</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 Unamortized debt discount</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(1,731 )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(1,334 )</w:t>
            </w:r>
          </w:p>
        </w:tc>
      </w:tr>
      <w:tr>
        <w:trPr>
          <w:trHeight w:val="196"/>
        </w:trPr>
        <w:tc>
          <w:tcPr>
            <w:tcW w:w="77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outstanding borrowings under Credit Facility</w:t>
            </w: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63,780</w:t>
            </w: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72,616</w:t>
            </w:r>
          </w:p>
        </w:tc>
        <w:tc>
          <w:tcPr>
            <w:tcW w:w="100" w:type="dxa"/>
            <w:vAlign w:val="bottom"/>
            <w:tcBorders>
              <w:top w:val="single" w:sz="8" w:color="CFF0FC"/>
            </w:tcBorders>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(2,203 )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(3,125 )</w:t>
            </w:r>
          </w:p>
        </w:tc>
      </w:tr>
      <w:tr>
        <w:trPr>
          <w:trHeight w:val="196"/>
        </w:trPr>
        <w:tc>
          <w:tcPr>
            <w:tcW w:w="77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debt, less current portion</w:t>
            </w: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61,577</w:t>
            </w: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69,491</w:t>
            </w:r>
          </w:p>
        </w:tc>
        <w:tc>
          <w:tcPr>
            <w:tcW w:w="100" w:type="dxa"/>
            <w:vAlign w:val="bottom"/>
            <w:tcBorders>
              <w:top w:val="single" w:sz="8" w:color="CFF0FC"/>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-424815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2021, the Company made repayments of $2.7 million on the term loan and net paydowns on the revolving credit lines of $5.7 million</w:t>
      </w:r>
      <w:r>
        <w:rPr>
          <w:rFonts w:ascii="Arial" w:cs="Arial" w:eastAsia="Arial" w:hAnsi="Arial"/>
          <w:sz w:val="18"/>
          <w:szCs w:val="18"/>
          <w:color w:val="212529"/>
        </w:rPr>
        <w:t>.</w:t>
      </w:r>
    </w:p>
    <w:p>
      <w:pPr>
        <w:spacing w:after="0" w:line="21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pacing w:after="0" w:line="18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As of December 31, 2021 and 2020, the Company was in compliance with all related financial and other restrictive covenants under the Credit Facility.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Foreign Debt</w:t>
      </w:r>
    </w:p>
    <w:p>
      <w:pPr>
        <w:spacing w:after="0" w:line="21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addition, 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 8 to the Consolidated Financial Statements for further information on the Company’s foreign debt.</w:t>
      </w:r>
    </w:p>
    <w:p>
      <w:pPr>
        <w:spacing w:after="0" w:line="212"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Total unused credit availability under our Credit Facility and other non-U.S. credit facilities and agreements, exclusive of any potential asset base limitations,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Credit Facility, revolving loans</w:t>
            </w:r>
          </w:p>
        </w:tc>
        <w:tc>
          <w:tcPr>
            <w:tcW w:w="1060" w:type="dxa"/>
            <w:vAlign w:val="bottom"/>
          </w:tcPr>
          <w:p>
            <w:pPr>
              <w:jc w:val="right"/>
              <w:ind w:right="875"/>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140.0</w:t>
            </w:r>
          </w:p>
        </w:tc>
        <w:tc>
          <w:tcPr>
            <w:tcW w:w="28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140.0</w:t>
            </w:r>
          </w:p>
        </w:tc>
        <w:tc>
          <w:tcPr>
            <w:tcW w:w="100" w:type="dxa"/>
            <w:vAlign w:val="bottom"/>
          </w:tcPr>
          <w:p>
            <w:pPr>
              <w:spacing w:after="0"/>
              <w:rPr>
                <w:sz w:val="17"/>
                <w:szCs w:val="17"/>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Draw down</w:t>
            </w:r>
          </w:p>
        </w:tc>
        <w:tc>
          <w:tcPr>
            <w:tcW w:w="10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(22.0 )</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(27.7 )</w:t>
            </w: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Letters of credit open</w:t>
            </w:r>
          </w:p>
        </w:tc>
        <w:tc>
          <w:tcPr>
            <w:tcW w:w="1060" w:type="dxa"/>
            <w:vAlign w:val="bottom"/>
          </w:tcPr>
          <w:p>
            <w:pPr>
              <w:spacing w:after="0"/>
              <w:rPr>
                <w:sz w:val="17"/>
                <w:szCs w:val="17"/>
                <w:color w:val="auto"/>
              </w:rPr>
            </w:pPr>
          </w:p>
        </w:tc>
        <w:tc>
          <w:tcPr>
            <w:tcW w:w="8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(14.5 )</w:t>
            </w:r>
          </w:p>
        </w:tc>
        <w:tc>
          <w:tcPr>
            <w:tcW w:w="460" w:type="dxa"/>
            <w:vAlign w:val="bottom"/>
          </w:tcPr>
          <w:p>
            <w:pPr>
              <w:spacing w:after="0"/>
              <w:rPr>
                <w:sz w:val="17"/>
                <w:szCs w:val="17"/>
                <w:color w:val="auto"/>
              </w:rPr>
            </w:pPr>
          </w:p>
        </w:tc>
        <w:tc>
          <w:tcPr>
            <w:tcW w:w="12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(7.6 )</w:t>
            </w:r>
          </w:p>
        </w:tc>
      </w:tr>
      <w:tr>
        <w:trPr>
          <w:trHeight w:val="236"/>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unused credit availability</w:t>
            </w:r>
          </w:p>
        </w:tc>
        <w:tc>
          <w:tcPr>
            <w:tcW w:w="1060" w:type="dxa"/>
            <w:vAlign w:val="bottom"/>
            <w:tcBorders>
              <w:top w:val="single" w:sz="8" w:color="auto"/>
              <w:bottom w:val="single" w:sz="8" w:color="auto"/>
            </w:tcBorders>
            <w:shd w:val="clear" w:color="auto" w:fill="CFF0FC"/>
          </w:tcPr>
          <w:p>
            <w:pPr>
              <w:jc w:val="right"/>
              <w:ind w:right="875"/>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103.5</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8"/>
                <w:szCs w:val="18"/>
                <w:color w:val="auto"/>
              </w:rPr>
              <w:t>Amount available based on borrowing limitations</w:t>
            </w:r>
          </w:p>
        </w:tc>
        <w:tc>
          <w:tcPr>
            <w:tcW w:w="1060" w:type="dxa"/>
            <w:vAlign w:val="bottom"/>
            <w:tcBorders>
              <w:bottom w:val="single" w:sz="8" w:color="auto"/>
            </w:tcBorders>
          </w:tcPr>
          <w:p>
            <w:pPr>
              <w:jc w:val="right"/>
              <w:ind w:right="875"/>
              <w:spacing w:after="0" w:line="18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45.9</w:t>
            </w:r>
          </w:p>
        </w:tc>
        <w:tc>
          <w:tcPr>
            <w:tcW w:w="280" w:type="dxa"/>
            <w:vAlign w:val="bottom"/>
          </w:tcPr>
          <w:p>
            <w:pPr>
              <w:spacing w:after="0"/>
              <w:rPr>
                <w:sz w:val="15"/>
                <w:szCs w:val="15"/>
                <w:color w:val="auto"/>
              </w:rPr>
            </w:pPr>
          </w:p>
        </w:tc>
        <w:tc>
          <w:tcPr>
            <w:tcW w:w="460" w:type="dxa"/>
            <w:vAlign w:val="bottom"/>
            <w:tcBorders>
              <w:bottom w:val="single" w:sz="8" w:color="auto"/>
            </w:tcBorders>
          </w:tcPr>
          <w:p>
            <w:pPr>
              <w:jc w:val="right"/>
              <w:ind w:right="270"/>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60.8</w:t>
            </w:r>
          </w:p>
        </w:tc>
        <w:tc>
          <w:tcPr>
            <w:tcW w:w="10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-179070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Cash Flows and Liquidity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4"/>
                <w:szCs w:val="14"/>
                <w:b w:val="1"/>
                <w:bCs w:val="1"/>
                <w:color w:val="auto"/>
              </w:rPr>
              <w:t>For the year ended December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operating cash flow provided by operating activities</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13,298</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4,421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10,227</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17"/>
                <w:szCs w:val="17"/>
                <w:color w:val="auto"/>
              </w:rPr>
            </w:pPr>
          </w:p>
        </w:tc>
        <w:tc>
          <w:tcPr>
            <w:tcW w:w="14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(2,083 )</w:t>
            </w:r>
          </w:p>
        </w:tc>
        <w:tc>
          <w:tcPr>
            <w:tcW w:w="36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(9,235 )</w:t>
            </w:r>
          </w:p>
        </w:tc>
        <w:tc>
          <w:tcPr>
            <w:tcW w:w="3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(5,146 )</w:t>
            </w: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3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(15,556 )</w:t>
            </w:r>
          </w:p>
        </w:tc>
        <w:tc>
          <w:tcPr>
            <w:tcW w:w="3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3,724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(12,116 )</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17"/>
                <w:szCs w:val="17"/>
                <w:color w:val="auto"/>
              </w:rPr>
            </w:pPr>
          </w:p>
        </w:tc>
        <w:tc>
          <w:tcPr>
            <w:tcW w:w="14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(1,475 )</w:t>
            </w:r>
          </w:p>
        </w:tc>
        <w:tc>
          <w:tcPr>
            <w:tcW w:w="3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1,943</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(445 )</w:t>
            </w:r>
          </w:p>
        </w:tc>
      </w:tr>
      <w:tr>
        <w:trPr>
          <w:trHeight w:val="236"/>
        </w:trPr>
        <w:tc>
          <w:tcPr>
            <w:tcW w:w="6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(5,816</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853</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(7,480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16" w:lineRule="exact"/>
        <w:rPr>
          <w:sz w:val="20"/>
          <w:szCs w:val="20"/>
          <w:color w:val="auto"/>
        </w:rPr>
      </w:pPr>
    </w:p>
    <w:p>
      <w:pPr>
        <w:ind w:right="440"/>
        <w:spacing w:after="0" w:line="248" w:lineRule="auto"/>
        <w:rPr>
          <w:sz w:val="20"/>
          <w:szCs w:val="20"/>
          <w:color w:val="auto"/>
        </w:rPr>
      </w:pPr>
      <w:r>
        <w:rPr>
          <w:rFonts w:ascii="Arial" w:cs="Arial" w:eastAsia="Arial" w:hAnsi="Arial"/>
          <w:sz w:val="18"/>
          <w:szCs w:val="18"/>
          <w:color w:val="auto"/>
        </w:rPr>
        <w:t>In 2021, $13.2 million of cash was provided by operating activities compared with $4.4 million in 2020, an increase of $8.8 million. Cash flow from operating activities in 2021 had a favorable impact year-over-year primarily due to certain improvements in net working capital, partially offset by decreases in net earnings.</w:t>
      </w:r>
    </w:p>
    <w:p>
      <w:pPr>
        <w:spacing w:after="0" w:line="182"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In 2020, $4.4 million of cash was provided by operating activities compared with $10.2 million in 2019, a decrease of $5.8 million. Cash flow from operating activities in 2020 had an unfavorable impact year-over-year primarily due to decreases in net earnings and certain changes in net working capital.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16"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In 2021, $2.1 million of cash was used in investing activities, which consisted of $2.6 million of acquisition of property and equipment, offset by $0.5 million of proceeds from the disposal of assets held for sale.</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2020, $9.2 million of cash was used in investing activities, which consisted of $5.9 million for acquisitions, $3.9 million of acquisition of property and equipment, offset by $0.6 million of proceeds from the disposal of assets held for sale.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1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Financing activities in 2021 used cash of $15.6 million, which consisted primarily of $5.7 million net payments on our revolving credit line, $2.7 million paydown of our term debt, $5.0 million for the repurchase and retirement of our common stock, $0.8 million in deferred financing fees paid, $0.8 million in earnout payments, and $0.6 million in payments on our capital leases.</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Financing activities in 2020 provided cash of $3.7 million, which consisted primarily of $9.2 million in net borrowings from our revolving credit lines of which $10.3 million was used to fund the EIS acquisition on June 4, 2020. This was offset by $2.5 million of payments on our term loan, $2.6 million used to pay term debt assumed in connection with the Mader joint venture on July 31, 2020, and $0.5 million in payments on capital leases.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ind w:right="40"/>
        <w:spacing w:after="0"/>
        <w:rPr>
          <w:sz w:val="20"/>
          <w:szCs w:val="20"/>
          <w:color w:val="auto"/>
        </w:rPr>
      </w:pPr>
      <w:r>
        <w:rPr>
          <w:rFonts w:ascii="Arial" w:cs="Arial" w:eastAsia="Arial" w:hAnsi="Arial"/>
          <w:sz w:val="18"/>
          <w:szCs w:val="18"/>
          <w:color w:val="auto"/>
        </w:rPr>
        <w:t>Our primary sources of liquidity are cash generated from operations and borrowing availability under the Credit Facility. We believe that cash flows from operating activities, together with our existing cash and borrowings available under our Credit Facility, will be sufficient for at least the next twelve months to fund our current anticipated uses of cash. After that, our ability to fund these expected uses of cash and to comply with the financial covenants under our debt agreements will depend on the results of future operations, performance and cash flow. Our ability to fund these expected uses from the results of future operations will be subject to prevailing economic conditions and to financial, business, regulatory, legislative and other factors, many of which are beyond our control.</w:t>
      </w:r>
    </w:p>
    <w:p>
      <w:pPr>
        <w:spacing w:after="0" w:line="18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Our material cash requirements included (i) debt repayments under with respect to our Term Loan and Revolving Credit Loan, (ii) interest expense, (iii) purchase obligations for costs associated with uncompleted sales contracts, (iv) operating and capital lease obligations and (v) contingent liabilities related to acquisitions, including earnout liabilities and retention payments.</w:t>
      </w:r>
    </w:p>
    <w:p>
      <w:pPr>
        <w:spacing w:after="0" w:line="182"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We are party to many contractual obligations involving commitments to make payments to third parties, and such commitments require a material amount of cash. The following table summarizes the Company’s material cash requirements from known contractual obligations as of December 31,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4"/>
              </w:rPr>
              <w:t>Payments Due by Period</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33"/>
        </w:trPr>
        <w:tc>
          <w:tcPr>
            <w:tcW w:w="4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w w:val="96"/>
              </w:rPr>
              <w:t>Less than 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1"/>
                <w:szCs w:val="11"/>
                <w:color w:val="auto"/>
              </w:rPr>
            </w:pPr>
          </w:p>
        </w:tc>
      </w:tr>
      <w:tr>
        <w:trPr>
          <w:trHeight w:val="185"/>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6"/>
                <w:szCs w:val="16"/>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55"/>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6"/>
                <w:szCs w:val="16"/>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Arial" w:cs="Arial" w:eastAsia="Arial" w:hAnsi="Arial"/>
                <w:sz w:val="14"/>
                <w:szCs w:val="14"/>
                <w:b w:val="1"/>
                <w:bCs w:val="1"/>
                <w:color w:val="auto"/>
              </w:rPr>
              <w:t>5 years</w:t>
            </w:r>
          </w:p>
        </w:tc>
        <w:tc>
          <w:tcPr>
            <w:tcW w:w="60" w:type="dxa"/>
            <w:vAlign w:val="bottom"/>
          </w:tcPr>
          <w:p>
            <w:pPr>
              <w:spacing w:after="0"/>
              <w:rPr>
                <w:sz w:val="16"/>
                <w:szCs w:val="16"/>
                <w:color w:val="auto"/>
              </w:rPr>
            </w:pPr>
          </w:p>
        </w:tc>
      </w:tr>
      <w:tr>
        <w:trPr>
          <w:trHeight w:val="196"/>
        </w:trPr>
        <w:tc>
          <w:tcPr>
            <w:tcW w:w="4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Term Loan Debt</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43,511</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2,203</w:t>
            </w:r>
          </w:p>
        </w:tc>
        <w:tc>
          <w:tcPr>
            <w:tcW w:w="1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5,781</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35,527</w:t>
            </w: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Revolving Credit Loan</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22,000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 (estimated)</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1,629</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3,064</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2,071</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Purchase obligations (1)</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75,346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75,346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obligations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12,981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2,922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4,666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2,982</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2,411</w:t>
            </w:r>
          </w:p>
        </w:tc>
        <w:tc>
          <w:tcPr>
            <w:tcW w:w="60" w:type="dxa"/>
            <w:vAlign w:val="bottom"/>
            <w:shd w:val="clear" w:color="auto" w:fill="CFF0FC"/>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Capital lease obligations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8,205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889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1,905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3,579</w:t>
            </w:r>
          </w:p>
        </w:tc>
        <w:tc>
          <w:tcPr>
            <w:tcW w:w="60" w:type="dxa"/>
            <w:vAlign w:val="bottom"/>
          </w:tcPr>
          <w:p>
            <w:pPr>
              <w:spacing w:after="0"/>
              <w:rPr>
                <w:sz w:val="17"/>
                <w:szCs w:val="17"/>
                <w:color w:val="auto"/>
              </w:rPr>
            </w:pPr>
          </w:p>
        </w:tc>
      </w:tr>
      <w:tr>
        <w:trPr>
          <w:trHeight w:val="203"/>
        </w:trPr>
        <w:tc>
          <w:tcPr>
            <w:tcW w:w="4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Contingent liabilities related to acquisitions (2)</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1,597</w:t>
            </w:r>
          </w:p>
        </w:tc>
        <w:tc>
          <w:tcPr>
            <w:tcW w:w="1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700" w:type="dxa"/>
            <w:vAlign w:val="bottom"/>
          </w:tcPr>
          <w:p>
            <w:pPr>
              <w:ind w:left="160"/>
              <w:spacing w:after="0" w:line="196" w:lineRule="exact"/>
              <w:rPr>
                <w:sz w:val="20"/>
                <w:szCs w:val="20"/>
                <w:color w:val="auto"/>
              </w:rPr>
            </w:pPr>
            <w:r>
              <w:rPr>
                <w:rFonts w:ascii="Arial" w:cs="Arial" w:eastAsia="Arial" w:hAnsi="Arial"/>
                <w:sz w:val="18"/>
                <w:szCs w:val="18"/>
                <w:color w:val="auto"/>
              </w:rPr>
              <w:t>Totals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170,405</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84,586</w:t>
            </w:r>
          </w:p>
        </w:tc>
        <w:tc>
          <w:tcPr>
            <w:tcW w:w="38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15,343</w:t>
            </w:r>
          </w:p>
        </w:tc>
        <w:tc>
          <w:tcPr>
            <w:tcW w:w="2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64,485</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5,990</w:t>
            </w:r>
          </w:p>
        </w:tc>
        <w:tc>
          <w:tcPr>
            <w:tcW w:w="6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-159385</wp:posOffset>
            </wp:positionV>
            <wp:extent cx="4318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-159385</wp:posOffset>
            </wp:positionV>
            <wp:extent cx="431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-159385</wp:posOffset>
            </wp:positionV>
            <wp:extent cx="431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3429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Primarily consists of purchase obligations for costs associated with uncompleted sales contracts.</w:t>
      </w:r>
    </w:p>
    <w:p>
      <w:pPr>
        <w:spacing w:after="0" w:line="11"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expected earnout liability and retention payment.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Our consolidated financial statements are prepared in conformity with GAAP.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Preparation of the consolidated financial statements in accordance with GAAP requires management to make estimates and assumptions affecting the reported amounts of assets, liabilities, revenues and expenses and related contingent liabilities. On an on-going basis, we evaluate our estimates, including those related to revenues, bad debts, warranties, share based compensation, income taxes, goodwill and intangible asset valuation, and contingencies and litigation. We base our estimates on historical experience and on various other assumptions that we believe are reasonable under the circumstances. Actual results may differ from these estimates under different assumptions or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 substantial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8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6" w:name="page37"/>
    <w:bookmarkEnd w:id="36"/>
    <w:p>
      <w:pPr>
        <w:ind w:right="40"/>
        <w:spacing w:after="0"/>
        <w:rPr>
          <w:sz w:val="20"/>
          <w:szCs w:val="20"/>
          <w:color w:val="auto"/>
        </w:rPr>
      </w:pPr>
      <w:r>
        <w:rPr>
          <w:rFonts w:ascii="Arial" w:cs="Arial" w:eastAsia="Arial" w:hAnsi="Arial"/>
          <w:sz w:val="18"/>
          <w:szCs w:val="18"/>
          <w:color w:val="auto"/>
        </w:rPr>
        <w:t>The judgments and estimates involved include management’s ability to accurately estimate the contracts’ progress to completion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Changes to job performance, job conditions, and estimated profitability may result in revisions to contract revenue and costs and are recognized in the period in which the revisions are made.</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Provisions for estimated losses on uncompleted contracts are made in the period in which such losses are determined. No provision for estimated losses on uncompleted contracts was needed at December 31, 2021,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1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Company’s inventories are valued at the lower of cost or net realizable value using the first-in, first-out inventory costing method. Inventory quantities are regularly reviewed and provisions for excess or obsolete inventory are recorded primarily based on the Company’s forecast of future demand and market conditions. Significant unanticipated changes to the Company’s forecasts could require a change in the provision for excess or obsolete inventory.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12"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Property, plant and equipment and finite life intangible assets are reviewed whenever events or changes in circumstances occur that 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68"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Additionally, we also evaluate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82"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Company completes an annual (or more often if circumstances require) impairment assessment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80"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During 2021 and 2020, our annual impairment test indicated that zero and one, respectively, of our indefinite-lived tradenames was impaired. Accordingly, we recognized impairment charges in our financial results of zero and $0.9 million for the years ended December 31, 2021 and 2020, respectively. For additional information on impairment testing results, see Note 6 to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 completes an annual (or more often if circumstances require) goodwill impairment assessment on October 1 on a reporting 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calculated using a weighting of the income method and the market method. If the estimated fair value of a reporting unit is less than its carrying value, an impairment charge is recorded.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right="40"/>
        <w:spacing w:after="0" w:line="271" w:lineRule="auto"/>
        <w:rPr>
          <w:sz w:val="20"/>
          <w:szCs w:val="20"/>
          <w:color w:val="auto"/>
        </w:rPr>
      </w:pPr>
      <w:r>
        <w:rPr>
          <w:rFonts w:ascii="Arial" w:cs="Arial" w:eastAsia="Arial" w:hAnsi="Arial"/>
          <w:sz w:val="16"/>
          <w:szCs w:val="16"/>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projected operational profit and terminal growth rates are significant assumptions because they are three primary drivers of the projected cash flows in the discounted future cash flow approach. Cost of capital is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the analysis, the resultant estimated fair value of all of the reporting units exceeded their carrying value as of December 31, 2021. For additional information on goodwill impairment testing results, see Note 6 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2"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auto"/>
        </w:rPr>
        <w:t>Income taxes are determined using the asset and liability method of accounting for income taxes in accordance with Financial Accounting Standards Board (“FASB”), Accounting Standards Codification (“ASC”) Topic 740, “Income Taxes”. Income tax expense includes federal, state and foreign income taxes.</w:t>
      </w:r>
    </w:p>
    <w:p>
      <w:pPr>
        <w:spacing w:after="0" w:line="12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7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82"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accounting policies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1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For information regarding recent accounting pronouncements, see Note 1 to the Consolidated Financial Statements included in this annual report on Form 10-K.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carrying value of the Company’s total long-term debt and current maturities of long-term debt at December 31, 2021 was $65.5 million. Market risk was estimated as the potential decrease (increase) in future earnings and cash flows resulting from a hypothetical 10% increase (decrease) in the Company’s estimated weighted average borrowing rate at December 31, 2021. Most of the interest on the Company’s debt is indexed to SOFR market rates. The estimated annual impact of a hypothetical 10% change in the estimated weighted average borrowing rate at December 31, 2021 is $0.2 million.</w:t>
      </w:r>
    </w:p>
    <w:p>
      <w:pPr>
        <w:spacing w:after="0" w:line="15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Company has wholly-owned subsidiaries in several countries, including in the Netherlands, Canada, the People’s Republic of China, United Kingdom, Singapore, Shanghai, Pune India, Dubai and Chile. In the past, we have not hedged our foreign currency exposure. Future changes in exchange rates may positively or negatively impact our revenues, operating expenses and earnings. Since most of our foreign sales are denominated in the local currency, we do not anticipate that exposure to foreign currency rate fluctuations will be material in 2022.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Consolidated Financial Statements of CECO Environmental Corp. and subsidiaries for the years ended December 31, 2021, 2020 and 2019 and other data are included in this report following the signature page of this report and incorporated into this Item 8 by reference:</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80" w:type="dxa"/>
            <w:vAlign w:val="bottom"/>
            <w:gridSpan w:val="1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Report of Independent Registered Public Accounting Firm (BDO USA, LLP, Cincinnati, Ohio, PCAOB #243)</w:t>
              </w:r>
            </w:hyperlink>
          </w:p>
        </w:tc>
        <w:tc>
          <w:tcPr>
            <w:tcW w:w="1720" w:type="dxa"/>
            <w:vAlign w:val="bottom"/>
          </w:tcPr>
          <w:p>
            <w:pPr>
              <w:ind w:left="1480"/>
              <w:spacing w:after="0"/>
              <w:rPr>
                <w:sz w:val="20"/>
                <w:szCs w:val="20"/>
                <w:color w:val="auto"/>
              </w:rPr>
            </w:pPr>
            <w:r>
              <w:rPr>
                <w:rFonts w:ascii="Arial" w:cs="Arial" w:eastAsia="Arial" w:hAnsi="Arial"/>
                <w:sz w:val="18"/>
                <w:szCs w:val="18"/>
                <w:color w:val="auto"/>
                <w:w w:val="81"/>
              </w:rPr>
              <w:t>F-1</w:t>
            </w:r>
          </w:p>
        </w:tc>
      </w:tr>
      <w:tr>
        <w:trPr>
          <w:trHeight w:val="20"/>
        </w:trPr>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480" w:type="dxa"/>
            <w:vAlign w:val="bottom"/>
            <w:gridSpan w:val="10"/>
          </w:tcPr>
          <w:p>
            <w:pPr>
              <w:spacing w:after="0" w:line="196" w:lineRule="exact"/>
              <w:rPr>
                <w:rFonts w:ascii="Arial" w:cs="Arial" w:eastAsia="Arial" w:hAnsi="Arial"/>
                <w:sz w:val="18"/>
                <w:szCs w:val="18"/>
                <w:color w:val="0000FF"/>
              </w:rPr>
            </w:pPr>
            <w:hyperlink w:anchor="page52">
              <w:r>
                <w:rPr>
                  <w:rFonts w:ascii="Arial" w:cs="Arial" w:eastAsia="Arial" w:hAnsi="Arial"/>
                  <w:sz w:val="18"/>
                  <w:szCs w:val="18"/>
                  <w:color w:val="0000FF"/>
                </w:rPr>
                <w:t>Consolidated Balance Sheets</w:t>
              </w:r>
            </w:hyperlink>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480" w:type="dxa"/>
            <w:vAlign w:val="bottom"/>
            <w:gridSpan w:val="10"/>
          </w:tcPr>
          <w:p>
            <w:pPr>
              <w:spacing w:after="0" w:line="196" w:lineRule="exact"/>
              <w:rPr>
                <w:rFonts w:ascii="Arial" w:cs="Arial" w:eastAsia="Arial" w:hAnsi="Arial"/>
                <w:sz w:val="18"/>
                <w:szCs w:val="18"/>
                <w:color w:val="0000FF"/>
              </w:rPr>
            </w:pPr>
            <w:hyperlink w:anchor="page53">
              <w:r>
                <w:rPr>
                  <w:rFonts w:ascii="Arial" w:cs="Arial" w:eastAsia="Arial" w:hAnsi="Arial"/>
                  <w:sz w:val="18"/>
                  <w:szCs w:val="18"/>
                  <w:color w:val="0000FF"/>
                </w:rPr>
                <w:t>Consolidated Statements of Income</w:t>
              </w:r>
            </w:hyperlink>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20" w:type="dxa"/>
            <w:vAlign w:val="bottom"/>
            <w:shd w:val="clear" w:color="auto" w:fill="0000EE"/>
          </w:tcPr>
          <w:p>
            <w:pPr>
              <w:spacing w:after="0" w:line="20" w:lineRule="exact"/>
              <w:rPr>
                <w:sz w:val="1"/>
                <w:szCs w:val="1"/>
                <w:color w:val="auto"/>
              </w:rPr>
            </w:pPr>
          </w:p>
        </w:tc>
        <w:tc>
          <w:tcPr>
            <w:tcW w:w="258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480" w:type="dxa"/>
            <w:vAlign w:val="bottom"/>
            <w:gridSpan w:val="10"/>
          </w:tcPr>
          <w:p>
            <w:pPr>
              <w:spacing w:after="0" w:line="196" w:lineRule="exact"/>
              <w:rPr>
                <w:rFonts w:ascii="Arial" w:cs="Arial" w:eastAsia="Arial" w:hAnsi="Arial"/>
                <w:sz w:val="18"/>
                <w:szCs w:val="18"/>
                <w:color w:val="0000FF"/>
              </w:rPr>
            </w:pPr>
            <w:hyperlink w:anchor="page54">
              <w:r>
                <w:rPr>
                  <w:rFonts w:ascii="Arial" w:cs="Arial" w:eastAsia="Arial" w:hAnsi="Arial"/>
                  <w:sz w:val="18"/>
                  <w:szCs w:val="18"/>
                  <w:color w:val="0000FF"/>
                </w:rPr>
                <w:t>Consolidated Statements of Comprehensive Income</w:t>
              </w:r>
            </w:hyperlink>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F-5</w:t>
            </w:r>
          </w:p>
        </w:tc>
      </w:tr>
      <w:tr>
        <w:trPr>
          <w:trHeight w:val="20"/>
        </w:trPr>
        <w:tc>
          <w:tcPr>
            <w:tcW w:w="20" w:type="dxa"/>
            <w:vAlign w:val="bottom"/>
            <w:shd w:val="clear" w:color="auto" w:fill="0000FF"/>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480" w:type="dxa"/>
            <w:vAlign w:val="bottom"/>
            <w:gridSpan w:val="10"/>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Consolidated Statements of Shareholders’ Equity</w:t>
              </w:r>
            </w:hyperlink>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F-6</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480" w:type="dxa"/>
            <w:vAlign w:val="bottom"/>
            <w:gridSpan w:val="10"/>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Accumulated Other Comprehensive Loss</w:t>
              </w:r>
            </w:hyperlink>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F-7</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480" w:type="dxa"/>
            <w:vAlign w:val="bottom"/>
            <w:gridSpan w:val="10"/>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Consolidated Statements of Cash Flows</w:t>
              </w:r>
            </w:hyperlink>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F-8</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9480" w:type="dxa"/>
            <w:vAlign w:val="bottom"/>
            <w:gridSpan w:val="10"/>
          </w:tcPr>
          <w:p>
            <w:pPr>
              <w:spacing w:after="0" w:line="196" w:lineRule="exact"/>
              <w:rPr>
                <w:rFonts w:ascii="Arial" w:cs="Arial" w:eastAsia="Arial" w:hAnsi="Arial"/>
                <w:sz w:val="18"/>
                <w:szCs w:val="18"/>
                <w:color w:val="0000FF"/>
              </w:rPr>
            </w:pPr>
            <w:hyperlink w:anchor="page58">
              <w:r>
                <w:rPr>
                  <w:rFonts w:ascii="Arial" w:cs="Arial" w:eastAsia="Arial" w:hAnsi="Arial"/>
                  <w:sz w:val="18"/>
                  <w:szCs w:val="18"/>
                  <w:color w:val="0000FF"/>
                </w:rPr>
                <w:t>Notes to Consolidated Financial Statements for the Years Ended December 31, 2021, 2020 and 2019</w:t>
              </w:r>
            </w:hyperlink>
          </w:p>
        </w:tc>
        <w:tc>
          <w:tcPr>
            <w:tcW w:w="1720" w:type="dxa"/>
            <w:vAlign w:val="bottom"/>
          </w:tcPr>
          <w:p>
            <w:pPr>
              <w:ind w:left="1480"/>
              <w:spacing w:after="0" w:line="196" w:lineRule="exact"/>
              <w:rPr>
                <w:sz w:val="20"/>
                <w:szCs w:val="20"/>
                <w:color w:val="auto"/>
              </w:rPr>
            </w:pPr>
            <w:r>
              <w:rPr>
                <w:rFonts w:ascii="Arial" w:cs="Arial" w:eastAsia="Arial" w:hAnsi="Arial"/>
                <w:sz w:val="18"/>
                <w:szCs w:val="18"/>
                <w:color w:val="auto"/>
                <w:w w:val="81"/>
              </w:rPr>
              <w:t>F-9</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16"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Disclosure controls and procedures (as defined in Rule 13a-15(e) and 15d-15(e) under the Exchange Act) are controls and other procedures that are designed to provide reasonable assurance that information required to be disclosed in the reports that we file or submit under the Exchange Act is recorded, processed, summarized, and reported within the time periods specified in the SEC’s rules and forms, and that such information is accumulated and made known to our management, including our Chief Executive Officer and Chief Financial Officer, as appropriate, to allow timely decisions regarding required disclosure.</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In connection with the preparation of this Annual Report on Form 10-K, our management, with the participation of our Chief Executive Officer and Chief Financial Officer, carried out an evaluation of the effectiveness of the design and operation of our disclosure controls and procedures as of December 31, 2021. Based on that evaluation, our management, including our Chief Executive Officer and Chief Financial Officer, concluded that our disclosure controls and procedures were effective as of December 31, 2021.</w:t>
      </w:r>
    </w:p>
    <w:p>
      <w:pPr>
        <w:spacing w:after="0" w:line="18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management of the Company does not expect that its disclosure controls and procedures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due to simple errors or mistakes. The design of any system of controls is based in part upon certain assumptions regarding the likelihood of future events, and there can be no assurance that any design will succeed in achieving its stated goals under all potential future conditions.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management of the Company is responsible for the preparation and accuracy of the financial statements and other information included in this report. Under the supervision and with the participation of management, including the Company’s Chief Executive Officer and Chief Financial Officer, the Company conducted an evaluation of the effectiveness of internal control over financial reporting as of December 31, 2021, based on the criteria set forth in Internal Control – Integrated Framework (2013) (the “Framework”) issued by the Committee of Sponsoring Organizations of the Treadway Commission (“COSO”). Based on this assessment, management concluded that, as of December 31, 2021, its internal control over financial reporting was effective based on the Framework.</w:t>
      </w:r>
    </w:p>
    <w:p>
      <w:pPr>
        <w:spacing w:after="0" w:line="189" w:lineRule="exact"/>
        <w:rPr>
          <w:sz w:val="20"/>
          <w:szCs w:val="20"/>
          <w:color w:val="auto"/>
        </w:rPr>
      </w:pPr>
    </w:p>
    <w:p>
      <w:pPr>
        <w:jc w:val="both"/>
        <w:ind w:right="460"/>
        <w:spacing w:after="0" w:line="248" w:lineRule="auto"/>
        <w:rPr>
          <w:sz w:val="20"/>
          <w:szCs w:val="20"/>
          <w:color w:val="auto"/>
        </w:rPr>
      </w:pPr>
      <w:r>
        <w:rPr>
          <w:rFonts w:ascii="Arial" w:cs="Arial" w:eastAsia="Arial" w:hAnsi="Arial"/>
          <w:sz w:val="18"/>
          <w:szCs w:val="18"/>
          <w:color w:val="auto"/>
        </w:rPr>
        <w:t>There are inherent limitations on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Item 9A includes the audit report of BDO USA, LLP on the Company’s internal control over financial reporting as of December 31,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There were no changes in our internal control over financial reporting (as defined in Rule 13a-15(f) of the Exchange Act) during the fiscal quarter ended December 31, 2021 that have materially affected, or are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rPr>
          <w:sz w:val="20"/>
          <w:szCs w:val="20"/>
          <w:color w:val="auto"/>
        </w:rPr>
      </w:pPr>
      <w:r>
        <w:rPr>
          <w:rFonts w:ascii="Arial" w:cs="Arial" w:eastAsia="Arial" w:hAnsi="Arial"/>
          <w:sz w:val="18"/>
          <w:szCs w:val="18"/>
          <w:color w:val="auto"/>
        </w:rPr>
        <w:t>Dallas, Texas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audited CECO Environmental Corp. and Subsidiaries’ (the “Company’s”) internal control over financial reporting as of December 31, 2021, based on criteria established in Internal Control – Integrated Framework (2013) issued by the Committee of Sponsoring Organizations of the Treadway Commission (the “COSO criteria”). In our opinion, the Company maintained, in all material respects, effective internal control over financial reporting as of December 31, 2021, based on the COSO criteria.</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income and comprehensive income, shareholders’ equity, and cash flows for each of the three years in the period ended December 31, 2021, and the related notes and our report dated March 14, 2022,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/s/ BDO USA,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The information called for by this Item 10 of Part III of Form 10-K is incorporated by reference to the information set forth in our definitive proxy statement relating to our 2022 Annual Meeting of Stockholders to be filed pursuant to Regulation 14A under the Exchange Act within 120 days from December 31, 2021 (the “Proxy Statement”). Reference is also made to the information appearing in Item 1 of Part I of this Annual Report on Form 10-K under the caption “Business— Executive Officers of CECO.”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11 of Part III of Form 10-K is incorporated by reference to the Proxy Statement.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12 of Part III of Form 10-K will be incorporated by reference to the Proxy Statement.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18"/>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1"/>
              </w:rPr>
              <w:t>Weighted-average</w:t>
            </w: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exercise of 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2"/>
              </w:rPr>
              <w:t>and rights,</w:t>
            </w:r>
          </w:p>
        </w:tc>
        <w:tc>
          <w:tcPr>
            <w:tcW w:w="2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20" w:type="dxa"/>
            <w:vAlign w:val="bottom"/>
            <w:tcBorders>
              <w:bottom w:val="single" w:sz="8" w:color="auto"/>
            </w:tcBorders>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22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2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520" w:type="dxa"/>
            <w:vAlign w:val="bottom"/>
            <w:gridSpan w:val="3"/>
            <w:shd w:val="clear" w:color="auto" w:fill="CFF0FC"/>
          </w:tcPr>
          <w:p>
            <w:pPr>
              <w:ind w:left="20"/>
              <w:spacing w:after="0" w:line="156" w:lineRule="exact"/>
              <w:rPr>
                <w:sz w:val="20"/>
                <w:szCs w:val="20"/>
                <w:color w:val="auto"/>
              </w:rPr>
            </w:pPr>
            <w:r>
              <w:rPr>
                <w:rFonts w:ascii="Arial" w:cs="Arial" w:eastAsia="Arial" w:hAnsi="Arial"/>
                <w:sz w:val="18"/>
                <w:szCs w:val="18"/>
                <w:color w:val="auto"/>
              </w:rPr>
              <w:t>Equity compensation plans approved by security</w:t>
            </w:r>
          </w:p>
        </w:tc>
        <w:tc>
          <w:tcPr>
            <w:tcW w:w="16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FF0FC"/>
          </w:tcPr>
          <w:p>
            <w:pPr>
              <w:ind w:left="160"/>
              <w:spacing w:after="0"/>
              <w:rPr>
                <w:sz w:val="20"/>
                <w:szCs w:val="20"/>
                <w:color w:val="auto"/>
              </w:rPr>
            </w:pPr>
            <w:r>
              <w:rPr>
                <w:rFonts w:ascii="Arial" w:cs="Arial" w:eastAsia="Arial" w:hAnsi="Arial"/>
                <w:sz w:val="18"/>
                <w:szCs w:val="18"/>
                <w:color w:val="auto"/>
              </w:rPr>
              <w:t>holders</w:t>
            </w: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0" w:type="dxa"/>
            <w:vAlign w:val="bottom"/>
          </w:tcPr>
          <w:p>
            <w:pPr>
              <w:ind w:left="200"/>
              <w:spacing w:after="0" w:line="202" w:lineRule="exact"/>
              <w:rPr>
                <w:sz w:val="20"/>
                <w:szCs w:val="20"/>
                <w:color w:val="auto"/>
              </w:rPr>
            </w:pPr>
            <w:r>
              <w:rPr>
                <w:rFonts w:ascii="Arial" w:cs="Arial" w:eastAsia="Arial" w:hAnsi="Arial"/>
                <w:sz w:val="18"/>
                <w:szCs w:val="18"/>
                <w:color w:val="auto"/>
                <w:w w:val="94"/>
              </w:rPr>
              <w:t>2007</w:t>
            </w:r>
          </w:p>
        </w:tc>
        <w:tc>
          <w:tcPr>
            <w:tcW w:w="4920" w:type="dxa"/>
            <w:vAlign w:val="bottom"/>
            <w:gridSpan w:val="2"/>
          </w:tcPr>
          <w:p>
            <w:pPr>
              <w:spacing w:after="0" w:line="202" w:lineRule="exact"/>
              <w:rPr>
                <w:sz w:val="20"/>
                <w:szCs w:val="20"/>
                <w:color w:val="auto"/>
              </w:rPr>
            </w:pPr>
            <w:r>
              <w:rPr>
                <w:rFonts w:ascii="Arial" w:cs="Arial" w:eastAsia="Arial" w:hAnsi="Arial"/>
                <w:sz w:val="17"/>
                <w:szCs w:val="17"/>
                <w:color w:val="auto"/>
              </w:rPr>
              <w:t xml:space="preserve">Equity Incentive Plan </w:t>
            </w:r>
            <w:r>
              <w:rPr>
                <w:rFonts w:ascii="Arial" w:cs="Arial" w:eastAsia="Arial" w:hAnsi="Arial"/>
                <w:sz w:val="23"/>
                <w:szCs w:val="23"/>
                <w:color w:val="auto"/>
                <w:vertAlign w:val="superscript"/>
              </w:rPr>
              <w:t>1</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284,895</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11.88</w:t>
            </w:r>
          </w:p>
        </w:tc>
        <w:tc>
          <w:tcPr>
            <w:tcW w:w="2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4"/>
              </w:rPr>
              <w:t>2017</w:t>
            </w:r>
          </w:p>
        </w:tc>
        <w:tc>
          <w:tcPr>
            <w:tcW w:w="4920" w:type="dxa"/>
            <w:vAlign w:val="bottom"/>
            <w:gridSpan w:val="2"/>
            <w:shd w:val="clear" w:color="auto" w:fill="CFF0FC"/>
          </w:tcPr>
          <w:p>
            <w:pPr>
              <w:spacing w:after="0" w:line="202" w:lineRule="exact"/>
              <w:rPr>
                <w:sz w:val="20"/>
                <w:szCs w:val="20"/>
                <w:color w:val="auto"/>
              </w:rPr>
            </w:pPr>
            <w:r>
              <w:rPr>
                <w:rFonts w:ascii="Arial" w:cs="Arial" w:eastAsia="Arial" w:hAnsi="Arial"/>
                <w:sz w:val="17"/>
                <w:szCs w:val="17"/>
                <w:color w:val="auto"/>
              </w:rPr>
              <w:t xml:space="preserve">Equity and Incentive Plan </w:t>
            </w:r>
            <w:r>
              <w:rPr>
                <w:rFonts w:ascii="Arial" w:cs="Arial" w:eastAsia="Arial" w:hAnsi="Arial"/>
                <w:sz w:val="23"/>
                <w:szCs w:val="23"/>
                <w:color w:val="auto"/>
                <w:vertAlign w:val="superscript"/>
              </w:rPr>
              <w:t>2</w:t>
            </w:r>
          </w:p>
        </w:tc>
        <w:tc>
          <w:tcPr>
            <w:tcW w:w="20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788,806</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9.16</w:t>
            </w:r>
          </w:p>
        </w:tc>
        <w:tc>
          <w:tcPr>
            <w:tcW w:w="22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tcPr>
          <w:p>
            <w:pPr>
              <w:ind w:left="200"/>
              <w:spacing w:after="0" w:line="202" w:lineRule="exact"/>
              <w:rPr>
                <w:sz w:val="20"/>
                <w:szCs w:val="20"/>
                <w:color w:val="auto"/>
              </w:rPr>
            </w:pPr>
            <w:r>
              <w:rPr>
                <w:rFonts w:ascii="Arial" w:cs="Arial" w:eastAsia="Arial" w:hAnsi="Arial"/>
                <w:sz w:val="18"/>
                <w:szCs w:val="18"/>
                <w:color w:val="auto"/>
                <w:w w:val="94"/>
              </w:rPr>
              <w:t>2021</w:t>
            </w:r>
          </w:p>
        </w:tc>
        <w:tc>
          <w:tcPr>
            <w:tcW w:w="4920" w:type="dxa"/>
            <w:vAlign w:val="bottom"/>
            <w:gridSpan w:val="2"/>
          </w:tcPr>
          <w:p>
            <w:pPr>
              <w:spacing w:after="0" w:line="202" w:lineRule="exact"/>
              <w:rPr>
                <w:sz w:val="20"/>
                <w:szCs w:val="20"/>
                <w:color w:val="auto"/>
              </w:rPr>
            </w:pPr>
            <w:r>
              <w:rPr>
                <w:rFonts w:ascii="Arial" w:cs="Arial" w:eastAsia="Arial" w:hAnsi="Arial"/>
                <w:sz w:val="17"/>
                <w:szCs w:val="17"/>
                <w:color w:val="auto"/>
              </w:rPr>
              <w:t xml:space="preserve">Equity and Incentive Plan </w:t>
            </w:r>
            <w:r>
              <w:rPr>
                <w:rFonts w:ascii="Arial" w:cs="Arial" w:eastAsia="Arial" w:hAnsi="Arial"/>
                <w:sz w:val="23"/>
                <w:szCs w:val="23"/>
                <w:color w:val="auto"/>
                <w:vertAlign w:val="superscript"/>
              </w:rPr>
              <w:t>3</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187,577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2,529,458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4"/>
              </w:rPr>
              <w:t>2020</w:t>
            </w:r>
          </w:p>
        </w:tc>
        <w:tc>
          <w:tcPr>
            <w:tcW w:w="4920" w:type="dxa"/>
            <w:vAlign w:val="bottom"/>
            <w:gridSpan w:val="2"/>
            <w:shd w:val="clear" w:color="auto" w:fill="CFF0FC"/>
          </w:tcPr>
          <w:p>
            <w:pPr>
              <w:spacing w:after="0" w:line="202" w:lineRule="exact"/>
              <w:rPr>
                <w:sz w:val="20"/>
                <w:szCs w:val="20"/>
                <w:color w:val="auto"/>
              </w:rPr>
            </w:pPr>
            <w:r>
              <w:rPr>
                <w:rFonts w:ascii="Arial" w:cs="Arial" w:eastAsia="Arial" w:hAnsi="Arial"/>
                <w:sz w:val="17"/>
                <w:szCs w:val="17"/>
                <w:color w:val="auto"/>
              </w:rPr>
              <w:t xml:space="preserve">Employee Stock Purchase Plan </w:t>
            </w:r>
            <w:r>
              <w:rPr>
                <w:rFonts w:ascii="Arial" w:cs="Arial" w:eastAsia="Arial" w:hAnsi="Arial"/>
                <w:sz w:val="23"/>
                <w:szCs w:val="23"/>
                <w:color w:val="auto"/>
                <w:vertAlign w:val="superscript"/>
              </w:rPr>
              <w:t>4</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1,260,524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3"/>
          </w:tcPr>
          <w:p>
            <w:pPr>
              <w:ind w:left="20"/>
              <w:spacing w:after="0" w:line="202" w:lineRule="exact"/>
              <w:rPr>
                <w:sz w:val="20"/>
                <w:szCs w:val="20"/>
                <w:color w:val="auto"/>
              </w:rPr>
            </w:pPr>
            <w:r>
              <w:rPr>
                <w:rFonts w:ascii="Arial" w:cs="Arial" w:eastAsia="Arial" w:hAnsi="Arial"/>
                <w:sz w:val="17"/>
                <w:szCs w:val="17"/>
                <w:color w:val="auto"/>
              </w:rPr>
              <w:t xml:space="preserve">Equity compensation plans not approved by security holders </w:t>
            </w:r>
            <w:r>
              <w:rPr>
                <w:rFonts w:ascii="Arial" w:cs="Arial" w:eastAsia="Arial" w:hAnsi="Arial"/>
                <w:sz w:val="23"/>
                <w:szCs w:val="23"/>
                <w:color w:val="auto"/>
                <w:vertAlign w:val="superscript"/>
              </w:rPr>
              <w:t>5</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1,285,861</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11.06</w:t>
            </w:r>
          </w:p>
        </w:tc>
        <w:tc>
          <w:tcPr>
            <w:tcW w:w="22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6"/>
              </w:rPr>
              <w:t>TOTAL</w:t>
            </w:r>
          </w:p>
        </w:tc>
        <w:tc>
          <w:tcPr>
            <w:tcW w:w="1280" w:type="dxa"/>
            <w:vAlign w:val="bottom"/>
            <w:shd w:val="clear" w:color="auto" w:fill="CFF0FC"/>
          </w:tcPr>
          <w:p>
            <w:pPr>
              <w:spacing w:after="0"/>
              <w:rPr>
                <w:sz w:val="17"/>
                <w:szCs w:val="17"/>
                <w:color w:val="auto"/>
              </w:rPr>
            </w:pPr>
          </w:p>
        </w:tc>
        <w:tc>
          <w:tcPr>
            <w:tcW w:w="3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2,547,139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3,789,982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1 The 2007 Plan was replaced with the 2017 Equity and Incentive Plan and no further grants will be made under the 2007 Plan. The 2007 Plan remains in effect solely for the continued administration of the awards currently outstanding under the 2007 Plan.</w:t>
      </w:r>
    </w:p>
    <w:p>
      <w:pPr>
        <w:ind w:right="460"/>
        <w:spacing w:after="0" w:line="248" w:lineRule="auto"/>
        <w:rPr>
          <w:sz w:val="20"/>
          <w:szCs w:val="20"/>
          <w:color w:val="auto"/>
        </w:rPr>
      </w:pPr>
      <w:r>
        <w:rPr>
          <w:rFonts w:ascii="Arial" w:cs="Arial" w:eastAsia="Arial" w:hAnsi="Arial"/>
          <w:sz w:val="18"/>
          <w:szCs w:val="18"/>
          <w:color w:val="auto"/>
        </w:rPr>
        <w:t>2 The 2017 Equity and Incentive Plan was approved by our stockholders on May 16, 2017. The 2017 Plan remains in effect solely for the continued administration of the awards currently outstanding under the 2017 Plan. In 2021, prior to the approval of the 2021 Equity and Incentive Plan, 386,000 restricted stock units were awarded to plan participants under the 2017 Equity and Incentive Plan.</w:t>
      </w:r>
    </w:p>
    <w:p>
      <w:pPr>
        <w:spacing w:after="0" w:line="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3 The 2021 Equity and Incentive Plan was approved by our stockholders on May 25, 2021. We have reserved 2.6 million shares of our common stock for issuance under our 2021 Equity Incentive Plan. In 2021, 188,000 restricted stock units were awarded to plan participants under the 2021 Equity and Incentive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 The Employee Stock Purchase Plan was approved by our stockholders on June 11, 2020.</w:t>
      </w:r>
    </w:p>
    <w:p>
      <w:pPr>
        <w:spacing w:after="0" w:line="3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5 On July 6, 2020, in connection with Mr. Gleason’s appointment as the Company’s Chief Executive Officer, the Company granted Mr. Gleason 0.1 million restricted stock units (the “RSU Inducement Agreement”), 0.3 million in nonqualified stock options, (the “Standard Option Inducement Agreement”) granted at market value, and approximately 0.9 million in premium-priced nonqualified stock options, (the “Premium Option Inducement Agreement”) exercise price equal to two times market value. Mr. Gleason’s restricted stock units and option grants were approved by the Board of Directors of the Company. See Note 9 to the Consolidated Financial Statements for additional information on Mr. Gleason’s inducement grants.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this Item 13 of Part III of Form 10-K is incorporated by reference to the Proxy Statement.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called for by this Item 14 of Part III of Form 10-K is incorporated by reference to the Proxy Statement.</w:t>
      </w: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8" w:lineRule="exact"/>
        <w:rPr>
          <w:sz w:val="20"/>
          <w:szCs w:val="20"/>
          <w:color w:val="auto"/>
        </w:rPr>
      </w:pPr>
    </w:p>
    <w:p>
      <w:pPr>
        <w:ind w:left="880" w:hanging="363"/>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statements are set forth in this report following the signature page of this report.</w:t>
      </w:r>
    </w:p>
    <w:p>
      <w:pPr>
        <w:spacing w:after="0" w:line="211" w:lineRule="exact"/>
        <w:rPr>
          <w:rFonts w:ascii="Arial" w:cs="Arial" w:eastAsia="Arial" w:hAnsi="Arial"/>
          <w:sz w:val="18"/>
          <w:szCs w:val="18"/>
          <w:color w:val="auto"/>
        </w:rPr>
      </w:pPr>
    </w:p>
    <w:p>
      <w:pPr>
        <w:ind w:right="640" w:firstLine="517"/>
        <w:spacing w:after="0" w:line="261" w:lineRule="auto"/>
        <w:tabs>
          <w:tab w:leader="none" w:pos="8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statement schedules are omitted because they are not applicable or because the required information is shown in the financial statements or in the notes thereto.</w:t>
      </w:r>
    </w:p>
    <w:p>
      <w:pPr>
        <w:spacing w:after="0" w:line="170" w:lineRule="exact"/>
        <w:rPr>
          <w:rFonts w:ascii="Arial" w:cs="Arial" w:eastAsia="Arial" w:hAnsi="Arial"/>
          <w:sz w:val="18"/>
          <w:szCs w:val="18"/>
          <w:color w:val="auto"/>
        </w:rPr>
      </w:pPr>
    </w:p>
    <w:p>
      <w:pPr>
        <w:ind w:right="40" w:firstLine="517"/>
        <w:spacing w:after="0" w:line="261" w:lineRule="auto"/>
        <w:tabs>
          <w:tab w:leader="none" w:pos="8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Index. The exhibits listed below, as part of Form 10-K, are numbered in conformity with the numbering used in Item 601 of Regulation S-K and relate to SEC File No. 0-07099, unless otherwise indicated.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Exhibit</w:t>
      </w:r>
    </w:p>
    <w:p>
      <w:pPr>
        <w:ind w:left="2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6426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color w:val="auto"/>
              </w:rPr>
              <w:t>3.1</w:t>
            </w:r>
          </w:p>
        </w:tc>
        <w:tc>
          <w:tcPr>
            <w:tcW w:w="10060" w:type="dxa"/>
            <w:vAlign w:val="bottom"/>
            <w:gridSpan w:val="27"/>
          </w:tcPr>
          <w:p>
            <w:pPr>
              <w:spacing w:after="0"/>
              <w:rPr>
                <w:rFonts w:ascii="Arial" w:cs="Arial" w:eastAsia="Arial" w:hAnsi="Arial"/>
                <w:sz w:val="18"/>
                <w:szCs w:val="18"/>
                <w:color w:val="0000FF"/>
                <w:w w:val="94"/>
              </w:rPr>
            </w:pPr>
            <w:hyperlink r:id="rId102">
              <w:r>
                <w:rPr>
                  <w:rFonts w:ascii="Arial" w:cs="Arial" w:eastAsia="Arial" w:hAnsi="Arial"/>
                  <w:sz w:val="18"/>
                  <w:szCs w:val="18"/>
                  <w:color w:val="0000FF"/>
                  <w:w w:val="94"/>
                </w:rPr>
                <w:t>Certificate of Incorporation (incorporated by reference to Exhibit 3(i) to the Company’s Annual Report on Form 10-K for the fiscal year</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98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ended December 31, 2001)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3.2</w:t>
            </w:r>
          </w:p>
        </w:tc>
        <w:tc>
          <w:tcPr>
            <w:tcW w:w="10060" w:type="dxa"/>
            <w:vAlign w:val="bottom"/>
            <w:gridSpan w:val="27"/>
          </w:tcPr>
          <w:p>
            <w:pPr>
              <w:spacing w:after="0"/>
              <w:rPr>
                <w:rFonts w:ascii="Arial" w:cs="Arial" w:eastAsia="Arial" w:hAnsi="Arial"/>
                <w:sz w:val="18"/>
                <w:szCs w:val="18"/>
                <w:color w:val="0000FF"/>
                <w:w w:val="94"/>
              </w:rPr>
            </w:pPr>
            <w:hyperlink r:id="rId103">
              <w:r>
                <w:rPr>
                  <w:rFonts w:ascii="Arial" w:cs="Arial" w:eastAsia="Arial" w:hAnsi="Arial"/>
                  <w:sz w:val="18"/>
                  <w:szCs w:val="18"/>
                  <w:color w:val="0000FF"/>
                  <w:w w:val="94"/>
                </w:rPr>
                <w:t>Amended and Restated By-laws (incorporated by reference to Exhibit 3.1 to the Company’s Current Report on Form 8-K filed with the</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97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SEC on December 13, 2017)</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4.1</w:t>
            </w:r>
          </w:p>
        </w:tc>
        <w:tc>
          <w:tcPr>
            <w:tcW w:w="10060" w:type="dxa"/>
            <w:vAlign w:val="bottom"/>
            <w:gridSpan w:val="27"/>
          </w:tcPr>
          <w:p>
            <w:pPr>
              <w:spacing w:after="0"/>
              <w:rPr>
                <w:rFonts w:ascii="Arial" w:cs="Arial" w:eastAsia="Arial" w:hAnsi="Arial"/>
                <w:sz w:val="18"/>
                <w:szCs w:val="18"/>
                <w:color w:val="0000FF"/>
                <w:w w:val="91"/>
              </w:rPr>
            </w:pPr>
            <w:hyperlink r:id="rId104">
              <w:r>
                <w:rPr>
                  <w:rFonts w:ascii="Arial" w:cs="Arial" w:eastAsia="Arial" w:hAnsi="Arial"/>
                  <w:sz w:val="18"/>
                  <w:szCs w:val="18"/>
                  <w:color w:val="0000FF"/>
                  <w:w w:val="91"/>
                </w:rPr>
                <w:t>Description of Securities (incorporated by reference to Exhibit 4.1 to the Company’s Annual Report on Form 10-K for the fiscal year ended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4">
              <w:r>
                <w:rPr>
                  <w:rFonts w:ascii="Arial" w:cs="Arial" w:eastAsia="Arial" w:hAnsi="Arial"/>
                  <w:sz w:val="18"/>
                  <w:szCs w:val="18"/>
                  <w:color w:val="0000FF"/>
                </w:rPr>
                <w:t>December 31, 2019)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w:t>
            </w:r>
          </w:p>
        </w:tc>
        <w:tc>
          <w:tcPr>
            <w:tcW w:w="10060" w:type="dxa"/>
            <w:vAlign w:val="bottom"/>
            <w:gridSpan w:val="27"/>
          </w:tcPr>
          <w:p>
            <w:pPr>
              <w:spacing w:after="0"/>
              <w:rPr>
                <w:rFonts w:ascii="Arial" w:cs="Arial" w:eastAsia="Arial" w:hAnsi="Arial"/>
                <w:sz w:val="18"/>
                <w:szCs w:val="18"/>
                <w:color w:val="0000FF"/>
                <w:w w:val="94"/>
              </w:rPr>
            </w:pPr>
            <w:hyperlink r:id="rId105">
              <w:r>
                <w:rPr>
                  <w:rFonts w:ascii="Arial" w:cs="Arial" w:eastAsia="Arial" w:hAnsi="Arial"/>
                  <w:sz w:val="18"/>
                  <w:szCs w:val="18"/>
                  <w:color w:val="0000FF"/>
                  <w:w w:val="94"/>
                </w:rPr>
                <w:t>Summary term sheet governing arrangement of consulting services provided by Icarus Investment Corp. (incorporated by reference to</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05">
              <w:r>
                <w:rPr>
                  <w:rFonts w:ascii="Arial" w:cs="Arial" w:eastAsia="Arial" w:hAnsi="Arial"/>
                  <w:sz w:val="18"/>
                  <w:szCs w:val="18"/>
                  <w:color w:val="0000FF"/>
                </w:rPr>
                <w:t>Exhibit 10.1 to the Company’s Annual Report on Form 10-K for the fiscal year ended December 31, 2018)</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^10.2</w:t>
            </w:r>
          </w:p>
        </w:tc>
        <w:tc>
          <w:tcPr>
            <w:tcW w:w="10060" w:type="dxa"/>
            <w:vAlign w:val="bottom"/>
            <w:gridSpan w:val="27"/>
          </w:tcPr>
          <w:p>
            <w:pPr>
              <w:spacing w:after="0"/>
              <w:rPr>
                <w:rFonts w:ascii="Arial" w:cs="Arial" w:eastAsia="Arial" w:hAnsi="Arial"/>
                <w:sz w:val="18"/>
                <w:szCs w:val="18"/>
                <w:color w:val="0000FF"/>
                <w:w w:val="91"/>
              </w:rPr>
            </w:pPr>
            <w:hyperlink r:id="rId106">
              <w:r>
                <w:rPr>
                  <w:rFonts w:ascii="Arial" w:cs="Arial" w:eastAsia="Arial" w:hAnsi="Arial"/>
                  <w:sz w:val="18"/>
                  <w:szCs w:val="18"/>
                  <w:color w:val="0000FF"/>
                  <w:w w:val="91"/>
                </w:rPr>
                <w:t>Summary term sheet governing arrangement of consulting services provided by JMP Fam Holdings Inc. to the Company (incorporated by</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994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reference to Exhibit 10.7 to the Company’s Annual Report on Form 10-K for the fiscal year ended December 31,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^10.3</w:t>
            </w:r>
          </w:p>
        </w:tc>
        <w:tc>
          <w:tcPr>
            <w:tcW w:w="10060" w:type="dxa"/>
            <w:vAlign w:val="bottom"/>
            <w:gridSpan w:val="27"/>
          </w:tcPr>
          <w:p>
            <w:pPr>
              <w:spacing w:after="0"/>
              <w:rPr>
                <w:rFonts w:ascii="Arial" w:cs="Arial" w:eastAsia="Arial" w:hAnsi="Arial"/>
                <w:sz w:val="18"/>
                <w:szCs w:val="18"/>
                <w:color w:val="0000FF"/>
                <w:w w:val="93"/>
              </w:rPr>
            </w:pPr>
            <w:hyperlink r:id="rId107">
              <w:r>
                <w:rPr>
                  <w:rFonts w:ascii="Arial" w:cs="Arial" w:eastAsia="Arial" w:hAnsi="Arial"/>
                  <w:sz w:val="18"/>
                  <w:szCs w:val="18"/>
                  <w:color w:val="0000FF"/>
                  <w:w w:val="93"/>
                </w:rPr>
                <w:t>Form of Director and Officer Indemnification Agreement (incorporated by reference to Exhibit 10.1 to the Company’s Current Report on</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99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Form 8-K filed with the SEC on May 16,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^10.4</w:t>
            </w:r>
          </w:p>
        </w:tc>
        <w:tc>
          <w:tcPr>
            <w:tcW w:w="10060" w:type="dxa"/>
            <w:vAlign w:val="bottom"/>
            <w:gridSpan w:val="27"/>
          </w:tcPr>
          <w:p>
            <w:pPr>
              <w:spacing w:after="0"/>
              <w:rPr>
                <w:rFonts w:ascii="Arial" w:cs="Arial" w:eastAsia="Arial" w:hAnsi="Arial"/>
                <w:sz w:val="18"/>
                <w:szCs w:val="18"/>
                <w:color w:val="0000FF"/>
                <w:w w:val="94"/>
              </w:rPr>
            </w:pPr>
            <w:hyperlink r:id="rId108">
              <w:r>
                <w:rPr>
                  <w:rFonts w:ascii="Arial" w:cs="Arial" w:eastAsia="Arial" w:hAnsi="Arial"/>
                  <w:sz w:val="18"/>
                  <w:szCs w:val="18"/>
                  <w:color w:val="0000FF"/>
                  <w:w w:val="94"/>
                </w:rPr>
                <w:t>Executive Employment Agreement, effective as of January 9, 2017, by and between the Company and Matthew Eckl (incorporated by</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reference to Exhibit 10.1 to the Company’s Quarterly Report on Form 10-Q filed with the SEC on May 10, 2017)</w:t>
              </w:r>
            </w:hyperlink>
          </w:p>
        </w:tc>
        <w:tc>
          <w:tcPr>
            <w:tcW w:w="1540" w:type="dxa"/>
            <w:vAlign w:val="bottom"/>
            <w:tcBorders>
              <w:top w:val="single" w:sz="8" w:color="0000FF"/>
            </w:tcBorders>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^10.5</w:t>
            </w:r>
          </w:p>
        </w:tc>
        <w:tc>
          <w:tcPr>
            <w:tcW w:w="10060" w:type="dxa"/>
            <w:vAlign w:val="bottom"/>
            <w:gridSpan w:val="27"/>
          </w:tcPr>
          <w:p>
            <w:pPr>
              <w:spacing w:after="0"/>
              <w:rPr>
                <w:rFonts w:ascii="Arial" w:cs="Arial" w:eastAsia="Arial" w:hAnsi="Arial"/>
                <w:sz w:val="18"/>
                <w:szCs w:val="18"/>
                <w:color w:val="0000FF"/>
                <w:w w:val="98"/>
              </w:rPr>
            </w:pPr>
            <w:hyperlink r:id="rId109">
              <w:r>
                <w:rPr>
                  <w:rFonts w:ascii="Arial" w:cs="Arial" w:eastAsia="Arial" w:hAnsi="Arial"/>
                  <w:sz w:val="18"/>
                  <w:szCs w:val="18"/>
                  <w:color w:val="0000FF"/>
                  <w:w w:val="98"/>
                </w:rPr>
                <w:t>Executive Employment Agreement, effective as of July 6, 2020, by and between CECO Environmental Corp. and Todd Gleason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280" w:type="dxa"/>
            <w:vAlign w:val="bottom"/>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80" w:type="dxa"/>
            <w:vAlign w:val="bottom"/>
          </w:tcPr>
          <w:p>
            <w:pPr>
              <w:spacing w:after="0"/>
              <w:rPr>
                <w:sz w:val="13"/>
                <w:szCs w:val="13"/>
                <w:color w:val="auto"/>
              </w:rPr>
            </w:pPr>
          </w:p>
        </w:tc>
        <w:tc>
          <w:tcPr>
            <w:tcW w:w="10060" w:type="dxa"/>
            <w:vAlign w:val="bottom"/>
            <w:gridSpan w:val="27"/>
          </w:tcPr>
          <w:p>
            <w:pPr>
              <w:spacing w:after="0" w:line="156"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(Incorporated by reference to Exhibit 10.2 to the Company’s Quarterly Report on Form 10-Q files with the SEC on November 11, 2020)</w:t>
              </w:r>
            </w:hyperlink>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800" w:type="dxa"/>
            <w:vAlign w:val="bottom"/>
            <w:tcBorders>
              <w:right w:val="single" w:sz="8" w:color="0000FF"/>
            </w:tcBorders>
            <w:gridSpan w:val="8"/>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^10.6</w:t>
            </w:r>
          </w:p>
        </w:tc>
        <w:tc>
          <w:tcPr>
            <w:tcW w:w="10060" w:type="dxa"/>
            <w:vAlign w:val="bottom"/>
            <w:gridSpan w:val="27"/>
          </w:tcPr>
          <w:p>
            <w:pPr>
              <w:spacing w:after="0"/>
              <w:rPr>
                <w:rFonts w:ascii="Arial" w:cs="Arial" w:eastAsia="Arial" w:hAnsi="Arial"/>
                <w:sz w:val="18"/>
                <w:szCs w:val="18"/>
                <w:color w:val="0000FF"/>
                <w:w w:val="93"/>
              </w:rPr>
            </w:pPr>
            <w:hyperlink r:id="rId110">
              <w:r>
                <w:rPr>
                  <w:rFonts w:ascii="Arial" w:cs="Arial" w:eastAsia="Arial" w:hAnsi="Arial"/>
                  <w:sz w:val="18"/>
                  <w:szCs w:val="18"/>
                  <w:color w:val="0000FF"/>
                  <w:w w:val="93"/>
                </w:rPr>
                <w:t>Nonqualified Stock Option Inducement Award Agreement, by and between CECO Environmental Corp. and Todd Gleason, dated as of</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9780" w:type="dxa"/>
            <w:vAlign w:val="bottom"/>
            <w:tcBorders>
              <w:top w:val="single" w:sz="8" w:color="0000FF"/>
            </w:tcBorders>
            <w:gridSpan w:val="17"/>
          </w:tcPr>
          <w:p>
            <w:pPr>
              <w:spacing w:after="0" w:line="156" w:lineRule="exact"/>
              <w:rPr>
                <w:rFonts w:ascii="Arial" w:cs="Arial" w:eastAsia="Arial" w:hAnsi="Arial"/>
                <w:sz w:val="18"/>
                <w:szCs w:val="18"/>
                <w:color w:val="0000FF"/>
                <w:w w:val="90"/>
              </w:rPr>
            </w:pPr>
            <w:hyperlink r:id="rId110">
              <w:r>
                <w:rPr>
                  <w:rFonts w:ascii="Arial" w:cs="Arial" w:eastAsia="Arial" w:hAnsi="Arial"/>
                  <w:sz w:val="18"/>
                  <w:szCs w:val="18"/>
                  <w:color w:val="0000FF"/>
                  <w:w w:val="90"/>
                </w:rPr>
                <w:t>July 6, 2020 (incorporated by reference to Exhibit 4.3 to the Registrant’s Registration Statement on Form S-8 (Commission File No. 333</w:t>
              </w:r>
            </w:hyperlink>
          </w:p>
        </w:tc>
        <w:tc>
          <w:tcPr>
            <w:tcW w:w="100" w:type="dxa"/>
            <w:vAlign w:val="bottom"/>
            <w:gridSpan w:val="3"/>
          </w:tcPr>
          <w:p>
            <w:pPr>
              <w:jc w:val="right"/>
              <w:ind w:right="20"/>
              <w:spacing w:after="0" w:line="156"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3880" w:type="dxa"/>
            <w:vAlign w:val="bottom"/>
            <w:gridSpan w:val="10"/>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9860" w:type="dxa"/>
            <w:vAlign w:val="bottom"/>
            <w:gridSpan w:val="19"/>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239707) filed on July 6, 2020)</w:t>
              </w:r>
            </w:hyperlink>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39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^10.7</w:t>
            </w:r>
          </w:p>
        </w:tc>
        <w:tc>
          <w:tcPr>
            <w:tcW w:w="10060" w:type="dxa"/>
            <w:vAlign w:val="bottom"/>
            <w:gridSpan w:val="27"/>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Nonqualified Premium Stock Option Inducement Award Agreement, by and between CECO Environmental Corp. and Todd Gleason, dated</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004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111">
              <w:r>
                <w:rPr>
                  <w:rFonts w:ascii="Arial" w:cs="Arial" w:eastAsia="Arial" w:hAnsi="Arial"/>
                  <w:sz w:val="18"/>
                  <w:szCs w:val="18"/>
                  <w:color w:val="0000FF"/>
                  <w:w w:val="92"/>
                </w:rPr>
                <w:t>as of July 6, 2020 (incorporated by reference to Exhibit 4.4 to the Registrant’s Registration Statement on Form S-8 (Commission File 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11">
              <w:r>
                <w:rPr>
                  <w:rFonts w:ascii="Arial" w:cs="Arial" w:eastAsia="Arial" w:hAnsi="Arial"/>
                  <w:sz w:val="18"/>
                  <w:szCs w:val="18"/>
                  <w:color w:val="0000FF"/>
                  <w:w w:val="90"/>
                </w:rPr>
                <w:t>333-239707) filed on July 6, 2020)</w:t>
              </w:r>
            </w:hyperlink>
          </w:p>
        </w:tc>
        <w:tc>
          <w:tcPr>
            <w:tcW w:w="742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^10.8</w:t>
            </w:r>
          </w:p>
        </w:tc>
        <w:tc>
          <w:tcPr>
            <w:tcW w:w="10060" w:type="dxa"/>
            <w:vAlign w:val="bottom"/>
            <w:gridSpan w:val="27"/>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Restricted Stock Units Inducement Award Agreement, by and between CECO Environmental Corp. and Todd Gleason, dated as of July 6,</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2020 (incorporated by reference to Exhibit 4.5 to the Registrant’s Registration Statement on Form S-8 (Commission File No. 333-239707)</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152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filed on July 6, 2020)</w:t>
              </w:r>
            </w:hyperlink>
          </w:p>
        </w:tc>
        <w:tc>
          <w:tcPr>
            <w:tcW w:w="20" w:type="dxa"/>
            <w:vAlign w:val="bottom"/>
            <w:tcBorders>
              <w:bottom w:val="single" w:sz="8" w:color="0000EE"/>
            </w:tcBorders>
          </w:tcPr>
          <w:p>
            <w:pPr>
              <w:spacing w:after="0"/>
              <w:rPr>
                <w:sz w:val="13"/>
                <w:szCs w:val="13"/>
                <w:color w:val="auto"/>
              </w:rPr>
            </w:pPr>
          </w:p>
        </w:tc>
        <w:tc>
          <w:tcPr>
            <w:tcW w:w="8440" w:type="dxa"/>
            <w:vAlign w:val="bottom"/>
            <w:gridSpan w:val="2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^10.9</w:t>
            </w:r>
          </w:p>
        </w:tc>
        <w:tc>
          <w:tcPr>
            <w:tcW w:w="10060" w:type="dxa"/>
            <w:vAlign w:val="bottom"/>
            <w:gridSpan w:val="27"/>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Second Amended and Restated CECO Environmental Corp. 2007 Equity Incentive Plan (incorporated by reference to Exhibit 10.6 to the</w:t>
              </w:r>
            </w:hyperlink>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Company’s Current Report on Form 8-K filed with the SEC on September 3, 2015)</w:t>
              </w:r>
            </w:hyperlink>
          </w:p>
        </w:tc>
        <w:tc>
          <w:tcPr>
            <w:tcW w:w="3900" w:type="dxa"/>
            <w:vAlign w:val="bottom"/>
            <w:tcBorders>
              <w:top w:val="single" w:sz="8" w:color="0000FF"/>
            </w:tcBorders>
            <w:gridSpan w:val="11"/>
          </w:tcPr>
          <w:p>
            <w:pPr>
              <w:spacing w:after="0"/>
              <w:rPr>
                <w:sz w:val="13"/>
                <w:szCs w:val="13"/>
                <w:color w:val="auto"/>
              </w:rPr>
            </w:pPr>
          </w:p>
        </w:tc>
        <w:tc>
          <w:tcPr>
            <w:tcW w:w="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831"/>
        </w:trPr>
        <w:tc>
          <w:tcPr>
            <w:tcW w:w="1180" w:type="dxa"/>
            <w:vAlign w:val="bottom"/>
          </w:tcPr>
          <w:p>
            <w:pPr>
              <w:spacing w:after="0"/>
              <w:rPr>
                <w:sz w:val="24"/>
                <w:szCs w:val="24"/>
                <w:color w:val="auto"/>
              </w:rPr>
            </w:pPr>
          </w:p>
        </w:tc>
        <w:tc>
          <w:tcPr>
            <w:tcW w:w="5980" w:type="dxa"/>
            <w:vAlign w:val="bottom"/>
            <w:gridSpan w:val="9"/>
          </w:tcPr>
          <w:p>
            <w:pPr>
              <w:jc w:val="right"/>
              <w:ind w:right="1440"/>
              <w:spacing w:after="0"/>
              <w:rPr>
                <w:sz w:val="20"/>
                <w:szCs w:val="20"/>
                <w:color w:val="auto"/>
              </w:rPr>
            </w:pPr>
            <w:r>
              <w:rPr>
                <w:rFonts w:ascii="Arial" w:cs="Arial" w:eastAsia="Arial" w:hAnsi="Arial"/>
                <w:sz w:val="18"/>
                <w:szCs w:val="18"/>
                <w:color w:val="auto"/>
              </w:rPr>
              <w:t>43</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5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Arial" w:cs="Arial" w:eastAsia="Arial" w:hAnsi="Arial"/>
                <w:sz w:val="18"/>
                <w:szCs w:val="18"/>
                <w:color w:val="auto"/>
              </w:rPr>
              <w:t>^10.10</w:t>
            </w:r>
          </w:p>
        </w:tc>
        <w:tc>
          <w:tcPr>
            <w:tcW w:w="10060" w:type="dxa"/>
            <w:vAlign w:val="bottom"/>
            <w:gridSpan w:val="32"/>
          </w:tcPr>
          <w:p>
            <w:pPr>
              <w:spacing w:after="0"/>
              <w:rPr>
                <w:rFonts w:ascii="Arial" w:cs="Arial" w:eastAsia="Arial" w:hAnsi="Arial"/>
                <w:sz w:val="18"/>
                <w:szCs w:val="18"/>
                <w:color w:val="0000FF"/>
                <w:w w:val="92"/>
              </w:rPr>
            </w:pPr>
            <w:hyperlink r:id="rId116">
              <w:r>
                <w:rPr>
                  <w:rFonts w:ascii="Arial" w:cs="Arial" w:eastAsia="Arial" w:hAnsi="Arial"/>
                  <w:sz w:val="18"/>
                  <w:szCs w:val="18"/>
                  <w:color w:val="0000FF"/>
                  <w:w w:val="92"/>
                </w:rPr>
                <w:t>Form of Incentive Stock Option Agreement under the Second Amended and Restated CECO Environmental Corp. 2007 Equity Incentive</w:t>
              </w:r>
            </w:hyperlink>
          </w:p>
        </w:tc>
      </w:tr>
      <w:tr>
        <w:trPr>
          <w:trHeight w:val="155"/>
        </w:trPr>
        <w:tc>
          <w:tcPr>
            <w:tcW w:w="1180" w:type="dxa"/>
            <w:vAlign w:val="bottom"/>
          </w:tcPr>
          <w:p>
            <w:pPr>
              <w:spacing w:after="0"/>
              <w:rPr>
                <w:sz w:val="13"/>
                <w:szCs w:val="13"/>
                <w:color w:val="auto"/>
              </w:rPr>
            </w:pPr>
          </w:p>
        </w:tc>
        <w:tc>
          <w:tcPr>
            <w:tcW w:w="990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Plan (incorporated by reference to Exhibit 10.12 to the Company’s Annual Report on Form 10-K for the fiscal year ended December 31,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2"/>
              </w:rPr>
            </w:pPr>
            <w:hyperlink r:id="rId116">
              <w:r>
                <w:rPr>
                  <w:rFonts w:ascii="Arial" w:cs="Arial" w:eastAsia="Arial" w:hAnsi="Arial"/>
                  <w:sz w:val="18"/>
                  <w:szCs w:val="18"/>
                  <w:color w:val="0000FF"/>
                  <w:w w:val="82"/>
                </w:rPr>
                <w:t>2010)</w:t>
              </w:r>
            </w:hyperlink>
          </w:p>
        </w:tc>
        <w:tc>
          <w:tcPr>
            <w:tcW w:w="10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7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^10.11</w:t>
            </w:r>
          </w:p>
        </w:tc>
        <w:tc>
          <w:tcPr>
            <w:tcW w:w="10060" w:type="dxa"/>
            <w:vAlign w:val="bottom"/>
            <w:gridSpan w:val="32"/>
          </w:tcPr>
          <w:p>
            <w:pPr>
              <w:spacing w:after="0"/>
              <w:rPr>
                <w:rFonts w:ascii="Arial" w:cs="Arial" w:eastAsia="Arial" w:hAnsi="Arial"/>
                <w:sz w:val="18"/>
                <w:szCs w:val="18"/>
                <w:color w:val="0000FF"/>
                <w:w w:val="95"/>
              </w:rPr>
            </w:pPr>
            <w:hyperlink r:id="rId117">
              <w:r>
                <w:rPr>
                  <w:rFonts w:ascii="Arial" w:cs="Arial" w:eastAsia="Arial" w:hAnsi="Arial"/>
                  <w:sz w:val="18"/>
                  <w:szCs w:val="18"/>
                  <w:color w:val="0000FF"/>
                  <w:w w:val="95"/>
                </w:rPr>
                <w:t>Form of Non-Statutory Stock Option Agreement under the Second Amended and Restated CECO Environmental Corp. 2007 Equity</w:t>
              </w:r>
            </w:hyperlink>
          </w:p>
        </w:tc>
      </w:tr>
      <w:tr>
        <w:trPr>
          <w:trHeight w:val="155"/>
        </w:trPr>
        <w:tc>
          <w:tcPr>
            <w:tcW w:w="1180" w:type="dxa"/>
            <w:vAlign w:val="bottom"/>
          </w:tcPr>
          <w:p>
            <w:pPr>
              <w:spacing w:after="0"/>
              <w:rPr>
                <w:sz w:val="13"/>
                <w:szCs w:val="13"/>
                <w:color w:val="auto"/>
              </w:rPr>
            </w:pPr>
          </w:p>
        </w:tc>
        <w:tc>
          <w:tcPr>
            <w:tcW w:w="9540" w:type="dxa"/>
            <w:vAlign w:val="bottom"/>
            <w:tcBorders>
              <w:top w:val="single" w:sz="8" w:color="0000FF"/>
            </w:tcBorders>
            <w:gridSpan w:val="19"/>
          </w:tcPr>
          <w:p>
            <w:pPr>
              <w:spacing w:after="0" w:line="15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Incentive Plan (incorporated by reference to Exhibit 10.13 to the Company’s Annual Report on Form 10-K for the fiscal year ended</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95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December 31, 2010)</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^10.12</w:t>
            </w:r>
          </w:p>
        </w:tc>
        <w:tc>
          <w:tcPr>
            <w:tcW w:w="10060" w:type="dxa"/>
            <w:vAlign w:val="bottom"/>
            <w:gridSpan w:val="32"/>
          </w:tcPr>
          <w:p>
            <w:pPr>
              <w:spacing w:after="0"/>
              <w:rPr>
                <w:rFonts w:ascii="Arial" w:cs="Arial" w:eastAsia="Arial" w:hAnsi="Arial"/>
                <w:sz w:val="18"/>
                <w:szCs w:val="18"/>
                <w:color w:val="0000FF"/>
                <w:w w:val="94"/>
              </w:rPr>
            </w:pPr>
            <w:hyperlink r:id="rId118">
              <w:r>
                <w:rPr>
                  <w:rFonts w:ascii="Arial" w:cs="Arial" w:eastAsia="Arial" w:hAnsi="Arial"/>
                  <w:sz w:val="18"/>
                  <w:szCs w:val="18"/>
                  <w:color w:val="0000FF"/>
                  <w:w w:val="94"/>
                </w:rPr>
                <w:t>CECO Environmental Corp. 2017 Equity and Incentive Compensation Plan (incorporated by reference to Exhibit 4.3 to the Company’s</w:t>
              </w:r>
            </w:hyperlink>
          </w:p>
        </w:tc>
      </w:tr>
      <w:tr>
        <w:trPr>
          <w:trHeight w:val="156"/>
        </w:trPr>
        <w:tc>
          <w:tcPr>
            <w:tcW w:w="118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Registration Statement on Form S-8 (Registration No. 333-218030) filed on May 16, 2017)</w:t>
              </w:r>
            </w:hyperlink>
          </w:p>
        </w:tc>
        <w:tc>
          <w:tcPr>
            <w:tcW w:w="20" w:type="dxa"/>
            <w:vAlign w:val="bottom"/>
            <w:tcBorders>
              <w:top w:val="single" w:sz="8" w:color="0000FF"/>
              <w:bottom w:val="single" w:sz="8" w:color="0000EE"/>
            </w:tcBorders>
          </w:tcPr>
          <w:p>
            <w:pPr>
              <w:spacing w:after="0"/>
              <w:rPr>
                <w:sz w:val="13"/>
                <w:szCs w:val="13"/>
                <w:color w:val="auto"/>
              </w:rPr>
            </w:pPr>
          </w:p>
        </w:tc>
        <w:tc>
          <w:tcPr>
            <w:tcW w:w="320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^10.13</w:t>
            </w:r>
          </w:p>
        </w:tc>
        <w:tc>
          <w:tcPr>
            <w:tcW w:w="10060" w:type="dxa"/>
            <w:vAlign w:val="bottom"/>
            <w:gridSpan w:val="32"/>
          </w:tcPr>
          <w:p>
            <w:pPr>
              <w:spacing w:after="0"/>
              <w:rPr>
                <w:rFonts w:ascii="Arial" w:cs="Arial" w:eastAsia="Arial" w:hAnsi="Arial"/>
                <w:sz w:val="18"/>
                <w:szCs w:val="18"/>
                <w:color w:val="0000FF"/>
                <w:w w:val="98"/>
              </w:rPr>
            </w:pPr>
            <w:hyperlink r:id="rId119">
              <w:r>
                <w:rPr>
                  <w:rFonts w:ascii="Arial" w:cs="Arial" w:eastAsia="Arial" w:hAnsi="Arial"/>
                  <w:sz w:val="18"/>
                  <w:szCs w:val="18"/>
                  <w:color w:val="0000FF"/>
                  <w:w w:val="98"/>
                </w:rPr>
                <w:t>Form of Incentive Stock Option Agreement under the CECO Environmental Corp. 2017 Equity and Incentive Compensation Plan</w:t>
              </w:r>
            </w:hyperlink>
          </w:p>
        </w:tc>
      </w:tr>
      <w:tr>
        <w:trPr>
          <w:trHeight w:val="20"/>
        </w:trPr>
        <w:tc>
          <w:tcPr>
            <w:tcW w:w="1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9480" w:type="dxa"/>
            <w:vAlign w:val="bottom"/>
            <w:tcBorders>
              <w:bottom w:val="single" w:sz="8" w:color="0000FF"/>
            </w:tcBorders>
            <w:gridSpan w:val="16"/>
          </w:tcPr>
          <w:p>
            <w:pPr>
              <w:spacing w:after="0" w:line="156" w:lineRule="exact"/>
              <w:rPr>
                <w:rFonts w:ascii="Arial" w:cs="Arial" w:eastAsia="Arial" w:hAnsi="Arial"/>
                <w:sz w:val="18"/>
                <w:szCs w:val="18"/>
                <w:color w:val="0000FF"/>
                <w:w w:val="91"/>
              </w:rPr>
            </w:pPr>
            <w:hyperlink r:id="rId119">
              <w:r>
                <w:rPr>
                  <w:rFonts w:ascii="Arial" w:cs="Arial" w:eastAsia="Arial" w:hAnsi="Arial"/>
                  <w:sz w:val="18"/>
                  <w:szCs w:val="18"/>
                  <w:color w:val="0000FF"/>
                  <w:w w:val="91"/>
                </w:rPr>
                <w:t>(incorporated by reference to Exhibit 10.2 to the Company’s Quarterly Report on Form 10-Q filed with the SEC on August 9, 2017)</w:t>
              </w:r>
            </w:hyperlink>
          </w:p>
        </w:tc>
        <w:tc>
          <w:tcPr>
            <w:tcW w:w="20" w:type="dxa"/>
            <w:vAlign w:val="bottom"/>
            <w:tcBorders>
              <w:bottom w:val="single" w:sz="8" w:color="0000EE"/>
            </w:tcBorders>
          </w:tcPr>
          <w:p>
            <w:pPr>
              <w:spacing w:after="0"/>
              <w:rPr>
                <w:sz w:val="13"/>
                <w:szCs w:val="13"/>
                <w:color w:val="auto"/>
              </w:rPr>
            </w:pPr>
          </w:p>
        </w:tc>
        <w:tc>
          <w:tcPr>
            <w:tcW w:w="560" w:type="dxa"/>
            <w:vAlign w:val="bottom"/>
            <w:gridSpan w:val="15"/>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^10.14</w:t>
            </w:r>
          </w:p>
        </w:tc>
        <w:tc>
          <w:tcPr>
            <w:tcW w:w="10060" w:type="dxa"/>
            <w:vAlign w:val="bottom"/>
            <w:gridSpan w:val="32"/>
          </w:tcPr>
          <w:p>
            <w:pPr>
              <w:spacing w:after="0"/>
              <w:rPr>
                <w:rFonts w:ascii="Arial" w:cs="Arial" w:eastAsia="Arial" w:hAnsi="Arial"/>
                <w:sz w:val="18"/>
                <w:szCs w:val="18"/>
                <w:color w:val="0000FF"/>
                <w:w w:val="95"/>
              </w:rPr>
            </w:pPr>
            <w:hyperlink r:id="rId120">
              <w:r>
                <w:rPr>
                  <w:rFonts w:ascii="Arial" w:cs="Arial" w:eastAsia="Arial" w:hAnsi="Arial"/>
                  <w:sz w:val="18"/>
                  <w:szCs w:val="18"/>
                  <w:color w:val="0000FF"/>
                  <w:w w:val="95"/>
                </w:rPr>
                <w:t>Form of Nonqualified Stock Option Agreement under the CECO Environmental Corp. 2017 Equity and Incentive Compensation Plan</w:t>
              </w:r>
            </w:hyperlink>
          </w:p>
        </w:tc>
      </w:tr>
      <w:tr>
        <w:trPr>
          <w:trHeight w:val="155"/>
        </w:trPr>
        <w:tc>
          <w:tcPr>
            <w:tcW w:w="1180" w:type="dxa"/>
            <w:vAlign w:val="bottom"/>
          </w:tcPr>
          <w:p>
            <w:pPr>
              <w:spacing w:after="0"/>
              <w:rPr>
                <w:sz w:val="13"/>
                <w:szCs w:val="13"/>
                <w:color w:val="auto"/>
              </w:rPr>
            </w:pPr>
          </w:p>
        </w:tc>
        <w:tc>
          <w:tcPr>
            <w:tcW w:w="94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120">
              <w:r>
                <w:rPr>
                  <w:rFonts w:ascii="Arial" w:cs="Arial" w:eastAsia="Arial" w:hAnsi="Arial"/>
                  <w:sz w:val="18"/>
                  <w:szCs w:val="18"/>
                  <w:color w:val="0000FF"/>
                  <w:w w:val="91"/>
                </w:rPr>
                <w:t>(incorporated by reference to Exhibit 10.3 to the Company’s Quarterly Report on Form 10-Q filed with the SEC on August 9, 2017)</w:t>
              </w:r>
            </w:hyperlink>
          </w:p>
        </w:tc>
        <w:tc>
          <w:tcPr>
            <w:tcW w:w="20" w:type="dxa"/>
            <w:vAlign w:val="bottom"/>
            <w:tcBorders>
              <w:top w:val="single" w:sz="8" w:color="0000FF"/>
              <w:bottom w:val="single" w:sz="8" w:color="0000EE"/>
            </w:tcBorders>
          </w:tcPr>
          <w:p>
            <w:pPr>
              <w:spacing w:after="0"/>
              <w:rPr>
                <w:sz w:val="13"/>
                <w:szCs w:val="13"/>
                <w:color w:val="auto"/>
              </w:rPr>
            </w:pPr>
          </w:p>
        </w:tc>
        <w:tc>
          <w:tcPr>
            <w:tcW w:w="140" w:type="dxa"/>
            <w:vAlign w:val="bottom"/>
            <w:tcBorders>
              <w:top w:val="single" w:sz="8" w:color="0000FF"/>
            </w:tcBorders>
            <w:gridSpan w:val="4"/>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^10.15</w:t>
            </w:r>
          </w:p>
        </w:tc>
        <w:tc>
          <w:tcPr>
            <w:tcW w:w="10060" w:type="dxa"/>
            <w:vAlign w:val="bottom"/>
            <w:gridSpan w:val="32"/>
          </w:tcPr>
          <w:p>
            <w:pPr>
              <w:spacing w:after="0"/>
              <w:rPr>
                <w:rFonts w:ascii="Arial" w:cs="Arial" w:eastAsia="Arial" w:hAnsi="Arial"/>
                <w:sz w:val="18"/>
                <w:szCs w:val="18"/>
                <w:color w:val="0000FF"/>
                <w:w w:val="92"/>
              </w:rPr>
            </w:pPr>
            <w:hyperlink r:id="rId121">
              <w:r>
                <w:rPr>
                  <w:rFonts w:ascii="Arial" w:cs="Arial" w:eastAsia="Arial" w:hAnsi="Arial"/>
                  <w:sz w:val="18"/>
                  <w:szCs w:val="18"/>
                  <w:color w:val="0000FF"/>
                  <w:w w:val="92"/>
                </w:rPr>
                <w:t>Form of Restricted Stock Units Agreement for Directors under the CECO Environmental Corp. 2017 Equity and Incentive Compensation</w:t>
              </w:r>
            </w:hyperlink>
          </w:p>
        </w:tc>
      </w:tr>
      <w:tr>
        <w:trPr>
          <w:trHeight w:val="155"/>
        </w:trPr>
        <w:tc>
          <w:tcPr>
            <w:tcW w:w="118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1"/>
              </w:rPr>
            </w:pPr>
            <w:hyperlink r:id="rId121">
              <w:r>
                <w:rPr>
                  <w:rFonts w:ascii="Arial" w:cs="Arial" w:eastAsia="Arial" w:hAnsi="Arial"/>
                  <w:sz w:val="18"/>
                  <w:szCs w:val="18"/>
                  <w:color w:val="0000FF"/>
                  <w:w w:val="91"/>
                </w:rPr>
                <w:t>Plan (incorporated by reference to Exhibit 10.4 to the Company’s Quarterly Report on Form  10-Q filed with the SEC on August 9, 2017)</w:t>
              </w:r>
            </w:hyperlink>
          </w:p>
        </w:tc>
        <w:tc>
          <w:tcPr>
            <w:tcW w:w="20" w:type="dxa"/>
            <w:vAlign w:val="bottom"/>
            <w:tcBorders>
              <w:bottom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^10.16</w:t>
            </w:r>
          </w:p>
        </w:tc>
        <w:tc>
          <w:tcPr>
            <w:tcW w:w="10060" w:type="dxa"/>
            <w:vAlign w:val="bottom"/>
            <w:gridSpan w:val="32"/>
          </w:tcPr>
          <w:p>
            <w:pPr>
              <w:spacing w:after="0"/>
              <w:rPr>
                <w:rFonts w:ascii="Arial" w:cs="Arial" w:eastAsia="Arial" w:hAnsi="Arial"/>
                <w:sz w:val="18"/>
                <w:szCs w:val="18"/>
                <w:color w:val="0000FF"/>
                <w:w w:val="91"/>
              </w:rPr>
            </w:pPr>
            <w:hyperlink r:id="rId122">
              <w:r>
                <w:rPr>
                  <w:rFonts w:ascii="Arial" w:cs="Arial" w:eastAsia="Arial" w:hAnsi="Arial"/>
                  <w:sz w:val="18"/>
                  <w:szCs w:val="18"/>
                  <w:color w:val="0000FF"/>
                  <w:w w:val="91"/>
                </w:rPr>
                <w:t>Form of Restricted Stock Units Agreement for Employees under the CECO Environmental Corp. 2017 Equity and Incentive Compensation</w:t>
              </w:r>
            </w:hyperlink>
          </w:p>
        </w:tc>
      </w:tr>
      <w:tr>
        <w:trPr>
          <w:trHeight w:val="156"/>
        </w:trPr>
        <w:tc>
          <w:tcPr>
            <w:tcW w:w="118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Plan (incorporated by reference to Exhibit 10.5 to the Company’s Quarterly Report on Form 10-Q filed with the SEC on August 9, 2017)</w:t>
              </w:r>
            </w:hyperlink>
          </w:p>
        </w:tc>
        <w:tc>
          <w:tcPr>
            <w:tcW w:w="2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^10.17</w:t>
            </w:r>
          </w:p>
        </w:tc>
        <w:tc>
          <w:tcPr>
            <w:tcW w:w="10060" w:type="dxa"/>
            <w:vAlign w:val="bottom"/>
            <w:gridSpan w:val="32"/>
          </w:tcPr>
          <w:p>
            <w:pPr>
              <w:spacing w:after="0"/>
              <w:rPr>
                <w:rFonts w:ascii="Arial" w:cs="Arial" w:eastAsia="Arial" w:hAnsi="Arial"/>
                <w:sz w:val="18"/>
                <w:szCs w:val="18"/>
                <w:color w:val="0000FF"/>
                <w:w w:val="93"/>
              </w:rPr>
            </w:pPr>
            <w:hyperlink r:id="rId123">
              <w:r>
                <w:rPr>
                  <w:rFonts w:ascii="Arial" w:cs="Arial" w:eastAsia="Arial" w:hAnsi="Arial"/>
                  <w:sz w:val="18"/>
                  <w:szCs w:val="18"/>
                  <w:color w:val="0000FF"/>
                  <w:w w:val="93"/>
                </w:rPr>
                <w:t>CECO Environmental Corp. 2020 Employee Stock Purchase Plan (incorporated by reference to Exhibit 10.1 to the Company’s Current</w:t>
              </w:r>
            </w:hyperlink>
          </w:p>
        </w:tc>
      </w:tr>
      <w:tr>
        <w:trPr>
          <w:trHeight w:val="156"/>
        </w:trPr>
        <w:tc>
          <w:tcPr>
            <w:tcW w:w="1180" w:type="dxa"/>
            <w:vAlign w:val="bottom"/>
          </w:tcPr>
          <w:p>
            <w:pPr>
              <w:spacing w:after="0"/>
              <w:rPr>
                <w:sz w:val="13"/>
                <w:szCs w:val="13"/>
                <w:color w:val="auto"/>
              </w:rPr>
            </w:pPr>
          </w:p>
        </w:tc>
        <w:tc>
          <w:tcPr>
            <w:tcW w:w="97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Report on Form 8-K filed with the SEC on June 16, 2020)</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^10.18</w:t>
            </w:r>
          </w:p>
        </w:tc>
        <w:tc>
          <w:tcPr>
            <w:tcW w:w="10060" w:type="dxa"/>
            <w:vAlign w:val="bottom"/>
            <w:gridSpan w:val="32"/>
          </w:tcPr>
          <w:p>
            <w:pPr>
              <w:spacing w:after="0"/>
              <w:rPr>
                <w:rFonts w:ascii="Arial" w:cs="Arial" w:eastAsia="Arial" w:hAnsi="Arial"/>
                <w:sz w:val="18"/>
                <w:szCs w:val="18"/>
                <w:color w:val="0000FF"/>
                <w:w w:val="93"/>
              </w:rPr>
            </w:pPr>
            <w:hyperlink r:id="rId124">
              <w:r>
                <w:rPr>
                  <w:rFonts w:ascii="Arial" w:cs="Arial" w:eastAsia="Arial" w:hAnsi="Arial"/>
                  <w:sz w:val="18"/>
                  <w:szCs w:val="18"/>
                  <w:color w:val="0000FF"/>
                  <w:w w:val="93"/>
                </w:rPr>
                <w:t>CECO Environmental Corp. 2021 Equity and Incentive Compensation Plan (incorporated by reference to Exhibit 10.1 to the Company’s</w:t>
              </w:r>
            </w:hyperlink>
          </w:p>
        </w:tc>
      </w:tr>
      <w:tr>
        <w:trPr>
          <w:trHeight w:val="156"/>
        </w:trPr>
        <w:tc>
          <w:tcPr>
            <w:tcW w:w="118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124">
              <w:r>
                <w:rPr>
                  <w:rFonts w:ascii="Arial" w:cs="Arial" w:eastAsia="Arial" w:hAnsi="Arial"/>
                  <w:sz w:val="18"/>
                  <w:szCs w:val="18"/>
                  <w:color w:val="0000FF"/>
                  <w:w w:val="91"/>
                </w:rPr>
                <w:t>Current Report on Form 8-K filed with the SEC on May 27, 2021)</w:t>
              </w:r>
            </w:hyperlink>
          </w:p>
        </w:tc>
        <w:tc>
          <w:tcPr>
            <w:tcW w:w="5080" w:type="dxa"/>
            <w:vAlign w:val="bottom"/>
            <w:tcBorders>
              <w:top w:val="single" w:sz="8" w:color="0000FF"/>
            </w:tcBorders>
            <w:gridSpan w:val="15"/>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^*10.19</w:t>
            </w:r>
          </w:p>
        </w:tc>
        <w:tc>
          <w:tcPr>
            <w:tcW w:w="10060" w:type="dxa"/>
            <w:vAlign w:val="bottom"/>
            <w:gridSpan w:val="32"/>
          </w:tcPr>
          <w:p>
            <w:pPr>
              <w:spacing w:after="0"/>
              <w:rPr>
                <w:rFonts w:ascii="Arial" w:cs="Arial" w:eastAsia="Arial" w:hAnsi="Arial"/>
                <w:sz w:val="18"/>
                <w:szCs w:val="18"/>
                <w:color w:val="0000FF"/>
                <w:w w:val="92"/>
              </w:rPr>
            </w:pPr>
            <w:hyperlink w:anchor="page83">
              <w:r>
                <w:rPr>
                  <w:rFonts w:ascii="Arial" w:cs="Arial" w:eastAsia="Arial" w:hAnsi="Arial"/>
                  <w:sz w:val="18"/>
                  <w:szCs w:val="18"/>
                  <w:color w:val="0000FF"/>
                  <w:w w:val="92"/>
                </w:rPr>
                <w:t>Form of Restricted Stock Units Agreement for Directors under the CECO Environmental Corp. 2021 Equity and Incentive Compensation</w:t>
              </w:r>
            </w:hyperlink>
          </w:p>
        </w:tc>
      </w:tr>
      <w:tr>
        <w:trPr>
          <w:trHeight w:val="156"/>
        </w:trPr>
        <w:tc>
          <w:tcPr>
            <w:tcW w:w="118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7"/>
              </w:rPr>
            </w:pPr>
            <w:hyperlink w:anchor="page83">
              <w:r>
                <w:rPr>
                  <w:rFonts w:ascii="Arial" w:cs="Arial" w:eastAsia="Arial" w:hAnsi="Arial"/>
                  <w:sz w:val="18"/>
                  <w:szCs w:val="18"/>
                  <w:color w:val="0000FF"/>
                  <w:w w:val="77"/>
                </w:rPr>
                <w:t>Plan</w:t>
              </w:r>
            </w:hyperlink>
          </w:p>
        </w:tc>
        <w:tc>
          <w:tcPr>
            <w:tcW w:w="20" w:type="dxa"/>
            <w:vAlign w:val="bottom"/>
            <w:tcBorders>
              <w:top w:val="single" w:sz="8" w:color="0000FF"/>
              <w:bottom w:val="single" w:sz="8" w:color="0000EE"/>
            </w:tcBorders>
          </w:tcPr>
          <w:p>
            <w:pPr>
              <w:spacing w:after="0"/>
              <w:rPr>
                <w:sz w:val="13"/>
                <w:szCs w:val="13"/>
                <w:color w:val="auto"/>
              </w:rPr>
            </w:pPr>
          </w:p>
        </w:tc>
        <w:tc>
          <w:tcPr>
            <w:tcW w:w="9640" w:type="dxa"/>
            <w:vAlign w:val="bottom"/>
            <w:tcBorders>
              <w:top w:val="single" w:sz="8" w:color="0000FF"/>
            </w:tcBorders>
            <w:gridSpan w:val="27"/>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^*10.20</w:t>
            </w:r>
          </w:p>
        </w:tc>
        <w:tc>
          <w:tcPr>
            <w:tcW w:w="10060" w:type="dxa"/>
            <w:vAlign w:val="bottom"/>
            <w:gridSpan w:val="32"/>
          </w:tcPr>
          <w:p>
            <w:pPr>
              <w:spacing w:after="0"/>
              <w:rPr>
                <w:rFonts w:ascii="Arial" w:cs="Arial" w:eastAsia="Arial" w:hAnsi="Arial"/>
                <w:sz w:val="18"/>
                <w:szCs w:val="18"/>
                <w:color w:val="0000FF"/>
                <w:w w:val="91"/>
              </w:rPr>
            </w:pPr>
            <w:hyperlink w:anchor="page88">
              <w:r>
                <w:rPr>
                  <w:rFonts w:ascii="Arial" w:cs="Arial" w:eastAsia="Arial" w:hAnsi="Arial"/>
                  <w:sz w:val="18"/>
                  <w:szCs w:val="18"/>
                  <w:color w:val="0000FF"/>
                  <w:w w:val="91"/>
                </w:rPr>
                <w:t>Form of Restricted Stock Units Agreement for Employees under the CECO Environmental Corp. 2021 Equity and Incentive Compensation</w:t>
              </w:r>
            </w:hyperlink>
          </w:p>
        </w:tc>
      </w:tr>
      <w:tr>
        <w:trPr>
          <w:trHeight w:val="155"/>
        </w:trPr>
        <w:tc>
          <w:tcPr>
            <w:tcW w:w="118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77"/>
              </w:rPr>
            </w:pPr>
            <w:hyperlink w:anchor="page88">
              <w:r>
                <w:rPr>
                  <w:rFonts w:ascii="Arial" w:cs="Arial" w:eastAsia="Arial" w:hAnsi="Arial"/>
                  <w:sz w:val="18"/>
                  <w:szCs w:val="18"/>
                  <w:color w:val="0000FF"/>
                  <w:w w:val="77"/>
                </w:rPr>
                <w:t>Plan</w:t>
              </w:r>
            </w:hyperlink>
          </w:p>
        </w:tc>
        <w:tc>
          <w:tcPr>
            <w:tcW w:w="20" w:type="dxa"/>
            <w:vAlign w:val="bottom"/>
            <w:tcBorders>
              <w:top w:val="single" w:sz="8" w:color="0000FF"/>
              <w:bottom w:val="single" w:sz="8" w:color="0000EE"/>
            </w:tcBorders>
          </w:tcPr>
          <w:p>
            <w:pPr>
              <w:spacing w:after="0"/>
              <w:rPr>
                <w:sz w:val="13"/>
                <w:szCs w:val="13"/>
                <w:color w:val="auto"/>
              </w:rPr>
            </w:pPr>
          </w:p>
        </w:tc>
        <w:tc>
          <w:tcPr>
            <w:tcW w:w="972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^10.21</w:t>
            </w:r>
          </w:p>
        </w:tc>
        <w:tc>
          <w:tcPr>
            <w:tcW w:w="10060" w:type="dxa"/>
            <w:vAlign w:val="bottom"/>
            <w:gridSpan w:val="32"/>
          </w:tcPr>
          <w:p>
            <w:pPr>
              <w:spacing w:after="0"/>
              <w:rPr>
                <w:rFonts w:ascii="Arial" w:cs="Arial" w:eastAsia="Arial" w:hAnsi="Arial"/>
                <w:sz w:val="18"/>
                <w:szCs w:val="18"/>
                <w:color w:val="0000FF"/>
                <w:w w:val="94"/>
              </w:rPr>
            </w:pPr>
            <w:hyperlink r:id="rId125">
              <w:r>
                <w:rPr>
                  <w:rFonts w:ascii="Arial" w:cs="Arial" w:eastAsia="Arial" w:hAnsi="Arial"/>
                  <w:sz w:val="18"/>
                  <w:szCs w:val="18"/>
                  <w:color w:val="0000FF"/>
                  <w:w w:val="94"/>
                </w:rPr>
                <w:t>CECO Environmental Corp. Executive Change in Control Severance Plan (incorporated by reference to Exhibit 10.1 to the Company’s</w:t>
              </w:r>
            </w:hyperlink>
          </w:p>
        </w:tc>
      </w:tr>
      <w:tr>
        <w:trPr>
          <w:trHeight w:val="156"/>
        </w:trPr>
        <w:tc>
          <w:tcPr>
            <w:tcW w:w="1180" w:type="dxa"/>
            <w:vAlign w:val="bottom"/>
          </w:tcPr>
          <w:p>
            <w:pPr>
              <w:spacing w:after="0"/>
              <w:rPr>
                <w:sz w:val="13"/>
                <w:szCs w:val="13"/>
                <w:color w:val="auto"/>
              </w:rPr>
            </w:pPr>
          </w:p>
        </w:tc>
        <w:tc>
          <w:tcPr>
            <w:tcW w:w="97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25">
              <w:r>
                <w:rPr>
                  <w:rFonts w:ascii="Arial" w:cs="Arial" w:eastAsia="Arial" w:hAnsi="Arial"/>
                  <w:sz w:val="18"/>
                  <w:szCs w:val="18"/>
                  <w:color w:val="0000FF"/>
                </w:rPr>
                <w:t>Quarterly Report on Form 10-Q filed with the SEC on November 8, 2021)</w:t>
              </w:r>
            </w:hyperlink>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220" w:type="dxa"/>
            <w:vAlign w:val="bottom"/>
            <w:gridSpan w:val="8"/>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†10.22</w:t>
            </w:r>
          </w:p>
        </w:tc>
        <w:tc>
          <w:tcPr>
            <w:tcW w:w="10060" w:type="dxa"/>
            <w:vAlign w:val="bottom"/>
            <w:gridSpan w:val="32"/>
          </w:tcPr>
          <w:p>
            <w:pPr>
              <w:spacing w:after="0"/>
              <w:rPr>
                <w:rFonts w:ascii="Arial" w:cs="Arial" w:eastAsia="Arial" w:hAnsi="Arial"/>
                <w:sz w:val="18"/>
                <w:szCs w:val="18"/>
                <w:color w:val="0000FF"/>
                <w:w w:val="93"/>
              </w:rPr>
            </w:pPr>
            <w:hyperlink r:id="rId126">
              <w:r>
                <w:rPr>
                  <w:rFonts w:ascii="Arial" w:cs="Arial" w:eastAsia="Arial" w:hAnsi="Arial"/>
                  <w:sz w:val="18"/>
                  <w:szCs w:val="18"/>
                  <w:color w:val="0000FF"/>
                  <w:w w:val="93"/>
                </w:rPr>
                <w:t>Second Amended and Restated Credit Agreement, dated as of June 11, 2019, among the Company and certain of its subsidiaries, the</w:t>
              </w:r>
            </w:hyperlink>
          </w:p>
        </w:tc>
      </w:tr>
      <w:tr>
        <w:trPr>
          <w:trHeight w:val="20"/>
        </w:trPr>
        <w:tc>
          <w:tcPr>
            <w:tcW w:w="1180" w:type="dxa"/>
            <w:vAlign w:val="bottom"/>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60" w:type="dxa"/>
            <w:vAlign w:val="bottom"/>
            <w:gridSpan w:val="9"/>
            <w:shd w:val="clear" w:color="auto" w:fill="0000FF"/>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55"/>
        </w:trPr>
        <w:tc>
          <w:tcPr>
            <w:tcW w:w="1180" w:type="dxa"/>
            <w:vAlign w:val="bottom"/>
          </w:tcPr>
          <w:p>
            <w:pPr>
              <w:spacing w:after="0"/>
              <w:rPr>
                <w:sz w:val="13"/>
                <w:szCs w:val="13"/>
                <w:color w:val="auto"/>
              </w:rPr>
            </w:pPr>
          </w:p>
        </w:tc>
        <w:tc>
          <w:tcPr>
            <w:tcW w:w="10060" w:type="dxa"/>
            <w:vAlign w:val="bottom"/>
            <w:gridSpan w:val="32"/>
          </w:tcPr>
          <w:p>
            <w:pPr>
              <w:spacing w:after="0" w:line="156" w:lineRule="exact"/>
              <w:rPr>
                <w:rFonts w:ascii="Arial" w:cs="Arial" w:eastAsia="Arial" w:hAnsi="Arial"/>
                <w:sz w:val="18"/>
                <w:szCs w:val="18"/>
                <w:color w:val="0000FF"/>
                <w:w w:val="91"/>
              </w:rPr>
            </w:pPr>
            <w:hyperlink r:id="rId126">
              <w:r>
                <w:rPr>
                  <w:rFonts w:ascii="Arial" w:cs="Arial" w:eastAsia="Arial" w:hAnsi="Arial"/>
                  <w:sz w:val="18"/>
                  <w:szCs w:val="18"/>
                  <w:color w:val="0000FF"/>
                  <w:w w:val="91"/>
                </w:rPr>
                <w:t>lenders party thereto, and Bank of America, N.A. (incorporated by reference to Exhibit 10.1 to the Company’s Current Report on Form 8-K</w:t>
              </w:r>
            </w:hyperlink>
          </w:p>
        </w:tc>
      </w:tr>
      <w:tr>
        <w:trPr>
          <w:trHeight w:val="155"/>
        </w:trPr>
        <w:tc>
          <w:tcPr>
            <w:tcW w:w="1180" w:type="dxa"/>
            <w:vAlign w:val="bottom"/>
          </w:tcPr>
          <w:p>
            <w:pPr>
              <w:spacing w:after="0"/>
              <w:rPr>
                <w:sz w:val="13"/>
                <w:szCs w:val="13"/>
                <w:color w:val="auto"/>
              </w:rPr>
            </w:pPr>
          </w:p>
        </w:tc>
        <w:tc>
          <w:tcPr>
            <w:tcW w:w="1004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26">
              <w:r>
                <w:rPr>
                  <w:rFonts w:ascii="Arial" w:cs="Arial" w:eastAsia="Arial" w:hAnsi="Arial"/>
                  <w:sz w:val="18"/>
                  <w:szCs w:val="18"/>
                  <w:color w:val="0000FF"/>
                </w:rPr>
                <w:t>filed with the SEC on June 12, 2019)</w:t>
              </w:r>
            </w:hyperlink>
          </w:p>
        </w:tc>
        <w:tc>
          <w:tcPr>
            <w:tcW w:w="20" w:type="dxa"/>
            <w:vAlign w:val="bottom"/>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2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*[†]10.23</w:t>
            </w:r>
          </w:p>
        </w:tc>
        <w:tc>
          <w:tcPr>
            <w:tcW w:w="10060" w:type="dxa"/>
            <w:vAlign w:val="bottom"/>
            <w:gridSpan w:val="32"/>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Amendment No. 1 to Second Amended and Restated Credit Agreement, dated as of June 11, 2019, among the Company and certain of its</w:t>
              </w:r>
            </w:hyperlink>
          </w:p>
        </w:tc>
      </w:tr>
      <w:tr>
        <w:trPr>
          <w:trHeight w:val="155"/>
        </w:trPr>
        <w:tc>
          <w:tcPr>
            <w:tcW w:w="1180" w:type="dxa"/>
            <w:vAlign w:val="bottom"/>
          </w:tcPr>
          <w:p>
            <w:pPr>
              <w:spacing w:after="0"/>
              <w:rPr>
                <w:sz w:val="13"/>
                <w:szCs w:val="13"/>
                <w:color w:val="auto"/>
              </w:rPr>
            </w:pPr>
          </w:p>
        </w:tc>
        <w:tc>
          <w:tcPr>
            <w:tcW w:w="99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93">
              <w:r>
                <w:rPr>
                  <w:rFonts w:ascii="Arial" w:cs="Arial" w:eastAsia="Arial" w:hAnsi="Arial"/>
                  <w:sz w:val="18"/>
                  <w:szCs w:val="18"/>
                  <w:color w:val="0000FF"/>
                </w:rPr>
                <w:t>subsidiaries, the lenders party thereto and Bank of America, N.A.</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24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40" w:type="dxa"/>
            <w:vAlign w:val="bottom"/>
            <w:gridSpan w:val="1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*[†]10.24</w:t>
            </w:r>
          </w:p>
        </w:tc>
        <w:tc>
          <w:tcPr>
            <w:tcW w:w="10060" w:type="dxa"/>
            <w:vAlign w:val="bottom"/>
            <w:gridSpan w:val="32"/>
          </w:tcPr>
          <w:p>
            <w:pPr>
              <w:spacing w:after="0"/>
              <w:rPr>
                <w:sz w:val="20"/>
                <w:szCs w:val="20"/>
                <w:color w:val="auto"/>
              </w:rPr>
            </w:pPr>
            <w:r>
              <w:rPr>
                <w:rFonts w:ascii="Arial" w:cs="Arial" w:eastAsia="Arial" w:hAnsi="Arial"/>
                <w:sz w:val="18"/>
                <w:szCs w:val="18"/>
                <w:color w:val="0000FF"/>
                <w:w w:val="90"/>
              </w:rPr>
              <w:t>Amendment No. 2 to Second Amended and Restated Credit Agreement, dated as of December 17, 2021, among the Company and certain</w:t>
            </w:r>
          </w:p>
        </w:tc>
      </w:tr>
      <w:tr>
        <w:trPr>
          <w:trHeight w:val="156"/>
        </w:trPr>
        <w:tc>
          <w:tcPr>
            <w:tcW w:w="1180" w:type="dxa"/>
            <w:vAlign w:val="bottom"/>
          </w:tcPr>
          <w:p>
            <w:pPr>
              <w:spacing w:after="0"/>
              <w:rPr>
                <w:sz w:val="13"/>
                <w:szCs w:val="13"/>
                <w:color w:val="auto"/>
              </w:rPr>
            </w:pPr>
          </w:p>
        </w:tc>
        <w:tc>
          <w:tcPr>
            <w:tcW w:w="510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0"/>
              </w:rPr>
              <w:t>of its subsidiaries, the lenders party thereto and Bank of America, N.A.</w:t>
            </w:r>
          </w:p>
        </w:tc>
        <w:tc>
          <w:tcPr>
            <w:tcW w:w="4840" w:type="dxa"/>
            <w:vAlign w:val="bottom"/>
            <w:tcBorders>
              <w:top w:val="single" w:sz="8" w:color="0000FF"/>
            </w:tcBorders>
            <w:gridSpan w:val="17"/>
          </w:tcPr>
          <w:p>
            <w:pPr>
              <w:spacing w:after="0"/>
              <w:rPr>
                <w:sz w:val="13"/>
                <w:szCs w:val="13"/>
                <w:color w:val="auto"/>
              </w:rPr>
            </w:pPr>
          </w:p>
        </w:tc>
        <w:tc>
          <w:tcPr>
            <w:tcW w:w="120" w:type="dxa"/>
            <w:vAlign w:val="bottom"/>
            <w:gridSpan w:val="4"/>
          </w:tcPr>
          <w:p>
            <w:pPr>
              <w:spacing w:after="0"/>
              <w:rPr>
                <w:sz w:val="13"/>
                <w:szCs w:val="13"/>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*21</w:t>
            </w:r>
          </w:p>
        </w:tc>
        <w:tc>
          <w:tcPr>
            <w:tcW w:w="10060" w:type="dxa"/>
            <w:vAlign w:val="bottom"/>
            <w:gridSpan w:val="32"/>
          </w:tcPr>
          <w:p>
            <w:pPr>
              <w:spacing w:after="0"/>
              <w:rPr>
                <w:rFonts w:ascii="Arial" w:cs="Arial" w:eastAsia="Arial" w:hAnsi="Arial"/>
                <w:sz w:val="18"/>
                <w:szCs w:val="18"/>
                <w:color w:val="0000FF"/>
              </w:rPr>
            </w:pPr>
            <w:hyperlink w:anchor="page277">
              <w:r>
                <w:rPr>
                  <w:rFonts w:ascii="Arial" w:cs="Arial" w:eastAsia="Arial" w:hAnsi="Arial"/>
                  <w:sz w:val="18"/>
                  <w:szCs w:val="18"/>
                  <w:color w:val="0000FF"/>
                </w:rPr>
                <w:t>Subsidiaries of the Company</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FF"/>
            </w:tcBorders>
            <w:gridSpan w:val="5"/>
            <w:shd w:val="clear" w:color="auto" w:fill="0000FF"/>
          </w:tcPr>
          <w:p>
            <w:pPr>
              <w:spacing w:after="0" w:line="20" w:lineRule="exact"/>
              <w:rPr>
                <w:sz w:val="1"/>
                <w:szCs w:val="1"/>
                <w:color w:val="auto"/>
              </w:rPr>
            </w:pPr>
          </w:p>
        </w:tc>
        <w:tc>
          <w:tcPr>
            <w:tcW w:w="2440" w:type="dxa"/>
            <w:vAlign w:val="bottom"/>
            <w:tcBorders>
              <w:left w:val="single" w:sz="8" w:color="0000FF"/>
            </w:tcBorders>
            <w:gridSpan w:val="3"/>
          </w:tcPr>
          <w:p>
            <w:pPr>
              <w:spacing w:after="0" w:line="20" w:lineRule="exact"/>
              <w:rPr>
                <w:sz w:val="1"/>
                <w:szCs w:val="1"/>
                <w:color w:val="auto"/>
              </w:rPr>
            </w:pPr>
          </w:p>
        </w:tc>
        <w:tc>
          <w:tcPr>
            <w:tcW w:w="5600" w:type="dxa"/>
            <w:vAlign w:val="bottom"/>
            <w:gridSpan w:val="24"/>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*23.1</w:t>
            </w:r>
          </w:p>
        </w:tc>
        <w:tc>
          <w:tcPr>
            <w:tcW w:w="10060" w:type="dxa"/>
            <w:vAlign w:val="bottom"/>
            <w:gridSpan w:val="32"/>
          </w:tcPr>
          <w:p>
            <w:pPr>
              <w:spacing w:after="0"/>
              <w:rPr>
                <w:rFonts w:ascii="Arial" w:cs="Arial" w:eastAsia="Arial" w:hAnsi="Arial"/>
                <w:sz w:val="18"/>
                <w:szCs w:val="18"/>
                <w:color w:val="0000FF"/>
              </w:rPr>
            </w:pPr>
            <w:hyperlink w:anchor="page278">
              <w:r>
                <w:rPr>
                  <w:rFonts w:ascii="Arial" w:cs="Arial" w:eastAsia="Arial" w:hAnsi="Arial"/>
                  <w:sz w:val="18"/>
                  <w:szCs w:val="18"/>
                  <w:color w:val="0000FF"/>
                </w:rPr>
                <w:t>Consent of BDO USA, LLP</w:t>
              </w:r>
            </w:hyperlink>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2020" w:type="dxa"/>
            <w:vAlign w:val="bottom"/>
            <w:tcBorders>
              <w:right w:val="single" w:sz="8" w:color="0000EE"/>
            </w:tcBorders>
            <w:gridSpan w:val="5"/>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600" w:type="dxa"/>
            <w:vAlign w:val="bottom"/>
            <w:gridSpan w:val="24"/>
          </w:tcPr>
          <w:p>
            <w:pPr>
              <w:spacing w:after="0" w:line="20" w:lineRule="exact"/>
              <w:rPr>
                <w:sz w:val="1"/>
                <w:szCs w:val="1"/>
                <w:color w:val="auto"/>
              </w:rPr>
            </w:pPr>
          </w:p>
        </w:tc>
      </w:tr>
      <w:tr>
        <w:trPr>
          <w:trHeight w:val="358"/>
        </w:trPr>
        <w:tc>
          <w:tcPr>
            <w:tcW w:w="1180" w:type="dxa"/>
            <w:vAlign w:val="bottom"/>
          </w:tcPr>
          <w:p>
            <w:pPr>
              <w:ind w:left="20"/>
              <w:spacing w:after="0"/>
              <w:rPr>
                <w:sz w:val="20"/>
                <w:szCs w:val="20"/>
                <w:color w:val="auto"/>
              </w:rPr>
            </w:pPr>
            <w:r>
              <w:rPr>
                <w:rFonts w:ascii="Arial" w:cs="Arial" w:eastAsia="Arial" w:hAnsi="Arial"/>
                <w:sz w:val="18"/>
                <w:szCs w:val="18"/>
                <w:color w:val="auto"/>
              </w:rPr>
              <w:t>*31.1</w:t>
            </w:r>
          </w:p>
        </w:tc>
        <w:tc>
          <w:tcPr>
            <w:tcW w:w="10060" w:type="dxa"/>
            <w:vAlign w:val="bottom"/>
            <w:gridSpan w:val="32"/>
          </w:tcPr>
          <w:p>
            <w:pPr>
              <w:spacing w:after="0"/>
              <w:rPr>
                <w:rFonts w:ascii="Arial" w:cs="Arial" w:eastAsia="Arial" w:hAnsi="Arial"/>
                <w:sz w:val="18"/>
                <w:szCs w:val="18"/>
                <w:color w:val="0000FF"/>
              </w:rPr>
            </w:pPr>
            <w:hyperlink w:anchor="page279">
              <w:r>
                <w:rPr>
                  <w:rFonts w:ascii="Arial" w:cs="Arial" w:eastAsia="Arial" w:hAnsi="Arial"/>
                  <w:sz w:val="18"/>
                  <w:szCs w:val="18"/>
                  <w:color w:val="0000FF"/>
                </w:rPr>
                <w:t>Rule 13(a)/15d-14(a) Certification by Chief Executive Officer</w:t>
              </w:r>
            </w:hyperlink>
          </w:p>
        </w:tc>
      </w:tr>
      <w:tr>
        <w:trPr>
          <w:trHeight w:val="20"/>
        </w:trPr>
        <w:tc>
          <w:tcPr>
            <w:tcW w:w="1180" w:type="dxa"/>
            <w:vAlign w:val="bottom"/>
          </w:tcPr>
          <w:p>
            <w:pPr>
              <w:spacing w:after="0" w:line="20" w:lineRule="exact"/>
              <w:rPr>
                <w:sz w:val="1"/>
                <w:szCs w:val="1"/>
                <w:color w:val="auto"/>
              </w:rPr>
            </w:pPr>
          </w:p>
        </w:tc>
        <w:tc>
          <w:tcPr>
            <w:tcW w:w="446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1180" w:type="dxa"/>
            <w:vAlign w:val="bottom"/>
          </w:tcPr>
          <w:p>
            <w:pPr>
              <w:spacing w:after="0"/>
              <w:rPr>
                <w:sz w:val="24"/>
                <w:szCs w:val="24"/>
                <w:color w:val="auto"/>
              </w:rPr>
            </w:pPr>
          </w:p>
        </w:tc>
        <w:tc>
          <w:tcPr>
            <w:tcW w:w="4680" w:type="dxa"/>
            <w:vAlign w:val="bottom"/>
            <w:gridSpan w:val="9"/>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46" w:name="page47"/>
    <w:bookmarkEnd w:id="46"/>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6560" w:type="dxa"/>
            <w:vAlign w:val="bottom"/>
            <w:gridSpan w:val="3"/>
          </w:tcPr>
          <w:p>
            <w:pPr>
              <w:spacing w:after="0"/>
              <w:rPr>
                <w:rFonts w:ascii="Arial" w:cs="Arial" w:eastAsia="Arial" w:hAnsi="Arial"/>
                <w:sz w:val="18"/>
                <w:szCs w:val="18"/>
                <w:color w:val="0000FF"/>
              </w:rPr>
            </w:pPr>
            <w:hyperlink w:anchor="page280">
              <w:r>
                <w:rPr>
                  <w:rFonts w:ascii="Arial" w:cs="Arial" w:eastAsia="Arial" w:hAnsi="Arial"/>
                  <w:sz w:val="18"/>
                  <w:szCs w:val="18"/>
                  <w:color w:val="0000FF"/>
                </w:rPr>
                <w:t>Rule 13(a)/15d-14(a) Certification by Chief Financial Officer</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6560" w:type="dxa"/>
            <w:vAlign w:val="bottom"/>
            <w:gridSpan w:val="3"/>
          </w:tcPr>
          <w:p>
            <w:pPr>
              <w:spacing w:after="0"/>
              <w:rPr>
                <w:rFonts w:ascii="Arial" w:cs="Arial" w:eastAsia="Arial" w:hAnsi="Arial"/>
                <w:sz w:val="18"/>
                <w:szCs w:val="18"/>
                <w:color w:val="0000FF"/>
              </w:rPr>
            </w:pPr>
            <w:hyperlink w:anchor="page281">
              <w:r>
                <w:rPr>
                  <w:rFonts w:ascii="Arial" w:cs="Arial" w:eastAsia="Arial" w:hAnsi="Arial"/>
                  <w:sz w:val="18"/>
                  <w:szCs w:val="18"/>
                  <w:color w:val="0000FF"/>
                </w:rPr>
                <w:t>Certification of Chief Executive Officer (18 U.S. Section 1350)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2060" w:type="dxa"/>
            <w:vAlign w:val="bottom"/>
            <w:tcBorders>
              <w:left w:val="single" w:sz="8" w:color="0000FF"/>
            </w:tcBorders>
          </w:tcPr>
          <w:p>
            <w:pPr>
              <w:spacing w:after="0" w:line="20" w:lineRule="exact"/>
              <w:rPr>
                <w:sz w:val="1"/>
                <w:szCs w:val="1"/>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6560" w:type="dxa"/>
            <w:vAlign w:val="bottom"/>
            <w:gridSpan w:val="3"/>
          </w:tcPr>
          <w:p>
            <w:pPr>
              <w:spacing w:after="0"/>
              <w:rPr>
                <w:rFonts w:ascii="Arial" w:cs="Arial" w:eastAsia="Arial" w:hAnsi="Arial"/>
                <w:sz w:val="18"/>
                <w:szCs w:val="18"/>
                <w:color w:val="0000FF"/>
              </w:rPr>
            </w:pPr>
            <w:hyperlink w:anchor="page282">
              <w:r>
                <w:rPr>
                  <w:rFonts w:ascii="Arial" w:cs="Arial" w:eastAsia="Arial" w:hAnsi="Arial"/>
                  <w:sz w:val="18"/>
                  <w:szCs w:val="18"/>
                  <w:color w:val="0000FF"/>
                </w:rPr>
                <w:t>Certification of Chief Financial Officer (18 U.S. Section 1350)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50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6560" w:type="dxa"/>
            <w:vAlign w:val="bottom"/>
            <w:gridSpan w:val="3"/>
          </w:tcPr>
          <w:p>
            <w:pPr>
              <w:spacing w:after="0"/>
              <w:rPr>
                <w:sz w:val="20"/>
                <w:szCs w:val="20"/>
                <w:color w:val="auto"/>
              </w:rPr>
            </w:pPr>
            <w:r>
              <w:rPr>
                <w:rFonts w:ascii="Arial" w:cs="Arial" w:eastAsia="Arial" w:hAnsi="Arial"/>
                <w:sz w:val="18"/>
                <w:szCs w:val="18"/>
                <w:color w:val="auto"/>
              </w:rPr>
              <w:t>Inline XBRL Instance Document</w:t>
            </w: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65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65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65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65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65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78"/>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656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Filed or furnished herewith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or compensation plans or arrangement</w:t>
      </w:r>
    </w:p>
    <w:p>
      <w:pPr>
        <w:ind w:firstLine="8"/>
        <w:spacing w:after="0" w:line="243" w:lineRule="auto"/>
        <w:tabs>
          <w:tab w:leader="none" w:pos="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601(a)(5) of Regulation S-K. The Company hereby undertakes to furnish on a supplemental basis a copy of any omitted schedule or exhibit upon request by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486" w:right="539" w:bottom="1440" w:gutter="0" w:footer="0" w:header="0"/>
        </w:sectPr>
      </w:pPr>
    </w:p>
    <w:bookmarkStart w:id="47" w:name="page48"/>
    <w:bookmarkEnd w:id="47"/>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66"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CECO ENVIRONMENTAL CORP.</w:t>
      </w:r>
    </w:p>
    <w:p>
      <w:pPr>
        <w:spacing w:after="0" w:line="239" w:lineRule="exact"/>
        <w:rPr>
          <w:sz w:val="20"/>
          <w:szCs w:val="20"/>
          <w:color w:val="auto"/>
        </w:rPr>
      </w:pPr>
    </w:p>
    <w:tbl>
      <w:tblPr>
        <w:tblLayout w:type="fixed"/>
        <w:tblInd w:w="5860" w:type="dxa"/>
        <w:tblCellMar>
          <w:top w:w="0" w:type="dxa"/>
          <w:left w:w="0" w:type="dxa"/>
          <w:bottom w:w="0" w:type="dxa"/>
          <w:right w:w="0" w:type="dxa"/>
        </w:tblCellMar>
      </w:tblPr>
      <w:tr>
        <w:trPr>
          <w:trHeight w:val="25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ATTHEW</w:t>
            </w:r>
            <w:r>
              <w:rPr>
                <w:rFonts w:ascii="Arial" w:cs="Arial" w:eastAsia="Arial" w:hAnsi="Arial"/>
                <w:sz w:val="18"/>
                <w:szCs w:val="18"/>
                <w:color w:val="auto"/>
              </w:rPr>
              <w:t xml:space="preserve"> E</w:t>
            </w:r>
            <w:r>
              <w:rPr>
                <w:rFonts w:ascii="Arial" w:cs="Arial" w:eastAsia="Arial" w:hAnsi="Arial"/>
                <w:sz w:val="13"/>
                <w:szCs w:val="13"/>
                <w:color w:val="auto"/>
              </w:rPr>
              <w:t>CKL</w:t>
            </w:r>
          </w:p>
        </w:tc>
      </w:tr>
      <w:tr>
        <w:trPr>
          <w:trHeight w:val="195"/>
        </w:trPr>
        <w:tc>
          <w:tcPr>
            <w:tcW w:w="74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99"/>
              </w:rPr>
              <w:t>Matthew Eckl</w:t>
            </w:r>
          </w:p>
        </w:tc>
      </w:tr>
      <w:tr>
        <w:trPr>
          <w:trHeight w:val="203"/>
        </w:trPr>
        <w:tc>
          <w:tcPr>
            <w:tcW w:w="74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97"/>
              </w:rPr>
              <w:t>Chief Financial Officer</w:t>
            </w:r>
          </w:p>
        </w:tc>
      </w:tr>
      <w:tr>
        <w:trPr>
          <w:trHeight w:val="203"/>
        </w:trPr>
        <w:tc>
          <w:tcPr>
            <w:tcW w:w="740" w:type="dxa"/>
            <w:vAlign w:val="bottom"/>
          </w:tcPr>
          <w:p>
            <w:pPr>
              <w:spacing w:after="0"/>
              <w:rPr>
                <w:sz w:val="17"/>
                <w:szCs w:val="17"/>
                <w:color w:val="auto"/>
              </w:rPr>
            </w:pPr>
          </w:p>
        </w:tc>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97"/>
              </w:rPr>
              <w:t>March 14, 2022</w:t>
            </w:r>
          </w:p>
        </w:tc>
      </w:tr>
    </w:tbl>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48" w:name="page49"/>
    <w:bookmarkEnd w:id="48"/>
    <w:p>
      <w:pPr>
        <w:ind w:right="180" w:firstLine="509"/>
        <w:spacing w:after="0" w:line="266"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1"/>
              </w:rPr>
              <w:t>/S/</w:t>
            </w:r>
          </w:p>
        </w:tc>
        <w:tc>
          <w:tcPr>
            <w:tcW w:w="2480" w:type="dxa"/>
            <w:vAlign w:val="bottom"/>
            <w:tcBorders>
              <w:bottom w:val="single" w:sz="8" w:color="auto"/>
            </w:tcBorders>
          </w:tcPr>
          <w:p>
            <w:pPr>
              <w:jc w:val="center"/>
              <w:ind w:right="865"/>
              <w:spacing w:after="0"/>
              <w:rPr>
                <w:sz w:val="20"/>
                <w:szCs w:val="20"/>
                <w:color w:val="auto"/>
              </w:rPr>
            </w:pPr>
            <w:r>
              <w:rPr>
                <w:rFonts w:ascii="Arial" w:cs="Arial" w:eastAsia="Arial" w:hAnsi="Arial"/>
                <w:sz w:val="18"/>
                <w:szCs w:val="18"/>
                <w:color w:val="auto"/>
                <w:w w:val="98"/>
              </w:rPr>
              <w:t>T</w:t>
            </w:r>
            <w:r>
              <w:rPr>
                <w:rFonts w:ascii="Arial" w:cs="Arial" w:eastAsia="Arial" w:hAnsi="Arial"/>
                <w:sz w:val="13"/>
                <w:szCs w:val="13"/>
                <w:color w:val="auto"/>
                <w:w w:val="98"/>
              </w:rPr>
              <w:t>ODD</w:t>
            </w:r>
            <w:r>
              <w:rPr>
                <w:rFonts w:ascii="Arial" w:cs="Arial" w:eastAsia="Arial" w:hAnsi="Arial"/>
                <w:sz w:val="18"/>
                <w:szCs w:val="18"/>
                <w:color w:val="auto"/>
                <w:w w:val="98"/>
              </w:rPr>
              <w:t xml:space="preserve"> G</w:t>
            </w:r>
            <w:r>
              <w:rPr>
                <w:rFonts w:ascii="Arial" w:cs="Arial" w:eastAsia="Arial" w:hAnsi="Arial"/>
                <w:sz w:val="13"/>
                <w:szCs w:val="13"/>
                <w:color w:val="auto"/>
                <w:w w:val="98"/>
              </w:rPr>
              <w:t>LEASON</w:t>
            </w:r>
          </w:p>
        </w:tc>
        <w:tc>
          <w:tcPr>
            <w:tcW w:w="840" w:type="dxa"/>
            <w:vAlign w:val="bottom"/>
            <w:tcBorders>
              <w:bottom w:val="single" w:sz="8" w:color="auto"/>
            </w:tcBorders>
          </w:tcPr>
          <w:p>
            <w:pPr>
              <w:spacing w:after="0"/>
              <w:rPr>
                <w:sz w:val="18"/>
                <w:szCs w:val="18"/>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jc w:val="center"/>
              <w:ind w:right="1285"/>
              <w:spacing w:after="0" w:line="116" w:lineRule="exact"/>
              <w:rPr>
                <w:sz w:val="20"/>
                <w:szCs w:val="20"/>
                <w:color w:val="auto"/>
              </w:rPr>
            </w:pPr>
            <w:r>
              <w:rPr>
                <w:rFonts w:ascii="Arial" w:cs="Arial" w:eastAsia="Arial" w:hAnsi="Arial"/>
                <w:sz w:val="13"/>
                <w:szCs w:val="13"/>
                <w:b w:val="1"/>
                <w:bCs w:val="1"/>
                <w:color w:val="auto"/>
                <w:w w:val="92"/>
              </w:rPr>
              <w:t>Todd Gleason</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4700" w:type="dxa"/>
            <w:vAlign w:val="bottom"/>
            <w:gridSpan w:val="3"/>
          </w:tcPr>
          <w:p>
            <w:pPr>
              <w:jc w:val="center"/>
              <w:ind w:left="793"/>
              <w:spacing w:after="0"/>
              <w:rPr>
                <w:sz w:val="20"/>
                <w:szCs w:val="20"/>
                <w:color w:val="auto"/>
              </w:rPr>
            </w:pPr>
            <w:r>
              <w:rPr>
                <w:rFonts w:ascii="Arial" w:cs="Arial" w:eastAsia="Arial" w:hAnsi="Arial"/>
                <w:sz w:val="13"/>
                <w:szCs w:val="13"/>
                <w:b w:val="1"/>
                <w:bCs w:val="1"/>
                <w:color w:val="auto"/>
                <w:w w:val="96"/>
              </w:rPr>
              <w:t>Chief Executive Officer and 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65"/>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24"/>
        </w:trPr>
        <w:tc>
          <w:tcPr>
            <w:tcW w:w="22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1185"/>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ATTHEW</w:t>
            </w:r>
            <w:r>
              <w:rPr>
                <w:rFonts w:ascii="Arial" w:cs="Arial" w:eastAsia="Arial" w:hAnsi="Arial"/>
                <w:sz w:val="18"/>
                <w:szCs w:val="18"/>
                <w:color w:val="auto"/>
              </w:rPr>
              <w:t xml:space="preserve"> E</w:t>
            </w:r>
            <w:r>
              <w:rPr>
                <w:rFonts w:ascii="Arial" w:cs="Arial" w:eastAsia="Arial" w:hAnsi="Arial"/>
                <w:sz w:val="13"/>
                <w:szCs w:val="13"/>
                <w:color w:val="auto"/>
              </w:rPr>
              <w:t>CKL</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jc w:val="center"/>
              <w:ind w:right="1305"/>
              <w:spacing w:after="0" w:line="116" w:lineRule="exact"/>
              <w:rPr>
                <w:sz w:val="20"/>
                <w:szCs w:val="20"/>
                <w:color w:val="auto"/>
              </w:rPr>
            </w:pPr>
            <w:r>
              <w:rPr>
                <w:rFonts w:ascii="Arial" w:cs="Arial" w:eastAsia="Arial" w:hAnsi="Arial"/>
                <w:sz w:val="13"/>
                <w:szCs w:val="13"/>
                <w:b w:val="1"/>
                <w:bCs w:val="1"/>
                <w:color w:val="auto"/>
                <w:w w:val="99"/>
              </w:rPr>
              <w:t>Matthew Eckl</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700" w:type="dxa"/>
            <w:vAlign w:val="bottom"/>
            <w:gridSpan w:val="2"/>
          </w:tcPr>
          <w:p>
            <w:pPr>
              <w:jc w:val="center"/>
              <w:ind w:right="1085"/>
              <w:spacing w:after="0"/>
              <w:rPr>
                <w:sz w:val="20"/>
                <w:szCs w:val="20"/>
                <w:color w:val="auto"/>
              </w:rPr>
            </w:pPr>
            <w:r>
              <w:rPr>
                <w:rFonts w:ascii="Arial" w:cs="Arial" w:eastAsia="Arial" w:hAnsi="Arial"/>
                <w:sz w:val="13"/>
                <w:szCs w:val="13"/>
                <w:b w:val="1"/>
                <w:bCs w:val="1"/>
                <w:color w:val="auto"/>
                <w:w w:val="97"/>
              </w:rPr>
              <w:t>Chief Financial Officer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433"/>
        </w:trPr>
        <w:tc>
          <w:tcPr>
            <w:tcW w:w="2220" w:type="dxa"/>
            <w:vAlign w:val="bottom"/>
            <w:gridSpan w:val="2"/>
          </w:tcPr>
          <w:p>
            <w:pPr>
              <w:ind w:left="20"/>
              <w:spacing w:after="0"/>
              <w:rPr>
                <w:sz w:val="20"/>
                <w:szCs w:val="20"/>
                <w:color w:val="auto"/>
              </w:rPr>
            </w:pPr>
            <w:r>
              <w:rPr>
                <w:rFonts w:ascii="Arial" w:cs="Arial" w:eastAsia="Arial" w:hAnsi="Arial"/>
                <w:sz w:val="18"/>
                <w:szCs w:val="18"/>
                <w:color w:val="auto"/>
                <w:w w:val="96"/>
              </w:rPr>
              <w:t>Principal Accounting Officer:</w:t>
            </w: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24"/>
        </w:trPr>
        <w:tc>
          <w:tcPr>
            <w:tcW w:w="2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w:t>
            </w:r>
          </w:p>
        </w:tc>
        <w:tc>
          <w:tcPr>
            <w:tcW w:w="2480" w:type="dxa"/>
            <w:vAlign w:val="bottom"/>
            <w:tcBorders>
              <w:bottom w:val="single" w:sz="8" w:color="auto"/>
            </w:tcBorders>
          </w:tcPr>
          <w:p>
            <w:pPr>
              <w:jc w:val="center"/>
              <w:ind w:right="1265"/>
              <w:spacing w:after="0"/>
              <w:rPr>
                <w:sz w:val="20"/>
                <w:szCs w:val="20"/>
                <w:color w:val="auto"/>
              </w:rPr>
            </w:pPr>
            <w:r>
              <w:rPr>
                <w:rFonts w:ascii="Arial" w:cs="Arial" w:eastAsia="Arial" w:hAnsi="Arial"/>
                <w:sz w:val="18"/>
                <w:szCs w:val="18"/>
                <w:color w:val="auto"/>
                <w:w w:val="96"/>
              </w:rPr>
              <w:t>P</w:t>
            </w:r>
            <w:r>
              <w:rPr>
                <w:rFonts w:ascii="Arial" w:cs="Arial" w:eastAsia="Arial" w:hAnsi="Arial"/>
                <w:sz w:val="13"/>
                <w:szCs w:val="13"/>
                <w:color w:val="auto"/>
                <w:w w:val="96"/>
              </w:rPr>
              <w:t>AUL</w:t>
            </w:r>
            <w:r>
              <w:rPr>
                <w:rFonts w:ascii="Arial" w:cs="Arial" w:eastAsia="Arial" w:hAnsi="Arial"/>
                <w:sz w:val="18"/>
                <w:szCs w:val="18"/>
                <w:color w:val="auto"/>
                <w:w w:val="96"/>
              </w:rPr>
              <w:t xml:space="preserve"> G</w:t>
            </w:r>
            <w:r>
              <w:rPr>
                <w:rFonts w:ascii="Arial" w:cs="Arial" w:eastAsia="Arial" w:hAnsi="Arial"/>
                <w:sz w:val="13"/>
                <w:szCs w:val="13"/>
                <w:color w:val="auto"/>
                <w:w w:val="96"/>
              </w:rPr>
              <w:t>OHR</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jc w:val="center"/>
              <w:ind w:right="1285"/>
              <w:spacing w:after="0" w:line="116" w:lineRule="exact"/>
              <w:rPr>
                <w:sz w:val="20"/>
                <w:szCs w:val="20"/>
                <w:color w:val="auto"/>
              </w:rPr>
            </w:pPr>
            <w:r>
              <w:rPr>
                <w:rFonts w:ascii="Arial" w:cs="Arial" w:eastAsia="Arial" w:hAnsi="Arial"/>
                <w:sz w:val="13"/>
                <w:szCs w:val="13"/>
                <w:b w:val="1"/>
                <w:bCs w:val="1"/>
                <w:color w:val="auto"/>
                <w:w w:val="96"/>
              </w:rPr>
              <w:t>Paul Gohr</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700" w:type="dxa"/>
            <w:vAlign w:val="bottom"/>
            <w:gridSpan w:val="2"/>
          </w:tcPr>
          <w:p>
            <w:pPr>
              <w:jc w:val="center"/>
              <w:ind w:right="1085"/>
              <w:spacing w:after="0"/>
              <w:rPr>
                <w:sz w:val="20"/>
                <w:szCs w:val="20"/>
                <w:color w:val="auto"/>
              </w:rPr>
            </w:pPr>
            <w:r>
              <w:rPr>
                <w:rFonts w:ascii="Arial" w:cs="Arial" w:eastAsia="Arial" w:hAnsi="Arial"/>
                <w:sz w:val="13"/>
                <w:szCs w:val="13"/>
                <w:b w:val="1"/>
                <w:bCs w:val="1"/>
                <w:color w:val="auto"/>
                <w:w w:val="95"/>
              </w:rPr>
              <w:t>Chief Accounting Officer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65"/>
        </w:trPr>
        <w:tc>
          <w:tcPr>
            <w:tcW w:w="2000" w:type="dxa"/>
            <w:vAlign w:val="bottom"/>
          </w:tcPr>
          <w:p>
            <w:pPr>
              <w:ind w:left="20"/>
              <w:spacing w:after="0"/>
              <w:rPr>
                <w:sz w:val="20"/>
                <w:szCs w:val="20"/>
                <w:color w:val="auto"/>
              </w:rPr>
            </w:pPr>
            <w:r>
              <w:rPr>
                <w:rFonts w:ascii="Arial" w:cs="Arial" w:eastAsia="Arial" w:hAnsi="Arial"/>
                <w:sz w:val="18"/>
                <w:szCs w:val="18"/>
                <w:color w:val="auto"/>
              </w:rPr>
              <w:t>Directors:</w:t>
            </w: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324"/>
        </w:trPr>
        <w:tc>
          <w:tcPr>
            <w:tcW w:w="2220" w:type="dxa"/>
            <w:vAlign w:val="bottom"/>
            <w:tcBorders>
              <w:bottom w:val="single" w:sz="8" w:color="auto"/>
            </w:tcBorders>
            <w:gridSpan w:val="2"/>
          </w:tcPr>
          <w:p>
            <w:pPr>
              <w:ind w:left="184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1185"/>
              <w:spacing w:after="0"/>
              <w:rPr>
                <w:sz w:val="20"/>
                <w:szCs w:val="20"/>
                <w:color w:val="auto"/>
              </w:rPr>
            </w:pPr>
            <w:r>
              <w:rPr>
                <w:rFonts w:ascii="Arial" w:cs="Arial" w:eastAsia="Arial" w:hAnsi="Arial"/>
                <w:sz w:val="18"/>
                <w:szCs w:val="18"/>
                <w:color w:val="auto"/>
                <w:w w:val="99"/>
              </w:rPr>
              <w:t>J</w:t>
            </w:r>
            <w:r>
              <w:rPr>
                <w:rFonts w:ascii="Arial" w:cs="Arial" w:eastAsia="Arial" w:hAnsi="Arial"/>
                <w:sz w:val="13"/>
                <w:szCs w:val="13"/>
                <w:color w:val="auto"/>
                <w:w w:val="99"/>
              </w:rPr>
              <w:t>ASON</w:t>
            </w:r>
            <w:r>
              <w:rPr>
                <w:rFonts w:ascii="Arial" w:cs="Arial" w:eastAsia="Arial" w:hAnsi="Arial"/>
                <w:sz w:val="18"/>
                <w:szCs w:val="18"/>
                <w:color w:val="auto"/>
                <w:w w:val="99"/>
              </w:rPr>
              <w:t xml:space="preserve"> D</w:t>
            </w:r>
            <w:r>
              <w:rPr>
                <w:rFonts w:ascii="Arial" w:cs="Arial" w:eastAsia="Arial" w:hAnsi="Arial"/>
                <w:sz w:val="13"/>
                <w:szCs w:val="13"/>
                <w:color w:val="auto"/>
                <w:w w:val="99"/>
              </w:rPr>
              <w:t>EZWIREK</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jc w:val="center"/>
              <w:ind w:right="1305"/>
              <w:spacing w:after="0" w:line="116" w:lineRule="exact"/>
              <w:rPr>
                <w:sz w:val="20"/>
                <w:szCs w:val="20"/>
                <w:color w:val="auto"/>
              </w:rPr>
            </w:pPr>
            <w:r>
              <w:rPr>
                <w:rFonts w:ascii="Arial" w:cs="Arial" w:eastAsia="Arial" w:hAnsi="Arial"/>
                <w:sz w:val="13"/>
                <w:szCs w:val="13"/>
                <w:b w:val="1"/>
                <w:bCs w:val="1"/>
                <w:color w:val="auto"/>
                <w:w w:val="94"/>
              </w:rPr>
              <w:t>Jason DeZwirek</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4700" w:type="dxa"/>
            <w:vAlign w:val="bottom"/>
            <w:gridSpan w:val="3"/>
          </w:tcPr>
          <w:p>
            <w:pPr>
              <w:jc w:val="center"/>
              <w:ind w:left="773"/>
              <w:spacing w:after="0"/>
              <w:rPr>
                <w:sz w:val="20"/>
                <w:szCs w:val="20"/>
                <w:color w:val="auto"/>
              </w:rPr>
            </w:pPr>
            <w:r>
              <w:rPr>
                <w:rFonts w:ascii="Arial" w:cs="Arial" w:eastAsia="Arial" w:hAnsi="Arial"/>
                <w:sz w:val="13"/>
                <w:szCs w:val="13"/>
                <w:b w:val="1"/>
                <w:bCs w:val="1"/>
                <w:color w:val="auto"/>
                <w:w w:val="96"/>
              </w:rPr>
              <w:t>Chairman of the Board and 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52"/>
        </w:trPr>
        <w:tc>
          <w:tcPr>
            <w:tcW w:w="200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w w:val="99"/>
              </w:rPr>
              <w:t>/S/</w:t>
            </w:r>
          </w:p>
        </w:tc>
        <w:tc>
          <w:tcPr>
            <w:tcW w:w="2700" w:type="dxa"/>
            <w:vAlign w:val="bottom"/>
            <w:tcBorders>
              <w:bottom w:val="single" w:sz="8" w:color="auto"/>
            </w:tcBorders>
            <w:gridSpan w:val="2"/>
          </w:tcPr>
          <w:p>
            <w:pPr>
              <w:jc w:val="center"/>
              <w:ind w:right="965"/>
              <w:spacing w:after="0"/>
              <w:rPr>
                <w:sz w:val="20"/>
                <w:szCs w:val="20"/>
                <w:color w:val="auto"/>
              </w:rPr>
            </w:pPr>
            <w:r>
              <w:rPr>
                <w:rFonts w:ascii="Arial" w:cs="Arial" w:eastAsia="Arial" w:hAnsi="Arial"/>
                <w:sz w:val="18"/>
                <w:szCs w:val="18"/>
                <w:color w:val="auto"/>
                <w:w w:val="97"/>
              </w:rPr>
              <w:t>E</w:t>
            </w:r>
            <w:r>
              <w:rPr>
                <w:rFonts w:ascii="Arial" w:cs="Arial" w:eastAsia="Arial" w:hAnsi="Arial"/>
                <w:sz w:val="13"/>
                <w:szCs w:val="13"/>
                <w:color w:val="auto"/>
                <w:w w:val="97"/>
              </w:rPr>
              <w:t>RIC</w:t>
            </w:r>
            <w:r>
              <w:rPr>
                <w:rFonts w:ascii="Arial" w:cs="Arial" w:eastAsia="Arial" w:hAnsi="Arial"/>
                <w:sz w:val="18"/>
                <w:szCs w:val="18"/>
                <w:color w:val="auto"/>
                <w:w w:val="97"/>
              </w:rPr>
              <w:t xml:space="preserve"> M. G</w:t>
            </w:r>
            <w:r>
              <w:rPr>
                <w:rFonts w:ascii="Arial" w:cs="Arial" w:eastAsia="Arial" w:hAnsi="Arial"/>
                <w:sz w:val="13"/>
                <w:szCs w:val="13"/>
                <w:color w:val="auto"/>
                <w:w w:val="97"/>
              </w:rPr>
              <w:t>OLDBERG</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jc w:val="center"/>
              <w:ind w:right="1305"/>
              <w:spacing w:after="0" w:line="116" w:lineRule="exact"/>
              <w:rPr>
                <w:sz w:val="20"/>
                <w:szCs w:val="20"/>
                <w:color w:val="auto"/>
              </w:rPr>
            </w:pPr>
            <w:r>
              <w:rPr>
                <w:rFonts w:ascii="Arial" w:cs="Arial" w:eastAsia="Arial" w:hAnsi="Arial"/>
                <w:sz w:val="13"/>
                <w:szCs w:val="13"/>
                <w:b w:val="1"/>
                <w:bCs w:val="1"/>
                <w:color w:val="auto"/>
                <w:w w:val="98"/>
              </w:rPr>
              <w:t>Eric M. Goldberg</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center"/>
              <w:ind w:right="1285"/>
              <w:spacing w:after="0"/>
              <w:rPr>
                <w:sz w:val="20"/>
                <w:szCs w:val="20"/>
                <w:color w:val="auto"/>
              </w:rPr>
            </w:pPr>
            <w:r>
              <w:rPr>
                <w:rFonts w:ascii="Arial" w:cs="Arial" w:eastAsia="Arial" w:hAnsi="Arial"/>
                <w:sz w:val="13"/>
                <w:szCs w:val="13"/>
                <w:b w:val="1"/>
                <w:bCs w:val="1"/>
                <w:color w:val="auto"/>
                <w:w w:val="96"/>
              </w:rPr>
              <w:t>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52"/>
        </w:trPr>
        <w:tc>
          <w:tcPr>
            <w:tcW w:w="2220" w:type="dxa"/>
            <w:vAlign w:val="bottom"/>
            <w:tcBorders>
              <w:bottom w:val="single" w:sz="8" w:color="auto"/>
            </w:tcBorders>
            <w:gridSpan w:val="2"/>
          </w:tcPr>
          <w:p>
            <w:pPr>
              <w:ind w:left="186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1265"/>
              <w:spacing w:after="0"/>
              <w:rPr>
                <w:sz w:val="20"/>
                <w:szCs w:val="20"/>
                <w:color w:val="auto"/>
              </w:rPr>
            </w:pPr>
            <w:r>
              <w:rPr>
                <w:rFonts w:ascii="Arial" w:cs="Arial" w:eastAsia="Arial" w:hAnsi="Arial"/>
                <w:sz w:val="18"/>
                <w:szCs w:val="18"/>
                <w:color w:val="auto"/>
                <w:w w:val="99"/>
              </w:rPr>
              <w:t>D</w:t>
            </w:r>
            <w:r>
              <w:rPr>
                <w:rFonts w:ascii="Arial" w:cs="Arial" w:eastAsia="Arial" w:hAnsi="Arial"/>
                <w:sz w:val="13"/>
                <w:szCs w:val="13"/>
                <w:color w:val="auto"/>
                <w:w w:val="99"/>
              </w:rPr>
              <w:t>AVID</w:t>
            </w:r>
            <w:r>
              <w:rPr>
                <w:rFonts w:ascii="Arial" w:cs="Arial" w:eastAsia="Arial" w:hAnsi="Arial"/>
                <w:sz w:val="18"/>
                <w:szCs w:val="18"/>
                <w:color w:val="auto"/>
                <w:w w:val="99"/>
              </w:rPr>
              <w:t xml:space="preserve"> B</w:t>
            </w:r>
            <w:r>
              <w:rPr>
                <w:rFonts w:ascii="Arial" w:cs="Arial" w:eastAsia="Arial" w:hAnsi="Arial"/>
                <w:sz w:val="13"/>
                <w:szCs w:val="13"/>
                <w:color w:val="auto"/>
                <w:w w:val="99"/>
              </w:rPr>
              <w:t>.</w:t>
            </w:r>
            <w:r>
              <w:rPr>
                <w:rFonts w:ascii="Arial" w:cs="Arial" w:eastAsia="Arial" w:hAnsi="Arial"/>
                <w:sz w:val="18"/>
                <w:szCs w:val="18"/>
                <w:color w:val="auto"/>
                <w:w w:val="99"/>
              </w:rPr>
              <w:t xml:space="preserve"> L</w:t>
            </w:r>
            <w:r>
              <w:rPr>
                <w:rFonts w:ascii="Arial" w:cs="Arial" w:eastAsia="Arial" w:hAnsi="Arial"/>
                <w:sz w:val="13"/>
                <w:szCs w:val="13"/>
                <w:color w:val="auto"/>
                <w:w w:val="99"/>
              </w:rPr>
              <w:t>INER</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jc w:val="center"/>
              <w:ind w:right="1305"/>
              <w:spacing w:after="0" w:line="116" w:lineRule="exact"/>
              <w:rPr>
                <w:sz w:val="20"/>
                <w:szCs w:val="20"/>
                <w:color w:val="auto"/>
              </w:rPr>
            </w:pPr>
            <w:r>
              <w:rPr>
                <w:rFonts w:ascii="Arial" w:cs="Arial" w:eastAsia="Arial" w:hAnsi="Arial"/>
                <w:sz w:val="13"/>
                <w:szCs w:val="13"/>
                <w:b w:val="1"/>
                <w:bCs w:val="1"/>
                <w:color w:val="auto"/>
                <w:w w:val="98"/>
              </w:rPr>
              <w:t>David B. Liner</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center"/>
              <w:ind w:right="1285"/>
              <w:spacing w:after="0"/>
              <w:rPr>
                <w:sz w:val="20"/>
                <w:szCs w:val="20"/>
                <w:color w:val="auto"/>
              </w:rPr>
            </w:pPr>
            <w:r>
              <w:rPr>
                <w:rFonts w:ascii="Arial" w:cs="Arial" w:eastAsia="Arial" w:hAnsi="Arial"/>
                <w:sz w:val="13"/>
                <w:szCs w:val="13"/>
                <w:b w:val="1"/>
                <w:bCs w:val="1"/>
                <w:color w:val="auto"/>
                <w:w w:val="96"/>
              </w:rPr>
              <w:t>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51"/>
        </w:trPr>
        <w:tc>
          <w:tcPr>
            <w:tcW w:w="4700" w:type="dxa"/>
            <w:vAlign w:val="bottom"/>
            <w:tcBorders>
              <w:bottom w:val="single" w:sz="8" w:color="auto"/>
            </w:tcBorders>
            <w:gridSpan w:val="3"/>
          </w:tcPr>
          <w:p>
            <w:pPr>
              <w:ind w:left="162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LAUDIO</w:t>
            </w:r>
            <w:r>
              <w:rPr>
                <w:rFonts w:ascii="Arial" w:cs="Arial" w:eastAsia="Arial" w:hAnsi="Arial"/>
                <w:sz w:val="18"/>
                <w:szCs w:val="18"/>
                <w:color w:val="auto"/>
              </w:rPr>
              <w:t xml:space="preserve"> A. M</w:t>
            </w:r>
            <w:r>
              <w:rPr>
                <w:rFonts w:ascii="Arial" w:cs="Arial" w:eastAsia="Arial" w:hAnsi="Arial"/>
                <w:sz w:val="13"/>
                <w:szCs w:val="13"/>
                <w:color w:val="auto"/>
              </w:rPr>
              <w:t>ANNARINO</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700" w:type="dxa"/>
            <w:vAlign w:val="bottom"/>
            <w:gridSpan w:val="2"/>
          </w:tcPr>
          <w:p>
            <w:pPr>
              <w:jc w:val="center"/>
              <w:ind w:right="1065"/>
              <w:spacing w:after="0" w:line="116" w:lineRule="exact"/>
              <w:rPr>
                <w:sz w:val="20"/>
                <w:szCs w:val="20"/>
                <w:color w:val="auto"/>
              </w:rPr>
            </w:pPr>
            <w:r>
              <w:rPr>
                <w:rFonts w:ascii="Arial" w:cs="Arial" w:eastAsia="Arial" w:hAnsi="Arial"/>
                <w:sz w:val="13"/>
                <w:szCs w:val="13"/>
                <w:b w:val="1"/>
                <w:bCs w:val="1"/>
                <w:color w:val="auto"/>
                <w:w w:val="98"/>
              </w:rPr>
              <w:t>Claudio A. Mannarino</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center"/>
              <w:ind w:right="1285"/>
              <w:spacing w:after="0"/>
              <w:rPr>
                <w:sz w:val="20"/>
                <w:szCs w:val="20"/>
                <w:color w:val="auto"/>
              </w:rPr>
            </w:pPr>
            <w:r>
              <w:rPr>
                <w:rFonts w:ascii="Arial" w:cs="Arial" w:eastAsia="Arial" w:hAnsi="Arial"/>
                <w:sz w:val="13"/>
                <w:szCs w:val="13"/>
                <w:b w:val="1"/>
                <w:bCs w:val="1"/>
                <w:color w:val="auto"/>
                <w:w w:val="96"/>
              </w:rPr>
              <w:t>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52"/>
        </w:trPr>
        <w:tc>
          <w:tcPr>
            <w:tcW w:w="222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1225"/>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UNISH</w:t>
            </w:r>
            <w:r>
              <w:rPr>
                <w:rFonts w:ascii="Arial" w:cs="Arial" w:eastAsia="Arial" w:hAnsi="Arial"/>
                <w:sz w:val="18"/>
                <w:szCs w:val="18"/>
                <w:color w:val="auto"/>
              </w:rPr>
              <w:t xml:space="preserve"> N</w:t>
            </w:r>
            <w:r>
              <w:rPr>
                <w:rFonts w:ascii="Arial" w:cs="Arial" w:eastAsia="Arial" w:hAnsi="Arial"/>
                <w:sz w:val="13"/>
                <w:szCs w:val="13"/>
                <w:color w:val="auto"/>
              </w:rPr>
              <w:t>ANDA</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jc w:val="center"/>
              <w:ind w:right="1305"/>
              <w:spacing w:after="0" w:line="116" w:lineRule="exact"/>
              <w:rPr>
                <w:sz w:val="20"/>
                <w:szCs w:val="20"/>
                <w:color w:val="auto"/>
              </w:rPr>
            </w:pPr>
            <w:r>
              <w:rPr>
                <w:rFonts w:ascii="Arial" w:cs="Arial" w:eastAsia="Arial" w:hAnsi="Arial"/>
                <w:sz w:val="13"/>
                <w:szCs w:val="13"/>
                <w:b w:val="1"/>
                <w:bCs w:val="1"/>
                <w:color w:val="auto"/>
                <w:w w:val="96"/>
              </w:rPr>
              <w:t>Munish Nanda</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center"/>
              <w:ind w:right="1285"/>
              <w:spacing w:after="0"/>
              <w:rPr>
                <w:sz w:val="20"/>
                <w:szCs w:val="20"/>
                <w:color w:val="auto"/>
              </w:rPr>
            </w:pPr>
            <w:r>
              <w:rPr>
                <w:rFonts w:ascii="Arial" w:cs="Arial" w:eastAsia="Arial" w:hAnsi="Arial"/>
                <w:sz w:val="13"/>
                <w:szCs w:val="13"/>
                <w:b w:val="1"/>
                <w:bCs w:val="1"/>
                <w:color w:val="auto"/>
                <w:w w:val="96"/>
              </w:rPr>
              <w:t>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51"/>
        </w:trPr>
        <w:tc>
          <w:tcPr>
            <w:tcW w:w="2220" w:type="dxa"/>
            <w:vAlign w:val="bottom"/>
            <w:tcBorders>
              <w:bottom w:val="single" w:sz="8" w:color="auto"/>
            </w:tcBorders>
            <w:gridSpan w:val="2"/>
          </w:tcPr>
          <w:p>
            <w:pPr>
              <w:ind w:left="1920"/>
              <w:spacing w:after="0"/>
              <w:rPr>
                <w:sz w:val="20"/>
                <w:szCs w:val="20"/>
                <w:color w:val="auto"/>
              </w:rPr>
            </w:pPr>
            <w:r>
              <w:rPr>
                <w:rFonts w:ascii="Arial" w:cs="Arial" w:eastAsia="Arial" w:hAnsi="Arial"/>
                <w:sz w:val="18"/>
                <w:szCs w:val="18"/>
                <w:color w:val="auto"/>
              </w:rPr>
              <w:t>/S/</w:t>
            </w:r>
          </w:p>
        </w:tc>
        <w:tc>
          <w:tcPr>
            <w:tcW w:w="2480" w:type="dxa"/>
            <w:vAlign w:val="bottom"/>
            <w:tcBorders>
              <w:bottom w:val="single" w:sz="8" w:color="auto"/>
            </w:tcBorders>
          </w:tcPr>
          <w:p>
            <w:pPr>
              <w:jc w:val="center"/>
              <w:ind w:right="985"/>
              <w:spacing w:after="0"/>
              <w:rPr>
                <w:sz w:val="20"/>
                <w:szCs w:val="20"/>
                <w:color w:val="auto"/>
              </w:rPr>
            </w:pPr>
            <w:r>
              <w:rPr>
                <w:rFonts w:ascii="Arial" w:cs="Arial" w:eastAsia="Arial" w:hAnsi="Arial"/>
                <w:sz w:val="18"/>
                <w:szCs w:val="18"/>
                <w:color w:val="auto"/>
              </w:rPr>
              <w:t>J</w:t>
            </w:r>
            <w:r>
              <w:rPr>
                <w:rFonts w:ascii="Arial" w:cs="Arial" w:eastAsia="Arial" w:hAnsi="Arial"/>
                <w:sz w:val="13"/>
                <w:szCs w:val="13"/>
                <w:color w:val="auto"/>
              </w:rPr>
              <w:t>ONATHAN</w:t>
            </w:r>
            <w:r>
              <w:rPr>
                <w:rFonts w:ascii="Arial" w:cs="Arial" w:eastAsia="Arial" w:hAnsi="Arial"/>
                <w:sz w:val="18"/>
                <w:szCs w:val="18"/>
                <w:color w:val="auto"/>
              </w:rPr>
              <w:t xml:space="preserve"> P</w:t>
            </w:r>
            <w:r>
              <w:rPr>
                <w:rFonts w:ascii="Arial" w:cs="Arial" w:eastAsia="Arial" w:hAnsi="Arial"/>
                <w:sz w:val="13"/>
                <w:szCs w:val="13"/>
                <w:color w:val="auto"/>
              </w:rPr>
              <w:t>OLLACK</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80" w:type="dxa"/>
            <w:vAlign w:val="bottom"/>
          </w:tcPr>
          <w:p>
            <w:pPr>
              <w:jc w:val="center"/>
              <w:ind w:right="1285"/>
              <w:spacing w:after="0" w:line="116" w:lineRule="exact"/>
              <w:rPr>
                <w:sz w:val="20"/>
                <w:szCs w:val="20"/>
                <w:color w:val="auto"/>
              </w:rPr>
            </w:pPr>
            <w:r>
              <w:rPr>
                <w:rFonts w:ascii="Arial" w:cs="Arial" w:eastAsia="Arial" w:hAnsi="Arial"/>
                <w:sz w:val="13"/>
                <w:szCs w:val="13"/>
                <w:b w:val="1"/>
                <w:bCs w:val="1"/>
                <w:color w:val="auto"/>
                <w:w w:val="93"/>
              </w:rPr>
              <w:t>Jonathan Pollack</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center"/>
              <w:ind w:right="1285"/>
              <w:spacing w:after="0"/>
              <w:rPr>
                <w:sz w:val="20"/>
                <w:szCs w:val="20"/>
                <w:color w:val="auto"/>
              </w:rPr>
            </w:pPr>
            <w:r>
              <w:rPr>
                <w:rFonts w:ascii="Arial" w:cs="Arial" w:eastAsia="Arial" w:hAnsi="Arial"/>
                <w:sz w:val="13"/>
                <w:szCs w:val="13"/>
                <w:b w:val="1"/>
                <w:bCs w:val="1"/>
                <w:color w:val="auto"/>
                <w:w w:val="96"/>
              </w:rPr>
              <w:t>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52"/>
        </w:trPr>
        <w:tc>
          <w:tcPr>
            <w:tcW w:w="200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/S/</w:t>
            </w:r>
          </w:p>
        </w:tc>
        <w:tc>
          <w:tcPr>
            <w:tcW w:w="2700" w:type="dxa"/>
            <w:vAlign w:val="bottom"/>
            <w:tcBorders>
              <w:bottom w:val="single" w:sz="8" w:color="auto"/>
            </w:tcBorders>
            <w:gridSpan w:val="2"/>
          </w:tcPr>
          <w:p>
            <w:pPr>
              <w:jc w:val="center"/>
              <w:ind w:right="785"/>
              <w:spacing w:after="0"/>
              <w:rPr>
                <w:sz w:val="20"/>
                <w:szCs w:val="20"/>
                <w:color w:val="auto"/>
              </w:rPr>
            </w:pPr>
            <w:r>
              <w:rPr>
                <w:rFonts w:ascii="Arial" w:cs="Arial" w:eastAsia="Arial" w:hAnsi="Arial"/>
                <w:sz w:val="18"/>
                <w:szCs w:val="18"/>
                <w:color w:val="auto"/>
              </w:rPr>
              <w:t>V</w:t>
            </w:r>
            <w:r>
              <w:rPr>
                <w:rFonts w:ascii="Arial" w:cs="Arial" w:eastAsia="Arial" w:hAnsi="Arial"/>
                <w:sz w:val="13"/>
                <w:szCs w:val="13"/>
                <w:color w:val="auto"/>
              </w:rPr>
              <w:t>ALERIE</w:t>
            </w:r>
            <w:r>
              <w:rPr>
                <w:rFonts w:ascii="Arial" w:cs="Arial" w:eastAsia="Arial" w:hAnsi="Arial"/>
                <w:sz w:val="18"/>
                <w:szCs w:val="18"/>
                <w:color w:val="auto"/>
              </w:rPr>
              <w:t xml:space="preserve"> G</w:t>
            </w:r>
            <w:r>
              <w:rPr>
                <w:rFonts w:ascii="Arial" w:cs="Arial" w:eastAsia="Arial" w:hAnsi="Arial"/>
                <w:sz w:val="13"/>
                <w:szCs w:val="13"/>
                <w:color w:val="auto"/>
              </w:rPr>
              <w:t>ENTILE</w:t>
            </w:r>
            <w:r>
              <w:rPr>
                <w:rFonts w:ascii="Arial" w:cs="Arial" w:eastAsia="Arial" w:hAnsi="Arial"/>
                <w:sz w:val="18"/>
                <w:szCs w:val="18"/>
                <w:color w:val="auto"/>
              </w:rPr>
              <w:t xml:space="preserve"> S</w:t>
            </w:r>
            <w:r>
              <w:rPr>
                <w:rFonts w:ascii="Arial" w:cs="Arial" w:eastAsia="Arial" w:hAnsi="Arial"/>
                <w:sz w:val="13"/>
                <w:szCs w:val="13"/>
                <w:color w:val="auto"/>
              </w:rPr>
              <w:t>ACHS</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700" w:type="dxa"/>
            <w:vAlign w:val="bottom"/>
            <w:gridSpan w:val="2"/>
          </w:tcPr>
          <w:p>
            <w:pPr>
              <w:jc w:val="center"/>
              <w:ind w:right="1085"/>
              <w:spacing w:after="0" w:line="116" w:lineRule="exact"/>
              <w:rPr>
                <w:sz w:val="20"/>
                <w:szCs w:val="20"/>
                <w:color w:val="auto"/>
              </w:rPr>
            </w:pPr>
            <w:r>
              <w:rPr>
                <w:rFonts w:ascii="Arial" w:cs="Arial" w:eastAsia="Arial" w:hAnsi="Arial"/>
                <w:sz w:val="13"/>
                <w:szCs w:val="13"/>
                <w:b w:val="1"/>
                <w:bCs w:val="1"/>
                <w:color w:val="auto"/>
                <w:w w:val="92"/>
              </w:rPr>
              <w:t>Valerie Gentile Sachs</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center"/>
              <w:ind w:right="1285"/>
              <w:spacing w:after="0"/>
              <w:rPr>
                <w:sz w:val="20"/>
                <w:szCs w:val="20"/>
                <w:color w:val="auto"/>
              </w:rPr>
            </w:pPr>
            <w:r>
              <w:rPr>
                <w:rFonts w:ascii="Arial" w:cs="Arial" w:eastAsia="Arial" w:hAnsi="Arial"/>
                <w:sz w:val="13"/>
                <w:szCs w:val="13"/>
                <w:b w:val="1"/>
                <w:bCs w:val="1"/>
                <w:color w:val="auto"/>
                <w:w w:val="96"/>
              </w:rPr>
              <w:t>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365"/>
        </w:trPr>
        <w:tc>
          <w:tcPr>
            <w:tcW w:w="200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w w:val="90"/>
              </w:rPr>
              <w:t>/S/</w:t>
            </w:r>
          </w:p>
        </w:tc>
        <w:tc>
          <w:tcPr>
            <w:tcW w:w="2700" w:type="dxa"/>
            <w:vAlign w:val="bottom"/>
            <w:tcBorders>
              <w:bottom w:val="single" w:sz="8" w:color="auto"/>
            </w:tcBorders>
            <w:gridSpan w:val="2"/>
          </w:tcPr>
          <w:p>
            <w:pPr>
              <w:jc w:val="center"/>
              <w:ind w:right="705"/>
              <w:spacing w:after="0"/>
              <w:rPr>
                <w:sz w:val="20"/>
                <w:szCs w:val="20"/>
                <w:color w:val="auto"/>
              </w:rPr>
            </w:pPr>
            <w:r>
              <w:rPr>
                <w:rFonts w:ascii="Arial" w:cs="Arial" w:eastAsia="Arial" w:hAnsi="Arial"/>
                <w:sz w:val="18"/>
                <w:szCs w:val="18"/>
                <w:color w:val="auto"/>
              </w:rPr>
              <w:t>R</w:t>
            </w:r>
            <w:r>
              <w:rPr>
                <w:rFonts w:ascii="Arial" w:cs="Arial" w:eastAsia="Arial" w:hAnsi="Arial"/>
                <w:sz w:val="13"/>
                <w:szCs w:val="13"/>
                <w:color w:val="auto"/>
              </w:rPr>
              <w:t>ICHARD</w:t>
            </w:r>
            <w:r>
              <w:rPr>
                <w:rFonts w:ascii="Arial" w:cs="Arial" w:eastAsia="Arial" w:hAnsi="Arial"/>
                <w:sz w:val="18"/>
                <w:szCs w:val="18"/>
                <w:color w:val="auto"/>
              </w:rPr>
              <w:t xml:space="preserve"> F. W</w:t>
            </w:r>
            <w:r>
              <w:rPr>
                <w:rFonts w:ascii="Arial" w:cs="Arial" w:eastAsia="Arial" w:hAnsi="Arial"/>
                <w:sz w:val="13"/>
                <w:szCs w:val="13"/>
                <w:color w:val="auto"/>
              </w:rPr>
              <w:t>ALLMAN</w:t>
            </w:r>
          </w:p>
        </w:tc>
        <w:tc>
          <w:tcPr>
            <w:tcW w:w="840" w:type="dxa"/>
            <w:vAlign w:val="bottom"/>
            <w:tcBorders>
              <w:bottom w:val="single" w:sz="8" w:color="auto"/>
            </w:tcBorders>
          </w:tcPr>
          <w:p>
            <w:pPr>
              <w:spacing w:after="0"/>
              <w:rPr>
                <w:sz w:val="24"/>
                <w:szCs w:val="24"/>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March 14, 2022</w:t>
            </w:r>
          </w:p>
        </w:tc>
      </w:tr>
      <w:tr>
        <w:trPr>
          <w:trHeight w:val="116"/>
        </w:trPr>
        <w:tc>
          <w:tcPr>
            <w:tcW w:w="2000" w:type="dxa"/>
            <w:vAlign w:val="bottom"/>
          </w:tcPr>
          <w:p>
            <w:pPr>
              <w:spacing w:after="0"/>
              <w:rPr>
                <w:sz w:val="10"/>
                <w:szCs w:val="10"/>
                <w:color w:val="auto"/>
              </w:rPr>
            </w:pPr>
          </w:p>
        </w:tc>
        <w:tc>
          <w:tcPr>
            <w:tcW w:w="2700" w:type="dxa"/>
            <w:vAlign w:val="bottom"/>
            <w:gridSpan w:val="2"/>
          </w:tcPr>
          <w:p>
            <w:pPr>
              <w:jc w:val="center"/>
              <w:ind w:right="1065"/>
              <w:spacing w:after="0" w:line="116" w:lineRule="exact"/>
              <w:rPr>
                <w:sz w:val="20"/>
                <w:szCs w:val="20"/>
                <w:color w:val="auto"/>
              </w:rPr>
            </w:pPr>
            <w:r>
              <w:rPr>
                <w:rFonts w:ascii="Arial" w:cs="Arial" w:eastAsia="Arial" w:hAnsi="Arial"/>
                <w:sz w:val="13"/>
                <w:szCs w:val="13"/>
                <w:b w:val="1"/>
                <w:bCs w:val="1"/>
                <w:color w:val="auto"/>
                <w:w w:val="96"/>
              </w:rPr>
              <w:t>Richard F. Wallman</w:t>
            </w:r>
          </w:p>
        </w:tc>
        <w:tc>
          <w:tcPr>
            <w:tcW w:w="840" w:type="dxa"/>
            <w:vAlign w:val="bottom"/>
          </w:tcPr>
          <w:p>
            <w:pPr>
              <w:spacing w:after="0"/>
              <w:rPr>
                <w:sz w:val="10"/>
                <w:szCs w:val="10"/>
                <w:color w:val="auto"/>
              </w:rPr>
            </w:pPr>
          </w:p>
        </w:tc>
        <w:tc>
          <w:tcPr>
            <w:tcW w:w="5700" w:type="dxa"/>
            <w:vAlign w:val="bottom"/>
          </w:tcPr>
          <w:p>
            <w:pPr>
              <w:spacing w:after="0"/>
              <w:rPr>
                <w:sz w:val="10"/>
                <w:szCs w:val="10"/>
                <w:color w:val="auto"/>
              </w:rPr>
            </w:pPr>
          </w:p>
        </w:tc>
      </w:tr>
      <w:tr>
        <w:trPr>
          <w:trHeight w:val="174"/>
        </w:trPr>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tcPr>
          <w:p>
            <w:pPr>
              <w:jc w:val="center"/>
              <w:ind w:right="1285"/>
              <w:spacing w:after="0"/>
              <w:rPr>
                <w:sz w:val="20"/>
                <w:szCs w:val="20"/>
                <w:color w:val="auto"/>
              </w:rPr>
            </w:pPr>
            <w:r>
              <w:rPr>
                <w:rFonts w:ascii="Arial" w:cs="Arial" w:eastAsia="Arial" w:hAnsi="Arial"/>
                <w:sz w:val="13"/>
                <w:szCs w:val="13"/>
                <w:b w:val="1"/>
                <w:bCs w:val="1"/>
                <w:color w:val="auto"/>
                <w:w w:val="96"/>
              </w:rPr>
              <w:t>Director</w:t>
            </w:r>
          </w:p>
        </w:tc>
        <w:tc>
          <w:tcPr>
            <w:tcW w:w="840" w:type="dxa"/>
            <w:vAlign w:val="bottom"/>
          </w:tcPr>
          <w:p>
            <w:pPr>
              <w:spacing w:after="0"/>
              <w:rPr>
                <w:sz w:val="15"/>
                <w:szCs w:val="15"/>
                <w:color w:val="auto"/>
              </w:rPr>
            </w:pPr>
          </w:p>
        </w:tc>
        <w:tc>
          <w:tcPr>
            <w:tcW w:w="5700" w:type="dxa"/>
            <w:vAlign w:val="bottom"/>
          </w:tcPr>
          <w:p>
            <w:pPr>
              <w:spacing w:after="0"/>
              <w:rPr>
                <w:sz w:val="15"/>
                <w:szCs w:val="15"/>
                <w:color w:val="auto"/>
              </w:rPr>
            </w:pPr>
          </w:p>
        </w:tc>
      </w:tr>
      <w:tr>
        <w:trPr>
          <w:trHeight w:val="635"/>
        </w:trPr>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540" w:type="dxa"/>
            <w:vAlign w:val="bottom"/>
            <w:gridSpan w:val="2"/>
          </w:tcPr>
          <w:p>
            <w:pPr>
              <w:jc w:val="right"/>
              <w:ind w:right="5430"/>
              <w:spacing w:after="0"/>
              <w:rPr>
                <w:sz w:val="20"/>
                <w:szCs w:val="20"/>
                <w:color w:val="auto"/>
              </w:rPr>
            </w:pPr>
            <w:r>
              <w:rPr>
                <w:rFonts w:ascii="Arial" w:cs="Arial" w:eastAsia="Arial" w:hAnsi="Arial"/>
                <w:sz w:val="18"/>
                <w:szCs w:val="18"/>
                <w:color w:val="auto"/>
              </w:rPr>
              <w:t>47</w:t>
            </w:r>
          </w:p>
        </w:tc>
      </w:tr>
      <w:tr>
        <w:trPr>
          <w:trHeight w:val="101"/>
        </w:trPr>
        <w:tc>
          <w:tcPr>
            <w:tcW w:w="2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5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 and Subsidiaries</w:t>
      </w:r>
    </w:p>
    <w:p>
      <w:pPr>
        <w:spacing w:after="0"/>
        <w:rPr>
          <w:sz w:val="20"/>
          <w:szCs w:val="20"/>
          <w:color w:val="auto"/>
        </w:rPr>
      </w:pPr>
      <w:r>
        <w:rPr>
          <w:rFonts w:ascii="Arial" w:cs="Arial" w:eastAsia="Arial" w:hAnsi="Arial"/>
          <w:sz w:val="18"/>
          <w:szCs w:val="18"/>
          <w:color w:val="auto"/>
        </w:rPr>
        <w:t>Dallas, Texas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CECO Environmental Corp. and Subsidiaries (the “Company”) as of December 31, 2021 and 2020, the related consolidated statements of income and comprehensive income,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(“COSO”) and our report dated March 14, 2022 expressed an unqualified opinion thereon.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Over Time Revenue Recognition Using the Cost-to-Cost Input Approach</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described in Note 1 to the Company’s consolidated financial statements, the Company derives a significant portion of its revenues from fixed-price contracts within the Engineered Systems and Industrial Process Solutions segments. The revenue for such contracts is recognized over a period of time based on the ratio of contract costs incurred to date compared to total estimated costs. Under this method, the Company must continually assess the total estimated costs and progress toward completion for each contract. Changes in these estimates can have a material impact on the amount of revenue and gross profit recognized each period.</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identified the accuracy of revenue recognized over time as a critical audit matter. The determination of estimated cost and progress to completion requires management to make significant estimates and assumptions, which includes an analysis of total estimated labor, material and subcontract costs, historical experience, current performance to date and the conditions to complete each contract. This analysis requires significant management judgment, which affects the amount of revenue recognized by the Company. Auditing these complex judgments and assumptions involves especially challenging auditor judgment due to the nature and extent of audit evidence available and effort required to address these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12" w:lineRule="exact"/>
        <w:rPr>
          <w:sz w:val="20"/>
          <w:szCs w:val="20"/>
          <w:color w:val="auto"/>
        </w:rPr>
      </w:pPr>
    </w:p>
    <w:p>
      <w:pPr>
        <w:jc w:val="both"/>
        <w:ind w:left="760" w:hanging="378"/>
        <w:spacing w:after="0" w:line="294"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Testing the design and operating effectiveness of internal controls relating to the determination of estimated costs to complete a project including the monthly review of open over time projects and review of estimated cost calculations to complete open projects. These controls include the review of the reasonableness of the assumptions used and the appropriateness of methodologies used to determine costs to complete.</w:t>
      </w:r>
    </w:p>
    <w:p>
      <w:pPr>
        <w:spacing w:after="0" w:line="147" w:lineRule="exact"/>
        <w:rPr>
          <w:rFonts w:ascii="Arial" w:cs="Arial" w:eastAsia="Arial" w:hAnsi="Arial"/>
          <w:sz w:val="16"/>
          <w:szCs w:val="16"/>
          <w:color w:val="auto"/>
        </w:rPr>
      </w:pPr>
    </w:p>
    <w:p>
      <w:pPr>
        <w:jc w:val="both"/>
        <w:ind w:left="760" w:hanging="378"/>
        <w:spacing w:after="0" w:line="243"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Testing the completeness, existence, and accuracy of estimated project cost calculations for a sample of contracts by validating the underlying project data and assumptions used as inputs through the inspection of relevant source documents including project plans or budgets and activity reports, invoices of costs incurred to date, results of recent similar historical projects, other third-party subcontractor support, inquiry of project managers, and confirmations of estimates to complete with customers.</w:t>
      </w:r>
    </w:p>
    <w:p>
      <w:pPr>
        <w:spacing w:after="0" w:line="187"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Performing a retrospective review on a sample basis of estimated project costs to actual project costs for completed contracts and investigating variances outside of predetermined thresholds through the inspection of relevant source documents.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share data)</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3220"/>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29,902</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35,992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2,093</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1,819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74,991</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63,046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Costs and estimated earnings in excess of billings on uncompleted contracts</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51,429</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45,498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 net</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17,052</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10,760</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11,530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income taxes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2,784</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7,790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42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4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189,011</w:t>
            </w:r>
          </w:p>
        </w:tc>
        <w:tc>
          <w:tcPr>
            <w:tcW w:w="24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183,485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15,948</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16,228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 from operating leases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10,893</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161,183</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161,820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 finite life, net</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25,841</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 indefinite life</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9,629</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12,937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505</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Deferred charges and other assets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3,187</w:t>
            </w:r>
          </w:p>
        </w:tc>
        <w:tc>
          <w:tcPr>
            <w:tcW w:w="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416,197</w:t>
            </w:r>
          </w:p>
        </w:tc>
        <w:tc>
          <w:tcPr>
            <w:tcW w:w="2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419,314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280" w:type="dxa"/>
            <w:vAlign w:val="bottom"/>
          </w:tcPr>
          <w:p>
            <w:pPr>
              <w:ind w:left="1600"/>
              <w:spacing w:after="0" w:line="183" w:lineRule="exact"/>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debt</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2,203</w:t>
            </w:r>
          </w:p>
        </w:tc>
        <w:tc>
          <w:tcPr>
            <w:tcW w:w="240" w:type="dxa"/>
            <w:vAlign w:val="bottom"/>
          </w:tcPr>
          <w:p>
            <w:pPr>
              <w:spacing w:after="0"/>
              <w:rPr>
                <w:sz w:val="17"/>
                <w:szCs w:val="17"/>
                <w:color w:val="auto"/>
              </w:rPr>
            </w:pPr>
          </w:p>
        </w:tc>
        <w:tc>
          <w:tcPr>
            <w:tcW w:w="540" w:type="dxa"/>
            <w:vAlign w:val="bottom"/>
          </w:tcPr>
          <w:p>
            <w:pPr>
              <w:jc w:val="right"/>
              <w:ind w:right="33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3,125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 and accrued expenses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84,081</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84,997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Billings in excess of costs and estimated earnings on uncompleted contracts</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28,908</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20,691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1,493</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116,685</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109,356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14,826</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Debt, less current portion</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61,577</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69,491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 liability, net</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8,390</w:t>
            </w: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8,762</w:t>
            </w:r>
          </w:p>
        </w:tc>
        <w:tc>
          <w:tcPr>
            <w:tcW w:w="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210,240</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215,703</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Shareholders’ equity:</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 $.01 par value; 10,000 shares authorized, none issued</w:t>
            </w:r>
          </w:p>
        </w:tc>
        <w:tc>
          <w:tcPr>
            <w:tcW w:w="42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2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$.01 par value; 100,000,000 shares authorized, 35,028,197 and</w:t>
            </w:r>
          </w:p>
        </w:tc>
        <w:tc>
          <w:tcPr>
            <w:tcW w:w="4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2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rPr>
              <w:t>35,504,757 shares issued and outstanding at December 31, 2021</w:t>
            </w:r>
          </w:p>
        </w:tc>
        <w:tc>
          <w:tcPr>
            <w:tcW w:w="42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and 2020, respectively</w:t>
            </w:r>
          </w:p>
        </w:tc>
        <w:tc>
          <w:tcPr>
            <w:tcW w:w="42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Capital in excess of par value</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252,989</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255,296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loss</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(36,715 )</w:t>
            </w:r>
          </w:p>
        </w:tc>
        <w:tc>
          <w:tcPr>
            <w:tcW w:w="5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(38,141 )</w:t>
            </w: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420" w:type="dxa"/>
            <w:vAlign w:val="bottom"/>
          </w:tcPr>
          <w:p>
            <w:pPr>
              <w:spacing w:after="0"/>
              <w:rPr>
                <w:sz w:val="17"/>
                <w:szCs w:val="17"/>
                <w:color w:val="auto"/>
              </w:rPr>
            </w:pPr>
          </w:p>
        </w:tc>
        <w:tc>
          <w:tcPr>
            <w:tcW w:w="1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(12,070 )</w:t>
            </w:r>
          </w:p>
        </w:tc>
        <w:tc>
          <w:tcPr>
            <w:tcW w:w="54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(14,496 )</w:t>
            </w:r>
          </w:p>
        </w:tc>
        <w:tc>
          <w:tcPr>
            <w:tcW w:w="0" w:type="dxa"/>
            <w:vAlign w:val="bottom"/>
          </w:tcPr>
          <w:p>
            <w:pPr>
              <w:spacing w:after="0"/>
              <w:rPr>
                <w:sz w:val="1"/>
                <w:szCs w:val="1"/>
                <w:color w:val="auto"/>
              </w:rPr>
            </w:pPr>
          </w:p>
        </w:tc>
      </w:tr>
      <w:tr>
        <w:trPr>
          <w:trHeight w:val="196"/>
        </w:trPr>
        <w:tc>
          <w:tcPr>
            <w:tcW w:w="72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204,554</w:t>
            </w:r>
          </w:p>
        </w:tc>
        <w:tc>
          <w:tcPr>
            <w:tcW w:w="240" w:type="dxa"/>
            <w:vAlign w:val="bottom"/>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203,014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Less treasury stock, at cost, zero and 137,920 shares at December 31, 2021 and 2020</w:t>
            </w:r>
          </w:p>
        </w:tc>
        <w:tc>
          <w:tcPr>
            <w:tcW w:w="420" w:type="dxa"/>
            <w:vAlign w:val="bottom"/>
          </w:tcPr>
          <w:p>
            <w:pPr>
              <w:spacing w:after="0"/>
              <w:rPr>
                <w:sz w:val="17"/>
                <w:szCs w:val="17"/>
                <w:color w:val="auto"/>
              </w:rPr>
            </w:pPr>
          </w:p>
        </w:tc>
        <w:tc>
          <w:tcPr>
            <w:tcW w:w="16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CECO shareholders’ equity</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204,554</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202,658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560"/>
              <w:spacing w:after="0" w:line="196" w:lineRule="exact"/>
              <w:rPr>
                <w:sz w:val="20"/>
                <w:szCs w:val="20"/>
                <w:color w:val="auto"/>
              </w:rPr>
            </w:pPr>
            <w:r>
              <w:rPr>
                <w:rFonts w:ascii="Arial" w:cs="Arial" w:eastAsia="Arial" w:hAnsi="Arial"/>
                <w:sz w:val="18"/>
                <w:szCs w:val="18"/>
                <w:color w:val="auto"/>
              </w:rPr>
              <w:t>Noncontrolling interest</w:t>
            </w:r>
          </w:p>
        </w:tc>
        <w:tc>
          <w:tcPr>
            <w:tcW w:w="4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1,403</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953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Total shareholders' equity</w:t>
            </w: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205,957</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203,611</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5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416,197</w:t>
            </w:r>
          </w:p>
        </w:tc>
        <w:tc>
          <w:tcPr>
            <w:tcW w:w="24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419,314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-3548380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-3531235</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-3548380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-3531235</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-2748280</wp:posOffset>
            </wp:positionV>
            <wp:extent cx="514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-2748280</wp:posOffset>
            </wp:positionV>
            <wp:extent cx="514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-1959610</wp:posOffset>
            </wp:positionV>
            <wp:extent cx="514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-1959610</wp:posOffset>
            </wp:positionV>
            <wp:extent cx="514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-424815</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-159385</wp:posOffset>
            </wp:positionV>
            <wp:extent cx="5143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share and per share data)</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324,140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316,011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341,869</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223,218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210,883</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227,770</w:t>
            </w:r>
          </w:p>
        </w:tc>
        <w:tc>
          <w:tcPr>
            <w:tcW w:w="100" w:type="dxa"/>
            <w:vAlign w:val="bottom"/>
          </w:tcPr>
          <w:p>
            <w:pPr>
              <w:spacing w:after="0"/>
              <w:rPr>
                <w:sz w:val="17"/>
                <w:szCs w:val="17"/>
                <w:color w:val="auto"/>
              </w:rPr>
            </w:pPr>
          </w:p>
        </w:tc>
      </w:tr>
      <w:tr>
        <w:trPr>
          <w:trHeight w:val="196"/>
        </w:trPr>
        <w:tc>
          <w:tcPr>
            <w:tcW w:w="6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100,922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105,128</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114,099</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Selling and administrative expenses</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81,797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76,926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85,978</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and earnout expenses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7,789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8,799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8,499</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Restructuring expenses</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2,331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1,097</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and integration expenses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Executive transition expenses</w:t>
            </w: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1,522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divestitures, net of selling costs</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 impairment</w:t>
            </w:r>
          </w:p>
        </w:tc>
        <w:tc>
          <w:tcPr>
            <w:tcW w:w="3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850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1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9,857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13,346</w:t>
            </w: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17,990</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7"/>
                <w:szCs w:val="17"/>
                <w:color w:val="auto"/>
              </w:rPr>
            </w:pP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(2,231 )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2,033</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751</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(2,952 )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(3,535 )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(5,397 )</w:t>
            </w:r>
          </w:p>
        </w:tc>
      </w:tr>
      <w:tr>
        <w:trPr>
          <w:trHeight w:val="196"/>
        </w:trPr>
        <w:tc>
          <w:tcPr>
            <w:tcW w:w="61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4,674</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11,844</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13,344</w:t>
            </w:r>
          </w:p>
        </w:tc>
        <w:tc>
          <w:tcPr>
            <w:tcW w:w="100" w:type="dxa"/>
            <w:vAlign w:val="bottom"/>
            <w:tcBorders>
              <w:top w:val="single" w:sz="8" w:color="CFF0FC"/>
            </w:tcBorders>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3,672</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(4,363 )</w:t>
            </w:r>
          </w:p>
        </w:tc>
      </w:tr>
      <w:tr>
        <w:trPr>
          <w:trHeight w:val="196"/>
        </w:trPr>
        <w:tc>
          <w:tcPr>
            <w:tcW w:w="61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1,983</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8,172</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17,707</w:t>
            </w:r>
          </w:p>
        </w:tc>
        <w:tc>
          <w:tcPr>
            <w:tcW w:w="100" w:type="dxa"/>
            <w:vAlign w:val="bottom"/>
            <w:tcBorders>
              <w:top w:val="single" w:sz="8" w:color="CFF0FC"/>
            </w:tcBorders>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(557 )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61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Net income attributable to CECO Environmental Corp.</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1,426</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8,211</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17,707</w:t>
            </w:r>
          </w:p>
        </w:tc>
        <w:tc>
          <w:tcPr>
            <w:tcW w:w="100" w:type="dxa"/>
            <w:vAlign w:val="bottom"/>
            <w:tcBorders>
              <w:top w:val="single" w:sz="8" w:color="CFF0FC"/>
            </w:tcBorders>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1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Income per share:</w:t>
            </w: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0.04</w:t>
            </w:r>
          </w:p>
        </w:tc>
        <w:tc>
          <w:tcPr>
            <w:tcW w:w="120" w:type="dxa"/>
            <w:vAlign w:val="bottom"/>
          </w:tcPr>
          <w:p>
            <w:pPr>
              <w:spacing w:after="0"/>
              <w:rPr>
                <w:sz w:val="17"/>
                <w:szCs w:val="17"/>
                <w:color w:val="auto"/>
              </w:rPr>
            </w:pPr>
          </w:p>
        </w:tc>
        <w:tc>
          <w:tcPr>
            <w:tcW w:w="4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0.23</w:t>
            </w:r>
          </w:p>
        </w:tc>
        <w:tc>
          <w:tcPr>
            <w:tcW w:w="24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0.51</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0.04</w:t>
            </w:r>
          </w:p>
        </w:tc>
        <w:tc>
          <w:tcPr>
            <w:tcW w:w="12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number of common shares outstanding:</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35,345,785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35,289,616</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34,987,878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6160" w:type="dxa"/>
            <w:vAlign w:val="bottom"/>
          </w:tcPr>
          <w:p>
            <w:pPr>
              <w:ind w:left="200"/>
              <w:spacing w:after="0" w:line="18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35,594,779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35,520,670</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35,484,273</w:t>
            </w:r>
          </w:p>
        </w:tc>
        <w:tc>
          <w:tcPr>
            <w:tcW w:w="100" w:type="dxa"/>
            <w:vAlign w:val="bottom"/>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-1513840</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-1513840</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-1513840</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-1247775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-1247775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-1247775</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-982345</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-982345</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-179070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-161925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-179070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-161925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8,172</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160" w:type="dxa"/>
            <w:vAlign w:val="bottom"/>
          </w:tcPr>
          <w:p>
            <w:pPr>
              <w:ind w:left="20"/>
              <w:spacing w:after="0" w:line="196" w:lineRule="exact"/>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Translation (loss) income</w:t>
            </w: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(538 )</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2,256</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(343 )</w:t>
            </w: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Interest rate swap</w:t>
            </w:r>
          </w:p>
        </w:tc>
        <w:tc>
          <w:tcPr>
            <w:tcW w:w="3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(574 )</w:t>
            </w:r>
          </w:p>
        </w:tc>
      </w:tr>
      <w:tr>
        <w:trPr>
          <w:trHeight w:val="203"/>
        </w:trPr>
        <w:tc>
          <w:tcPr>
            <w:tcW w:w="6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Minimum pension liability adjustment</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(2,247 )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(184 )</w:t>
            </w:r>
          </w:p>
        </w:tc>
      </w:tr>
      <w:tr>
        <w:trPr>
          <w:trHeight w:val="196"/>
        </w:trPr>
        <w:tc>
          <w:tcPr>
            <w:tcW w:w="61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4,409</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8,181</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16,606</w:t>
            </w:r>
          </w:p>
        </w:tc>
        <w:tc>
          <w:tcPr>
            <w:tcW w:w="100" w:type="dxa"/>
            <w:vAlign w:val="bottom"/>
            <w:tcBorders>
              <w:top w:val="single" w:sz="8" w:color="CFF0FC"/>
            </w:tcBorders>
          </w:tcPr>
          <w:p>
            <w:pPr>
              <w:spacing w:after="0"/>
              <w:rPr>
                <w:sz w:val="17"/>
                <w:szCs w:val="17"/>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-681990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-681990</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-681990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-159385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153"/>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7"/>
            <w:vMerge w:val="restart"/>
          </w:tcPr>
          <w:p>
            <w:pPr>
              <w:jc w:val="right"/>
              <w:ind w:right="420"/>
              <w:spacing w:after="0"/>
              <w:rPr>
                <w:sz w:val="20"/>
                <w:szCs w:val="20"/>
                <w:color w:val="auto"/>
              </w:rPr>
            </w:pPr>
            <w:r>
              <w:rPr>
                <w:rFonts w:ascii="Arial" w:cs="Arial" w:eastAsia="Arial" w:hAnsi="Arial"/>
                <w:sz w:val="13"/>
                <w:szCs w:val="13"/>
                <w:b w:val="1"/>
                <w:bCs w:val="1"/>
                <w:color w:val="auto"/>
              </w:rPr>
              <w:t>Common Stock</w:t>
            </w:r>
          </w:p>
        </w:tc>
        <w:tc>
          <w:tcPr>
            <w:tcW w:w="8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9"/>
              </w:rPr>
              <w:t>Capital in</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4"/>
          </w:tcPr>
          <w:p>
            <w:pPr>
              <w:jc w:val="center"/>
              <w:ind w:right="173"/>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5"/>
                <w:szCs w:val="15"/>
                <w:color w:val="auto"/>
              </w:rPr>
            </w:pPr>
          </w:p>
        </w:tc>
        <w:tc>
          <w:tcPr>
            <w:tcW w:w="1380" w:type="dxa"/>
            <w:vAlign w:val="bottom"/>
            <w:gridSpan w:val="8"/>
            <w:vMerge w:val="restart"/>
          </w:tcPr>
          <w:p>
            <w:pPr>
              <w:jc w:val="right"/>
              <w:ind w:right="313"/>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4"/>
              </w:rPr>
              <w:t>excess of</w:t>
            </w:r>
          </w:p>
        </w:tc>
        <w:tc>
          <w:tcPr>
            <w:tcW w:w="1060" w:type="dxa"/>
            <w:vAlign w:val="bottom"/>
            <w:gridSpan w:val="4"/>
          </w:tcPr>
          <w:p>
            <w:pPr>
              <w:jc w:val="right"/>
              <w:ind w:right="153"/>
              <w:spacing w:after="0"/>
              <w:rPr>
                <w:sz w:val="20"/>
                <w:szCs w:val="20"/>
                <w:color w:val="auto"/>
              </w:rPr>
            </w:pPr>
            <w:r>
              <w:rPr>
                <w:rFonts w:ascii="Arial" w:cs="Arial" w:eastAsia="Arial" w:hAnsi="Arial"/>
                <w:sz w:val="13"/>
                <w:szCs w:val="13"/>
                <w:b w:val="1"/>
                <w:bCs w:val="1"/>
                <w:color w:val="auto"/>
              </w:rPr>
              <w:t>Accumulated</w:t>
            </w:r>
          </w:p>
        </w:tc>
        <w:tc>
          <w:tcPr>
            <w:tcW w:w="1160" w:type="dxa"/>
            <w:vAlign w:val="bottom"/>
            <w:gridSpan w:val="5"/>
          </w:tcPr>
          <w:p>
            <w:pPr>
              <w:jc w:val="center"/>
              <w:ind w:right="73"/>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4"/>
                <w:szCs w:val="14"/>
                <w:color w:val="auto"/>
              </w:rPr>
            </w:pPr>
          </w:p>
        </w:tc>
        <w:tc>
          <w:tcPr>
            <w:tcW w:w="1380" w:type="dxa"/>
            <w:vAlign w:val="bottom"/>
            <w:gridSpan w:val="8"/>
            <w:vMerge w:val="continue"/>
          </w:tcPr>
          <w:p>
            <w:pPr>
              <w:spacing w:after="0"/>
              <w:rPr>
                <w:sz w:val="14"/>
                <w:szCs w:val="14"/>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7"/>
              </w:rPr>
              <w:t>Noncontrolling</w:t>
            </w:r>
          </w:p>
        </w:tc>
        <w:tc>
          <w:tcPr>
            <w:tcW w:w="9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29"/>
        </w:trPr>
        <w:tc>
          <w:tcPr>
            <w:tcW w:w="3040" w:type="dxa"/>
            <w:vAlign w:val="bottom"/>
          </w:tcPr>
          <w:p>
            <w:pPr>
              <w:ind w:left="20"/>
              <w:spacing w:after="0" w:line="109" w:lineRule="exact"/>
              <w:rPr>
                <w:sz w:val="20"/>
                <w:szCs w:val="20"/>
                <w:color w:val="auto"/>
              </w:rPr>
            </w:pPr>
            <w:r>
              <w:rPr>
                <w:rFonts w:ascii="Arial" w:cs="Arial" w:eastAsia="Arial" w:hAnsi="Arial"/>
                <w:sz w:val="12"/>
                <w:szCs w:val="12"/>
                <w:b w:val="1"/>
                <w:bCs w:val="1"/>
                <w:color w:val="auto"/>
              </w:rPr>
              <w:t>(in thousands)</w:t>
            </w:r>
          </w:p>
        </w:tc>
        <w:tc>
          <w:tcPr>
            <w:tcW w:w="780" w:type="dxa"/>
            <w:vAlign w:val="bottom"/>
            <w:tcBorders>
              <w:top w:val="single" w:sz="8" w:color="auto"/>
            </w:tcBorders>
            <w:gridSpan w:val="4"/>
          </w:tcPr>
          <w:p>
            <w:pPr>
              <w:jc w:val="right"/>
              <w:ind w:right="280"/>
              <w:spacing w:after="0" w:line="115"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right"/>
              <w:ind w:right="80"/>
              <w:spacing w:after="0" w:line="115"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20" w:type="dxa"/>
            <w:vAlign w:val="bottom"/>
            <w:gridSpan w:val="5"/>
          </w:tcPr>
          <w:p>
            <w:pPr>
              <w:jc w:val="center"/>
              <w:ind w:right="160"/>
              <w:spacing w:after="0" w:line="109" w:lineRule="exact"/>
              <w:rPr>
                <w:sz w:val="20"/>
                <w:szCs w:val="20"/>
                <w:color w:val="auto"/>
              </w:rPr>
            </w:pPr>
            <w:r>
              <w:rPr>
                <w:rFonts w:ascii="Arial" w:cs="Arial" w:eastAsia="Arial" w:hAnsi="Arial"/>
                <w:sz w:val="12"/>
                <w:szCs w:val="12"/>
                <w:b w:val="1"/>
                <w:bCs w:val="1"/>
                <w:color w:val="auto"/>
              </w:rPr>
              <w:t>par value</w:t>
            </w:r>
          </w:p>
        </w:tc>
        <w:tc>
          <w:tcPr>
            <w:tcW w:w="320" w:type="dxa"/>
            <w:vAlign w:val="bottom"/>
          </w:tcPr>
          <w:p>
            <w:pPr>
              <w:spacing w:after="0"/>
              <w:rPr>
                <w:sz w:val="11"/>
                <w:szCs w:val="11"/>
                <w:color w:val="auto"/>
              </w:rPr>
            </w:pPr>
          </w:p>
        </w:tc>
        <w:tc>
          <w:tcPr>
            <w:tcW w:w="740" w:type="dxa"/>
            <w:vAlign w:val="bottom"/>
            <w:gridSpan w:val="3"/>
          </w:tcPr>
          <w:p>
            <w:pPr>
              <w:jc w:val="right"/>
              <w:ind w:right="393"/>
              <w:spacing w:after="0" w:line="109" w:lineRule="exact"/>
              <w:rPr>
                <w:sz w:val="20"/>
                <w:szCs w:val="20"/>
                <w:color w:val="auto"/>
              </w:rPr>
            </w:pPr>
            <w:r>
              <w:rPr>
                <w:rFonts w:ascii="Arial" w:cs="Arial" w:eastAsia="Arial" w:hAnsi="Arial"/>
                <w:sz w:val="12"/>
                <w:szCs w:val="12"/>
                <w:b w:val="1"/>
                <w:bCs w:val="1"/>
                <w:color w:val="auto"/>
                <w:w w:val="92"/>
              </w:rPr>
              <w:t>Loss</w:t>
            </w:r>
          </w:p>
        </w:tc>
        <w:tc>
          <w:tcPr>
            <w:tcW w:w="100" w:type="dxa"/>
            <w:vAlign w:val="bottom"/>
          </w:tcPr>
          <w:p>
            <w:pPr>
              <w:spacing w:after="0"/>
              <w:rPr>
                <w:sz w:val="11"/>
                <w:szCs w:val="11"/>
                <w:color w:val="auto"/>
              </w:rPr>
            </w:pPr>
          </w:p>
        </w:tc>
        <w:tc>
          <w:tcPr>
            <w:tcW w:w="1060" w:type="dxa"/>
            <w:vAlign w:val="bottom"/>
            <w:gridSpan w:val="4"/>
          </w:tcPr>
          <w:p>
            <w:pPr>
              <w:jc w:val="center"/>
              <w:ind w:right="173"/>
              <w:spacing w:after="0" w:line="109" w:lineRule="exact"/>
              <w:rPr>
                <w:sz w:val="20"/>
                <w:szCs w:val="20"/>
                <w:color w:val="auto"/>
              </w:rPr>
            </w:pPr>
            <w:r>
              <w:rPr>
                <w:rFonts w:ascii="Arial" w:cs="Arial" w:eastAsia="Arial" w:hAnsi="Arial"/>
                <w:sz w:val="12"/>
                <w:szCs w:val="12"/>
                <w:b w:val="1"/>
                <w:bCs w:val="1"/>
                <w:color w:val="auto"/>
                <w:w w:val="92"/>
              </w:rPr>
              <w:t>Loss</w:t>
            </w:r>
          </w:p>
        </w:tc>
        <w:tc>
          <w:tcPr>
            <w:tcW w:w="720" w:type="dxa"/>
            <w:vAlign w:val="bottom"/>
            <w:tcBorders>
              <w:top w:val="single" w:sz="8" w:color="auto"/>
            </w:tcBorders>
            <w:gridSpan w:val="4"/>
          </w:tcPr>
          <w:p>
            <w:pPr>
              <w:jc w:val="right"/>
              <w:ind w:right="173"/>
              <w:spacing w:after="0" w:line="115"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tcBorders>
            <w:gridSpan w:val="4"/>
          </w:tcPr>
          <w:p>
            <w:pPr>
              <w:jc w:val="right"/>
              <w:ind w:right="80"/>
              <w:spacing w:after="0" w:line="115"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3"/>
          </w:tcPr>
          <w:p>
            <w:pPr>
              <w:jc w:val="right"/>
              <w:ind w:right="400"/>
              <w:spacing w:after="0" w:line="109" w:lineRule="exact"/>
              <w:rPr>
                <w:sz w:val="20"/>
                <w:szCs w:val="20"/>
                <w:color w:val="auto"/>
              </w:rPr>
            </w:pPr>
            <w:r>
              <w:rPr>
                <w:rFonts w:ascii="Arial" w:cs="Arial" w:eastAsia="Arial" w:hAnsi="Arial"/>
                <w:sz w:val="12"/>
                <w:szCs w:val="12"/>
                <w:b w:val="1"/>
                <w:bCs w:val="1"/>
                <w:color w:val="auto"/>
              </w:rPr>
              <w:t>Interest</w:t>
            </w:r>
          </w:p>
        </w:tc>
        <w:tc>
          <w:tcPr>
            <w:tcW w:w="180" w:type="dxa"/>
            <w:vAlign w:val="bottom"/>
          </w:tcPr>
          <w:p>
            <w:pPr>
              <w:spacing w:after="0"/>
              <w:rPr>
                <w:sz w:val="11"/>
                <w:szCs w:val="11"/>
                <w:color w:val="auto"/>
              </w:rPr>
            </w:pPr>
          </w:p>
        </w:tc>
        <w:tc>
          <w:tcPr>
            <w:tcW w:w="800" w:type="dxa"/>
            <w:vAlign w:val="bottom"/>
            <w:gridSpan w:val="4"/>
          </w:tcPr>
          <w:p>
            <w:pPr>
              <w:jc w:val="center"/>
              <w:ind w:right="220"/>
              <w:spacing w:after="0" w:line="109"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40" w:type="dxa"/>
            <w:vAlign w:val="bottom"/>
            <w:shd w:val="clear" w:color="auto" w:fill="CFF0FC"/>
          </w:tcPr>
          <w:p>
            <w:pPr>
              <w:ind w:left="20"/>
              <w:spacing w:after="0" w:line="143" w:lineRule="exact"/>
              <w:rPr>
                <w:sz w:val="20"/>
                <w:szCs w:val="20"/>
                <w:color w:val="auto"/>
              </w:rPr>
            </w:pPr>
            <w:r>
              <w:rPr>
                <w:rFonts w:ascii="Arial" w:cs="Arial" w:eastAsia="Arial" w:hAnsi="Arial"/>
                <w:sz w:val="13"/>
                <w:szCs w:val="13"/>
                <w:color w:val="auto"/>
              </w:rPr>
              <w:t>Balance January 1, 2019</w:t>
            </w:r>
          </w:p>
        </w:tc>
        <w:tc>
          <w:tcPr>
            <w:tcW w:w="620" w:type="dxa"/>
            <w:vAlign w:val="bottom"/>
            <w:gridSpan w:val="3"/>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34,954</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349</w:t>
            </w:r>
          </w:p>
        </w:tc>
        <w:tc>
          <w:tcPr>
            <w:tcW w:w="160" w:type="dxa"/>
            <w:vAlign w:val="bottom"/>
            <w:shd w:val="clear" w:color="auto" w:fill="CFF0FC"/>
          </w:tcPr>
          <w:p>
            <w:pPr>
              <w:spacing w:after="0"/>
              <w:rPr>
                <w:sz w:val="12"/>
                <w:szCs w:val="12"/>
                <w:color w:val="auto"/>
              </w:rPr>
            </w:pPr>
          </w:p>
        </w:tc>
        <w:tc>
          <w:tcPr>
            <w:tcW w:w="8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3"/>
                <w:szCs w:val="13"/>
                <w:color w:val="auto"/>
              </w:rPr>
              <w:t>251,409</w:t>
            </w: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73"/>
              <w:spacing w:after="0" w:line="143"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(59,427</w:t>
            </w:r>
          </w:p>
        </w:tc>
        <w:tc>
          <w:tcPr>
            <w:tcW w:w="140" w:type="dxa"/>
            <w:vAlign w:val="bottom"/>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w w:val="82"/>
              </w:rPr>
              <w:t>$</w:t>
            </w:r>
          </w:p>
        </w:tc>
        <w:tc>
          <w:tcPr>
            <w:tcW w:w="920" w:type="dxa"/>
            <w:vAlign w:val="bottom"/>
            <w:gridSpan w:val="3"/>
            <w:shd w:val="clear" w:color="auto" w:fill="CFF0FC"/>
          </w:tcPr>
          <w:p>
            <w:pPr>
              <w:jc w:val="right"/>
              <w:spacing w:after="0" w:line="143" w:lineRule="exact"/>
              <w:rPr>
                <w:sz w:val="20"/>
                <w:szCs w:val="20"/>
                <w:color w:val="auto"/>
              </w:rPr>
            </w:pPr>
            <w:r>
              <w:rPr>
                <w:rFonts w:ascii="Arial" w:cs="Arial" w:eastAsia="Arial" w:hAnsi="Arial"/>
                <w:sz w:val="13"/>
                <w:szCs w:val="13"/>
                <w:color w:val="auto"/>
              </w:rPr>
              <w:t>(13,415</w:t>
            </w:r>
          </w:p>
        </w:tc>
        <w:tc>
          <w:tcPr>
            <w:tcW w:w="140" w:type="dxa"/>
            <w:vAlign w:val="bottom"/>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w w:val="91"/>
              </w:rPr>
              <w:t>)</w:t>
            </w:r>
          </w:p>
        </w:tc>
        <w:tc>
          <w:tcPr>
            <w:tcW w:w="580" w:type="dxa"/>
            <w:vAlign w:val="bottom"/>
            <w:gridSpan w:val="3"/>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(138</w:t>
            </w:r>
          </w:p>
        </w:tc>
        <w:tc>
          <w:tcPr>
            <w:tcW w:w="140" w:type="dxa"/>
            <w:vAlign w:val="bottom"/>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w w:val="91"/>
              </w:rPr>
              <w:t>)</w:t>
            </w:r>
          </w:p>
        </w:tc>
        <w:tc>
          <w:tcPr>
            <w:tcW w:w="220" w:type="dxa"/>
            <w:vAlign w:val="bottom"/>
            <w:gridSpan w:val="2"/>
            <w:shd w:val="clear" w:color="auto" w:fill="CFF0FC"/>
          </w:tcPr>
          <w:p>
            <w:pPr>
              <w:jc w:val="right"/>
              <w:ind w:right="140"/>
              <w:spacing w:after="0" w:line="143" w:lineRule="exact"/>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FF0FC"/>
          </w:tcPr>
          <w:p>
            <w:pPr>
              <w:jc w:val="right"/>
              <w:ind w:right="20"/>
              <w:spacing w:after="0" w:line="143" w:lineRule="exact"/>
              <w:rPr>
                <w:sz w:val="20"/>
                <w:szCs w:val="20"/>
                <w:color w:val="auto"/>
              </w:rPr>
            </w:pPr>
            <w:r>
              <w:rPr>
                <w:rFonts w:ascii="Arial" w:cs="Arial" w:eastAsia="Arial" w:hAnsi="Arial"/>
                <w:sz w:val="13"/>
                <w:szCs w:val="13"/>
                <w:color w:val="auto"/>
              </w:rPr>
              <w:t>(356</w:t>
            </w:r>
          </w:p>
        </w:tc>
        <w:tc>
          <w:tcPr>
            <w:tcW w:w="140" w:type="dxa"/>
            <w:vAlign w:val="bottom"/>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jc w:val="right"/>
              <w:ind w:right="113"/>
              <w:spacing w:after="0" w:line="143"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3"/>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FF0FC"/>
          </w:tcPr>
          <w:p>
            <w:pPr>
              <w:jc w:val="right"/>
              <w:spacing w:after="0" w:line="143" w:lineRule="exact"/>
              <w:rPr>
                <w:sz w:val="20"/>
                <w:szCs w:val="20"/>
                <w:color w:val="auto"/>
              </w:rPr>
            </w:pPr>
            <w:r>
              <w:rPr>
                <w:rFonts w:ascii="Arial" w:cs="Arial" w:eastAsia="Arial" w:hAnsi="Arial"/>
                <w:sz w:val="13"/>
                <w:szCs w:val="13"/>
                <w:color w:val="auto"/>
              </w:rPr>
              <w:t>178,560</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Net income for the year ended December 31, 2019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17,707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17,707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04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w w:val="99"/>
              </w:rPr>
              <w:t>Cumulative effect adjustment of adopting ASU 2017-</w:t>
            </w: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40" w:type="dxa"/>
            <w:vAlign w:val="bottom"/>
            <w:gridSpan w:val="3"/>
            <w:vMerge w:val="restart"/>
            <w:shd w:val="clear" w:color="auto" w:fill="CFF0FC"/>
          </w:tcPr>
          <w:p>
            <w:pPr>
              <w:jc w:val="right"/>
              <w:ind w:right="13"/>
              <w:spacing w:after="0"/>
              <w:rPr>
                <w:sz w:val="20"/>
                <w:szCs w:val="20"/>
                <w:color w:val="auto"/>
              </w:rPr>
            </w:pPr>
            <w:r>
              <w:rPr>
                <w:rFonts w:ascii="Arial" w:cs="Arial" w:eastAsia="Arial" w:hAnsi="Arial"/>
                <w:sz w:val="13"/>
                <w:szCs w:val="13"/>
                <w:color w:val="auto"/>
              </w:rPr>
              <w:t>(11 )</w:t>
            </w:r>
          </w:p>
        </w:tc>
        <w:tc>
          <w:tcPr>
            <w:tcW w:w="100" w:type="dxa"/>
            <w:vAlign w:val="bottom"/>
            <w:shd w:val="clear" w:color="auto" w:fill="CFF0FC"/>
          </w:tcPr>
          <w:p>
            <w:pPr>
              <w:spacing w:after="0"/>
              <w:rPr>
                <w:sz w:val="10"/>
                <w:szCs w:val="10"/>
                <w:color w:val="auto"/>
              </w:rPr>
            </w:pPr>
          </w:p>
        </w:tc>
        <w:tc>
          <w:tcPr>
            <w:tcW w:w="9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40" w:type="dxa"/>
            <w:vAlign w:val="bottom"/>
            <w:gridSpan w:val="3"/>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040" w:type="dxa"/>
            <w:vAlign w:val="bottom"/>
          </w:tcPr>
          <w:p>
            <w:pPr>
              <w:ind w:left="20"/>
              <w:spacing w:after="0" w:line="124" w:lineRule="exact"/>
              <w:rPr>
                <w:sz w:val="20"/>
                <w:szCs w:val="20"/>
                <w:color w:val="auto"/>
              </w:rPr>
            </w:pPr>
            <w:r>
              <w:rPr>
                <w:rFonts w:ascii="Arial" w:cs="Arial" w:eastAsia="Arial" w:hAnsi="Arial"/>
                <w:sz w:val="13"/>
                <w:szCs w:val="13"/>
                <w:color w:val="auto"/>
                <w:w w:val="99"/>
              </w:rPr>
              <w:t>Cumulative effect adjustment of adopting ASU 2016-</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3"/>
            <w:vMerge w:val="restart"/>
          </w:tcPr>
          <w:p>
            <w:pPr>
              <w:jc w:val="right"/>
              <w:ind w:right="13"/>
              <w:spacing w:after="0"/>
              <w:rPr>
                <w:sz w:val="20"/>
                <w:szCs w:val="20"/>
                <w:color w:val="auto"/>
              </w:rPr>
            </w:pPr>
            <w:r>
              <w:rPr>
                <w:rFonts w:ascii="Arial" w:cs="Arial" w:eastAsia="Arial" w:hAnsi="Arial"/>
                <w:sz w:val="13"/>
                <w:szCs w:val="13"/>
                <w:color w:val="auto"/>
              </w:rPr>
              <w:t>(4,590 )</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(4,590 )</w:t>
            </w:r>
          </w:p>
        </w:tc>
        <w:tc>
          <w:tcPr>
            <w:tcW w:w="0" w:type="dxa"/>
            <w:vAlign w:val="bottom"/>
          </w:tcPr>
          <w:p>
            <w:pPr>
              <w:spacing w:after="0"/>
              <w:rPr>
                <w:sz w:val="1"/>
                <w:szCs w:val="1"/>
                <w:color w:val="auto"/>
              </w:rPr>
            </w:pPr>
          </w:p>
        </w:tc>
      </w:tr>
      <w:tr>
        <w:trPr>
          <w:trHeight w:val="173"/>
        </w:trPr>
        <w:tc>
          <w:tcPr>
            <w:tcW w:w="3040" w:type="dxa"/>
            <w:vAlign w:val="bottom"/>
          </w:tcPr>
          <w:p>
            <w:pPr>
              <w:ind w:left="20"/>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04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Exercise of stock options and dividend reinvestment</w:t>
            </w:r>
          </w:p>
        </w:tc>
        <w:tc>
          <w:tcPr>
            <w:tcW w:w="6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31</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74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3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issuances</w:t>
            </w:r>
          </w:p>
        </w:tc>
        <w:tc>
          <w:tcPr>
            <w:tcW w:w="620" w:type="dxa"/>
            <w:vAlign w:val="bottom"/>
            <w:gridSpan w:val="3"/>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3"/>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gridSpan w:val="3"/>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Restricted stock units issued</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255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3"/>
                <w:szCs w:val="13"/>
                <w:color w:val="auto"/>
              </w:rPr>
              <w:t>(427 )</w:t>
            </w:r>
          </w:p>
        </w:tc>
        <w:tc>
          <w:tcPr>
            <w:tcW w:w="320" w:type="dxa"/>
            <w:vAlign w:val="bottom"/>
          </w:tcPr>
          <w:p>
            <w:pPr>
              <w:spacing w:after="0"/>
              <w:rPr>
                <w:sz w:val="14"/>
                <w:szCs w:val="14"/>
                <w:color w:val="auto"/>
              </w:rPr>
            </w:pPr>
          </w:p>
        </w:tc>
        <w:tc>
          <w:tcPr>
            <w:tcW w:w="740" w:type="dxa"/>
            <w:vAlign w:val="bottom"/>
            <w:gridSpan w:val="3"/>
          </w:tcPr>
          <w:p>
            <w:pPr>
              <w:jc w:val="right"/>
              <w:ind w:right="13"/>
              <w:spacing w:after="0"/>
              <w:rPr>
                <w:sz w:val="20"/>
                <w:szCs w:val="20"/>
                <w:color w:val="auto"/>
              </w:rPr>
            </w:pPr>
            <w:r>
              <w:rPr>
                <w:rFonts w:ascii="Arial" w:cs="Arial" w:eastAsia="Arial" w:hAnsi="Arial"/>
                <w:sz w:val="13"/>
                <w:szCs w:val="13"/>
                <w:color w:val="auto"/>
              </w:rPr>
              <w:t>(23 )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(447 )</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 based compensation earned</w:t>
            </w: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2,887</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2,888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040" w:type="dxa"/>
            <w:vAlign w:val="bottom"/>
          </w:tcPr>
          <w:p>
            <w:pPr>
              <w:ind w:left="20"/>
              <w:spacing w:after="0" w:line="124" w:lineRule="exact"/>
              <w:rPr>
                <w:sz w:val="20"/>
                <w:szCs w:val="20"/>
                <w:color w:val="auto"/>
              </w:rPr>
            </w:pPr>
            <w:r>
              <w:rPr>
                <w:rFonts w:ascii="Arial" w:cs="Arial" w:eastAsia="Arial" w:hAnsi="Arial"/>
                <w:sz w:val="13"/>
                <w:szCs w:val="13"/>
                <w:color w:val="auto"/>
              </w:rPr>
              <w:t>Adjustment for minimum pension liability, net of tax</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4"/>
            <w:vMerge w:val="restart"/>
          </w:tcPr>
          <w:p>
            <w:pPr>
              <w:jc w:val="right"/>
              <w:ind w:right="13"/>
              <w:spacing w:after="0"/>
              <w:rPr>
                <w:sz w:val="20"/>
                <w:szCs w:val="20"/>
                <w:color w:val="auto"/>
              </w:rPr>
            </w:pPr>
            <w:r>
              <w:rPr>
                <w:rFonts w:ascii="Arial" w:cs="Arial" w:eastAsia="Arial" w:hAnsi="Arial"/>
                <w:sz w:val="13"/>
                <w:szCs w:val="13"/>
                <w:color w:val="auto"/>
              </w:rPr>
              <w:t>(184 )</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3"/>
                <w:szCs w:val="13"/>
                <w:color w:val="auto"/>
              </w:rPr>
              <w:t>(184 )</w:t>
            </w: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Arial" w:cs="Arial" w:eastAsia="Arial" w:hAnsi="Arial"/>
                <w:sz w:val="13"/>
                <w:szCs w:val="13"/>
                <w:color w:val="auto"/>
              </w:rPr>
              <w:t>of $66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 for interest rate swap, net of tax of $236</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4"/>
            <w:shd w:val="clear" w:color="auto" w:fill="CFF0FC"/>
          </w:tcPr>
          <w:p>
            <w:pPr>
              <w:jc w:val="right"/>
              <w:ind w:right="13"/>
              <w:spacing w:after="0"/>
              <w:rPr>
                <w:sz w:val="20"/>
                <w:szCs w:val="20"/>
                <w:color w:val="auto"/>
              </w:rPr>
            </w:pPr>
            <w:r>
              <w:rPr>
                <w:rFonts w:ascii="Arial" w:cs="Arial" w:eastAsia="Arial" w:hAnsi="Arial"/>
                <w:sz w:val="13"/>
                <w:szCs w:val="13"/>
                <w:color w:val="auto"/>
              </w:rPr>
              <w:t>(574 )</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(574 )</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Translation loss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right"/>
              <w:ind w:right="13"/>
              <w:spacing w:after="0"/>
              <w:rPr>
                <w:sz w:val="20"/>
                <w:szCs w:val="20"/>
                <w:color w:val="auto"/>
              </w:rPr>
            </w:pPr>
            <w:r>
              <w:rPr>
                <w:rFonts w:ascii="Arial" w:cs="Arial" w:eastAsia="Arial" w:hAnsi="Arial"/>
                <w:sz w:val="13"/>
                <w:szCs w:val="13"/>
                <w:color w:val="auto"/>
              </w:rPr>
              <w:t>(343 )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(343 )</w:t>
            </w: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December 31, 2019</w:t>
            </w:r>
          </w:p>
        </w:tc>
        <w:tc>
          <w:tcPr>
            <w:tcW w:w="6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35,275</w:t>
            </w:r>
          </w:p>
        </w:tc>
        <w:tc>
          <w:tcPr>
            <w:tcW w:w="16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353</w:t>
            </w:r>
          </w:p>
        </w:tc>
        <w:tc>
          <w:tcPr>
            <w:tcW w:w="160" w:type="dxa"/>
            <w:vAlign w:val="bottom"/>
            <w:shd w:val="clear" w:color="auto" w:fill="CFF0FC"/>
          </w:tcPr>
          <w:p>
            <w:pPr>
              <w:spacing w:after="0"/>
              <w:rPr>
                <w:sz w:val="13"/>
                <w:szCs w:val="13"/>
                <w:color w:val="auto"/>
              </w:rPr>
            </w:pPr>
          </w:p>
        </w:tc>
        <w:tc>
          <w:tcPr>
            <w:tcW w:w="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253,869</w:t>
            </w:r>
          </w:p>
        </w:tc>
        <w:tc>
          <w:tcPr>
            <w:tcW w:w="16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(46,344</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(14,505</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5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(138</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2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(356</w:t>
            </w:r>
          </w:p>
        </w:tc>
        <w:tc>
          <w:tcPr>
            <w:tcW w:w="14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260" w:type="dxa"/>
            <w:vAlign w:val="bottom"/>
            <w:tcBorders>
              <w:top w:val="single" w:sz="8" w:color="auto"/>
            </w:tcBorders>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193,017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Net income for the year ended December 31, 2020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8,211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(39 )</w:t>
            </w:r>
          </w:p>
        </w:tc>
        <w:tc>
          <w:tcPr>
            <w:tcW w:w="1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8,172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230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(331 )</w:t>
            </w:r>
          </w:p>
        </w:tc>
        <w:tc>
          <w:tcPr>
            <w:tcW w:w="32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3"/>
              <w:spacing w:after="0"/>
              <w:rPr>
                <w:sz w:val="20"/>
                <w:szCs w:val="20"/>
                <w:color w:val="auto"/>
              </w:rPr>
            </w:pPr>
            <w:r>
              <w:rPr>
                <w:rFonts w:ascii="Arial" w:cs="Arial" w:eastAsia="Arial" w:hAnsi="Arial"/>
                <w:sz w:val="13"/>
                <w:szCs w:val="13"/>
                <w:color w:val="auto"/>
              </w:rPr>
              <w:t>(8 )</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(337 )</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10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1,758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1,758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04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rPr>
              <w:t>Adjustment for minimum pension liability, net of tax</w:t>
            </w: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gridSpan w:val="4"/>
            <w:vMerge w:val="restart"/>
            <w:shd w:val="clear" w:color="auto" w:fill="CFF0FC"/>
          </w:tcPr>
          <w:p>
            <w:pPr>
              <w:jc w:val="right"/>
              <w:ind w:right="13"/>
              <w:spacing w:after="0"/>
              <w:rPr>
                <w:sz w:val="20"/>
                <w:szCs w:val="20"/>
                <w:color w:val="auto"/>
              </w:rPr>
            </w:pPr>
            <w:r>
              <w:rPr>
                <w:rFonts w:ascii="Arial" w:cs="Arial" w:eastAsia="Arial" w:hAnsi="Arial"/>
                <w:sz w:val="13"/>
                <w:szCs w:val="13"/>
                <w:color w:val="auto"/>
              </w:rPr>
              <w:t>(2,247 )</w:t>
            </w: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gridSpan w:val="4"/>
            <w:vMerge w:val="restart"/>
            <w:shd w:val="clear" w:color="auto" w:fill="CFF0FC"/>
          </w:tcPr>
          <w:p>
            <w:pPr>
              <w:jc w:val="right"/>
              <w:spacing w:after="0"/>
              <w:rPr>
                <w:sz w:val="20"/>
                <w:szCs w:val="20"/>
                <w:color w:val="auto"/>
              </w:rPr>
            </w:pPr>
            <w:r>
              <w:rPr>
                <w:rFonts w:ascii="Arial" w:cs="Arial" w:eastAsia="Arial" w:hAnsi="Arial"/>
                <w:sz w:val="13"/>
                <w:szCs w:val="13"/>
                <w:color w:val="auto"/>
              </w:rPr>
              <w:t>(2,247 )</w:t>
            </w:r>
          </w:p>
        </w:tc>
        <w:tc>
          <w:tcPr>
            <w:tcW w:w="0" w:type="dxa"/>
            <w:vAlign w:val="bottom"/>
          </w:tcPr>
          <w:p>
            <w:pPr>
              <w:spacing w:after="0"/>
              <w:rPr>
                <w:sz w:val="1"/>
                <w:szCs w:val="1"/>
                <w:color w:val="auto"/>
              </w:rPr>
            </w:pPr>
          </w:p>
        </w:tc>
      </w:tr>
      <w:tr>
        <w:trPr>
          <w:trHeight w:val="17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of $802</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4"/>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gridSpan w:val="4"/>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Translation gain</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3"/>
                <w:szCs w:val="13"/>
                <w:color w:val="auto"/>
              </w:rPr>
              <w:t>2,256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2,256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Noncontrolling interest acquired (see Note 15)</w:t>
            </w:r>
          </w:p>
        </w:tc>
        <w:tc>
          <w:tcPr>
            <w:tcW w:w="10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992</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992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40" w:type="dxa"/>
            <w:vAlign w:val="bottom"/>
          </w:tcPr>
          <w:p>
            <w:pPr>
              <w:ind w:left="20"/>
              <w:spacing w:after="0"/>
              <w:rPr>
                <w:sz w:val="20"/>
                <w:szCs w:val="20"/>
                <w:color w:val="auto"/>
              </w:rPr>
            </w:pPr>
            <w:r>
              <w:rPr>
                <w:rFonts w:ascii="Arial" w:cs="Arial" w:eastAsia="Arial" w:hAnsi="Arial"/>
                <w:sz w:val="13"/>
                <w:szCs w:val="13"/>
                <w:color w:val="auto"/>
              </w:rPr>
              <w:t>Balance December 31, 2020</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35,505</w:t>
            </w: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355</w:t>
            </w:r>
          </w:p>
        </w:tc>
        <w:tc>
          <w:tcPr>
            <w:tcW w:w="160" w:type="dxa"/>
            <w:vAlign w:val="bottom"/>
          </w:tcPr>
          <w:p>
            <w:pPr>
              <w:spacing w:after="0"/>
              <w:rPr>
                <w:sz w:val="13"/>
                <w:szCs w:val="13"/>
                <w:color w:val="auto"/>
              </w:rPr>
            </w:pPr>
          </w:p>
        </w:tc>
        <w:tc>
          <w:tcPr>
            <w:tcW w:w="8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255,296</w:t>
            </w:r>
          </w:p>
        </w:tc>
        <w:tc>
          <w:tcPr>
            <w:tcW w:w="160" w:type="dxa"/>
            <w:vAlign w:val="bottom"/>
          </w:tcPr>
          <w:p>
            <w:pPr>
              <w:spacing w:after="0"/>
              <w:rPr>
                <w:sz w:val="13"/>
                <w:szCs w:val="13"/>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ind w:right="13"/>
              <w:spacing w:after="0"/>
              <w:rPr>
                <w:sz w:val="20"/>
                <w:szCs w:val="20"/>
                <w:color w:val="auto"/>
              </w:rPr>
            </w:pPr>
            <w:r>
              <w:rPr>
                <w:rFonts w:ascii="Arial" w:cs="Arial" w:eastAsia="Arial" w:hAnsi="Arial"/>
                <w:sz w:val="13"/>
                <w:szCs w:val="13"/>
                <w:color w:val="auto"/>
              </w:rPr>
              <w:t>(38,141 )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4"/>
          </w:tcPr>
          <w:p>
            <w:pPr>
              <w:jc w:val="right"/>
              <w:ind w:right="13"/>
              <w:spacing w:after="0"/>
              <w:rPr>
                <w:sz w:val="20"/>
                <w:szCs w:val="20"/>
                <w:color w:val="auto"/>
              </w:rPr>
            </w:pPr>
            <w:r>
              <w:rPr>
                <w:rFonts w:ascii="Arial" w:cs="Arial" w:eastAsia="Arial" w:hAnsi="Arial"/>
                <w:sz w:val="13"/>
                <w:szCs w:val="13"/>
                <w:color w:val="auto"/>
              </w:rPr>
              <w:t>(14,496 )</w:t>
            </w:r>
          </w:p>
        </w:tc>
        <w:tc>
          <w:tcPr>
            <w:tcW w:w="720" w:type="dxa"/>
            <w:vAlign w:val="bottom"/>
            <w:gridSpan w:val="4"/>
          </w:tcPr>
          <w:p>
            <w:pPr>
              <w:jc w:val="right"/>
              <w:ind w:right="13"/>
              <w:spacing w:after="0"/>
              <w:rPr>
                <w:sz w:val="20"/>
                <w:szCs w:val="20"/>
                <w:color w:val="auto"/>
              </w:rPr>
            </w:pPr>
            <w:r>
              <w:rPr>
                <w:rFonts w:ascii="Arial" w:cs="Arial" w:eastAsia="Arial" w:hAnsi="Arial"/>
                <w:sz w:val="13"/>
                <w:szCs w:val="13"/>
                <w:color w:val="auto"/>
              </w:rPr>
              <w:t>(138 )</w:t>
            </w:r>
          </w:p>
        </w:tc>
        <w:tc>
          <w:tcPr>
            <w:tcW w:w="220" w:type="dxa"/>
            <w:vAlign w:val="bottom"/>
            <w:gridSpan w:val="2"/>
          </w:tcPr>
          <w:p>
            <w:pPr>
              <w:jc w:val="right"/>
              <w:ind w:right="140"/>
              <w:spacing w:after="0"/>
              <w:rPr>
                <w:sz w:val="20"/>
                <w:szCs w:val="20"/>
                <w:color w:val="auto"/>
              </w:rPr>
            </w:pPr>
            <w:r>
              <w:rPr>
                <w:rFonts w:ascii="Arial" w:cs="Arial" w:eastAsia="Arial" w:hAnsi="Arial"/>
                <w:sz w:val="13"/>
                <w:szCs w:val="13"/>
                <w:color w:val="auto"/>
                <w:w w:val="82"/>
              </w:rPr>
              <w:t>$</w:t>
            </w:r>
          </w:p>
        </w:tc>
        <w:tc>
          <w:tcPr>
            <w:tcW w:w="540" w:type="dxa"/>
            <w:vAlign w:val="bottom"/>
            <w:gridSpan w:val="3"/>
          </w:tcPr>
          <w:p>
            <w:pPr>
              <w:jc w:val="right"/>
              <w:ind w:right="13"/>
              <w:spacing w:after="0"/>
              <w:rPr>
                <w:sz w:val="20"/>
                <w:szCs w:val="20"/>
                <w:color w:val="auto"/>
              </w:rPr>
            </w:pPr>
            <w:r>
              <w:rPr>
                <w:rFonts w:ascii="Arial" w:cs="Arial" w:eastAsia="Arial" w:hAnsi="Arial"/>
                <w:sz w:val="13"/>
                <w:szCs w:val="13"/>
                <w:color w:val="auto"/>
              </w:rPr>
              <w:t>(356 )</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953</w:t>
            </w:r>
          </w:p>
        </w:tc>
        <w:tc>
          <w:tcPr>
            <w:tcW w:w="120" w:type="dxa"/>
            <w:vAlign w:val="bottom"/>
          </w:tcPr>
          <w:p>
            <w:pPr>
              <w:spacing w:after="0"/>
              <w:rPr>
                <w:sz w:val="13"/>
                <w:szCs w:val="13"/>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203,611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for the year ended December 31, 2021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1,426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557</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1,983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Restricted stock units issued</w:t>
            </w:r>
          </w:p>
        </w:tc>
        <w:tc>
          <w:tcPr>
            <w:tcW w:w="6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263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(517 )</w:t>
            </w: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(514 )</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Share based compensation earned</w:t>
            </w: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39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3,558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3,558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040" w:type="dxa"/>
            <w:vAlign w:val="bottom"/>
            <w:shd w:val="clear" w:color="auto" w:fill="CFF0FC"/>
          </w:tcPr>
          <w:p>
            <w:pPr>
              <w:ind w:left="20"/>
              <w:spacing w:after="0" w:line="124" w:lineRule="exact"/>
              <w:rPr>
                <w:sz w:val="20"/>
                <w:szCs w:val="20"/>
                <w:color w:val="auto"/>
              </w:rPr>
            </w:pPr>
            <w:r>
              <w:rPr>
                <w:rFonts w:ascii="Arial" w:cs="Arial" w:eastAsia="Arial" w:hAnsi="Arial"/>
                <w:sz w:val="13"/>
                <w:szCs w:val="13"/>
                <w:color w:val="auto"/>
                <w:w w:val="98"/>
              </w:rPr>
              <w:t>Common stock repurchase and retirement (See Note</w:t>
            </w:r>
          </w:p>
        </w:tc>
        <w:tc>
          <w:tcPr>
            <w:tcW w:w="780" w:type="dxa"/>
            <w:vAlign w:val="bottom"/>
            <w:gridSpan w:val="4"/>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(781 )</w:t>
            </w:r>
          </w:p>
        </w:tc>
        <w:tc>
          <w:tcPr>
            <w:tcW w:w="80" w:type="dxa"/>
            <w:vAlign w:val="bottom"/>
            <w:shd w:val="clear" w:color="auto" w:fill="CFF0FC"/>
          </w:tcPr>
          <w:p>
            <w:pPr>
              <w:spacing w:after="0"/>
              <w:rPr>
                <w:sz w:val="10"/>
                <w:szCs w:val="10"/>
                <w:color w:val="auto"/>
              </w:rPr>
            </w:pPr>
          </w:p>
        </w:tc>
        <w:tc>
          <w:tcPr>
            <w:tcW w:w="72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(8 )</w:t>
            </w: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74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(5,361 )</w:t>
            </w:r>
          </w:p>
        </w:tc>
        <w:tc>
          <w:tcPr>
            <w:tcW w:w="3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8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138</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356</w:t>
            </w:r>
          </w:p>
        </w:tc>
        <w:tc>
          <w:tcPr>
            <w:tcW w:w="1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gridSpan w:val="4"/>
            <w:vMerge w:val="restart"/>
            <w:shd w:val="clear" w:color="auto" w:fill="CFF0FC"/>
          </w:tcPr>
          <w:p>
            <w:pPr>
              <w:jc w:val="right"/>
              <w:spacing w:after="0"/>
              <w:rPr>
                <w:sz w:val="20"/>
                <w:szCs w:val="20"/>
                <w:color w:val="auto"/>
              </w:rPr>
            </w:pPr>
            <w:r>
              <w:rPr>
                <w:rFonts w:ascii="Arial" w:cs="Arial" w:eastAsia="Arial" w:hAnsi="Arial"/>
                <w:sz w:val="13"/>
                <w:szCs w:val="13"/>
                <w:color w:val="auto"/>
              </w:rPr>
              <w:t>(5,013 )</w:t>
            </w:r>
          </w:p>
        </w:tc>
        <w:tc>
          <w:tcPr>
            <w:tcW w:w="0" w:type="dxa"/>
            <w:vAlign w:val="bottom"/>
          </w:tcPr>
          <w:p>
            <w:pPr>
              <w:spacing w:after="0"/>
              <w:rPr>
                <w:sz w:val="1"/>
                <w:szCs w:val="1"/>
                <w:color w:val="auto"/>
              </w:rPr>
            </w:pPr>
          </w:p>
        </w:tc>
      </w:tr>
      <w:tr>
        <w:trPr>
          <w:trHeight w:val="17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9)</w:t>
            </w:r>
          </w:p>
        </w:tc>
        <w:tc>
          <w:tcPr>
            <w:tcW w:w="780" w:type="dxa"/>
            <w:vAlign w:val="bottom"/>
            <w:gridSpan w:val="4"/>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3"/>
            <w:vMerge w:val="continue"/>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740" w:type="dxa"/>
            <w:vAlign w:val="bottom"/>
            <w:gridSpan w:val="3"/>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gridSpan w:val="3"/>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0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gridSpan w:val="4"/>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3040" w:type="dxa"/>
            <w:vAlign w:val="bottom"/>
          </w:tcPr>
          <w:p>
            <w:pPr>
              <w:ind w:left="20"/>
              <w:spacing w:after="0" w:line="124" w:lineRule="exact"/>
              <w:rPr>
                <w:sz w:val="20"/>
                <w:szCs w:val="20"/>
                <w:color w:val="auto"/>
              </w:rPr>
            </w:pPr>
            <w:r>
              <w:rPr>
                <w:rFonts w:ascii="Arial" w:cs="Arial" w:eastAsia="Arial" w:hAnsi="Arial"/>
                <w:sz w:val="13"/>
                <w:szCs w:val="13"/>
                <w:color w:val="auto"/>
              </w:rPr>
              <w:t>Adjustment for minimum pension liability, net of tax</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3"/>
                <w:szCs w:val="13"/>
                <w:color w:val="auto"/>
              </w:rPr>
              <w:t>2,964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3"/>
                <w:szCs w:val="13"/>
                <w:color w:val="auto"/>
              </w:rPr>
              <w:t>2,964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Arial" w:cs="Arial" w:eastAsia="Arial" w:hAnsi="Arial"/>
                <w:sz w:val="13"/>
                <w:szCs w:val="13"/>
                <w:color w:val="auto"/>
              </w:rPr>
              <w:t>of $866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40" w:type="dxa"/>
            <w:vAlign w:val="bottom"/>
            <w:shd w:val="clear" w:color="auto" w:fill="CFF0FC"/>
          </w:tcPr>
          <w:p>
            <w:pPr>
              <w:ind w:left="20"/>
              <w:spacing w:after="0"/>
              <w:rPr>
                <w:sz w:val="20"/>
                <w:szCs w:val="20"/>
                <w:color w:val="auto"/>
              </w:rPr>
            </w:pPr>
            <w:r>
              <w:rPr>
                <w:rFonts w:ascii="Arial" w:cs="Arial" w:eastAsia="Arial" w:hAnsi="Arial"/>
                <w:sz w:val="13"/>
                <w:szCs w:val="13"/>
                <w:color w:val="auto"/>
              </w:rPr>
              <w:t>Translation loss</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gridSpan w:val="4"/>
            <w:shd w:val="clear" w:color="auto" w:fill="CFF0FC"/>
          </w:tcPr>
          <w:p>
            <w:pPr>
              <w:jc w:val="right"/>
              <w:ind w:right="13"/>
              <w:spacing w:after="0"/>
              <w:rPr>
                <w:sz w:val="20"/>
                <w:szCs w:val="20"/>
                <w:color w:val="auto"/>
              </w:rPr>
            </w:pPr>
            <w:r>
              <w:rPr>
                <w:rFonts w:ascii="Arial" w:cs="Arial" w:eastAsia="Arial" w:hAnsi="Arial"/>
                <w:sz w:val="13"/>
                <w:szCs w:val="13"/>
                <w:color w:val="auto"/>
              </w:rPr>
              <w:t>(538 )</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gridSpan w:val="4"/>
            <w:shd w:val="clear" w:color="auto" w:fill="CFF0FC"/>
          </w:tcPr>
          <w:p>
            <w:pPr>
              <w:jc w:val="right"/>
              <w:spacing w:after="0"/>
              <w:rPr>
                <w:sz w:val="20"/>
                <w:szCs w:val="20"/>
                <w:color w:val="auto"/>
              </w:rPr>
            </w:pPr>
            <w:r>
              <w:rPr>
                <w:rFonts w:ascii="Arial" w:cs="Arial" w:eastAsia="Arial" w:hAnsi="Arial"/>
                <w:sz w:val="13"/>
                <w:szCs w:val="13"/>
                <w:color w:val="auto"/>
              </w:rPr>
              <w:t>(538 )</w:t>
            </w:r>
          </w:p>
        </w:tc>
        <w:tc>
          <w:tcPr>
            <w:tcW w:w="0" w:type="dxa"/>
            <w:vAlign w:val="bottom"/>
          </w:tcPr>
          <w:p>
            <w:pPr>
              <w:spacing w:after="0"/>
              <w:rPr>
                <w:sz w:val="1"/>
                <w:szCs w:val="1"/>
                <w:color w:val="auto"/>
              </w:rPr>
            </w:pPr>
          </w:p>
        </w:tc>
      </w:tr>
      <w:tr>
        <w:trPr>
          <w:trHeight w:val="162"/>
        </w:trPr>
        <w:tc>
          <w:tcPr>
            <w:tcW w:w="3040" w:type="dxa"/>
            <w:vAlign w:val="bottom"/>
          </w:tcPr>
          <w:p>
            <w:pPr>
              <w:ind w:left="20"/>
              <w:spacing w:after="0"/>
              <w:rPr>
                <w:sz w:val="20"/>
                <w:szCs w:val="20"/>
                <w:color w:val="auto"/>
              </w:rPr>
            </w:pPr>
            <w:r>
              <w:rPr>
                <w:rFonts w:ascii="Arial" w:cs="Arial" w:eastAsia="Arial" w:hAnsi="Arial"/>
                <w:sz w:val="13"/>
                <w:szCs w:val="13"/>
                <w:color w:val="auto"/>
              </w:rPr>
              <w:t>Noncontrolling interest distribution</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3"/>
                <w:szCs w:val="13"/>
                <w:color w:val="auto"/>
              </w:rPr>
              <w:t>(107 )</w:t>
            </w:r>
          </w:p>
        </w:tc>
        <w:tc>
          <w:tcPr>
            <w:tcW w:w="180" w:type="dxa"/>
            <w:vAlign w:val="bottom"/>
          </w:tcPr>
          <w:p>
            <w:pPr>
              <w:spacing w:after="0"/>
              <w:rPr>
                <w:sz w:val="14"/>
                <w:szCs w:val="14"/>
                <w:color w:val="auto"/>
              </w:rPr>
            </w:pP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(107 )</w:t>
            </w:r>
          </w:p>
        </w:tc>
        <w:tc>
          <w:tcPr>
            <w:tcW w:w="0" w:type="dxa"/>
            <w:vAlign w:val="bottom"/>
          </w:tcPr>
          <w:p>
            <w:pPr>
              <w:spacing w:after="0"/>
              <w:rPr>
                <w:sz w:val="1"/>
                <w:szCs w:val="1"/>
                <w:color w:val="auto"/>
              </w:rPr>
            </w:pPr>
          </w:p>
        </w:tc>
      </w:tr>
      <w:tr>
        <w:trPr>
          <w:trHeight w:val="195"/>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December 31, 2021</w:t>
            </w:r>
          </w:p>
        </w:tc>
        <w:tc>
          <w:tcPr>
            <w:tcW w:w="6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35,028</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350</w:t>
            </w:r>
          </w:p>
        </w:tc>
        <w:tc>
          <w:tcPr>
            <w:tcW w:w="1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252,989</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73"/>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(36,715</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(12,070</w:t>
            </w:r>
          </w:p>
        </w:tc>
        <w:tc>
          <w:tcPr>
            <w:tcW w:w="1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3"/>
                <w:szCs w:val="13"/>
                <w:color w:val="auto"/>
                <w:w w:val="91"/>
              </w:rPr>
              <w:t>)</w:t>
            </w:r>
          </w:p>
        </w:tc>
        <w:tc>
          <w:tcPr>
            <w:tcW w:w="5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1,403</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205,957</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-1239520</wp:posOffset>
            </wp:positionV>
            <wp:extent cx="431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-1239520</wp:posOffset>
            </wp:positionV>
            <wp:extent cx="431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-1239520</wp:posOffset>
            </wp:positionV>
            <wp:extent cx="431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-1239520</wp:posOffset>
            </wp:positionV>
            <wp:extent cx="431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-1239520</wp:posOffset>
            </wp:positionV>
            <wp:extent cx="3429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-1239520</wp:posOffset>
            </wp:positionV>
            <wp:extent cx="3429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-1239520</wp:posOffset>
            </wp:positionV>
            <wp:extent cx="3429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-1239520</wp:posOffset>
            </wp:positionV>
            <wp:extent cx="3429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-1239520</wp:posOffset>
            </wp:positionV>
            <wp:extent cx="3429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-24765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-7620</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-24765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-7620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431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431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431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342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Translation</w:t>
            </w:r>
          </w:p>
        </w:tc>
        <w:tc>
          <w:tcPr>
            <w:tcW w:w="12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Interest rate</w:t>
            </w:r>
          </w:p>
        </w:tc>
        <w:tc>
          <w:tcPr>
            <w:tcW w:w="140" w:type="dxa"/>
            <w:vAlign w:val="bottom"/>
          </w:tcPr>
          <w:p>
            <w:pPr>
              <w:spacing w:after="0"/>
              <w:rPr>
                <w:sz w:val="14"/>
                <w:szCs w:val="14"/>
                <w:color w:val="auto"/>
              </w:rPr>
            </w:pPr>
          </w:p>
        </w:tc>
        <w:tc>
          <w:tcPr>
            <w:tcW w:w="16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9"/>
              </w:rPr>
              <w:t>Minimum pension</w:t>
            </w:r>
          </w:p>
        </w:tc>
        <w:tc>
          <w:tcPr>
            <w:tcW w:w="140" w:type="dxa"/>
            <w:vAlign w:val="bottom"/>
          </w:tcPr>
          <w:p>
            <w:pPr>
              <w:spacing w:after="0"/>
              <w:rPr>
                <w:sz w:val="14"/>
                <w:szCs w:val="14"/>
                <w:color w:val="auto"/>
              </w:rPr>
            </w:pP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4"/>
              </w:rPr>
              <w:t>Accumulated other</w:t>
            </w:r>
          </w:p>
        </w:tc>
      </w:tr>
      <w:tr>
        <w:trPr>
          <w:trHeight w:val="185"/>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6"/>
                <w:szCs w:val="16"/>
                <w:color w:val="auto"/>
              </w:rPr>
            </w:pPr>
          </w:p>
        </w:tc>
        <w:tc>
          <w:tcPr>
            <w:tcW w:w="138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swap adjustment</w:t>
            </w:r>
          </w:p>
        </w:tc>
        <w:tc>
          <w:tcPr>
            <w:tcW w:w="140" w:type="dxa"/>
            <w:vAlign w:val="bottom"/>
          </w:tcPr>
          <w:p>
            <w:pPr>
              <w:spacing w:after="0"/>
              <w:rPr>
                <w:sz w:val="16"/>
                <w:szCs w:val="16"/>
                <w:color w:val="auto"/>
              </w:rPr>
            </w:pPr>
          </w:p>
        </w:tc>
        <w:tc>
          <w:tcPr>
            <w:tcW w:w="166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6"/>
              </w:rPr>
              <w:t>liability adjustment</w:t>
            </w:r>
          </w:p>
        </w:tc>
        <w:tc>
          <w:tcPr>
            <w:tcW w:w="140" w:type="dxa"/>
            <w:vAlign w:val="bottom"/>
          </w:tcPr>
          <w:p>
            <w:pPr>
              <w:spacing w:after="0"/>
              <w:rPr>
                <w:sz w:val="16"/>
                <w:szCs w:val="16"/>
                <w:color w:val="auto"/>
              </w:rPr>
            </w:pP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9"/>
              </w:rPr>
              <w:t>comprehensive loss</w:t>
            </w:r>
          </w:p>
        </w:tc>
      </w:tr>
      <w:tr>
        <w:trPr>
          <w:trHeight w:val="236"/>
        </w:trPr>
        <w:tc>
          <w:tcPr>
            <w:tcW w:w="4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January 1, 2019</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(7,733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563</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(6,245</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(13,415</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83"/>
        </w:trPr>
        <w:tc>
          <w:tcPr>
            <w:tcW w:w="4620" w:type="dxa"/>
            <w:vAlign w:val="bottom"/>
          </w:tcPr>
          <w:p>
            <w:pPr>
              <w:ind w:left="20"/>
              <w:spacing w:after="0" w:line="183" w:lineRule="exact"/>
              <w:rPr>
                <w:sz w:val="20"/>
                <w:szCs w:val="20"/>
                <w:color w:val="auto"/>
              </w:rPr>
            </w:pPr>
            <w:r>
              <w:rPr>
                <w:rFonts w:ascii="Arial" w:cs="Arial" w:eastAsia="Arial" w:hAnsi="Arial"/>
                <w:sz w:val="18"/>
                <w:szCs w:val="18"/>
                <w:color w:val="auto"/>
              </w:rPr>
              <w:t>Cumulative effect adjustment adopting ASU 2017-12</w:t>
            </w:r>
          </w:p>
        </w:tc>
        <w:tc>
          <w:tcPr>
            <w:tcW w:w="220" w:type="dxa"/>
            <w:vAlign w:val="bottom"/>
          </w:tcPr>
          <w:p>
            <w:pPr>
              <w:spacing w:after="0"/>
              <w:rPr>
                <w:sz w:val="15"/>
                <w:szCs w:val="15"/>
                <w:color w:val="auto"/>
              </w:rPr>
            </w:pPr>
          </w:p>
        </w:tc>
        <w:tc>
          <w:tcPr>
            <w:tcW w:w="138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150"/>
              <w:spacing w:after="0" w:line="18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5"/>
                <w:szCs w:val="15"/>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2019 activity</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(343 )</w:t>
            </w: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(574 )</w:t>
            </w:r>
          </w:p>
        </w:tc>
        <w:tc>
          <w:tcPr>
            <w:tcW w:w="1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(184 )</w:t>
            </w: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(1,101 )</w:t>
            </w:r>
          </w:p>
        </w:tc>
      </w:tr>
      <w:tr>
        <w:trPr>
          <w:trHeight w:val="20"/>
        </w:trPr>
        <w:tc>
          <w:tcPr>
            <w:tcW w:w="4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620" w:type="dxa"/>
            <w:vAlign w:val="bottom"/>
          </w:tcPr>
          <w:p>
            <w:pPr>
              <w:ind w:left="20"/>
              <w:spacing w:after="0" w:line="196" w:lineRule="exact"/>
              <w:rPr>
                <w:sz w:val="20"/>
                <w:szCs w:val="20"/>
                <w:color w:val="auto"/>
              </w:rPr>
            </w:pPr>
            <w:r>
              <w:rPr>
                <w:rFonts w:ascii="Arial" w:cs="Arial" w:eastAsia="Arial" w:hAnsi="Arial"/>
                <w:sz w:val="18"/>
                <w:szCs w:val="18"/>
                <w:color w:val="auto"/>
              </w:rPr>
              <w:t>Balance December 31, 2019</w:t>
            </w:r>
          </w:p>
        </w:tc>
        <w:tc>
          <w:tcPr>
            <w:tcW w:w="220" w:type="dxa"/>
            <w:vAlign w:val="bottom"/>
          </w:tcPr>
          <w:p>
            <w:pPr>
              <w:spacing w:after="0"/>
              <w:rPr>
                <w:sz w:val="17"/>
                <w:szCs w:val="17"/>
                <w:color w:val="auto"/>
              </w:rPr>
            </w:pPr>
          </w:p>
        </w:tc>
        <w:tc>
          <w:tcPr>
            <w:tcW w:w="1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(8,076 )</w:t>
            </w:r>
          </w:p>
        </w:tc>
        <w:tc>
          <w:tcPr>
            <w:tcW w:w="120" w:type="dxa"/>
            <w:vAlign w:val="bottom"/>
          </w:tcPr>
          <w:p>
            <w:pPr>
              <w:spacing w:after="0"/>
              <w:rPr>
                <w:sz w:val="17"/>
                <w:szCs w:val="17"/>
                <w:color w:val="auto"/>
              </w:rPr>
            </w:pPr>
          </w:p>
        </w:tc>
        <w:tc>
          <w:tcPr>
            <w:tcW w:w="1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(6,429 )</w:t>
            </w:r>
          </w:p>
        </w:tc>
        <w:tc>
          <w:tcPr>
            <w:tcW w:w="140" w:type="dxa"/>
            <w:vAlign w:val="bottom"/>
          </w:tcPr>
          <w:p>
            <w:pPr>
              <w:spacing w:after="0"/>
              <w:rPr>
                <w:sz w:val="17"/>
                <w:szCs w:val="17"/>
                <w:color w:val="auto"/>
              </w:rPr>
            </w:pP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(14,505 )</w:t>
            </w: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2020 activity</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(2,247 )</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7"/>
                <w:szCs w:val="17"/>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620" w:type="dxa"/>
            <w:vAlign w:val="bottom"/>
          </w:tcPr>
          <w:p>
            <w:pPr>
              <w:ind w:left="20"/>
              <w:spacing w:after="0" w:line="196" w:lineRule="exact"/>
              <w:rPr>
                <w:sz w:val="20"/>
                <w:szCs w:val="20"/>
                <w:color w:val="auto"/>
              </w:rPr>
            </w:pPr>
            <w:r>
              <w:rPr>
                <w:rFonts w:ascii="Arial" w:cs="Arial" w:eastAsia="Arial" w:hAnsi="Arial"/>
                <w:sz w:val="18"/>
                <w:szCs w:val="18"/>
                <w:color w:val="auto"/>
              </w:rPr>
              <w:t>Balance December 31, 2020</w:t>
            </w:r>
          </w:p>
        </w:tc>
        <w:tc>
          <w:tcPr>
            <w:tcW w:w="220" w:type="dxa"/>
            <w:vAlign w:val="bottom"/>
          </w:tcPr>
          <w:p>
            <w:pPr>
              <w:spacing w:after="0"/>
              <w:rPr>
                <w:sz w:val="17"/>
                <w:szCs w:val="17"/>
                <w:color w:val="auto"/>
              </w:rPr>
            </w:pPr>
          </w:p>
        </w:tc>
        <w:tc>
          <w:tcPr>
            <w:tcW w:w="1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(5,820 )</w:t>
            </w:r>
          </w:p>
        </w:tc>
        <w:tc>
          <w:tcPr>
            <w:tcW w:w="120" w:type="dxa"/>
            <w:vAlign w:val="bottom"/>
          </w:tcPr>
          <w:p>
            <w:pPr>
              <w:spacing w:after="0"/>
              <w:rPr>
                <w:sz w:val="17"/>
                <w:szCs w:val="17"/>
                <w:color w:val="auto"/>
              </w:rPr>
            </w:pPr>
          </w:p>
        </w:tc>
        <w:tc>
          <w:tcPr>
            <w:tcW w:w="1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(8,676 )</w:t>
            </w:r>
          </w:p>
        </w:tc>
        <w:tc>
          <w:tcPr>
            <w:tcW w:w="140" w:type="dxa"/>
            <w:vAlign w:val="bottom"/>
          </w:tcPr>
          <w:p>
            <w:pPr>
              <w:spacing w:after="0"/>
              <w:rPr>
                <w:sz w:val="17"/>
                <w:szCs w:val="17"/>
                <w:color w:val="auto"/>
              </w:rPr>
            </w:pP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(14,496 )</w:t>
            </w: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2021 activity</w:t>
            </w: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(538 )</w:t>
            </w: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2,964</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2,426</w:t>
            </w:r>
          </w:p>
        </w:tc>
        <w:tc>
          <w:tcPr>
            <w:tcW w:w="80" w:type="dxa"/>
            <w:vAlign w:val="bottom"/>
            <w:shd w:val="clear" w:color="auto" w:fill="CFF0FC"/>
          </w:tcPr>
          <w:p>
            <w:pPr>
              <w:spacing w:after="0"/>
              <w:rPr>
                <w:sz w:val="17"/>
                <w:szCs w:val="17"/>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4620" w:type="dxa"/>
            <w:vAlign w:val="bottom"/>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(6,358 )</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(5,712 )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(12,070 )</w:t>
            </w: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-976630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-959485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-976630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-959485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-976630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-959485</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-976630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-959485</wp:posOffset>
            </wp:positionV>
            <wp:extent cx="5143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-690880</wp:posOffset>
            </wp:positionV>
            <wp:extent cx="6032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-690880</wp:posOffset>
            </wp:positionV>
            <wp:extent cx="6032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-690880</wp:posOffset>
            </wp:positionV>
            <wp:extent cx="5143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-690880</wp:posOffset>
            </wp:positionV>
            <wp:extent cx="5143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-424815</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-424815</wp:posOffset>
            </wp:positionV>
            <wp:extent cx="6032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-424815</wp:posOffset>
            </wp:positionV>
            <wp:extent cx="5143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-159385</wp:posOffset>
            </wp:positionV>
            <wp:extent cx="6032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-159385</wp:posOffset>
            </wp:positionV>
            <wp:extent cx="6032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-159385</wp:posOffset>
            </wp:positionV>
            <wp:extent cx="5143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w w:val="93"/>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1,983</w:t>
            </w:r>
          </w:p>
        </w:tc>
        <w:tc>
          <w:tcPr>
            <w:tcW w:w="120" w:type="dxa"/>
            <w:vAlign w:val="bottom"/>
          </w:tcPr>
          <w:p>
            <w:pPr>
              <w:spacing w:after="0"/>
              <w:rPr>
                <w:sz w:val="16"/>
                <w:szCs w:val="16"/>
                <w:color w:val="auto"/>
              </w:rPr>
            </w:pP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8,172</w:t>
            </w:r>
          </w:p>
        </w:tc>
        <w:tc>
          <w:tcPr>
            <w:tcW w:w="2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17,707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9,921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foreign currency loss (gain)</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(526 )</w:t>
            </w: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6"/>
                <w:szCs w:val="16"/>
                <w:color w:val="auto"/>
              </w:rPr>
              <w:t>Net gain on interest rate swaps</w:t>
            </w:r>
          </w:p>
        </w:tc>
        <w:tc>
          <w:tcPr>
            <w:tcW w:w="32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(248 )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Impairment of intangible assets</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6"/>
                <w:szCs w:val="16"/>
                <w:color w:val="auto"/>
              </w:rPr>
              <w:t>Fair value adjustments to earnout liabilities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Earnout payments</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(587 )</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6"/>
                <w:szCs w:val="16"/>
                <w:color w:val="auto"/>
              </w:rPr>
              <w:t>(Gain) loss on sale of property and equipment</w:t>
            </w:r>
          </w:p>
        </w:tc>
        <w:tc>
          <w:tcPr>
            <w:tcW w:w="3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(83 )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Loss on divestitures</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6"/>
                <w:szCs w:val="16"/>
                <w:color w:val="auto"/>
              </w:rPr>
              <w:t>Amortization of debt discount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 based compensation expense</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1,758</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Inventory reserve expense</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380"/>
              <w:spacing w:after="0"/>
              <w:rPr>
                <w:sz w:val="20"/>
                <w:szCs w:val="20"/>
                <w:color w:val="auto"/>
              </w:rPr>
            </w:pPr>
            <w:r>
              <w:rPr>
                <w:rFonts w:ascii="Arial" w:cs="Arial" w:eastAsia="Arial" w:hAnsi="Arial"/>
                <w:sz w:val="16"/>
                <w:szCs w:val="16"/>
                <w:color w:val="auto"/>
              </w:rPr>
              <w:t>Deferred income tax expense (benefit)</w:t>
            </w:r>
          </w:p>
        </w:tc>
        <w:tc>
          <w:tcPr>
            <w:tcW w:w="320" w:type="dxa"/>
            <w:vAlign w:val="bottom"/>
          </w:tcPr>
          <w:p>
            <w:pPr>
              <w:spacing w:after="0"/>
              <w:rPr>
                <w:sz w:val="16"/>
                <w:szCs w:val="16"/>
                <w:color w:val="auto"/>
              </w:rPr>
            </w:pPr>
          </w:p>
        </w:tc>
        <w:tc>
          <w:tcPr>
            <w:tcW w:w="11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(940 )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(13,165 )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8,367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(15,616 )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 and estimated earnings of billings on uncompleted contracts</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(7,007 )</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(9,561 )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(5,029 )</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4,366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(207 )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(962 )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(7,097 )</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Deferred charges and other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(4,095 )</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336</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(4,028 )</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(17,635 )</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14,274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payable</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(1,671 )</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(882 )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(2,033 )</w:t>
            </w: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(2,246 )</w:t>
            </w:r>
          </w:p>
        </w:tc>
        <w:tc>
          <w:tcPr>
            <w:tcW w:w="0" w:type="dxa"/>
            <w:vAlign w:val="bottom"/>
          </w:tcPr>
          <w:p>
            <w:pPr>
              <w:spacing w:after="0"/>
              <w:rPr>
                <w:sz w:val="1"/>
                <w:szCs w:val="1"/>
                <w:color w:val="auto"/>
              </w:rPr>
            </w:pPr>
          </w:p>
        </w:tc>
      </w:tr>
      <w:tr>
        <w:trPr>
          <w:trHeight w:val="183"/>
        </w:trPr>
        <w:tc>
          <w:tcPr>
            <w:tcW w:w="666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13,298</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4,421</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10,227</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60" w:type="dxa"/>
            <w:vAlign w:val="bottom"/>
          </w:tcPr>
          <w:p>
            <w:pPr>
              <w:ind w:left="20"/>
              <w:spacing w:after="0" w:line="183" w:lineRule="exact"/>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 of property and equipment</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(2,616 )</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(3,945 )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(5,655 )</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Net proceeds from sale of assets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605</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for acquisitions</w:t>
            </w: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(5,895 )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60" w:type="dxa"/>
            <w:vAlign w:val="bottom"/>
          </w:tcPr>
          <w:p>
            <w:pPr>
              <w:ind w:left="380"/>
              <w:spacing w:after="0" w:line="183" w:lineRule="exact"/>
              <w:rPr>
                <w:sz w:val="20"/>
                <w:szCs w:val="20"/>
                <w:color w:val="auto"/>
              </w:rPr>
            </w:pPr>
            <w:r>
              <w:rPr>
                <w:rFonts w:ascii="Arial" w:cs="Arial" w:eastAsia="Arial" w:hAnsi="Arial"/>
                <w:sz w:val="16"/>
                <w:szCs w:val="16"/>
                <w:color w:val="auto"/>
              </w:rPr>
              <w:t>Net cash used in investing activities</w:t>
            </w:r>
          </w:p>
        </w:tc>
        <w:tc>
          <w:tcPr>
            <w:tcW w:w="320" w:type="dxa"/>
            <w:vAlign w:val="bottom"/>
          </w:tcPr>
          <w:p>
            <w:pPr>
              <w:spacing w:after="0"/>
              <w:rPr>
                <w:sz w:val="15"/>
                <w:szCs w:val="15"/>
                <w:color w:val="auto"/>
              </w:rPr>
            </w:pPr>
          </w:p>
        </w:tc>
        <w:tc>
          <w:tcPr>
            <w:tcW w:w="11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(2,083 )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(9,235 )</w:t>
            </w:r>
          </w:p>
        </w:tc>
        <w:tc>
          <w:tcPr>
            <w:tcW w:w="320" w:type="dxa"/>
            <w:vAlign w:val="bottom"/>
          </w:tcPr>
          <w:p>
            <w:pPr>
              <w:spacing w:after="0"/>
              <w:rPr>
                <w:sz w:val="15"/>
                <w:szCs w:val="15"/>
                <w:color w:val="auto"/>
              </w:rPr>
            </w:pPr>
          </w:p>
        </w:tc>
        <w:tc>
          <w:tcPr>
            <w:tcW w:w="11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(5,146 )</w:t>
            </w:r>
          </w:p>
        </w:tc>
        <w:tc>
          <w:tcPr>
            <w:tcW w:w="0" w:type="dxa"/>
            <w:vAlign w:val="bottom"/>
          </w:tcPr>
          <w:p>
            <w:pPr>
              <w:spacing w:after="0"/>
              <w:rPr>
                <w:sz w:val="1"/>
                <w:szCs w:val="1"/>
                <w:color w:val="auto"/>
              </w:rPr>
            </w:pPr>
          </w:p>
        </w:tc>
      </w:tr>
      <w:tr>
        <w:trPr>
          <w:trHeight w:val="183"/>
        </w:trPr>
        <w:tc>
          <w:tcPr>
            <w:tcW w:w="6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flows from financing activities:</w:t>
            </w: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Borrowings on revolving credit lines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51,400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96,000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45,300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Repayments on revolving credit lines.</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(57,100 )</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(86,800 )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(52,947 )</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Repayments of long-term debt</w:t>
            </w:r>
          </w:p>
        </w:tc>
        <w:tc>
          <w:tcPr>
            <w:tcW w:w="3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(2,738 )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(5,009 )</w:t>
            </w: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(2,950 )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financing fees paid</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(801 )</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(1,117 )</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Payments on capital leases and sale-leaseback financing liability</w:t>
            </w:r>
          </w:p>
        </w:tc>
        <w:tc>
          <w:tcPr>
            <w:tcW w:w="3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(603 )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(467 )</w:t>
            </w:r>
          </w:p>
        </w:tc>
        <w:tc>
          <w:tcPr>
            <w:tcW w:w="3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(478 )</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Earnout payments</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(823 )</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6660" w:type="dxa"/>
            <w:vAlign w:val="bottom"/>
          </w:tcPr>
          <w:p>
            <w:pPr>
              <w:ind w:left="200"/>
              <w:spacing w:after="0" w:line="152" w:lineRule="exact"/>
              <w:rPr>
                <w:sz w:val="20"/>
                <w:szCs w:val="20"/>
                <w:color w:val="auto"/>
              </w:rPr>
            </w:pPr>
            <w:r>
              <w:rPr>
                <w:rFonts w:ascii="Arial" w:cs="Arial" w:eastAsia="Arial" w:hAnsi="Arial"/>
                <w:sz w:val="16"/>
                <w:szCs w:val="16"/>
                <w:color w:val="auto"/>
              </w:rPr>
              <w:t>Proceeds from employee stock purchase plan, exercise of stock options,</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660" w:type="dxa"/>
            <w:vAlign w:val="bottom"/>
          </w:tcPr>
          <w:p>
            <w:pPr>
              <w:ind w:left="200"/>
              <w:spacing w:after="0"/>
              <w:rPr>
                <w:sz w:val="20"/>
                <w:szCs w:val="20"/>
                <w:color w:val="auto"/>
              </w:rPr>
            </w:pPr>
            <w:r>
              <w:rPr>
                <w:rFonts w:ascii="Arial" w:cs="Arial" w:eastAsia="Arial" w:hAnsi="Arial"/>
                <w:sz w:val="16"/>
                <w:szCs w:val="16"/>
                <w:color w:val="auto"/>
              </w:rPr>
              <w:t>and dividend reinvestment plan</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Distributions to non-controlling interest</w:t>
            </w:r>
          </w:p>
        </w:tc>
        <w:tc>
          <w:tcPr>
            <w:tcW w:w="3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(107 )</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rPr>
                <w:sz w:val="20"/>
                <w:szCs w:val="20"/>
                <w:color w:val="auto"/>
              </w:rPr>
            </w:pPr>
            <w:r>
              <w:rPr>
                <w:rFonts w:ascii="Arial" w:cs="Arial" w:eastAsia="Arial" w:hAnsi="Arial"/>
                <w:sz w:val="16"/>
                <w:szCs w:val="16"/>
                <w:color w:val="auto"/>
              </w:rPr>
              <w:t>Common stock repurchases</w:t>
            </w:r>
          </w:p>
        </w:tc>
        <w:tc>
          <w:tcPr>
            <w:tcW w:w="3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(5,014 )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660" w:type="dxa"/>
            <w:vAlign w:val="bottom"/>
            <w:tcBorders>
              <w:bottom w:val="single" w:sz="8" w:color="CFF0FC"/>
            </w:tcBorders>
            <w:shd w:val="clear" w:color="auto" w:fill="CFF0FC"/>
          </w:tcPr>
          <w:p>
            <w:pPr>
              <w:ind w:left="380"/>
              <w:spacing w:after="0" w:line="183" w:lineRule="exact"/>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(15,556</w:t>
            </w:r>
          </w:p>
        </w:tc>
        <w:tc>
          <w:tcPr>
            <w:tcW w:w="12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3,724</w:t>
            </w:r>
          </w:p>
        </w:tc>
        <w:tc>
          <w:tcPr>
            <w:tcW w:w="2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(12,116</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6660" w:type="dxa"/>
            <w:vAlign w:val="bottom"/>
          </w:tcPr>
          <w:p>
            <w:pPr>
              <w:ind w:left="20"/>
              <w:spacing w:after="0" w:line="183" w:lineRule="exact"/>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Pr>
          <w:p>
            <w:pPr>
              <w:spacing w:after="0"/>
              <w:rPr>
                <w:sz w:val="15"/>
                <w:szCs w:val="15"/>
                <w:color w:val="auto"/>
              </w:rPr>
            </w:pPr>
          </w:p>
        </w:tc>
        <w:tc>
          <w:tcPr>
            <w:tcW w:w="11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(1,475 )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1,943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(445 )</w:t>
            </w:r>
          </w:p>
        </w:tc>
        <w:tc>
          <w:tcPr>
            <w:tcW w:w="0" w:type="dxa"/>
            <w:vAlign w:val="bottom"/>
          </w:tcPr>
          <w:p>
            <w:pPr>
              <w:spacing w:after="0"/>
              <w:rPr>
                <w:sz w:val="1"/>
                <w:szCs w:val="1"/>
                <w:color w:val="auto"/>
              </w:rPr>
            </w:pPr>
          </w:p>
        </w:tc>
      </w:tr>
      <w:tr>
        <w:trPr>
          <w:trHeight w:val="183"/>
        </w:trPr>
        <w:tc>
          <w:tcPr>
            <w:tcW w:w="66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(5,816</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853</w:t>
            </w:r>
          </w:p>
        </w:tc>
        <w:tc>
          <w:tcPr>
            <w:tcW w:w="2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(7,480</w:t>
            </w:r>
          </w:p>
        </w:tc>
        <w:tc>
          <w:tcPr>
            <w:tcW w:w="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36,958</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cash equivalents and restricted cash at end of year</w:t>
            </w:r>
          </w:p>
        </w:tc>
        <w:tc>
          <w:tcPr>
            <w:tcW w:w="320" w:type="dxa"/>
            <w:vAlign w:val="bottom"/>
            <w:tcBorders>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31,995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37,811</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36,958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660" w:type="dxa"/>
            <w:vAlign w:val="bottom"/>
          </w:tcPr>
          <w:p>
            <w:pPr>
              <w:ind w:left="20"/>
              <w:spacing w:after="0" w:line="170" w:lineRule="exact"/>
              <w:rPr>
                <w:sz w:val="20"/>
                <w:szCs w:val="20"/>
                <w:color w:val="auto"/>
              </w:rPr>
            </w:pPr>
            <w:r>
              <w:rPr>
                <w:rFonts w:ascii="Arial" w:cs="Arial" w:eastAsia="Arial" w:hAnsi="Arial"/>
                <w:sz w:val="16"/>
                <w:szCs w:val="16"/>
                <w:color w:val="auto"/>
              </w:rPr>
              <w:t>Cash paid (received) during the period for:</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w:t>
            </w:r>
          </w:p>
        </w:tc>
        <w:tc>
          <w:tcPr>
            <w:tcW w:w="32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2,146</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3,172</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3,549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660" w:type="dxa"/>
            <w:vAlign w:val="bottom"/>
          </w:tcPr>
          <w:p>
            <w:pPr>
              <w:ind w:left="200"/>
              <w:spacing w:after="0"/>
              <w:rPr>
                <w:sz w:val="20"/>
                <w:szCs w:val="20"/>
                <w:color w:val="auto"/>
              </w:rPr>
            </w:pPr>
            <w:r>
              <w:rPr>
                <w:rFonts w:ascii="Arial" w:cs="Arial" w:eastAsia="Arial" w:hAnsi="Arial"/>
                <w:sz w:val="16"/>
                <w:szCs w:val="16"/>
                <w:color w:val="auto"/>
              </w:rPr>
              <w:t>Income taxes</w:t>
            </w:r>
          </w:p>
        </w:tc>
        <w:tc>
          <w:tcPr>
            <w:tcW w:w="32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(2,570 )</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2,156</w:t>
            </w:r>
          </w:p>
        </w:tc>
        <w:tc>
          <w:tcPr>
            <w:tcW w:w="200" w:type="dxa"/>
            <w:vAlign w:val="bottom"/>
          </w:tcPr>
          <w:p>
            <w:pPr>
              <w:spacing w:after="0"/>
              <w:rPr>
                <w:sz w:val="15"/>
                <w:szCs w:val="15"/>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5,908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-3013710</wp:posOffset>
            </wp:positionV>
            <wp:extent cx="5143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-3013710</wp:posOffset>
            </wp:positionV>
            <wp:extent cx="514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-3013710</wp:posOffset>
            </wp:positionV>
            <wp:extent cx="514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-2525395</wp:posOffset>
            </wp:positionV>
            <wp:extent cx="514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-2525395</wp:posOffset>
            </wp:positionV>
            <wp:extent cx="5143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-2525395</wp:posOffset>
            </wp:positionV>
            <wp:extent cx="514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-956310</wp:posOffset>
            </wp:positionV>
            <wp:extent cx="5143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-956310</wp:posOffset>
            </wp:positionV>
            <wp:extent cx="514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-956310</wp:posOffset>
            </wp:positionV>
            <wp:extent cx="5143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-453390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-436880</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-453390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-436880</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-453390</wp:posOffset>
            </wp:positionV>
            <wp:extent cx="514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-436880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-179705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-162560</wp:posOffset>
            </wp:positionV>
            <wp:extent cx="514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-179705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-162560</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-179705</wp:posOffset>
            </wp:positionV>
            <wp:extent cx="514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-162560</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00" w:lineRule="exact"/>
        <w:rPr>
          <w:sz w:val="20"/>
          <w:szCs w:val="20"/>
          <w:color w:val="auto"/>
        </w:rPr>
      </w:pPr>
    </w:p>
    <w:p>
      <w:pPr>
        <w:spacing w:after="0" w:line="235"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w:t>
      </w:r>
    </w:p>
    <w:p>
      <w:pPr>
        <w:spacing w:after="0" w:line="21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Nature of business</w:t>
      </w:r>
      <w:r>
        <w:rPr>
          <w:rFonts w:ascii="Arial" w:cs="Arial" w:eastAsia="Arial" w:hAnsi="Arial"/>
          <w:sz w:val="18"/>
          <w:szCs w:val="18"/>
          <w:color w:val="auto"/>
        </w:rPr>
        <w:t>— CECO Environmental Corp. and its consolidated subsidiaries (“CECO,” the “Company,” “we,” “us,” or “our”) is a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environmentally focused, diversified industrial company whose solutions protect people, the environment, and industrial equipment. CECO provides innovative technology and application expertise that helps companies grow their businesses with safe, clean, and more efficient solutions to help protect our shared environment. CECO serves both established and emerging industries in regions around the world working to improve air quality, optimize the energy value chain, and provide customized engineered solutions in multiple applications that include power generation, petrochemical processing, general industrial, midstream, refining, oil &amp; gas, electric vehicle production, poly silicon fabrication, battery recycling, and wastewater treatment, along with a wide range of other industries.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16" w:lineRule="exact"/>
        <w:rPr>
          <w:sz w:val="20"/>
          <w:szCs w:val="20"/>
          <w:color w:val="auto"/>
        </w:rPr>
      </w:pPr>
    </w:p>
    <w:p>
      <w:pPr>
        <w:jc w:val="both"/>
        <w:ind w:right="280"/>
        <w:spacing w:after="0" w:line="294" w:lineRule="auto"/>
        <w:rPr>
          <w:sz w:val="20"/>
          <w:szCs w:val="20"/>
          <w:color w:val="auto"/>
        </w:rPr>
      </w:pPr>
      <w:r>
        <w:rPr>
          <w:rFonts w:ascii="Arial" w:cs="Arial" w:eastAsia="Arial" w:hAnsi="Arial"/>
          <w:sz w:val="16"/>
          <w:szCs w:val="16"/>
          <w:color w:val="auto"/>
        </w:rPr>
        <w:t>A novel strain of coronavirus (“COVID-19”) surfaced in late 2019 and has spread around the world, including to the United States. In March 2020, the World Health Organization characterized COVID-19 as a pandemic. As of December 31, 2021, the virus, including new emerging variants, continues to spread and has had a significant impact on worldwide economic activity, on macroeconomic conditions and the end markets of our business.</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outbreak and a continued spread of COVID-19 has resulted in a substantial curtailment of business activities worldwide and has caused weakened economic conditions, both in the United States and abroad. Although vaccines are available in various countries where we operate, it is possible the COVID-19 pandemic may continue to have a negative impact on the Company's ongoing operations and the end markets in which it serves. However, the full impact of the COVID-19 pandemic continues to evolve as of the date of this filing, and as such, it is uncertain as to the full magnitude or lasting impact that the pandemic will have on the Company’s financial condition, liquidity, and future results of operations. Management is actively monitoring the impact of the pandemic on its financial condition, liquidity, operations, suppliers, industry, and workforce.</w:t>
      </w:r>
    </w:p>
    <w:p>
      <w:pPr>
        <w:spacing w:after="0" w:line="17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—Our consolidated financial statements include the Company and its controlled subsidiaries. All intercompany balances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have been eliminated.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Unless indicated, all balances within tables are in thousands except per share amounts.</w:t>
      </w:r>
    </w:p>
    <w:p>
      <w:pPr>
        <w:spacing w:after="0" w:line="212"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—We consider all highly liquid investments with original maturities of three months or less to be cash equivalents. At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 Restricted Cash is cash in support of letters of credit issued by various foreign subsidiaries of the Company. The Company occasionally enters into letters of credit with durations in excess of one year.</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Statements of Cash Flows.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80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Cash and cash equivalents</w:t>
            </w:r>
          </w:p>
        </w:tc>
        <w:tc>
          <w:tcPr>
            <w:tcW w:w="920" w:type="dxa"/>
            <w:vAlign w:val="bottom"/>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29,902</w:t>
            </w: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35,992</w:t>
            </w:r>
          </w:p>
        </w:tc>
        <w:tc>
          <w:tcPr>
            <w:tcW w:w="100" w:type="dxa"/>
            <w:vAlign w:val="bottom"/>
            <w:shd w:val="clear" w:color="auto" w:fill="CFF0FC"/>
          </w:tcPr>
          <w:p>
            <w:pPr>
              <w:spacing w:after="0"/>
              <w:rPr>
                <w:sz w:val="17"/>
                <w:szCs w:val="17"/>
                <w:color w:val="auto"/>
              </w:rPr>
            </w:pPr>
          </w:p>
        </w:tc>
      </w:tr>
      <w:tr>
        <w:trPr>
          <w:trHeight w:val="203"/>
        </w:trPr>
        <w:tc>
          <w:tcPr>
            <w:tcW w:w="800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92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2,093</w:t>
            </w:r>
          </w:p>
        </w:tc>
        <w:tc>
          <w:tcPr>
            <w:tcW w:w="6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1,819</w:t>
            </w:r>
          </w:p>
        </w:tc>
        <w:tc>
          <w:tcPr>
            <w:tcW w:w="100" w:type="dxa"/>
            <w:vAlign w:val="bottom"/>
          </w:tcPr>
          <w:p>
            <w:pPr>
              <w:spacing w:after="0"/>
              <w:rPr>
                <w:sz w:val="17"/>
                <w:szCs w:val="17"/>
                <w:color w:val="auto"/>
              </w:rPr>
            </w:pPr>
          </w:p>
        </w:tc>
      </w:tr>
      <w:tr>
        <w:trPr>
          <w:trHeight w:val="236"/>
        </w:trPr>
        <w:tc>
          <w:tcPr>
            <w:tcW w:w="80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920" w:type="dxa"/>
            <w:vAlign w:val="bottom"/>
            <w:tcBorders>
              <w:top w:val="single" w:sz="8" w:color="auto"/>
              <w:bottom w:val="single" w:sz="8" w:color="auto"/>
            </w:tcBorders>
            <w:shd w:val="clear" w:color="auto" w:fill="CFF0FC"/>
          </w:tcPr>
          <w:p>
            <w:pPr>
              <w:jc w:val="right"/>
              <w:ind w:right="73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31,995</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37,811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Accounts Receivable</w:t>
      </w:r>
      <w:r>
        <w:rPr>
          <w:rFonts w:ascii="Arial" w:cs="Arial" w:eastAsia="Arial" w:hAnsi="Arial"/>
          <w:sz w:val="18"/>
          <w:szCs w:val="18"/>
          <w:color w:val="auto"/>
        </w:rPr>
        <w:t>—Receivables are generally uncollateralized customer obligations due under normal terms requiring payment generally within 30 days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invoice date unless otherwise determined by specific contract terms, generally due to retainage provisions. The Company’s estimate of the allowance for doubtful accounts for trade receivables is primarily determined based upon the length of time that the receivables are past due. In addition, management estimates are used to determine probable losses based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8" w:name="page59"/>
    <w:bookmarkEnd w:id="58"/>
    <w:p>
      <w:pPr>
        <w:ind w:right="160"/>
        <w:spacing w:after="0" w:line="261" w:lineRule="auto"/>
        <w:rPr>
          <w:sz w:val="20"/>
          <w:szCs w:val="20"/>
          <w:color w:val="auto"/>
        </w:rPr>
      </w:pPr>
      <w:r>
        <w:rPr>
          <w:rFonts w:ascii="Arial" w:cs="Arial" w:eastAsia="Arial" w:hAnsi="Arial"/>
          <w:sz w:val="18"/>
          <w:szCs w:val="18"/>
          <w:color w:val="auto"/>
        </w:rPr>
        <w:t>upon an analysis of prior collection experience, specific account risks and economic conditions. Accounts are deemed uncollectible based on past account experience and the current financial condition of the account.</w:t>
      </w:r>
    </w:p>
    <w:p>
      <w:pPr>
        <w:spacing w:after="0" w:line="17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—The Company’s inventory is valued at the lower of cost or net realizable value, using the first-in, first-out inventory costing method.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quantities are regularly reviewed and provisions for excess or obsolete inventory are recorded based on the Company’s forecast of future demand and market conditions. Significant unanticipated changes to the Company’s forecasts could require a change in the provision for excess or obsolete inventory.</w:t>
      </w:r>
    </w:p>
    <w:p>
      <w:pPr>
        <w:spacing w:after="0" w:line="188"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i w:val="1"/>
          <w:iCs w:val="1"/>
          <w:color w:val="auto"/>
        </w:rPr>
        <w:t>Assets Held for Sale</w:t>
      </w:r>
      <w:r>
        <w:rPr>
          <w:rFonts w:ascii="Arial" w:cs="Arial" w:eastAsia="Arial" w:hAnsi="Arial"/>
          <w:sz w:val="18"/>
          <w:szCs w:val="18"/>
          <w:color w:val="auto"/>
        </w:rPr>
        <w:t>—The Company classifies properties as held for sale when certain criteria are met. At such time, the properties, including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that are expected to be transferred as part of a sale transaction, are presented separately on the Consolidated Balance Sheets at the lower of carrying value or estimated fair value less costs to sell and depreciation is no longer recognized.</w:t>
      </w:r>
    </w:p>
    <w:p>
      <w:pPr>
        <w:spacing w:after="0" w:line="18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Property, plant and equipment</w:t>
      </w:r>
      <w:r>
        <w:rPr>
          <w:rFonts w:ascii="Arial" w:cs="Arial" w:eastAsia="Arial" w:hAnsi="Arial"/>
          <w:sz w:val="18"/>
          <w:szCs w:val="18"/>
          <w:color w:val="auto"/>
        </w:rPr>
        <w:t>—Property, plant and equipment are carried at the cost of acquisition or construction and depreciated over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lives of the assets. Depreciation and amortization are provided using the straight-line method in amounts sufficient to amortize the cost of the assets over their estimated useful lives (buildings and improvements—generally five to 40 years; machinery and equipment—generally two to 15 years). Upon sale or disposal of property, plant and equipment, the applicable amounts of asset cost and accumulated depreciation are removed from the accounts, and the net amount, less any proceeds from sale, is recorded in income.</w:t>
      </w:r>
    </w:p>
    <w:p>
      <w:pPr>
        <w:spacing w:after="0" w:line="189" w:lineRule="exact"/>
        <w:rPr>
          <w:sz w:val="20"/>
          <w:szCs w:val="20"/>
          <w:color w:val="auto"/>
        </w:rPr>
      </w:pPr>
    </w:p>
    <w:p>
      <w:pPr>
        <w:jc w:val="both"/>
        <w:ind w:right="140"/>
        <w:spacing w:after="0" w:line="248" w:lineRule="auto"/>
        <w:rPr>
          <w:sz w:val="20"/>
          <w:szCs w:val="20"/>
          <w:color w:val="auto"/>
        </w:rPr>
      </w:pPr>
      <w:r>
        <w:rPr>
          <w:rFonts w:ascii="Arial" w:cs="Arial" w:eastAsia="Arial" w:hAnsi="Arial"/>
          <w:sz w:val="18"/>
          <w:szCs w:val="18"/>
          <w:i w:val="1"/>
          <w:iCs w:val="1"/>
          <w:color w:val="auto"/>
        </w:rPr>
        <w:t>Intangible assets</w:t>
      </w:r>
      <w:r>
        <w:rPr>
          <w:rFonts w:ascii="Arial" w:cs="Arial" w:eastAsia="Arial" w:hAnsi="Arial"/>
          <w:sz w:val="18"/>
          <w:szCs w:val="18"/>
          <w:color w:val="auto"/>
        </w:rPr>
        <w:t>— Indefinite life intangible assets are comprised of tradenames, while finite life intangible assets are comprised of technology,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lists, and tradenames. Finite life intangible assets are amortized on a straight line or accelerated basis over their estimated useful lives of seven to 10 years for technology, five to 20 years for customer lists, and 10 years for tradenames.</w:t>
      </w:r>
    </w:p>
    <w:p>
      <w:pPr>
        <w:spacing w:after="0" w:line="182"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i w:val="1"/>
          <w:iCs w:val="1"/>
          <w:color w:val="auto"/>
        </w:rPr>
        <w:t>Long-lived assets</w:t>
      </w:r>
      <w:r>
        <w:rPr>
          <w:rFonts w:ascii="Arial" w:cs="Arial" w:eastAsia="Arial" w:hAnsi="Arial"/>
          <w:sz w:val="16"/>
          <w:szCs w:val="16"/>
          <w:color w:val="auto"/>
        </w:rPr>
        <w:t>—Property, plant and equipment and finite life intangible assets are reviewed whenever events or changes in circumstances occur that</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possible impairment. If events or changes in circumstances occur that indicate possible impairment, our impairment review is based on an undiscounted cash flow analysis at the lowest level at which cash flows of the long-lived assets are largely independent of other groups of our assets and liabilities. This analysis requires management judgment with respect to changes in technology, the continued success of product lines, and future volume, revenue and expense growth rates. We conduct annual reviews for idle and underutilized equipment, and review business plans for possible impairment. Impairment occurs when the carrying value of the assets exceeds the future undiscounted cash flows expected to be earned by the use of the asset or asset group.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6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Additionally, the Company evaluates the remaining useful life each reporting period to determine whether events and circumstances warrant a revision to the remaining period of depreciation or amortization. If the estimate of a long-lived asset’s remaining useful life is changed, the remaining carrying amount of the asset is amortized prospectively over that revised remaining useful life.</w:t>
      </w:r>
    </w:p>
    <w:p>
      <w:pPr>
        <w:spacing w:after="0" w:line="18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Company completes an annual (or more often if circumstances require) impairment assessment on October 1 of its indefinite life intangible assets. As a part of its annual assessment, typically, the Company first qualitatively assesses whether current events or changes in circumstances lead to a determination that it is more likely than not (defined as a likelihood of more than 50 percent) that the fair value of an asset is less than its carrying amount. If there is a qualitative determination that the fair value of a particular asset is more likely than not greater than its carrying value, we do not need to proceed to the quantitative estimated fair value test for that asset. If this qualitative assessment indicates a more likely than not potential that the asset may be impaired, the estimated fair value is determined by the relief from royalty method. If the estimated fair value of an asset is less than its carrying value, an impairment charge is recorded for the amount by which the carrying value of the asset exceeds its estimated fair value.</w:t>
      </w:r>
    </w:p>
    <w:p>
      <w:pPr>
        <w:spacing w:after="0" w:line="163"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During 2021, our annual impairment test indicated no impairment. In 2020, we recorded an impairment charge of $0.9 million related to one of our indefinite-lived tradenames for the year ended December 31, 2020. There was no impairment recorded during the years ended December 31, 2019. For additional information on impairment testing results, see Note 6 to the Consolidated Financial Statements.</w:t>
      </w:r>
    </w:p>
    <w:p>
      <w:pPr>
        <w:spacing w:after="0" w:line="164"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—The Company completes an annual (or more often if circumstances require) impairment assessment on October 1 of its goodwill on a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unit level, at or below the operating segment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goodwill impairment for that reporting unit. If this qualitative assessment indicates a more likely than not potential that the asset may be impaired, the estimated fair value is determined using a weighting of the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color w:val="auto"/>
        </w:rPr>
        <w:t>method and the market method. If the estimated fair value of a reporting unit is less than its carrying value, an impairment charge is recorded.</w:t>
      </w:r>
    </w:p>
    <w:p>
      <w:pPr>
        <w:spacing w:after="0" w:line="223"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Deferred financing costs</w:t>
      </w:r>
      <w:r>
        <w:rPr>
          <w:rFonts w:ascii="Arial" w:cs="Arial" w:eastAsia="Arial" w:hAnsi="Arial"/>
          <w:sz w:val="16"/>
          <w:szCs w:val="16"/>
          <w:color w:val="auto"/>
        </w:rPr>
        <w:t>—Deferred financing costs are amortized to interest expense over the life of the related loan. In fiscal 2021, the Company entered</w:t>
      </w:r>
      <w:r>
        <w:rPr>
          <w:rFonts w:ascii="Arial" w:cs="Arial" w:eastAsia="Arial" w:hAnsi="Arial"/>
          <w:sz w:val="16"/>
          <w:szCs w:val="16"/>
          <w:i w:val="1"/>
          <w:iCs w:val="1"/>
          <w:color w:val="auto"/>
        </w:rPr>
        <w:t xml:space="preserve"> </w:t>
      </w:r>
      <w:r>
        <w:rPr>
          <w:rFonts w:ascii="Arial" w:cs="Arial" w:eastAsia="Arial" w:hAnsi="Arial"/>
          <w:sz w:val="16"/>
          <w:szCs w:val="16"/>
          <w:color w:val="auto"/>
        </w:rPr>
        <w:t>into Amendment No.2 to the Second Amended and Restated Credit Agreement (the “Credit Facility”). The Credit Facility amended the Company’s existing Amendment No. 1 to Second Amended and Restated Agreement. In connection with the Credit Facility, the Company incurred $0.8 million in customary closing fees in 2021 that were capitalized and classified as a debt discount (see Note 8 for further details on the Credit Facility). Amortization expense was $0.4 million, $0.4 million and $1.1 million for 2021, 2020 and 2019, respectively. As of December 31, 2021, and 2020, remaining capitalized deferred financing costs of $1.7 million and $1.3 million, respectively, are included as a discount to debt in the accompanying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A significant portion of our revenue is derived from fixed-price contracts. We account for a contract after it has been approved by all parties to the arrangement, the rights of the parties are identified, payment terms are identified, the contract has commercial substance and collectability of consideration is probable.</w:t>
      </w:r>
    </w:p>
    <w:p>
      <w:pPr>
        <w:spacing w:after="0" w:line="18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For each contract, we assess the goods and services promised to a customer and identify a performance obligation for each distinct promised good or service. The typical life of our contracts is generally less than 12 months and each contract generally contains only one performance obligation, to provide goods or services to the customer. We determine the transaction price for each contract based on the consideration we expect to receive for the products or services being provided under the contract.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recognize revenue as performance obligations are satisfied and the customer obtains control of the products and services. A significant amount of our revenue is recognized over a period of time as we perform under the contract because control of the work in process transfers continuously to the customer. For performance obligations to deliver products with continuous transfer of control to the customer, revenue is recognized based on the extent of progress towards completion of the performance obligation. Progress is measured based on the ratio of costs incurred to date to the total estimated costs to complete the performance obligation. For these contracts, the cost-to-cost measure best depicts the continuous transfer of goods or services to the customer. Annual revenue recognized over a period of time is approximately 70%.</w:t>
      </w:r>
    </w:p>
    <w:p>
      <w:pPr>
        <w:spacing w:after="0" w:line="175"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For contracts where the duration is short, total contract revenue is insignificant, or control does not continuously transfer to the customer, revenues are recognized at the point in time control passes to the customer, which occurs generally upon shipment of product. Annual revenue recognized at a point in time is approximately 30%.</w:t>
      </w:r>
    </w:p>
    <w:p>
      <w:pPr>
        <w:spacing w:after="0" w:line="1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Progress payments are generally made over the duration of the contract. Shipping and handling activities after control of the products has transferred to the customer are considered fulfillment activities. Sales taxes are recorded on a net basis.</w:t>
      </w:r>
    </w:p>
    <w:p>
      <w:pPr>
        <w:spacing w:after="0" w:line="17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i w:val="1"/>
          <w:iCs w:val="1"/>
          <w:color w:val="auto"/>
        </w:rPr>
        <w:t xml:space="preserve">Contract Assets and Contract Liabilities </w:t>
      </w:r>
      <w:r>
        <w:rPr>
          <w:rFonts w:ascii="Arial" w:cs="Arial" w:eastAsia="Arial" w:hAnsi="Arial"/>
          <w:sz w:val="16"/>
          <w:szCs w:val="16"/>
          <w:color w:val="auto"/>
        </w:rPr>
        <w:t>— Contract assets consist of costs and earnings in excess of billings, costs incurred for contracts recognized at a</w:t>
      </w:r>
      <w:r>
        <w:rPr>
          <w:rFonts w:ascii="Arial" w:cs="Arial" w:eastAsia="Arial" w:hAnsi="Arial"/>
          <w:sz w:val="16"/>
          <w:szCs w:val="16"/>
          <w:i w:val="1"/>
          <w:iCs w:val="1"/>
          <w:color w:val="auto"/>
        </w:rPr>
        <w:t xml:space="preserve"> </w:t>
      </w:r>
      <w:r>
        <w:rPr>
          <w:rFonts w:ascii="Arial" w:cs="Arial" w:eastAsia="Arial" w:hAnsi="Arial"/>
          <w:sz w:val="16"/>
          <w:szCs w:val="16"/>
          <w:color w:val="auto"/>
        </w:rPr>
        <w:t>point in time, and retainage. Costs and earnings in excess of billings represent the estimated value of unbilled work for contracts with performance obligations recognized over time and are separately classified as current assets in the Consolidated Balance Sheets. Costs incurred for contracts recognized at a point in time are classified within inventories as work-in-process. Retainage represents a portion of the contract billings that have been billed, but for which the contract allows the customer to retain a portion of the billed amount until final settlement. Retainage is not considered to be a significant financing component because the intent is to protect the customer. Retainage is classified within accounts receivable and deferred charges and other assets depending on when it is due. Almost all of the Company’s contract assets are classified as current assets in the Consolidated Balance Sheets.</w:t>
      </w:r>
    </w:p>
    <w:p>
      <w:pPr>
        <w:spacing w:after="0" w:line="163"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color w:val="auto"/>
        </w:rPr>
        <w:t>Billings in excess of costs and estimated earnings on uncompleted contracts are current liabilities, which relate to fixed-price contracts recognized over time, and represents payments in advance of performing the related contract work. Billings in excess of costs and estimated earnings on uncompleted contracts is not considered to be a significant financing component because it is generally used to meet working capital demands that can be higher in the early stages of a contract. Contract liabilities, classified in accounts payable and accrued expenses in the Consolidated Balance Sheets, include advance payments received from customers for which revenue has not been recognized for contracts where revenue is recognized at a point in time. Contract liabilities are reduced when the associated revenue from the contract is recognized, which is generally within one year.</w:t>
      </w:r>
    </w:p>
    <w:p>
      <w:pPr>
        <w:spacing w:after="0" w:line="16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revenue streams within the Company are consistent with those disclosed for our reportable segments. See Note 16 to the Consolidated Financial Statements for additional information on product offerings and segments.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jc w:val="both"/>
        <w:ind w:right="340"/>
        <w:spacing w:after="0" w:line="270" w:lineRule="auto"/>
        <w:rPr>
          <w:sz w:val="20"/>
          <w:szCs w:val="20"/>
          <w:color w:val="auto"/>
        </w:rPr>
      </w:pPr>
      <w:r>
        <w:rPr>
          <w:rFonts w:ascii="Arial" w:cs="Arial" w:eastAsia="Arial" w:hAnsi="Arial"/>
          <w:sz w:val="17"/>
          <w:szCs w:val="17"/>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There was no provision for estimated losses on uncompleted contracts at December 31, 2021 and 2020.</w:t>
      </w:r>
    </w:p>
    <w:p>
      <w:pPr>
        <w:spacing w:after="0" w:line="16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—Cost of sales amounts include materials, subcontract costs, direct labor and associated benefits, inbound freight charges, purchasing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inspection, warehousing, and depreciation.</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i w:val="1"/>
          <w:iCs w:val="1"/>
          <w:color w:val="auto"/>
        </w:rPr>
        <w:t>Claims</w:t>
      </w:r>
      <w:r>
        <w:rPr>
          <w:rFonts w:ascii="Arial" w:cs="Arial" w:eastAsia="Arial" w:hAnsi="Arial"/>
          <w:sz w:val="17"/>
          <w:szCs w:val="17"/>
          <w:color w:val="auto"/>
        </w:rPr>
        <w:t>—Change orders arise when the scope of the original project is modified for any of a variety of reasons. The Company will negotiate the extent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modifications, its expected costs and recovery with the customer. Costs related to change orders are added to the expected total cost of the project.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w:t>
      </w:r>
    </w:p>
    <w:p>
      <w:pPr>
        <w:spacing w:after="0" w:line="18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The Company recognizes certain significant claims for recovery of incurred costs when it is probable that the claim will result in additional contract revenue and when the amount of the claim can be reliably estimated. When the customer or other parties agree in writing to the amount of the claim to be recovered by the Company, the amount of the claim becomes contractual and is accounted for as an increase in the contract’s total estimated revenue and estimated cost. As actual costs are incurred and revenues are recognized over time, a corresponding percentage of the revised total estimated profit will therefore be recognized.</w:t>
      </w:r>
    </w:p>
    <w:p>
      <w:pPr>
        <w:spacing w:after="0" w:line="189"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color w:val="auto"/>
        </w:rPr>
        <w:t>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w:t>
      </w:r>
    </w:p>
    <w:p>
      <w:pPr>
        <w:spacing w:after="0" w:line="12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i w:val="1"/>
          <w:iCs w:val="1"/>
          <w:color w:val="auto"/>
        </w:rPr>
        <w:t>Pre-contract costs</w:t>
      </w:r>
      <w:r>
        <w:rPr>
          <w:rFonts w:ascii="Arial" w:cs="Arial" w:eastAsia="Arial" w:hAnsi="Arial"/>
          <w:sz w:val="16"/>
          <w:szCs w:val="16"/>
          <w:color w:val="auto"/>
        </w:rPr>
        <w:t>—Pre-contract costs are not significant and are primarily internal costs. As most of the Company’s contracts are one year or 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expenses all pre-contract costs as incurred regardless of whether or not the bids are successful. A majority of our business is obtained through a bidding process and this activity is on-going with multiple bids in process at any one time. These costs consist primarily of engineering, sales and project manager wages, fringes and general corporate overhead and it is deemed impractical to track activities related to any one specific contract.</w:t>
      </w:r>
    </w:p>
    <w:p>
      <w:pPr>
        <w:spacing w:after="0" w:line="15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i w:val="1"/>
          <w:iCs w:val="1"/>
          <w:color w:val="auto"/>
        </w:rPr>
        <w:t>Selling and administrative expenses</w:t>
      </w:r>
      <w:r>
        <w:rPr>
          <w:rFonts w:ascii="Arial" w:cs="Arial" w:eastAsia="Arial" w:hAnsi="Arial"/>
          <w:sz w:val="18"/>
          <w:szCs w:val="18"/>
          <w:color w:val="auto"/>
        </w:rPr>
        <w:t>—Selling and administrative expenses on the Consolidated Statements of Income include sales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wages and associated benefits, selling and office expenses, professional fees, bad debt expense and depreciation. Selling and administrative expenses are charged to expense as incurred.</w:t>
      </w:r>
    </w:p>
    <w:p>
      <w:pPr>
        <w:spacing w:after="0" w:line="18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i w:val="1"/>
          <w:iCs w:val="1"/>
          <w:color w:val="auto"/>
        </w:rPr>
        <w:t>Acquisition and integration expenses</w:t>
      </w:r>
      <w:r>
        <w:rPr>
          <w:rFonts w:ascii="Arial" w:cs="Arial" w:eastAsia="Arial" w:hAnsi="Arial"/>
          <w:sz w:val="18"/>
          <w:szCs w:val="18"/>
          <w:color w:val="auto"/>
        </w:rPr>
        <w:t>—Acquisition and integration expenses on the Consolidated Statements of Income are related to acquisition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legal, accounting, and other expenses.</w:t>
      </w:r>
    </w:p>
    <w:p>
      <w:pPr>
        <w:spacing w:after="0" w:line="17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i w:val="1"/>
          <w:iCs w:val="1"/>
          <w:color w:val="auto"/>
        </w:rPr>
        <w:t>Amortization and earnout expenses</w:t>
      </w:r>
      <w:r>
        <w:rPr>
          <w:rFonts w:ascii="Arial" w:cs="Arial" w:eastAsia="Arial" w:hAnsi="Arial"/>
          <w:sz w:val="18"/>
          <w:szCs w:val="18"/>
          <w:color w:val="auto"/>
        </w:rPr>
        <w:t>—Amortization and earnout expenses on the Consolidated Statements of Income include amortization of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changes to earnout and contingent compensation amounts related to acquisitions.</w:t>
      </w:r>
    </w:p>
    <w:p>
      <w:pPr>
        <w:spacing w:after="0" w:line="171"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i w:val="1"/>
          <w:iCs w:val="1"/>
          <w:color w:val="auto"/>
        </w:rPr>
        <w:t>Restructuring expenses</w:t>
      </w:r>
      <w:r>
        <w:rPr>
          <w:rFonts w:ascii="Arial" w:cs="Arial" w:eastAsia="Arial" w:hAnsi="Arial"/>
          <w:sz w:val="16"/>
          <w:szCs w:val="16"/>
          <w:color w:val="auto"/>
        </w:rPr>
        <w:t>—Restructuring expenses on the Consolidated Statements of Income include expenses related to an ongoing restructuring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to reduce operating costs in the future. Within restructuring expenses are charges related to severance, facility exit, legal and property, plant and equipment impairment. The Company’s policy is to recognize restructuring expenses in accordance with the accounting rules related to exit or disposal activities.</w:t>
      </w:r>
    </w:p>
    <w:p>
      <w:pPr>
        <w:spacing w:after="0" w:line="147"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i w:val="1"/>
          <w:iCs w:val="1"/>
          <w:color w:val="auto"/>
        </w:rPr>
        <w:t>Executive transition expenses</w:t>
      </w:r>
      <w:r>
        <w:rPr>
          <w:rFonts w:ascii="Arial" w:cs="Arial" w:eastAsia="Arial" w:hAnsi="Arial"/>
          <w:sz w:val="16"/>
          <w:szCs w:val="16"/>
          <w:color w:val="auto"/>
        </w:rPr>
        <w:t>—Executive transition expenses on the Consolidated Statements of Income include expenses related to the severance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former Chief Executive Officer, as well as fees and expenses incurred in the search for, and hiring of, a new Chief Executive Officer.</w:t>
      </w:r>
    </w:p>
    <w:p>
      <w:pPr>
        <w:spacing w:after="0" w:line="12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Product Warranties</w:t>
      </w:r>
      <w:r>
        <w:rPr>
          <w:rFonts w:ascii="Arial" w:cs="Arial" w:eastAsia="Arial" w:hAnsi="Arial"/>
          <w:sz w:val="18"/>
          <w:szCs w:val="18"/>
          <w:color w:val="auto"/>
        </w:rPr>
        <w:t>—The Company’s warranty reserve is to cover the products sold. The warranty accrual is based on historical claims information.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warranty reserve is reviewed and adjusted as necessary on a quarterly basis and is presented within Note 7.</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1" w:name="page62"/>
    <w:bookmarkEnd w:id="61"/>
    <w:p>
      <w:pPr>
        <w:spacing w:after="0"/>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—Although not technically defined as research and development, a significant amount of time, effort and expense is devoted to</w:t>
      </w:r>
    </w:p>
    <w:p>
      <w:pPr>
        <w:spacing w:after="0" w:line="35" w:lineRule="exact"/>
        <w:rPr>
          <w:sz w:val="20"/>
          <w:szCs w:val="20"/>
          <w:color w:val="auto"/>
        </w:rPr>
      </w:pPr>
    </w:p>
    <w:p>
      <w:pPr>
        <w:ind w:right="160" w:firstLine="8"/>
        <w:spacing w:after="0" w:line="243"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custom engineering which qualifies products for specific customer applications, (b) developing proprietary process technology and (c) partnering with customers to develop new products.</w:t>
      </w:r>
    </w:p>
    <w:p>
      <w:pPr>
        <w:spacing w:after="0" w:line="186"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Income taxes are determined using the asset and liability method of accounting for income taxes in accordance with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Board (“FASB”), Accounting Standards Codification (“ASC”) Topic 740, “Income Taxes”. Income tax expense includes federal, state and foreign income taxes.</w:t>
      </w:r>
    </w:p>
    <w:p>
      <w:pPr>
        <w:spacing w:after="0" w:line="18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Deferred income taxes are provided using the asset and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and are measured using enacted tax rates expected to apply to taxable income in the year in which those temporary differences are expected to be recovered or settled. Deferred tax assets and liabilities are adjusted for the effects of changes in tax laws and rates on the date of enactment. Tax credits and other incentives reduce income tax expense in the year the credits are claimed.</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Management must assess the need to accrue or disclose uncertain tax positions for proposed potential adjustments from various federal, state and foreign tax authorities who regularly audit the Company in the normal course of business. In making these assessments, management must often analyze complex tax laws of multiple jurisdictions, including many foreign jurisdictions. The accounting guidance prescribes a recognition threshold and measurement attribute for the financial statement recognition and measurement of a tax position taken or expected to be taken in a tax return. The Company records the related interest expense and penalties, if any, as tax expense in the tax provision.</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Management must assess the realizability of the Company’s deferred tax assets.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The amount of the deferred tax assets considered realizable, however, could be reduced in the near term if estimates of future taxable income during the carryforward period are reduced.</w:t>
      </w:r>
    </w:p>
    <w:p>
      <w:pPr>
        <w:spacing w:after="0" w:line="17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The Company has made an accounting policy election to record the U.S. income tax effect of future global intangible low-taxed income (“GILTI”) inclusions in the period in which they arise, rather than establishing deferred taxes with respect to the expected future tax liabilities associated with future GILTI inclusion.</w:t>
      </w:r>
    </w:p>
    <w:p>
      <w:pPr>
        <w:spacing w:after="0" w:line="182"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Certain of the Company’s undistributed earnings of its foreign subsidiaries are not permanently reinvested. A liability has been recorded for the deferred taxes on such undistributed foreign earnings. The amount is attributable primarily to the foreign withholding taxes that would become payable should the Company repatriate cash held in its foreign operations.</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Earnings per share</w:t>
      </w:r>
      <w:r>
        <w:rPr>
          <w:rFonts w:ascii="Arial" w:cs="Arial" w:eastAsia="Arial" w:hAnsi="Arial"/>
          <w:sz w:val="18"/>
          <w:szCs w:val="18"/>
          <w:color w:val="auto"/>
        </w:rPr>
        <w:t>—The following table reconciles the numerators and denominators used to calculate basic and diluted earnings per share for 2021,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b w:val="1"/>
                <w:bCs w:val="1"/>
                <w:color w:val="auto"/>
                <w:w w:val="98"/>
              </w:rPr>
              <w:t>For the Year Ended 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(table only in thousands)</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6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per share)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CECO Environmental Corp.</w:t>
            </w:r>
          </w:p>
        </w:tc>
        <w:tc>
          <w:tcPr>
            <w:tcW w:w="960" w:type="dxa"/>
            <w:vAlign w:val="bottom"/>
            <w:shd w:val="clear" w:color="auto" w:fill="CFF0FC"/>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1,426</w:t>
            </w:r>
          </w:p>
        </w:tc>
        <w:tc>
          <w:tcPr>
            <w:tcW w:w="58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8,211</w:t>
            </w:r>
          </w:p>
        </w:tc>
        <w:tc>
          <w:tcPr>
            <w:tcW w:w="68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17,707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180" w:type="dxa"/>
            <w:vAlign w:val="bottom"/>
            <w:tcBorders>
              <w:top w:val="single" w:sz="8" w:color="CFF0FC"/>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Denominator</w:t>
            </w:r>
          </w:p>
        </w:tc>
        <w:tc>
          <w:tcPr>
            <w:tcW w:w="9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Basic weighted-average shares outstanding</w:t>
            </w:r>
          </w:p>
        </w:tc>
        <w:tc>
          <w:tcPr>
            <w:tcW w:w="96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0"/>
              </w:rPr>
              <w:t>35,346</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35,290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w w:val="94"/>
              </w:rPr>
              <w:t>Common stock equivalents arising from stock options and restricted stock awards</w:t>
            </w:r>
          </w:p>
        </w:tc>
        <w:tc>
          <w:tcPr>
            <w:tcW w:w="9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tcPr>
          <w:p>
            <w:pPr>
              <w:ind w:left="20"/>
              <w:spacing w:after="0" w:line="196" w:lineRule="exact"/>
              <w:rPr>
                <w:sz w:val="20"/>
                <w:szCs w:val="20"/>
                <w:color w:val="auto"/>
              </w:rPr>
            </w:pPr>
            <w:r>
              <w:rPr>
                <w:rFonts w:ascii="Arial" w:cs="Arial" w:eastAsia="Arial" w:hAnsi="Arial"/>
                <w:sz w:val="18"/>
                <w:szCs w:val="18"/>
                <w:color w:val="auto"/>
              </w:rPr>
              <w:t>Diluted weighted-average shares outstanding</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35,595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35,521</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35,484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-702310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-685165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-702310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-685165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-159385</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Options and unvested restricted stock units are included in the computation of diluted earnings per share using the treasury stock method. For 2021, 2020 and 2019, outstanding options and unvested restricted stock units of 1.8 million, 1.0 million and 0.4 million, respectively, were excluded from the computation of diluted earnings per share due to their having an anti-dilutive effect.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right="60"/>
        <w:spacing w:after="0" w:line="261" w:lineRule="auto"/>
        <w:rPr>
          <w:sz w:val="20"/>
          <w:szCs w:val="20"/>
          <w:color w:val="auto"/>
        </w:rPr>
      </w:pPr>
      <w:r>
        <w:rPr>
          <w:rFonts w:ascii="Arial" w:cs="Arial" w:eastAsia="Arial" w:hAnsi="Arial"/>
          <w:sz w:val="18"/>
          <w:szCs w:val="18"/>
          <w:color w:val="auto"/>
        </w:rPr>
        <w:t>Once a restricted stock award vests, it is included in the computation of weighted average shares outstanding for purposes of basic and diluted earnings per share.</w:t>
      </w:r>
    </w:p>
    <w:p>
      <w:pPr>
        <w:spacing w:after="0" w:line="17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i w:val="1"/>
          <w:iCs w:val="1"/>
          <w:color w:val="auto"/>
        </w:rPr>
        <w:t>Foreign Currency Translation</w:t>
      </w:r>
      <w:r>
        <w:rPr>
          <w:rFonts w:ascii="Arial" w:cs="Arial" w:eastAsia="Arial" w:hAnsi="Arial"/>
          <w:sz w:val="18"/>
          <w:szCs w:val="18"/>
          <w:color w:val="auto"/>
        </w:rPr>
        <w:t>—The functional currencies of the Company’s foreign subsidiaries are their local currencies and their books and records are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in the local currency. The assets and liabilities of these foreign subsidiaries are translated into United States Dollars (“USD”) based on the end-of period exchange rates and the resultant translation adjustments are reported in Accumulated Other Comprehensive Loss in Shareholders’ equity on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Income and expenses are translated into USD at average exchange rates in effect during the period.</w:t>
      </w:r>
    </w:p>
    <w:p>
      <w:pPr>
        <w:spacing w:after="0" w:line="212"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Transactions denominated in other than the local currency are remeasured into the local currency and the resulting exchange gains or losses are included in “Other income (expense), net” line of the Consolidated Statements of Income. Transaction gains (losses) were $(3.1) million, $1.3 million and $0.9 million in 2021,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prior year amounts have been reclassified in order to conform to the current year presentation.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12"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On January 1, 2021, the beginning of the Company's fiscal year, the Company adopted Accounting Standards Update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The adoption of ASU 2019-12 did not have a material impact on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21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addresses how an acquirer should recognize and measure revenue contracts acquired in a business combination. The ASU is effective for fiscal years beginning after December 15, 2022, including interim periods within those fiscal years. The Company is currently evaluating the impact the adoption of the standard will have on the Company’s financial position and/or results of operations.</w:t>
      </w:r>
    </w:p>
    <w:p>
      <w:pPr>
        <w:spacing w:after="0" w:line="168"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16"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Our financial instruments consist primarily of cash and cash equivalents, receivables and certain other assets, foreign debt, and accounts payable, which approximate fair value at December 31, 2021 and 2020, due to their short-term nature or variable, market-driven interest rates.</w:t>
      </w:r>
    </w:p>
    <w:p>
      <w:pPr>
        <w:spacing w:after="0" w:line="14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fair value of the debt issued under our Credit Agreement was $65.5 million and $74.0 million at December 31, 2021 and 2020, respectively. The fair value was determined considering market conditions, our credit worthiness and the current terms of our debt, which is considered Level 2 on the fair value hierarchy.</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At December 31, 2021 and 2020, the Company had cash and cash equivalents of $29.9 million and $36.0 million, respectively, of which $22.6 million and $28.0 million, respectively, was held outside of North America, principally in the Netherlands, United Kingdom, China, and Canada.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212" w:lineRule="exact"/>
        <w:rPr>
          <w:sz w:val="20"/>
          <w:szCs w:val="20"/>
          <w:color w:val="auto"/>
        </w:rPr>
      </w:pPr>
    </w:p>
    <w:p>
      <w:pPr>
        <w:jc w:val="both"/>
        <w:ind w:right="140"/>
        <w:spacing w:after="0" w:line="243" w:lineRule="auto"/>
        <w:rPr>
          <w:sz w:val="20"/>
          <w:szCs w:val="20"/>
          <w:color w:val="auto"/>
        </w:rPr>
      </w:pPr>
      <w:r>
        <w:rPr>
          <w:rFonts w:ascii="Arial" w:cs="Arial" w:eastAsia="Arial" w:hAnsi="Arial"/>
          <w:sz w:val="18"/>
          <w:szCs w:val="18"/>
          <w:color w:val="auto"/>
        </w:rPr>
        <w:t>Financial instruments that potentially subject us to credit risk consist principally of cash and cash equivalents, and accounts receivable. We maintain cash and cash equivalents with various major financial institutions. 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3.</w:t>
            </w:r>
          </w:p>
        </w:tc>
        <w:tc>
          <w:tcPr>
            <w:tcW w:w="7100" w:type="dxa"/>
            <w:vAlign w:val="bottom"/>
          </w:tcPr>
          <w:p>
            <w:pPr>
              <w:ind w:left="340"/>
              <w:spacing w:after="0"/>
              <w:rPr>
                <w:sz w:val="20"/>
                <w:szCs w:val="20"/>
                <w:color w:val="auto"/>
              </w:rPr>
            </w:pPr>
            <w:r>
              <w:rPr>
                <w:rFonts w:ascii="Arial" w:cs="Arial" w:eastAsia="Arial" w:hAnsi="Arial"/>
                <w:sz w:val="18"/>
                <w:szCs w:val="18"/>
                <w:b w:val="1"/>
                <w:bCs w:val="1"/>
                <w:color w:val="auto"/>
              </w:rPr>
              <w:t>Accounts Receivable</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7280" w:type="dxa"/>
            <w:vAlign w:val="bottom"/>
            <w:gridSpan w:val="2"/>
          </w:tcPr>
          <w:p>
            <w:pPr>
              <w:spacing w:after="0"/>
              <w:rPr>
                <w:sz w:val="20"/>
                <w:szCs w:val="20"/>
                <w:color w:val="auto"/>
              </w:rPr>
            </w:pPr>
            <w:r>
              <w:rPr>
                <w:rFonts w:ascii="Arial" w:cs="Arial" w:eastAsia="Arial" w:hAnsi="Arial"/>
                <w:sz w:val="18"/>
                <w:szCs w:val="18"/>
                <w:color w:val="auto"/>
              </w:rPr>
              <w:t>Accounts receivable consisted of the following:</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8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2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Contract receivables</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65,932</w:t>
            </w:r>
          </w:p>
        </w:tc>
        <w:tc>
          <w:tcPr>
            <w:tcW w:w="260" w:type="dxa"/>
            <w:vAlign w:val="bottom"/>
          </w:tcPr>
          <w:p>
            <w:pPr>
              <w:spacing w:after="0"/>
              <w:rPr>
                <w:sz w:val="17"/>
                <w:szCs w:val="17"/>
                <w:color w:val="auto"/>
              </w:rPr>
            </w:pPr>
          </w:p>
        </w:tc>
        <w:tc>
          <w:tcPr>
            <w:tcW w:w="52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57,435</w:t>
            </w:r>
          </w:p>
        </w:tc>
        <w:tc>
          <w:tcPr>
            <w:tcW w:w="100" w:type="dxa"/>
            <w:vAlign w:val="bottom"/>
          </w:tcPr>
          <w:p>
            <w:pPr>
              <w:spacing w:after="0"/>
              <w:rPr>
                <w:sz w:val="17"/>
                <w:szCs w:val="17"/>
                <w:color w:val="auto"/>
              </w:rPr>
            </w:pPr>
          </w:p>
        </w:tc>
      </w:tr>
      <w:tr>
        <w:trPr>
          <w:trHeight w:val="203"/>
        </w:trPr>
        <w:tc>
          <w:tcPr>
            <w:tcW w:w="7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Trade receivables</w:t>
            </w:r>
          </w:p>
        </w:tc>
        <w:tc>
          <w:tcPr>
            <w:tcW w:w="4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12,537</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8,721</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44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(3,478 )</w:t>
            </w:r>
          </w:p>
        </w:tc>
        <w:tc>
          <w:tcPr>
            <w:tcW w:w="520" w:type="dxa"/>
            <w:vAlign w:val="bottom"/>
          </w:tcPr>
          <w:p>
            <w:pPr>
              <w:spacing w:after="0"/>
              <w:rPr>
                <w:sz w:val="17"/>
                <w:szCs w:val="17"/>
                <w:color w:val="auto"/>
              </w:rPr>
            </w:pP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(3,110 )</w:t>
            </w:r>
          </w:p>
        </w:tc>
      </w:tr>
      <w:tr>
        <w:trPr>
          <w:trHeight w:val="236"/>
        </w:trPr>
        <w:tc>
          <w:tcPr>
            <w:tcW w:w="180" w:type="dxa"/>
            <w:vAlign w:val="bottom"/>
            <w:tcBorders>
              <w:bottom w:val="single" w:sz="8" w:color="CFF0FC"/>
            </w:tcBorders>
            <w:shd w:val="clear" w:color="auto" w:fill="CFF0FC"/>
          </w:tcPr>
          <w:p>
            <w:pPr>
              <w:spacing w:after="0"/>
              <w:rPr>
                <w:sz w:val="20"/>
                <w:szCs w:val="20"/>
                <w:color w:val="auto"/>
              </w:rPr>
            </w:pPr>
          </w:p>
        </w:tc>
        <w:tc>
          <w:tcPr>
            <w:tcW w:w="7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accounts receivable</w:t>
            </w: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74,991</w:t>
            </w:r>
          </w:p>
        </w:tc>
        <w:tc>
          <w:tcPr>
            <w:tcW w:w="2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63,046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Balances billed, but not paid by customers under retainage provisions in contracts, amounted to approximately $1.8 million and $1.5 million at December 31, 2021 and 2020, respectively. Retainage receivables on contracts in progress are generally collected within a year or two subsequent to contract completion, and are recorded in either accounts receivable, net or deferred charges and other assets within the Consolidated Balance Sheets depending on timing of expected collection.</w:t>
      </w:r>
    </w:p>
    <w:p>
      <w:pPr>
        <w:spacing w:after="0" w:line="18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Provision for doubtful accounts was $0.7 million, $0.9 million and $0.3 million during 2021, 2020 and 2021, respectively, while accounts charged to the allowance were $0.3 million, $0.4 million and $0.6 million during 2021, 2020 and 2019,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4.</w:t>
            </w:r>
          </w:p>
        </w:tc>
        <w:tc>
          <w:tcPr>
            <w:tcW w:w="710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28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8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2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Raw materials</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13,405</w:t>
            </w:r>
          </w:p>
        </w:tc>
        <w:tc>
          <w:tcPr>
            <w:tcW w:w="260" w:type="dxa"/>
            <w:vAlign w:val="bottom"/>
          </w:tcPr>
          <w:p>
            <w:pPr>
              <w:spacing w:after="0"/>
              <w:rPr>
                <w:sz w:val="17"/>
                <w:szCs w:val="17"/>
                <w:color w:val="auto"/>
              </w:rPr>
            </w:pPr>
          </w:p>
        </w:tc>
        <w:tc>
          <w:tcPr>
            <w:tcW w:w="52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14,262</w:t>
            </w:r>
          </w:p>
        </w:tc>
        <w:tc>
          <w:tcPr>
            <w:tcW w:w="100" w:type="dxa"/>
            <w:vAlign w:val="bottom"/>
          </w:tcPr>
          <w:p>
            <w:pPr>
              <w:spacing w:after="0"/>
              <w:rPr>
                <w:sz w:val="17"/>
                <w:szCs w:val="17"/>
                <w:color w:val="auto"/>
              </w:rPr>
            </w:pPr>
          </w:p>
        </w:tc>
      </w:tr>
      <w:tr>
        <w:trPr>
          <w:trHeight w:val="203"/>
        </w:trPr>
        <w:tc>
          <w:tcPr>
            <w:tcW w:w="7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4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5,147</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5,594</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Finished goods</w:t>
            </w:r>
          </w:p>
        </w:tc>
        <w:tc>
          <w:tcPr>
            <w:tcW w:w="4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674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100" w:type="dxa"/>
            <w:vAlign w:val="bottom"/>
          </w:tcPr>
          <w:p>
            <w:pPr>
              <w:spacing w:after="0"/>
              <w:rPr>
                <w:sz w:val="17"/>
                <w:szCs w:val="17"/>
                <w:color w:val="auto"/>
              </w:rPr>
            </w:pPr>
          </w:p>
        </w:tc>
      </w:tr>
      <w:tr>
        <w:trPr>
          <w:trHeight w:val="203"/>
        </w:trPr>
        <w:tc>
          <w:tcPr>
            <w:tcW w:w="7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Obsolescence allowance</w:t>
            </w:r>
          </w:p>
        </w:tc>
        <w:tc>
          <w:tcPr>
            <w:tcW w:w="4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(2,174 )</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(3,009 )</w:t>
            </w:r>
          </w:p>
        </w:tc>
      </w:tr>
      <w:tr>
        <w:trPr>
          <w:trHeight w:val="196"/>
        </w:trPr>
        <w:tc>
          <w:tcPr>
            <w:tcW w:w="180" w:type="dxa"/>
            <w:vAlign w:val="bottom"/>
            <w:tcBorders>
              <w:top w:val="single" w:sz="8" w:color="CFF0FC"/>
            </w:tcBorders>
          </w:tcPr>
          <w:p>
            <w:pPr>
              <w:spacing w:after="0"/>
              <w:rPr>
                <w:sz w:val="17"/>
                <w:szCs w:val="17"/>
                <w:color w:val="auto"/>
              </w:rPr>
            </w:pPr>
          </w:p>
        </w:tc>
        <w:tc>
          <w:tcPr>
            <w:tcW w:w="71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inventories</w:t>
            </w: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17,052</w:t>
            </w:r>
          </w:p>
        </w:tc>
        <w:tc>
          <w:tcPr>
            <w:tcW w:w="26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17,343</w:t>
            </w:r>
          </w:p>
        </w:tc>
        <w:tc>
          <w:tcPr>
            <w:tcW w:w="100" w:type="dxa"/>
            <w:vAlign w:val="bottom"/>
            <w:tcBorders>
              <w:top w:val="single" w:sz="8" w:color="CFF0FC"/>
            </w:tcBorders>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-159385</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Amounts credited to the allowance for obsolete inventory and charged to cost of sales amounted to $0.1 million, $0.5 million and $0.3 million during 2021, 2020 and 2019, respectively. Items charged to the allowance for inventory write-offs were $0.9 million, $0.1 million and $0.1 million, during 2021, 2020 and 2019, respectively.</w:t>
      </w:r>
    </w:p>
    <w:p>
      <w:pPr>
        <w:spacing w:after="0" w:line="353"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Building and improvements</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7,524</w:t>
            </w:r>
          </w:p>
        </w:tc>
        <w:tc>
          <w:tcPr>
            <w:tcW w:w="240" w:type="dxa"/>
            <w:vAlign w:val="bottom"/>
          </w:tcPr>
          <w:p>
            <w:pPr>
              <w:spacing w:after="0"/>
              <w:rPr>
                <w:sz w:val="17"/>
                <w:szCs w:val="17"/>
                <w:color w:val="auto"/>
              </w:rPr>
            </w:pPr>
          </w:p>
        </w:tc>
        <w:tc>
          <w:tcPr>
            <w:tcW w:w="54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7,594</w:t>
            </w:r>
          </w:p>
        </w:tc>
        <w:tc>
          <w:tcPr>
            <w:tcW w:w="80" w:type="dxa"/>
            <w:vAlign w:val="bottom"/>
          </w:tcPr>
          <w:p>
            <w:pPr>
              <w:spacing w:after="0"/>
              <w:rPr>
                <w:sz w:val="17"/>
                <w:szCs w:val="17"/>
                <w:color w:val="auto"/>
              </w:rPr>
            </w:pPr>
          </w:p>
        </w:tc>
      </w:tr>
      <w:tr>
        <w:trPr>
          <w:trHeight w:val="203"/>
        </w:trPr>
        <w:tc>
          <w:tcPr>
            <w:tcW w:w="7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Machinery and equipment</w:t>
            </w:r>
          </w:p>
        </w:tc>
        <w:tc>
          <w:tcPr>
            <w:tcW w:w="4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29,306</w:t>
            </w:r>
          </w:p>
        </w:tc>
        <w:tc>
          <w:tcPr>
            <w:tcW w:w="24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26,939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00"/>
              <w:spacing w:after="0" w:line="196" w:lineRule="exact"/>
              <w:rPr>
                <w:sz w:val="20"/>
                <w:szCs w:val="20"/>
                <w:color w:val="auto"/>
              </w:rPr>
            </w:pPr>
            <w:r>
              <w:rPr>
                <w:rFonts w:ascii="Arial" w:cs="Arial" w:eastAsia="Arial" w:hAnsi="Arial"/>
                <w:sz w:val="18"/>
                <w:szCs w:val="18"/>
                <w:color w:val="auto"/>
              </w:rPr>
              <w:t>Property, plant and equipment, gross</w:t>
            </w:r>
          </w:p>
        </w:tc>
        <w:tc>
          <w:tcPr>
            <w:tcW w:w="4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36,830</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34,533</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(20,882 )</w:t>
            </w:r>
          </w:p>
        </w:tc>
        <w:tc>
          <w:tcPr>
            <w:tcW w:w="5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(18,305 )</w:t>
            </w:r>
          </w:p>
        </w:tc>
      </w:tr>
      <w:tr>
        <w:trPr>
          <w:trHeight w:val="196"/>
        </w:trPr>
        <w:tc>
          <w:tcPr>
            <w:tcW w:w="728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Property, plant and equipment, net</w:t>
            </w: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15,948</w:t>
            </w:r>
          </w:p>
        </w:tc>
        <w:tc>
          <w:tcPr>
            <w:tcW w:w="240" w:type="dxa"/>
            <w:vAlign w:val="bottom"/>
            <w:tcBorders>
              <w:top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16,228</w:t>
            </w:r>
          </w:p>
        </w:tc>
        <w:tc>
          <w:tcPr>
            <w:tcW w:w="80" w:type="dxa"/>
            <w:vAlign w:val="bottom"/>
            <w:tcBorders>
              <w:top w:val="single" w:sz="8" w:color="CFF0FC"/>
            </w:tcBorders>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-424815</wp:posOffset>
            </wp:positionV>
            <wp:extent cx="5143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-159385</wp:posOffset>
            </wp:positionV>
            <wp:extent cx="5143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$3.2 million, $2.5 million and $2.1 million for 2021, 2020 and 2019,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5940" w:type="dxa"/>
            <w:vAlign w:val="bottom"/>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3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0"/>
              </w:rPr>
              <w:t>Engineered Systems</w:t>
            </w:r>
          </w:p>
        </w:tc>
        <w:tc>
          <w:tcPr>
            <w:tcW w:w="120" w:type="dxa"/>
            <w:vAlign w:val="bottom"/>
          </w:tcPr>
          <w:p>
            <w:pPr>
              <w:spacing w:after="0"/>
              <w:rPr>
                <w:sz w:val="24"/>
                <w:szCs w:val="24"/>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Industrial Process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Solutions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280" w:type="dxa"/>
            <w:vAlign w:val="bottom"/>
            <w:gridSpan w:val="2"/>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120" w:type="dxa"/>
            <w:vAlign w:val="bottom"/>
          </w:tcPr>
          <w:p>
            <w:pPr>
              <w:spacing w:after="0"/>
              <w:rPr>
                <w:sz w:val="16"/>
                <w:szCs w:val="16"/>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segment</w:t>
            </w:r>
          </w:p>
        </w:tc>
        <w:tc>
          <w:tcPr>
            <w:tcW w:w="120" w:type="dxa"/>
            <w:vAlign w:val="bottom"/>
          </w:tcPr>
          <w:p>
            <w:pPr>
              <w:spacing w:after="0"/>
              <w:rPr>
                <w:sz w:val="16"/>
                <w:szCs w:val="16"/>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segment</w:t>
            </w:r>
          </w:p>
        </w:tc>
        <w:tc>
          <w:tcPr>
            <w:tcW w:w="340" w:type="dxa"/>
            <w:vAlign w:val="bottom"/>
          </w:tcPr>
          <w:p>
            <w:pPr>
              <w:spacing w:after="0"/>
              <w:rPr>
                <w:sz w:val="16"/>
                <w:szCs w:val="16"/>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62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of goodwill at December 31, 2019</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97,007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55,013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152,020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2,085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9,107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40" w:type="dxa"/>
            <w:vAlign w:val="bottom"/>
            <w:gridSpan w:val="3"/>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8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Balance of goodwill at December 31, 2020</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99,785</w:t>
            </w: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62,035</w:t>
            </w: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161,820</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w:t>
            </w: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(482 )</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(155 )</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(637 )</w:t>
            </w:r>
          </w:p>
        </w:tc>
        <w:tc>
          <w:tcPr>
            <w:tcW w:w="0" w:type="dxa"/>
            <w:vAlign w:val="bottom"/>
          </w:tcPr>
          <w:p>
            <w:pPr>
              <w:spacing w:after="0"/>
              <w:rPr>
                <w:sz w:val="1"/>
                <w:szCs w:val="1"/>
                <w:color w:val="auto"/>
              </w:rPr>
            </w:pPr>
          </w:p>
        </w:tc>
      </w:tr>
      <w:tr>
        <w:trPr>
          <w:trHeight w:val="196"/>
        </w:trPr>
        <w:tc>
          <w:tcPr>
            <w:tcW w:w="628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Balance of goodwill at December 31, 2021</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99,303</w:t>
            </w:r>
          </w:p>
        </w:tc>
        <w:tc>
          <w:tcPr>
            <w:tcW w:w="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61,880</w:t>
            </w: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161,183</w:t>
            </w: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-424815</wp:posOffset>
            </wp:positionV>
            <wp:extent cx="6032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-424815</wp:posOffset>
            </wp:positionV>
            <wp:extent cx="5143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-159385</wp:posOffset>
            </wp:positionV>
            <wp:extent cx="6032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-159385</wp:posOffset>
            </wp:positionV>
            <wp:extent cx="514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2021 and 2020, the Company has an aggregate amount of goodwill acquired of $221.9 million and $222.5 million, respectively, and an aggregate amount of impairment losses of $60.7 million which was recognized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indefinite lived intangible assets as of December 31, 2021 and 2020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Tradenames</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beginning of year</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12,937</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14,291</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Transfer to finite life classification</w:t>
            </w:r>
          </w:p>
        </w:tc>
        <w:tc>
          <w:tcPr>
            <w:tcW w:w="44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(3,150 )</w:t>
            </w:r>
          </w:p>
        </w:tc>
        <w:tc>
          <w:tcPr>
            <w:tcW w:w="500" w:type="dxa"/>
            <w:vAlign w:val="bottom"/>
          </w:tcPr>
          <w:p>
            <w:pPr>
              <w:spacing w:after="0"/>
              <w:rPr>
                <w:sz w:val="17"/>
                <w:szCs w:val="17"/>
                <w:color w:val="auto"/>
              </w:rPr>
            </w:pPr>
          </w:p>
        </w:tc>
        <w:tc>
          <w:tcPr>
            <w:tcW w:w="14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(700 )</w:t>
            </w: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Impairment charge</w:t>
            </w:r>
          </w:p>
        </w:tc>
        <w:tc>
          <w:tcPr>
            <w:tcW w:w="4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(850 )</w:t>
            </w: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Foreign currency adjustments</w:t>
            </w:r>
          </w:p>
        </w:tc>
        <w:tc>
          <w:tcPr>
            <w:tcW w:w="44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(158 )</w:t>
            </w:r>
          </w:p>
        </w:tc>
        <w:tc>
          <w:tcPr>
            <w:tcW w:w="5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r>
      <w:tr>
        <w:trPr>
          <w:trHeight w:val="23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end of year</w:t>
            </w: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9,629</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12,937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During 2021 and 2020, the Company reassessed the useful lives of certain tradenames and determined that $3.2 million and $0.7 million, respectively, of tradenames would have useful lives of 10 years versus indefinite.</w:t>
      </w:r>
    </w:p>
    <w:p>
      <w:pPr>
        <w:spacing w:after="0" w:line="1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completes an annual (or more often if circumstances require) impairment assessment of its goodwill and indefinite life intangible assets on October 1 at the reporting unit level.</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Company bases its measurement of the fair value of a reporting unit using a 50/50 weighting of the income method and the market method. The income method is based on a discounted future cash flow approach that uses the significant assumptions of projected revenue, projected operational profit, terminal growth rates, and the cost of capital. Projected revenue and operational profit, and terminal growth rates were determined to be significant assumptions because they are three primary drivers of the projected cash flows in the discounted future cash flow approach. Cost of capital was also determined to be a significant assumption as it is the discount rate used to calculate the current fair value of those projected cash flows. The market method is based on financial multiples of comparable companies and applies a control premium. Significant estimates in the market approach include identifying similar companies with comparable business factors such as size, growth, profitability, risk and return on investment and assessing comparable revenue and operating income multiples in estimating the fair value of a reporting unit. Based on this analysis, the estimated fair value of all of our reporting units exceeded their carrying value as of October 1, 2021. There was no goodwill impairment in 2021, 2020 and 2019.</w:t>
      </w:r>
    </w:p>
    <w:p>
      <w:pPr>
        <w:spacing w:after="0" w:line="16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Company also performed an impairment analysis for all indefinite life intangible assets, which consists of tradenames, as of October 1, 2021. The Company based its measurement of the fair value of the indefinite life intangible assets utilizing the relief from royalty method. The significant assumptions used under the relief from royalty method are projected revenue, royalty rates, terminal growth rates, and the cost of capital. Projected revenue, royalty rates and terminal growth rates were determined to be significant assumptions because they are three primary drivers of the projected royalty cash flows in the relief from royalty method. Cost of capital was also determined to be a significant assumption as it is the discount rate used to calculate the current fair value of those projected royalty cash flows. Changes in any of the significant assumptions used can materially affect the expected cash flows, and such impacts can result in material non-cash impairment charges. Under this approach, the estimated fair value of the indefinite life intangible assets exceeded their carrying value for segments as of the testing date. Accordingly, we recognized no impairment charges in our financial results for the year ended December 31, 2021. In 2020 and 2019, we recognized impairment charges of $0.9 million and zero, respectively.</w:t>
      </w:r>
    </w:p>
    <w:p>
      <w:pPr>
        <w:spacing w:after="0" w:line="16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described above, the fair value measurement methods used in the Company’s goodwill and indefinite life intangible assets impairment analyses utilizes a number of significant unobservable inputs or Level 3 assumptions. These assumptions include, among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ind w:right="420"/>
        <w:spacing w:after="0" w:line="261" w:lineRule="auto"/>
        <w:rPr>
          <w:sz w:val="20"/>
          <w:szCs w:val="20"/>
          <w:color w:val="auto"/>
        </w:rPr>
      </w:pPr>
      <w:r>
        <w:rPr>
          <w:rFonts w:ascii="Arial" w:cs="Arial" w:eastAsia="Arial" w:hAnsi="Arial"/>
          <w:sz w:val="18"/>
          <w:szCs w:val="18"/>
          <w:color w:val="auto"/>
        </w:rPr>
        <w:t>others, projections of our future operating results, the implied fair value of these assets using an income approach by preparing a discounted cash flow analysis and other subjective assumptions.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finite lived intangible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(table only in thousands)</w:t>
            </w:r>
          </w:p>
        </w:tc>
        <w:tc>
          <w:tcPr>
            <w:tcW w:w="300" w:type="dxa"/>
            <w:vAlign w:val="bottom"/>
          </w:tcPr>
          <w:p>
            <w:pPr>
              <w:spacing w:after="0"/>
              <w:rPr>
                <w:sz w:val="12"/>
                <w:szCs w:val="12"/>
                <w:color w:val="auto"/>
              </w:rPr>
            </w:pPr>
          </w:p>
        </w:tc>
        <w:tc>
          <w:tcPr>
            <w:tcW w:w="12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2"/>
                <w:szCs w:val="12"/>
                <w:color w:val="auto"/>
              </w:rPr>
            </w:pPr>
          </w:p>
        </w:tc>
        <w:tc>
          <w:tcPr>
            <w:tcW w:w="102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Accum.</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2"/>
                <w:szCs w:val="12"/>
                <w:color w:val="auto"/>
              </w:rPr>
            </w:pPr>
          </w:p>
        </w:tc>
        <w:tc>
          <w:tcPr>
            <w:tcW w:w="104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Accum.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Intangible assets – finite life</w:t>
            </w:r>
          </w:p>
        </w:tc>
        <w:tc>
          <w:tcPr>
            <w:tcW w:w="3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Amort.</w:t>
            </w:r>
          </w:p>
        </w:tc>
        <w:tc>
          <w:tcPr>
            <w:tcW w:w="4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w:t>
            </w:r>
          </w:p>
        </w:tc>
        <w:tc>
          <w:tcPr>
            <w:tcW w:w="0" w:type="dxa"/>
            <w:vAlign w:val="bottom"/>
          </w:tcPr>
          <w:p>
            <w:pPr>
              <w:spacing w:after="0"/>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Technology</w:t>
            </w: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14,457</w:t>
            </w:r>
          </w:p>
        </w:tc>
        <w:tc>
          <w:tcPr>
            <w:tcW w:w="22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13,704</w:t>
            </w:r>
          </w:p>
        </w:tc>
        <w:tc>
          <w:tcPr>
            <w:tcW w:w="240" w:type="dxa"/>
            <w:vAlign w:val="bottom"/>
          </w:tcPr>
          <w:p>
            <w:pPr>
              <w:spacing w:after="0"/>
              <w:rPr>
                <w:sz w:val="17"/>
                <w:szCs w:val="17"/>
                <w:color w:val="auto"/>
              </w:rPr>
            </w:pPr>
          </w:p>
        </w:tc>
        <w:tc>
          <w:tcPr>
            <w:tcW w:w="400" w:type="dxa"/>
            <w:vAlign w:val="bottom"/>
            <w:tcBorders>
              <w:top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14,457</w:t>
            </w:r>
          </w:p>
        </w:tc>
        <w:tc>
          <w:tcPr>
            <w:tcW w:w="220" w:type="dxa"/>
            <w:vAlign w:val="bottom"/>
          </w:tcPr>
          <w:p>
            <w:pPr>
              <w:spacing w:after="0"/>
              <w:rPr>
                <w:sz w:val="17"/>
                <w:szCs w:val="17"/>
                <w:color w:val="auto"/>
              </w:rPr>
            </w:pPr>
          </w:p>
        </w:tc>
        <w:tc>
          <w:tcPr>
            <w:tcW w:w="26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lists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73,199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53,970</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73,199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48,959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Tradenames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9,728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2,745</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6,578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adjustments</w:t>
            </w: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(2,149 )</w:t>
            </w:r>
          </w:p>
        </w:tc>
        <w:tc>
          <w:tcPr>
            <w:tcW w:w="2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(1,025 )</w:t>
            </w:r>
          </w:p>
        </w:tc>
        <w:tc>
          <w:tcPr>
            <w:tcW w:w="4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(2,826 )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(1,954 )</w:t>
            </w: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finite life intangible assets</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95,235</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69,394</w:t>
            </w: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91,408</w:t>
            </w:r>
          </w:p>
        </w:tc>
        <w:tc>
          <w:tcPr>
            <w:tcW w:w="2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61,771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-159385</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-159385</wp:posOffset>
            </wp:positionV>
            <wp:extent cx="6858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-159385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Amortization expense of finite life intangible assets was $6.7 million, $7.4 million and $8.5 million for 2021, 2020 and 2019, respectively. Amortization over the next five years for finite life intangibles is $5.8 million in 2022, $4.9 million in 2023, $4.3 million in 2024, $3.2 million in 2025, and $1.8 million in 2026.</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7.</w:t>
            </w:r>
          </w:p>
        </w:tc>
        <w:tc>
          <w:tcPr>
            <w:tcW w:w="7120" w:type="dxa"/>
            <w:vAlign w:val="bottom"/>
          </w:tcPr>
          <w:p>
            <w:pPr>
              <w:ind w:left="340"/>
              <w:spacing w:after="0"/>
              <w:rPr>
                <w:sz w:val="20"/>
                <w:szCs w:val="20"/>
                <w:color w:val="auto"/>
              </w:rPr>
            </w:pPr>
            <w:r>
              <w:rPr>
                <w:rFonts w:ascii="Arial" w:cs="Arial" w:eastAsia="Arial" w:hAnsi="Arial"/>
                <w:sz w:val="18"/>
                <w:szCs w:val="18"/>
                <w:b w:val="1"/>
                <w:bCs w:val="1"/>
                <w:color w:val="auto"/>
              </w:rPr>
              <w:t>Accounts Payable and Accrued Expenses</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3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 consisted of the following:</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1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300" w:type="dxa"/>
            <w:vAlign w:val="bottom"/>
            <w:gridSpan w:val="2"/>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3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Trade accounts payable, including amounts due to subcontractors</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56,242</w:t>
            </w:r>
          </w:p>
        </w:tc>
        <w:tc>
          <w:tcPr>
            <w:tcW w:w="26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55,899</w:t>
            </w:r>
          </w:p>
        </w:tc>
        <w:tc>
          <w:tcPr>
            <w:tcW w:w="100" w:type="dxa"/>
            <w:vAlign w:val="bottom"/>
          </w:tcPr>
          <w:p>
            <w:pPr>
              <w:spacing w:after="0"/>
              <w:rPr>
                <w:sz w:val="17"/>
                <w:szCs w:val="17"/>
                <w:color w:val="auto"/>
              </w:rPr>
            </w:pPr>
          </w:p>
        </w:tc>
      </w:tr>
      <w:tr>
        <w:trPr>
          <w:trHeight w:val="203"/>
        </w:trPr>
        <w:tc>
          <w:tcPr>
            <w:tcW w:w="73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Compensation and related benefits</w:t>
            </w:r>
          </w:p>
        </w:tc>
        <w:tc>
          <w:tcPr>
            <w:tcW w:w="4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6,065</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5,079</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Accrued warranty</w:t>
            </w:r>
          </w:p>
        </w:tc>
        <w:tc>
          <w:tcPr>
            <w:tcW w:w="4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3,074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4,090</w:t>
            </w:r>
          </w:p>
        </w:tc>
        <w:tc>
          <w:tcPr>
            <w:tcW w:w="100" w:type="dxa"/>
            <w:vAlign w:val="bottom"/>
          </w:tcPr>
          <w:p>
            <w:pPr>
              <w:spacing w:after="0"/>
              <w:rPr>
                <w:sz w:val="17"/>
                <w:szCs w:val="17"/>
                <w:color w:val="auto"/>
              </w:rPr>
            </w:pPr>
          </w:p>
        </w:tc>
      </w:tr>
      <w:tr>
        <w:trPr>
          <w:trHeight w:val="203"/>
        </w:trPr>
        <w:tc>
          <w:tcPr>
            <w:tcW w:w="73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liability</w:t>
            </w:r>
          </w:p>
        </w:tc>
        <w:tc>
          <w:tcPr>
            <w:tcW w:w="4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4,405</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3,974</w:t>
            </w:r>
          </w:p>
        </w:tc>
        <w:tc>
          <w:tcPr>
            <w:tcW w:w="100" w:type="dxa"/>
            <w:vAlign w:val="bottom"/>
            <w:shd w:val="clear" w:color="auto" w:fill="CFF0FC"/>
          </w:tcPr>
          <w:p>
            <w:pPr>
              <w:spacing w:after="0"/>
              <w:rPr>
                <w:sz w:val="17"/>
                <w:szCs w:val="17"/>
                <w:color w:val="auto"/>
              </w:rPr>
            </w:pPr>
          </w:p>
        </w:tc>
      </w:tr>
      <w:tr>
        <w:trPr>
          <w:trHeight w:val="203"/>
        </w:trPr>
        <w:tc>
          <w:tcPr>
            <w:tcW w:w="73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Short-term operating lease liability</w:t>
            </w:r>
          </w:p>
        </w:tc>
        <w:tc>
          <w:tcPr>
            <w:tcW w:w="4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2,414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2,274</w:t>
            </w:r>
          </w:p>
        </w:tc>
        <w:tc>
          <w:tcPr>
            <w:tcW w:w="100" w:type="dxa"/>
            <w:vAlign w:val="bottom"/>
          </w:tcPr>
          <w:p>
            <w:pPr>
              <w:spacing w:after="0"/>
              <w:rPr>
                <w:sz w:val="17"/>
                <w:szCs w:val="17"/>
                <w:color w:val="auto"/>
              </w:rPr>
            </w:pPr>
          </w:p>
        </w:tc>
      </w:tr>
      <w:tr>
        <w:trPr>
          <w:trHeight w:val="203"/>
        </w:trPr>
        <w:tc>
          <w:tcPr>
            <w:tcW w:w="73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11,881</w:t>
            </w:r>
          </w:p>
        </w:tc>
        <w:tc>
          <w:tcPr>
            <w:tcW w:w="26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13,681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120" w:type="dxa"/>
            <w:vAlign w:val="bottom"/>
          </w:tcPr>
          <w:p>
            <w:pPr>
              <w:ind w:left="20"/>
              <w:spacing w:after="0" w:line="196" w:lineRule="exact"/>
              <w:rPr>
                <w:sz w:val="20"/>
                <w:szCs w:val="20"/>
                <w:color w:val="auto"/>
              </w:rPr>
            </w:pPr>
            <w:r>
              <w:rPr>
                <w:rFonts w:ascii="Arial" w:cs="Arial" w:eastAsia="Arial" w:hAnsi="Arial"/>
                <w:sz w:val="18"/>
                <w:szCs w:val="18"/>
                <w:color w:val="auto"/>
              </w:rPr>
              <w:t>Total accounts payable and accrued expenses</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84,081</w:t>
            </w:r>
          </w:p>
        </w:tc>
        <w:tc>
          <w:tcPr>
            <w:tcW w:w="780" w:type="dxa"/>
            <w:vAlign w:val="bottom"/>
            <w:gridSpan w:val="2"/>
          </w:tcPr>
          <w:p>
            <w:pPr>
              <w:jc w:val="right"/>
              <w:ind w:right="330"/>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84,997</w:t>
            </w:r>
          </w:p>
        </w:tc>
        <w:tc>
          <w:tcPr>
            <w:tcW w:w="10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-159385</wp:posOffset>
            </wp:positionV>
            <wp:extent cx="6032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activity in the Company’s current portion of earnout liability is recorded in Accounts payable and accrued expenses on our Consolidated Balance Sheets, consisted of the following</w:t>
      </w:r>
      <w:r>
        <w:rPr>
          <w:rFonts w:ascii="Arial" w:cs="Arial" w:eastAsia="Arial" w:hAnsi="Arial"/>
          <w:sz w:val="16"/>
          <w:szCs w:val="16"/>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Earnout accrued at beginning of year</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1,743</w:t>
            </w:r>
          </w:p>
        </w:tc>
        <w:tc>
          <w:tcPr>
            <w:tcW w:w="260" w:type="dxa"/>
            <w:vAlign w:val="bottom"/>
          </w:tcPr>
          <w:p>
            <w:pPr>
              <w:spacing w:after="0"/>
              <w:rPr>
                <w:sz w:val="17"/>
                <w:szCs w:val="17"/>
                <w:color w:val="auto"/>
              </w:rPr>
            </w:pPr>
          </w:p>
        </w:tc>
        <w:tc>
          <w:tcPr>
            <w:tcW w:w="520" w:type="dxa"/>
            <w:vAlign w:val="bottom"/>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of earnout at acquisition date</w:t>
            </w:r>
          </w:p>
        </w:tc>
        <w:tc>
          <w:tcPr>
            <w:tcW w:w="4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553</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Fair value adjustment</w:t>
            </w:r>
          </w:p>
        </w:tc>
        <w:tc>
          <w:tcPr>
            <w:tcW w:w="4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704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1,190</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Payments</w:t>
            </w:r>
          </w:p>
        </w:tc>
        <w:tc>
          <w:tcPr>
            <w:tcW w:w="4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(1,410 )</w:t>
            </w:r>
          </w:p>
        </w:tc>
        <w:tc>
          <w:tcPr>
            <w:tcW w:w="5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196"/>
        </w:trPr>
        <w:tc>
          <w:tcPr>
            <w:tcW w:w="72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Earnout accrued at end of year</w:t>
            </w: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1,037</w:t>
            </w:r>
          </w:p>
        </w:tc>
        <w:tc>
          <w:tcPr>
            <w:tcW w:w="26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1,743</w:t>
            </w:r>
          </w:p>
        </w:tc>
        <w:tc>
          <w:tcPr>
            <w:tcW w:w="100" w:type="dxa"/>
            <w:vAlign w:val="bottom"/>
            <w:tcBorders>
              <w:top w:val="single" w:sz="8" w:color="CFF0FC"/>
            </w:tcBorders>
          </w:tcPr>
          <w:p>
            <w:pPr>
              <w:spacing w:after="0"/>
              <w:rPr>
                <w:sz w:val="17"/>
                <w:szCs w:val="17"/>
                <w:color w:val="auto"/>
              </w:rPr>
            </w:pPr>
          </w:p>
        </w:tc>
      </w:tr>
      <w:tr>
        <w:trPr>
          <w:trHeight w:val="20"/>
        </w:trPr>
        <w:tc>
          <w:tcPr>
            <w:tcW w:w="7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-159385</wp:posOffset>
            </wp:positionV>
            <wp:extent cx="6858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4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As additional consideration in acquisition of Environmental Integrated Solution (“EIS”), the former owners are entitled to earnout payments based upon a multiple of specified financial results through December 31, 2021. Based on projections at the acquisition date, the Company estimated the fair value of the earnout to be $0.6 million. During 2020 and 2021, the Company increased the earnout based on the estimated fair value at the end of the year. The fair value adjustment is recorded as expense in “Amortization and earnout expenses” on the Consolidated Statements of Income. The changes in fair value were a result of EIS performing above initial acquisition operational expectations. See Note 15 for further discussion of the EIS acquisition.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r>
              <w:rPr>
                <w:rFonts w:ascii="Arial" w:cs="Arial" w:eastAsia="Arial" w:hAnsi="Arial"/>
                <w:sz w:val="18"/>
                <w:szCs w:val="18"/>
                <w:b w:val="1"/>
                <w:bCs w:val="1"/>
                <w:color w:val="auto"/>
                <w:w w:val="79"/>
              </w:rPr>
              <w:t>8.</w:t>
            </w:r>
          </w:p>
        </w:tc>
        <w:tc>
          <w:tcPr>
            <w:tcW w:w="7140" w:type="dxa"/>
            <w:vAlign w:val="bottom"/>
          </w:tcPr>
          <w:p>
            <w:pPr>
              <w:ind w:left="380"/>
              <w:spacing w:after="0"/>
              <w:rPr>
                <w:sz w:val="20"/>
                <w:szCs w:val="20"/>
                <w:color w:val="auto"/>
              </w:rPr>
            </w:pPr>
            <w:r>
              <w:rPr>
                <w:rFonts w:ascii="Arial" w:cs="Arial" w:eastAsia="Arial" w:hAnsi="Arial"/>
                <w:sz w:val="18"/>
                <w:szCs w:val="18"/>
                <w:b w:val="1"/>
                <w:bCs w:val="1"/>
                <w:color w:val="auto"/>
              </w:rPr>
              <w:t>Senior debt</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7280" w:type="dxa"/>
            <w:vAlign w:val="bottom"/>
            <w:gridSpan w:val="2"/>
          </w:tcPr>
          <w:p>
            <w:pPr>
              <w:spacing w:after="0"/>
              <w:rPr>
                <w:sz w:val="20"/>
                <w:szCs w:val="20"/>
                <w:color w:val="auto"/>
              </w:rPr>
            </w:pPr>
            <w:r>
              <w:rPr>
                <w:rFonts w:ascii="Arial" w:cs="Arial" w:eastAsia="Arial" w:hAnsi="Arial"/>
                <w:sz w:val="18"/>
                <w:szCs w:val="18"/>
                <w:color w:val="auto"/>
              </w:rPr>
              <w:t>Debt consisted of the following:</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9"/>
        </w:trPr>
        <w:tc>
          <w:tcPr>
            <w:tcW w:w="7280" w:type="dxa"/>
            <w:vAlign w:val="bottom"/>
            <w:gridSpan w:val="2"/>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55"/>
        </w:trPr>
        <w:tc>
          <w:tcPr>
            <w:tcW w:w="728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Outstanding borrowings under Credit Facility</w:t>
            </w: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140" w:type="dxa"/>
            <w:vAlign w:val="bottom"/>
          </w:tcPr>
          <w:p>
            <w:pPr>
              <w:spacing w:after="0"/>
              <w:rPr>
                <w:sz w:val="15"/>
                <w:szCs w:val="15"/>
                <w:color w:val="auto"/>
              </w:rPr>
            </w:pPr>
          </w:p>
        </w:tc>
        <w:tc>
          <w:tcPr>
            <w:tcW w:w="7140" w:type="dxa"/>
            <w:vAlign w:val="bottom"/>
          </w:tcPr>
          <w:p>
            <w:pPr>
              <w:ind w:left="20"/>
              <w:spacing w:after="0" w:line="176" w:lineRule="exact"/>
              <w:rPr>
                <w:sz w:val="20"/>
                <w:szCs w:val="20"/>
                <w:color w:val="auto"/>
              </w:rPr>
            </w:pPr>
            <w:r>
              <w:rPr>
                <w:rFonts w:ascii="Arial" w:cs="Arial" w:eastAsia="Arial" w:hAnsi="Arial"/>
                <w:sz w:val="18"/>
                <w:szCs w:val="18"/>
                <w:color w:val="auto"/>
              </w:rPr>
              <w:t>Term loan payable in quarterly principal installments of $0.6 million</w:t>
            </w: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2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5"/>
              </w:rPr>
              <w:t>through September 2023, $0.8 million through September 2025 and $1.1 million thereafter with</w:t>
            </w: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balance due upon maturity in September 2026.</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40" w:type="dxa"/>
            <w:vAlign w:val="bottom"/>
            <w:shd w:val="clear" w:color="auto" w:fill="CFF0FC"/>
          </w:tcPr>
          <w:p>
            <w:pPr>
              <w:spacing w:after="0"/>
              <w:rPr>
                <w:sz w:val="17"/>
                <w:szCs w:val="17"/>
                <w:color w:val="auto"/>
              </w:rPr>
            </w:pPr>
          </w:p>
        </w:tc>
        <w:tc>
          <w:tcPr>
            <w:tcW w:w="71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 Term loan</w:t>
            </w:r>
          </w:p>
        </w:tc>
        <w:tc>
          <w:tcPr>
            <w:tcW w:w="440" w:type="dxa"/>
            <w:vAlign w:val="bottom"/>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43,511</w:t>
            </w: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46,250</w:t>
            </w:r>
          </w:p>
        </w:tc>
        <w:tc>
          <w:tcPr>
            <w:tcW w:w="100" w:type="dxa"/>
            <w:vAlign w:val="bottom"/>
            <w:shd w:val="clear" w:color="auto" w:fill="CFF0FC"/>
          </w:tcPr>
          <w:p>
            <w:pPr>
              <w:spacing w:after="0"/>
              <w:rPr>
                <w:sz w:val="17"/>
                <w:szCs w:val="17"/>
                <w:color w:val="auto"/>
              </w:rPr>
            </w:pPr>
          </w:p>
        </w:tc>
      </w:tr>
      <w:tr>
        <w:trPr>
          <w:trHeight w:val="203"/>
        </w:trPr>
        <w:tc>
          <w:tcPr>
            <w:tcW w:w="140" w:type="dxa"/>
            <w:vAlign w:val="bottom"/>
          </w:tcPr>
          <w:p>
            <w:pPr>
              <w:spacing w:after="0"/>
              <w:rPr>
                <w:sz w:val="17"/>
                <w:szCs w:val="17"/>
                <w:color w:val="auto"/>
              </w:rPr>
            </w:pPr>
          </w:p>
        </w:tc>
        <w:tc>
          <w:tcPr>
            <w:tcW w:w="7140" w:type="dxa"/>
            <w:vAlign w:val="bottom"/>
          </w:tcPr>
          <w:p>
            <w:pPr>
              <w:ind w:left="60"/>
              <w:spacing w:after="0" w:line="202" w:lineRule="exact"/>
              <w:rPr>
                <w:sz w:val="20"/>
                <w:szCs w:val="20"/>
                <w:color w:val="auto"/>
              </w:rPr>
            </w:pPr>
            <w:r>
              <w:rPr>
                <w:rFonts w:ascii="Arial" w:cs="Arial" w:eastAsia="Arial" w:hAnsi="Arial"/>
                <w:sz w:val="18"/>
                <w:szCs w:val="18"/>
                <w:color w:val="auto"/>
              </w:rPr>
              <w:t>– Revolving Credit Loan</w:t>
            </w:r>
          </w:p>
        </w:tc>
        <w:tc>
          <w:tcPr>
            <w:tcW w:w="4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22,000</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27,700</w:t>
            </w:r>
          </w:p>
        </w:tc>
        <w:tc>
          <w:tcPr>
            <w:tcW w:w="100" w:type="dxa"/>
            <w:vAlign w:val="bottom"/>
          </w:tcPr>
          <w:p>
            <w:pPr>
              <w:spacing w:after="0"/>
              <w:rPr>
                <w:sz w:val="17"/>
                <w:szCs w:val="17"/>
                <w:color w:val="auto"/>
              </w:rPr>
            </w:pPr>
          </w:p>
        </w:tc>
      </w:tr>
      <w:tr>
        <w:trPr>
          <w:trHeight w:val="203"/>
        </w:trPr>
        <w:tc>
          <w:tcPr>
            <w:tcW w:w="140" w:type="dxa"/>
            <w:vAlign w:val="bottom"/>
            <w:shd w:val="clear" w:color="auto" w:fill="CFF0FC"/>
          </w:tcPr>
          <w:p>
            <w:pPr>
              <w:spacing w:after="0"/>
              <w:rPr>
                <w:sz w:val="17"/>
                <w:szCs w:val="17"/>
                <w:color w:val="auto"/>
              </w:rPr>
            </w:pPr>
          </w:p>
        </w:tc>
        <w:tc>
          <w:tcPr>
            <w:tcW w:w="71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 Unamortized debt discount</w:t>
            </w:r>
          </w:p>
        </w:tc>
        <w:tc>
          <w:tcPr>
            <w:tcW w:w="4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(1,731 )</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(1,334 )</w:t>
            </w:r>
          </w:p>
        </w:tc>
      </w:tr>
      <w:tr>
        <w:trPr>
          <w:trHeight w:val="196"/>
        </w:trPr>
        <w:tc>
          <w:tcPr>
            <w:tcW w:w="728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Total outstanding borrowings under Credit Facility</w:t>
            </w:r>
          </w:p>
        </w:tc>
        <w:tc>
          <w:tcPr>
            <w:tcW w:w="4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63,780</w:t>
            </w:r>
          </w:p>
        </w:tc>
        <w:tc>
          <w:tcPr>
            <w:tcW w:w="26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72,616</w:t>
            </w:r>
          </w:p>
        </w:tc>
        <w:tc>
          <w:tcPr>
            <w:tcW w:w="100" w:type="dxa"/>
            <w:vAlign w:val="bottom"/>
            <w:tcBorders>
              <w:top w:val="single" w:sz="8" w:color="CFF0FC"/>
            </w:tcBorders>
          </w:tcPr>
          <w:p>
            <w:pPr>
              <w:spacing w:after="0"/>
              <w:rPr>
                <w:sz w:val="17"/>
                <w:szCs w:val="17"/>
                <w:color w:val="auto"/>
              </w:rPr>
            </w:pPr>
          </w:p>
        </w:tc>
      </w:tr>
      <w:tr>
        <w:trPr>
          <w:trHeight w:val="203"/>
        </w:trPr>
        <w:tc>
          <w:tcPr>
            <w:tcW w:w="7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Less: current portion</w:t>
            </w:r>
          </w:p>
        </w:tc>
        <w:tc>
          <w:tcPr>
            <w:tcW w:w="4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(2,203 )</w:t>
            </w:r>
          </w:p>
        </w:tc>
        <w:tc>
          <w:tcPr>
            <w:tcW w:w="5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(3,125 )</w:t>
            </w:r>
          </w:p>
        </w:tc>
      </w:tr>
      <w:tr>
        <w:trPr>
          <w:trHeight w:val="196"/>
        </w:trPr>
        <w:tc>
          <w:tcPr>
            <w:tcW w:w="728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color w:val="auto"/>
              </w:rPr>
              <w:t>Total debt, less current portion</w:t>
            </w:r>
          </w:p>
        </w:tc>
        <w:tc>
          <w:tcPr>
            <w:tcW w:w="440" w:type="dxa"/>
            <w:vAlign w:val="bottom"/>
            <w:tcBorders>
              <w:top w:val="single" w:sz="8" w:color="auto"/>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61,577</w:t>
            </w:r>
          </w:p>
        </w:tc>
        <w:tc>
          <w:tcPr>
            <w:tcW w:w="260" w:type="dxa"/>
            <w:vAlign w:val="bottom"/>
            <w:tcBorders>
              <w:top w:val="single" w:sz="8" w:color="CFF0FC"/>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69,491</w:t>
            </w:r>
          </w:p>
        </w:tc>
        <w:tc>
          <w:tcPr>
            <w:tcW w:w="100" w:type="dxa"/>
            <w:vAlign w:val="bottom"/>
            <w:tcBorders>
              <w:top w:val="single" w:sz="8" w:color="CFF0FC"/>
            </w:tcBorders>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-424815</wp:posOffset>
            </wp:positionV>
            <wp:extent cx="685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-159385</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2021, the Company made repayments of $2.7 million on the term loan and had net repayments on the revolving credit lines of $5.7 million. Scheduled principal payments under our Credit Facility are $2.2 million in 2022, $2.5 million in 2023, $3.3 million in 2024, $3.6 million in 2025 and $53.9 million in 2026.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On December 17, 2021, the Company entered into Amendment No. 2 to the Second Amended and Restated Credit Agreement (the “Credit Facility”). The Credit Facility amended and restated the Company’s prior credit agreement. Pursuant to the Credit Facility, the lenders provided a term loan in the aggregate principal amount of $44.1 million and a senior secured revolving credit commitment up to an aggregate principal amount of $140.0 million. This revolving credit commitment allows the Company the ability to borrow loans denominated in different currencies. Additionally, the Credit Facility extended the maturity date to December 17, 2026, replaces LIBOR interest with Secured Overnight Financing Rate ("SOFR") interest for USD loans, Sterling Overnight Interbank Average Rate ("SONIA") for GBP loans, and Canadian Dollar Offered Rate ("CDOR") for CAD loans, and redefined certain financial covenants.</w:t>
      </w:r>
    </w:p>
    <w:p>
      <w:pPr>
        <w:spacing w:after="0" w:line="19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As of December 31, 2021 and 2020, $14.5 million and $7.6 million of letters of credit were outstanding, respectively. Total unused credit availability under the Company’s senior secured term loan and senior secured revolver loan with sub-facilities for letters of credit, swing-line loans and senior secured multi-currency loans was $45.9 million and $60.8 million at December 31, 2021 and 2020, respectively. Revolving loans may be borrowed, repaid and reborrowed until December 17, 2026, at which time all outstanding balances of the Credit Facility must be repaid.</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At the Company’s option, revolving loans and the term loans accrue interest at a per annum rate based on either the highest of (a) the federal funds rate plus 0.5%, (b) the Agent’s prime lending rate, (c) Daily Simple SOFR plus the Daily Simple SOFR Adjustment of 0.11448% plus 1.0%, or (d) 1.0%, plus a margin ranging from 1.75% to 2.75% depending on the Company’s Consolidated Leverage Ratio (“Base Rate”), or (d) a one/three/six-month Term SOFR Rate (as defined in the Credit Agreement) plus the Term SOFR Adjustment ranging from 0.11% to 0.43% plus 1.75% to 2.75% depending on the Company’s Consolidated Leverage Ratio. Interest on swing line loans is the Base Rate.</w:t>
      </w:r>
    </w:p>
    <w:p>
      <w:pPr>
        <w:spacing w:after="0" w:line="17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2.54% and 2.25% at December 31, 2021 and 2020, respectively.</w:t>
      </w:r>
    </w:p>
    <w:p>
      <w:pPr>
        <w:spacing w:after="0" w:line="14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Under the terms of the Credit Facility, the Company is required to maintain certain financial covenants, including the maintenance of a Consolidated Net Leverage Ratio (as defined in the Credit Facility). Through September 30, 2023, the maximum Consolidated Net Leverage Ratio is 3.75, after which time it will decrease to 3.50 until the end of the term of the Credit Facility.</w:t>
      </w:r>
    </w:p>
    <w:p>
      <w:pPr>
        <w:spacing w:after="0" w:line="18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has granted a security interest in substantially all of its assets to secure its obligations pursuant to the Credit Facility. The Company’s obligations under the Credit Agreement are guaranteed by the Company’s U.S. subsidiaries and such guaranty obligations are secured by a security interest on substantially all the assets of such subsidiaries, including certain real property. The Company’s obligations under the Credit Agreement may also be guaranteed by the Company’s material foreign subsidiaries to the extent no adverse tax consequences would result to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p>
      <w:pPr>
        <w:ind w:right="360"/>
        <w:spacing w:after="0" w:line="261" w:lineRule="auto"/>
        <w:rPr>
          <w:sz w:val="20"/>
          <w:szCs w:val="20"/>
          <w:color w:val="auto"/>
        </w:rPr>
      </w:pPr>
      <w:r>
        <w:rPr>
          <w:rFonts w:ascii="Arial" w:cs="Arial" w:eastAsia="Arial" w:hAnsi="Arial"/>
          <w:sz w:val="18"/>
          <w:szCs w:val="18"/>
          <w:color w:val="auto"/>
        </w:rPr>
        <w:t>In connection with the Credit Facility, the Company paid $0.8 million in customary closing fees during 2021 that were deferred and classified as a debt discount, as a result of the Credit Facility being accounted for as a debt modification.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and 2020, the Company was in compliance with all related financial and other restrictive covenants under the Credit Facility.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Debt</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$65.0 million from the bilateral lines of credit secured by pledged assets and collateral under the Credit Facility. As of December 31, 2021, $14.7 million in bank guarantees were outstanding. In addition, a subsidiary of the Company located in the Netherlands has a Euro-denominated bank guarantee agreement secured by local assets under which $0.8 million in bank guarantees were outstanding as of December 31, 2021. As of December 31, 2021, the borrowers of these facilities and agreements were in compliance with all related financial and other restrictive covenants.</w:t>
      </w:r>
    </w:p>
    <w:p>
      <w:pPr>
        <w:spacing w:after="0" w:line="171" w:lineRule="exact"/>
        <w:rPr>
          <w:sz w:val="20"/>
          <w:szCs w:val="20"/>
          <w:color w:val="auto"/>
        </w:rPr>
      </w:pPr>
    </w:p>
    <w:p>
      <w:pPr>
        <w:jc w:val="both"/>
        <w:ind w:right="9080" w:firstLine="8"/>
        <w:spacing w:after="0" w:line="548" w:lineRule="auto"/>
        <w:tabs>
          <w:tab w:leader="none" w:pos="509"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Equity Share-Based Compensation</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Company’s 2021 Equity and Incentive Compensation Plan (the “2021 Plan”) was approved by the Company’s stockholders on May 25, 2021 which replaced the 2017 Equity Incentive Plan (the “2017 Plan”). No further grants will be made under the 2017 Plan, but outstanding awards under the 2017 Plan will continue to be unaffected in accordance with their terms. The 2021 Plan permits the granting of stock options with an exercise price equal to or greater than the fair market value of the Company’s common stock at the date of the grant, and other stock-based awards, including appreciation rights, restricted stock, restricted stock units, performance shares and dividend equivalents. A total of 2.6 million shares of common stock were authorized for issuance. As of December 31, 2021, 2.5 million shares remain available for future issuance. Stock options granted to employees generally vest equally over a period of four years from the date of the grant. Stock awards granted to employees generally vest over a period of three to four years from the date of the grant.</w:t>
      </w:r>
    </w:p>
    <w:p>
      <w:pPr>
        <w:spacing w:after="0" w:line="194"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On July 6, 2020, in connection with the appointment of our Chief Executive Officer, the Company granted our Chief Executive Officer approximately 94,000 restricted stock units with a fair value of $0.6 million, which are being expensed over the vesting period of four years. The Company also granted our Chief Executive Officer approximately 1.2 million stock options with a fair value of $2.4 million that are being expensed over the vesting period of four years. These grants of restricted stock units and stock options (“2020 Inducement Awards”) were approved by the Board of Directors of the Company and are not included in any of the aforementioned Plans.</w:t>
      </w:r>
    </w:p>
    <w:p>
      <w:pPr>
        <w:spacing w:after="0" w:line="189"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Share-based compensation expense for stock options and restricted stock awards under these plans was $3.3 million, $1.8 million and $2.7 million for 2021, 2020 and 2019, respectively. The tax benefit related to share based compensation expense was $0.8 million, $0.3 million and $0.4 million in 2021, 2020 and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1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2020 Employee Stock Purchase Plan (“ESPP”) was approved by shareholders on June 11, 2020. The ESPP is administered by the Compensation Committee. The ESPP allows employees to purchase shares of common stock at a 15% discount from market price and pay for the shares through payroll deductions. Eligible employees can enter the plan at specific “offering dates” that occur in six-month intervals.</w:t>
      </w:r>
    </w:p>
    <w:p>
      <w:pPr>
        <w:spacing w:after="0" w:line="164" w:lineRule="exact"/>
        <w:rPr>
          <w:sz w:val="20"/>
          <w:szCs w:val="20"/>
          <w:color w:val="auto"/>
        </w:rPr>
      </w:pPr>
    </w:p>
    <w:p>
      <w:pPr>
        <w:jc w:val="both"/>
        <w:ind w:right="320"/>
        <w:spacing w:after="0" w:line="294" w:lineRule="auto"/>
        <w:rPr>
          <w:sz w:val="20"/>
          <w:szCs w:val="20"/>
          <w:color w:val="auto"/>
        </w:rPr>
      </w:pPr>
      <w:r>
        <w:rPr>
          <w:rFonts w:ascii="Arial" w:cs="Arial" w:eastAsia="Arial" w:hAnsi="Arial"/>
          <w:sz w:val="16"/>
          <w:szCs w:val="16"/>
          <w:color w:val="auto"/>
        </w:rPr>
        <w:t>The aggregate maximum number of shares of the Company’s common stock that may be granted under the ESPP is 1.3 million shares over the ten-year term of the ESPP, subject to adjustment in the event there is a reorganization, merger, consolidation, recapitalization, reclassification, stock split-up, or similar transaction with respect to the common stock. As of December 31, 2021, 1.3 million shares remain available for future issuance.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employee stock purchase plan expense of $60,000, $20,000 and $60,000 in 2021, 2020 and 2019, respectively.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Stock Options</w:t>
      </w:r>
    </w:p>
    <w:p>
      <w:pPr>
        <w:spacing w:after="0" w:line="21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estimated weighted-average fair value of stock options granted during 2020, was $1.98 per option, using the Black-Scholes option-pricing model based on the following assumptions:</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The Company utilizes a volatility factor based on the Company’s historical stock prices for a period of time equal to the expected term</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stock option utilizing weekly price observations. For 2020, the Company utilized weighted-average volatility factors of 52.5%.</w:t>
      </w:r>
    </w:p>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Due to limited historical exercise data, the Company utilizes the simplified method of determining the expected term based on the vesting</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schedules and terms of the stock options. For 2020, the Company utilized weighted-average expected term factors of 5.0 years.</w:t>
      </w:r>
    </w:p>
    <w:p>
      <w:pPr>
        <w:spacing w:after="0" w:line="14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 The risk-free interest rate factor utilized is based upon the implied yields currently available on U.S. Treasury zero-coupon issues</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expected term of the stock options. For 2020, the Company utilized a weighted-average risk-free interest rate factor of 0.3%.</w:t>
      </w:r>
    </w:p>
    <w:p>
      <w:pPr>
        <w:spacing w:after="0" w:line="1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fair value of stock options is recorded as compensation expense on a straight-line basis over the vesting periods (which approximates the requisite service period) of the options and we account for forfeitures when they occur.</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Information related to all stock options under the 2021 Plan, 2017 Plan and 2007 Plan, and the 2020 Inducement Awards for 2021, 2020 and 2019 is shown in the tables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0" w:type="dxa"/>
            <w:vAlign w:val="bottom"/>
          </w:tcPr>
          <w:p>
            <w:pPr>
              <w:spacing w:after="0"/>
              <w:rPr>
                <w:sz w:val="12"/>
                <w:szCs w:val="12"/>
                <w:color w:val="auto"/>
              </w:rPr>
            </w:pPr>
          </w:p>
        </w:tc>
        <w:tc>
          <w:tcPr>
            <w:tcW w:w="15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1,554</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11.17</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ind w:left="700"/>
              <w:spacing w:after="0" w:line="196" w:lineRule="exact"/>
              <w:rPr>
                <w:sz w:val="20"/>
                <w:szCs w:val="20"/>
                <w:color w:val="auto"/>
              </w:rPr>
            </w:pPr>
            <w:r>
              <w:rPr>
                <w:rFonts w:ascii="Arial" w:cs="Arial" w:eastAsia="Arial" w:hAnsi="Arial"/>
                <w:sz w:val="18"/>
                <w:szCs w:val="18"/>
                <w:color w:val="auto"/>
                <w:w w:val="86"/>
              </w:rPr>
              <w:t>5.8 years</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Forfeitures</w:t>
            </w:r>
          </w:p>
        </w:tc>
        <w:tc>
          <w:tcPr>
            <w:tcW w:w="16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(38 )</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10.63</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(2 )</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6.66</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Outstanding at December 31, 2021</w:t>
            </w:r>
          </w:p>
        </w:tc>
        <w:tc>
          <w:tcPr>
            <w:tcW w:w="140" w:type="dxa"/>
            <w:vAlign w:val="bottom"/>
            <w:tcBorders>
              <w:top w:val="single" w:sz="8" w:color="CFF0FC"/>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1,514</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11.19</w:t>
            </w: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tcPr>
          <w:p>
            <w:pPr>
              <w:ind w:left="700"/>
              <w:spacing w:after="0" w:line="182" w:lineRule="exact"/>
              <w:rPr>
                <w:sz w:val="20"/>
                <w:szCs w:val="20"/>
                <w:color w:val="auto"/>
              </w:rPr>
            </w:pPr>
            <w:r>
              <w:rPr>
                <w:rFonts w:ascii="Arial" w:cs="Arial" w:eastAsia="Arial" w:hAnsi="Arial"/>
                <w:sz w:val="18"/>
                <w:szCs w:val="18"/>
                <w:color w:val="auto"/>
                <w:w w:val="86"/>
              </w:rPr>
              <w:t>4.9 years</w:t>
            </w:r>
          </w:p>
        </w:tc>
        <w:tc>
          <w:tcPr>
            <w:tcW w:w="340" w:type="dxa"/>
            <w:vAlign w:val="bottom"/>
            <w:tcBorders>
              <w:top w:val="single" w:sz="8" w:color="CFF0FC"/>
            </w:tcBorders>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Exercisable at December 31, 2021</w:t>
            </w:r>
          </w:p>
        </w:tc>
        <w:tc>
          <w:tcPr>
            <w:tcW w:w="1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11.39</w:t>
            </w: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ind w:left="700"/>
              <w:spacing w:after="0" w:line="182" w:lineRule="exact"/>
              <w:rPr>
                <w:sz w:val="20"/>
                <w:szCs w:val="20"/>
                <w:color w:val="auto"/>
              </w:rPr>
            </w:pPr>
            <w:r>
              <w:rPr>
                <w:rFonts w:ascii="Arial" w:cs="Arial" w:eastAsia="Arial" w:hAnsi="Arial"/>
                <w:sz w:val="18"/>
                <w:szCs w:val="18"/>
                <w:color w:val="auto"/>
                <w:w w:val="86"/>
              </w:rPr>
              <w:t>4.0 years</w:t>
            </w:r>
          </w:p>
        </w:tc>
        <w:tc>
          <w:tcPr>
            <w:tcW w:w="34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0" w:type="dxa"/>
            <w:vAlign w:val="bottom"/>
          </w:tcPr>
          <w:p>
            <w:pPr>
              <w:spacing w:after="0"/>
              <w:rPr>
                <w:sz w:val="12"/>
                <w:szCs w:val="12"/>
                <w:color w:val="auto"/>
              </w:rPr>
            </w:pPr>
          </w:p>
        </w:tc>
        <w:tc>
          <w:tcPr>
            <w:tcW w:w="15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2019</w:t>
            </w:r>
          </w:p>
        </w:tc>
        <w:tc>
          <w:tcPr>
            <w:tcW w:w="1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410</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11.45</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ind w:left="700"/>
              <w:spacing w:after="0" w:line="196" w:lineRule="exact"/>
              <w:rPr>
                <w:sz w:val="20"/>
                <w:szCs w:val="20"/>
                <w:color w:val="auto"/>
              </w:rPr>
            </w:pPr>
            <w:r>
              <w:rPr>
                <w:rFonts w:ascii="Arial" w:cs="Arial" w:eastAsia="Arial" w:hAnsi="Arial"/>
                <w:sz w:val="18"/>
                <w:szCs w:val="18"/>
                <w:color w:val="auto"/>
                <w:w w:val="86"/>
              </w:rPr>
              <w:t>4.7 years</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Forfeitures</w:t>
            </w:r>
          </w:p>
        </w:tc>
        <w:tc>
          <w:tcPr>
            <w:tcW w:w="16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(71 )</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10.86</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Granted</w:t>
            </w:r>
          </w:p>
        </w:tc>
        <w:tc>
          <w:tcPr>
            <w:tcW w:w="14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1,215</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11.06</w:t>
            </w:r>
          </w:p>
        </w:tc>
        <w:tc>
          <w:tcPr>
            <w:tcW w:w="2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line="182" w:lineRule="exact"/>
              <w:rPr>
                <w:sz w:val="20"/>
                <w:szCs w:val="20"/>
                <w:color w:val="auto"/>
              </w:rPr>
            </w:pPr>
            <w:r>
              <w:rPr>
                <w:rFonts w:ascii="Arial" w:cs="Arial" w:eastAsia="Arial" w:hAnsi="Arial"/>
                <w:sz w:val="18"/>
                <w:szCs w:val="18"/>
                <w:color w:val="auto"/>
              </w:rPr>
              <w:t>Outstanding at December 31, 2020</w:t>
            </w:r>
          </w:p>
        </w:tc>
        <w:tc>
          <w:tcPr>
            <w:tcW w:w="14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1,554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11.17</w:t>
            </w:r>
          </w:p>
        </w:tc>
        <w:tc>
          <w:tcPr>
            <w:tcW w:w="220" w:type="dxa"/>
            <w:vAlign w:val="bottom"/>
          </w:tcPr>
          <w:p>
            <w:pPr>
              <w:spacing w:after="0"/>
              <w:rPr>
                <w:sz w:val="17"/>
                <w:szCs w:val="17"/>
                <w:color w:val="auto"/>
              </w:rPr>
            </w:pPr>
          </w:p>
        </w:tc>
        <w:tc>
          <w:tcPr>
            <w:tcW w:w="1360" w:type="dxa"/>
            <w:vAlign w:val="bottom"/>
          </w:tcPr>
          <w:p>
            <w:pPr>
              <w:ind w:left="700"/>
              <w:spacing w:after="0" w:line="182" w:lineRule="exact"/>
              <w:rPr>
                <w:sz w:val="20"/>
                <w:szCs w:val="20"/>
                <w:color w:val="auto"/>
              </w:rPr>
            </w:pPr>
            <w:r>
              <w:rPr>
                <w:rFonts w:ascii="Arial" w:cs="Arial" w:eastAsia="Arial" w:hAnsi="Arial"/>
                <w:sz w:val="18"/>
                <w:szCs w:val="18"/>
                <w:color w:val="auto"/>
                <w:w w:val="86"/>
              </w:rPr>
              <w:t>5.8 years</w:t>
            </w:r>
          </w:p>
        </w:tc>
        <w:tc>
          <w:tcPr>
            <w:tcW w:w="34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Exercisable at December 31, 2020</w:t>
            </w:r>
          </w:p>
        </w:tc>
        <w:tc>
          <w:tcPr>
            <w:tcW w:w="1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11.66</w:t>
            </w: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ind w:left="700"/>
              <w:spacing w:after="0" w:line="182" w:lineRule="exact"/>
              <w:rPr>
                <w:sz w:val="20"/>
                <w:szCs w:val="20"/>
                <w:color w:val="auto"/>
              </w:rPr>
            </w:pPr>
            <w:r>
              <w:rPr>
                <w:rFonts w:ascii="Arial" w:cs="Arial" w:eastAsia="Arial" w:hAnsi="Arial"/>
                <w:sz w:val="18"/>
                <w:szCs w:val="18"/>
                <w:color w:val="auto"/>
                <w:w w:val="86"/>
              </w:rPr>
              <w:t>3.0 years</w:t>
            </w:r>
          </w:p>
        </w:tc>
        <w:tc>
          <w:tcPr>
            <w:tcW w:w="34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38"/>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40" w:type="dxa"/>
            <w:vAlign w:val="bottom"/>
          </w:tcPr>
          <w:p>
            <w:pPr>
              <w:spacing w:after="0"/>
              <w:rPr>
                <w:sz w:val="12"/>
                <w:szCs w:val="12"/>
                <w:color w:val="auto"/>
              </w:rPr>
            </w:pPr>
          </w:p>
        </w:tc>
        <w:tc>
          <w:tcPr>
            <w:tcW w:w="15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2018</w:t>
            </w:r>
          </w:p>
        </w:tc>
        <w:tc>
          <w:tcPr>
            <w:tcW w:w="14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507</w:t>
            </w: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10.43</w:t>
            </w:r>
          </w:p>
        </w:tc>
        <w:tc>
          <w:tcPr>
            <w:tcW w:w="2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ind w:left="700"/>
              <w:spacing w:after="0" w:line="196" w:lineRule="exact"/>
              <w:rPr>
                <w:sz w:val="20"/>
                <w:szCs w:val="20"/>
                <w:color w:val="auto"/>
              </w:rPr>
            </w:pPr>
            <w:r>
              <w:rPr>
                <w:rFonts w:ascii="Arial" w:cs="Arial" w:eastAsia="Arial" w:hAnsi="Arial"/>
                <w:sz w:val="18"/>
                <w:szCs w:val="18"/>
                <w:color w:val="auto"/>
                <w:w w:val="86"/>
              </w:rPr>
              <w:t>5.2 years</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Forfeitures</w:t>
            </w:r>
          </w:p>
        </w:tc>
        <w:tc>
          <w:tcPr>
            <w:tcW w:w="16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(31 )</w:t>
            </w:r>
          </w:p>
        </w:tc>
        <w:tc>
          <w:tcPr>
            <w:tcW w:w="2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6.84</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w:t>
            </w:r>
          </w:p>
        </w:tc>
        <w:tc>
          <w:tcPr>
            <w:tcW w:w="14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(66 )</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4.10</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Outstanding at December 31, 2019</w:t>
            </w:r>
          </w:p>
        </w:tc>
        <w:tc>
          <w:tcPr>
            <w:tcW w:w="140" w:type="dxa"/>
            <w:vAlign w:val="bottom"/>
            <w:tcBorders>
              <w:top w:val="single" w:sz="8" w:color="CFF0FC"/>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410</w:t>
            </w:r>
          </w:p>
        </w:tc>
        <w:tc>
          <w:tcPr>
            <w:tcW w:w="2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11.45</w:t>
            </w:r>
          </w:p>
        </w:tc>
        <w:tc>
          <w:tcPr>
            <w:tcW w:w="220" w:type="dxa"/>
            <w:vAlign w:val="bottom"/>
            <w:tcBorders>
              <w:top w:val="single" w:sz="8" w:color="CFF0FC"/>
            </w:tcBorders>
          </w:tcPr>
          <w:p>
            <w:pPr>
              <w:spacing w:after="0"/>
              <w:rPr>
                <w:sz w:val="17"/>
                <w:szCs w:val="17"/>
                <w:color w:val="auto"/>
              </w:rPr>
            </w:pPr>
          </w:p>
        </w:tc>
        <w:tc>
          <w:tcPr>
            <w:tcW w:w="1360" w:type="dxa"/>
            <w:vAlign w:val="bottom"/>
            <w:tcBorders>
              <w:top w:val="single" w:sz="8" w:color="CFF0FC"/>
            </w:tcBorders>
          </w:tcPr>
          <w:p>
            <w:pPr>
              <w:ind w:left="700"/>
              <w:spacing w:after="0" w:line="182" w:lineRule="exact"/>
              <w:rPr>
                <w:sz w:val="20"/>
                <w:szCs w:val="20"/>
                <w:color w:val="auto"/>
              </w:rPr>
            </w:pPr>
            <w:r>
              <w:rPr>
                <w:rFonts w:ascii="Arial" w:cs="Arial" w:eastAsia="Arial" w:hAnsi="Arial"/>
                <w:sz w:val="18"/>
                <w:szCs w:val="18"/>
                <w:color w:val="auto"/>
                <w:w w:val="86"/>
              </w:rPr>
              <w:t>4.7 years</w:t>
            </w:r>
          </w:p>
        </w:tc>
        <w:tc>
          <w:tcPr>
            <w:tcW w:w="340" w:type="dxa"/>
            <w:vAlign w:val="bottom"/>
            <w:tcBorders>
              <w:top w:val="single" w:sz="8" w:color="CFF0FC"/>
            </w:tcBorders>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32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Exercisable at December 31, 2019</w:t>
            </w:r>
          </w:p>
        </w:tc>
        <w:tc>
          <w:tcPr>
            <w:tcW w:w="14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12.08</w:t>
            </w:r>
          </w:p>
        </w:tc>
        <w:tc>
          <w:tcPr>
            <w:tcW w:w="22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ind w:left="700"/>
              <w:spacing w:after="0" w:line="182" w:lineRule="exact"/>
              <w:rPr>
                <w:sz w:val="20"/>
                <w:szCs w:val="20"/>
                <w:color w:val="auto"/>
              </w:rPr>
            </w:pPr>
            <w:r>
              <w:rPr>
                <w:rFonts w:ascii="Arial" w:cs="Arial" w:eastAsia="Arial" w:hAnsi="Arial"/>
                <w:sz w:val="18"/>
                <w:szCs w:val="18"/>
                <w:color w:val="auto"/>
                <w:w w:val="86"/>
              </w:rPr>
              <w:t>4.6 years</w:t>
            </w:r>
          </w:p>
        </w:tc>
        <w:tc>
          <w:tcPr>
            <w:tcW w:w="340" w:type="dxa"/>
            <w:vAlign w:val="bottom"/>
            <w:tcBorders>
              <w:bottom w:val="single" w:sz="8" w:color="CFF0FC"/>
            </w:tcBorders>
            <w:gridSpan w:val="2"/>
            <w:shd w:val="clear" w:color="auto" w:fill="CFF0FC"/>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5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1060"/>
              <w:spacing w:after="0"/>
              <w:rPr>
                <w:sz w:val="20"/>
                <w:szCs w:val="20"/>
                <w:color w:val="auto"/>
              </w:rPr>
            </w:pPr>
            <w:r>
              <w:rPr>
                <w:rFonts w:ascii="Arial" w:cs="Arial" w:eastAsia="Arial" w:hAnsi="Arial"/>
                <w:sz w:val="18"/>
                <w:szCs w:val="18"/>
                <w:color w:val="auto"/>
              </w:rPr>
              <w:t>F-20</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-3716655</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-3428365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-3411220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-2251075</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-1962150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-1945005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-784860</wp:posOffset>
            </wp:positionV>
            <wp:extent cx="685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-496570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-479425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Restricted Stock Awards</w:t>
      </w:r>
    </w:p>
    <w:p>
      <w:pPr>
        <w:spacing w:after="0" w:line="21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Information related to restricted stock awards under the 2021 Plan, 2017 Plan, 2007 Plan, and the 2020 Inducement Awards for 2021, 2020 and 2019 is shown in the table below. The fair value of restricted stock awards is based on the price of the stock in the open market on the date of the grant, and the fair value of performance-based restricted stock units is determined by using the Monte Carlo valuation model. The fair value of the restricted stock awards is recorded as compensation expense on a straight-line basis over the vesting periods of the awards and we account for forfeitures when they occur.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jc w:val="center"/>
              <w:ind w:right="254"/>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80" w:type="dxa"/>
            <w:vAlign w:val="bottom"/>
          </w:tcPr>
          <w:p>
            <w:pPr>
              <w:spacing w:after="0"/>
              <w:rPr>
                <w:sz w:val="12"/>
                <w:szCs w:val="12"/>
                <w:color w:val="auto"/>
              </w:rPr>
            </w:pPr>
          </w:p>
        </w:tc>
        <w:tc>
          <w:tcPr>
            <w:tcW w:w="20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46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jc w:val="center"/>
              <w:ind w:right="254"/>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December 31, 2018</w:t>
            </w:r>
          </w:p>
        </w:tc>
        <w:tc>
          <w:tcPr>
            <w:tcW w:w="18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1,251</w:t>
            </w: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464</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222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(310 )</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(84 )</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December 31, 2019</w:t>
            </w:r>
          </w:p>
        </w:tc>
        <w:tc>
          <w:tcPr>
            <w:tcW w:w="18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648</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222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(284 )</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(638 )</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Nonvested at December 31, 2020</w:t>
            </w:r>
          </w:p>
        </w:tc>
        <w:tc>
          <w:tcPr>
            <w:tcW w:w="180" w:type="dxa"/>
            <w:vAlign w:val="bottom"/>
            <w:shd w:val="clear" w:color="auto" w:fill="CFF0FC"/>
          </w:tcPr>
          <w:p>
            <w:pPr>
              <w:spacing w:after="0"/>
              <w:rPr>
                <w:sz w:val="17"/>
                <w:szCs w:val="17"/>
                <w:color w:val="auto"/>
              </w:rPr>
            </w:pP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1,047</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222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(323 )</w:t>
            </w:r>
          </w:p>
        </w:tc>
        <w:tc>
          <w:tcPr>
            <w:tcW w:w="3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22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(264 )</w:t>
            </w:r>
          </w:p>
        </w:tc>
        <w:tc>
          <w:tcPr>
            <w:tcW w:w="34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Nonvested at December 31, 2021</w:t>
            </w:r>
          </w:p>
        </w:tc>
        <w:tc>
          <w:tcPr>
            <w:tcW w:w="18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1,033</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received zero, zero and $7,000 of cash from employees exercising options in 2021, 2020 and 2019, respectively. The Company received approximately $13,000 from a non-employee director exercising options during 2021. The intrinsic value of options exercised during 2021, 2020 and 2019 was $3,000, zero and $0.3 million, respectively.</w:t>
      </w:r>
    </w:p>
    <w:p>
      <w:pPr>
        <w:spacing w:after="0" w:line="1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Unrecognized compensation expense related to nonvested shares of stock options, restricted stock and performance units was $6.7 million at December 31, 2021 and will be recognized over a weighted average vesting period of 2.3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w:t>
      </w:r>
    </w:p>
    <w:p>
      <w:pPr>
        <w:spacing w:after="0" w:line="216"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August 3, 2021, the Company's Board of Directors authorized a share repurchase program under which CECO may purchase up to $5.0 million of its outstanding shares of Company stock. The authorization permitted the Company to repurchase shares in the open market, through accelerated share repurchases, block trades, 10b5-1 plans or through privately negotiated transactions in accordance with applicable laws, rules and regulations. The Company completed its purchases authorized under the plan in October 2021, repurchasing 698,693 shares at an average price of $7.16. All treasury shares were retired following the repurchase.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Our dividend policy and the payment of cash dividends under that policy are subject to the Board of Director’s continuing determination that the dividend policy and the declaration of dividends are in the best interest of the Company’s stockholders. Future dividends and the dividend policy may be changed at the Company’s discretion at any time. Payment of dividends is also subject to the continuing compliance with our financial covenants under our Credit Facility. We have not paid a cash dividend on our common stock in any of the years ended December 31, 2021, 2020 or 2019 and currently intend to retain future earnings, if any, to finance the operations, growth and development of our business in the foreseeable future.</w:t>
      </w:r>
    </w:p>
    <w:p>
      <w:pPr>
        <w:spacing w:after="0" w:line="155"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216"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color w:val="auto"/>
        </w:rPr>
        <w:t>We sponsor a non-contributory defined benefit pension plan for certain union employees. The accrual of future benefits for all participants who are non-union employees was frozen effective December 31, 2008. The plan is funded in accordance with the funding requirements of the Employee Retirement Income Security Act of 1974.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The following tables set forth the plan changes in benefit obligations, plan assets and funded status on the measurement dates: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600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r>
      <w:tr>
        <w:trPr>
          <w:trHeight w:val="196"/>
        </w:trPr>
        <w:tc>
          <w:tcPr>
            <w:tcW w:w="6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projected benefit obligation:</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Projected benefit obligation at beginning of year</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38,272</w:t>
            </w:r>
          </w:p>
        </w:tc>
        <w:tc>
          <w:tcPr>
            <w:tcW w:w="3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35,985</w:t>
            </w:r>
          </w:p>
        </w:tc>
        <w:tc>
          <w:tcPr>
            <w:tcW w:w="32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32,998</w:t>
            </w:r>
          </w:p>
        </w:tc>
        <w:tc>
          <w:tcPr>
            <w:tcW w:w="220" w:type="dxa"/>
            <w:vAlign w:val="bottom"/>
          </w:tcPr>
          <w:p>
            <w:pPr>
              <w:spacing w:after="0"/>
              <w:rPr>
                <w:sz w:val="17"/>
                <w:szCs w:val="17"/>
                <w:color w:val="auto"/>
              </w:rPr>
            </w:pP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cost</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775</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1,034</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1,303</w:t>
            </w:r>
          </w:p>
        </w:tc>
        <w:tc>
          <w:tcPr>
            <w:tcW w:w="220" w:type="dxa"/>
            <w:vAlign w:val="bottom"/>
            <w:shd w:val="clear" w:color="auto" w:fill="CFF0FC"/>
          </w:tcPr>
          <w:p>
            <w:pPr>
              <w:spacing w:after="0"/>
              <w:rPr>
                <w:sz w:val="17"/>
                <w:szCs w:val="17"/>
                <w:color w:val="auto"/>
              </w:rPr>
            </w:pP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340" w:type="dxa"/>
            <w:vAlign w:val="bottom"/>
          </w:tcPr>
          <w:p>
            <w:pPr>
              <w:spacing w:after="0"/>
              <w:rPr>
                <w:sz w:val="17"/>
                <w:szCs w:val="17"/>
                <w:color w:val="auto"/>
              </w:rPr>
            </w:pPr>
          </w:p>
        </w:tc>
        <w:tc>
          <w:tcPr>
            <w:tcW w:w="14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(1,936 )</w:t>
            </w: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3,323</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3,704</w:t>
            </w:r>
          </w:p>
        </w:tc>
        <w:tc>
          <w:tcPr>
            <w:tcW w:w="220" w:type="dxa"/>
            <w:vAlign w:val="bottom"/>
          </w:tcPr>
          <w:p>
            <w:pPr>
              <w:spacing w:after="0"/>
              <w:rPr>
                <w:sz w:val="17"/>
                <w:szCs w:val="17"/>
                <w:color w:val="auto"/>
              </w:rPr>
            </w:pP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Benefits paid</w:t>
            </w:r>
          </w:p>
        </w:tc>
        <w:tc>
          <w:tcPr>
            <w:tcW w:w="3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(2,076 )</w:t>
            </w: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(2,070 )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(2,020 )</w:t>
            </w:r>
          </w:p>
        </w:tc>
      </w:tr>
      <w:tr>
        <w:trPr>
          <w:trHeight w:val="196"/>
        </w:trPr>
        <w:tc>
          <w:tcPr>
            <w:tcW w:w="60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Projected benefit obligation at end of year</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35,035</w:t>
            </w:r>
          </w:p>
        </w:tc>
        <w:tc>
          <w:tcPr>
            <w:tcW w:w="3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38,272</w:t>
            </w:r>
          </w:p>
        </w:tc>
        <w:tc>
          <w:tcPr>
            <w:tcW w:w="3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35,985</w:t>
            </w:r>
          </w:p>
        </w:tc>
        <w:tc>
          <w:tcPr>
            <w:tcW w:w="220" w:type="dxa"/>
            <w:vAlign w:val="bottom"/>
            <w:tcBorders>
              <w:top w:val="single" w:sz="8" w:color="CFF0FC"/>
            </w:tcBorders>
          </w:tcPr>
          <w:p>
            <w:pPr>
              <w:spacing w:after="0"/>
              <w:rPr>
                <w:sz w:val="17"/>
                <w:szCs w:val="17"/>
                <w:color w:val="auto"/>
              </w:rPr>
            </w:pPr>
          </w:p>
        </w:tc>
      </w:tr>
      <w:tr>
        <w:trPr>
          <w:trHeight w:val="196"/>
        </w:trPr>
        <w:tc>
          <w:tcPr>
            <w:tcW w:w="6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plan assets: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Fair value of plan assets at beginning of year</w:t>
            </w: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28,545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27,099</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24,197</w:t>
            </w:r>
          </w:p>
        </w:tc>
        <w:tc>
          <w:tcPr>
            <w:tcW w:w="220" w:type="dxa"/>
            <w:vAlign w:val="bottom"/>
          </w:tcPr>
          <w:p>
            <w:pPr>
              <w:spacing w:after="0"/>
              <w:rPr>
                <w:sz w:val="17"/>
                <w:szCs w:val="17"/>
                <w:color w:val="auto"/>
              </w:rPr>
            </w:pP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3,005</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1,629</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4,431</w:t>
            </w:r>
          </w:p>
        </w:tc>
        <w:tc>
          <w:tcPr>
            <w:tcW w:w="220" w:type="dxa"/>
            <w:vAlign w:val="bottom"/>
            <w:shd w:val="clear" w:color="auto" w:fill="CFF0FC"/>
          </w:tcPr>
          <w:p>
            <w:pPr>
              <w:spacing w:after="0"/>
              <w:rPr>
                <w:sz w:val="17"/>
                <w:szCs w:val="17"/>
                <w:color w:val="auto"/>
              </w:rPr>
            </w:pPr>
          </w:p>
        </w:tc>
      </w:tr>
      <w:tr>
        <w:trPr>
          <w:trHeight w:val="203"/>
        </w:trPr>
        <w:tc>
          <w:tcPr>
            <w:tcW w:w="6000" w:type="dxa"/>
            <w:vAlign w:val="bottom"/>
          </w:tcPr>
          <w:p>
            <w:pPr>
              <w:ind w:left="200"/>
              <w:spacing w:after="0" w:line="202" w:lineRule="exact"/>
              <w:rPr>
                <w:sz w:val="20"/>
                <w:szCs w:val="20"/>
                <w:color w:val="auto"/>
              </w:rPr>
            </w:pPr>
            <w:r>
              <w:rPr>
                <w:rFonts w:ascii="Arial" w:cs="Arial" w:eastAsia="Arial" w:hAnsi="Arial"/>
                <w:sz w:val="18"/>
                <w:szCs w:val="18"/>
                <w:color w:val="auto"/>
              </w:rPr>
              <w:t>Employer contribution</w:t>
            </w:r>
          </w:p>
        </w:tc>
        <w:tc>
          <w:tcPr>
            <w:tcW w:w="340" w:type="dxa"/>
            <w:vAlign w:val="bottom"/>
          </w:tcPr>
          <w:p>
            <w:pPr>
              <w:spacing w:after="0"/>
              <w:rPr>
                <w:sz w:val="17"/>
                <w:szCs w:val="17"/>
                <w:color w:val="auto"/>
              </w:rPr>
            </w:pPr>
          </w:p>
        </w:tc>
        <w:tc>
          <w:tcPr>
            <w:tcW w:w="1460" w:type="dxa"/>
            <w:vAlign w:val="bottom"/>
            <w:gridSpan w:val="2"/>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1,887</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491</w:t>
            </w:r>
          </w:p>
        </w:tc>
        <w:tc>
          <w:tcPr>
            <w:tcW w:w="220" w:type="dxa"/>
            <w:vAlign w:val="bottom"/>
          </w:tcPr>
          <w:p>
            <w:pPr>
              <w:spacing w:after="0"/>
              <w:rPr>
                <w:sz w:val="17"/>
                <w:szCs w:val="17"/>
                <w:color w:val="auto"/>
              </w:rPr>
            </w:pPr>
          </w:p>
        </w:tc>
      </w:tr>
      <w:tr>
        <w:trPr>
          <w:trHeight w:val="203"/>
        </w:trPr>
        <w:tc>
          <w:tcPr>
            <w:tcW w:w="6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Benefits paid</w:t>
            </w:r>
          </w:p>
        </w:tc>
        <w:tc>
          <w:tcPr>
            <w:tcW w:w="3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(2,076 )</w:t>
            </w: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(2,070 )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(2,020 )</w:t>
            </w:r>
          </w:p>
        </w:tc>
      </w:tr>
      <w:tr>
        <w:trPr>
          <w:trHeight w:val="196"/>
        </w:trPr>
        <w:tc>
          <w:tcPr>
            <w:tcW w:w="600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29,474</w:t>
            </w:r>
          </w:p>
        </w:tc>
        <w:tc>
          <w:tcPr>
            <w:tcW w:w="3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28,545</w:t>
            </w:r>
          </w:p>
        </w:tc>
        <w:tc>
          <w:tcPr>
            <w:tcW w:w="3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27,099</w:t>
            </w:r>
          </w:p>
        </w:tc>
        <w:tc>
          <w:tcPr>
            <w:tcW w:w="220" w:type="dxa"/>
            <w:vAlign w:val="bottom"/>
            <w:tcBorders>
              <w:top w:val="single" w:sz="8" w:color="CFF0FC"/>
            </w:tcBorders>
          </w:tcPr>
          <w:p>
            <w:pPr>
              <w:spacing w:after="0"/>
              <w:rPr>
                <w:sz w:val="17"/>
                <w:szCs w:val="17"/>
                <w:color w:val="auto"/>
              </w:rPr>
            </w:pPr>
          </w:p>
        </w:tc>
      </w:tr>
      <w:tr>
        <w:trPr>
          <w:trHeight w:val="236"/>
        </w:trPr>
        <w:tc>
          <w:tcPr>
            <w:tcW w:w="6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Funded status at end of year</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(5,561</w:t>
            </w:r>
          </w:p>
        </w:tc>
        <w:tc>
          <w:tcPr>
            <w:tcW w:w="340" w:type="dxa"/>
            <w:vAlign w:val="bottom"/>
            <w:tcBorders>
              <w:bottom w:val="single" w:sz="8" w:color="CFF0FC"/>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(9,727</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(8,886</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r>
        <w:trPr>
          <w:trHeight w:val="143"/>
        </w:trPr>
        <w:tc>
          <w:tcPr>
            <w:tcW w:w="600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assumptions used to determine benefit obligations for the</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6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Discount rate</w:t>
            </w:r>
          </w:p>
        </w:tc>
        <w:tc>
          <w:tcPr>
            <w:tcW w:w="3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2.55 %</w:t>
            </w:r>
          </w:p>
        </w:tc>
        <w:tc>
          <w:tcPr>
            <w:tcW w:w="20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2.10 %</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-1453515</wp:posOffset>
            </wp:positionV>
            <wp:extent cx="14541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-1453515</wp:posOffset>
            </wp:positionV>
            <wp:extent cx="14605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-1453515</wp:posOffset>
            </wp:positionV>
            <wp:extent cx="13716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-664845</wp:posOffset>
            </wp:positionV>
            <wp:extent cx="14541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-664845</wp:posOffset>
            </wp:positionV>
            <wp:extent cx="14605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-664845</wp:posOffset>
            </wp:positionV>
            <wp:extent cx="13716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-393700</wp:posOffset>
            </wp:positionV>
            <wp:extent cx="1454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-376555</wp:posOffset>
            </wp:positionV>
            <wp:extent cx="1454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-393700</wp:posOffset>
            </wp:positionV>
            <wp:extent cx="1460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-376555</wp:posOffset>
            </wp:positionV>
            <wp:extent cx="1460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-393700</wp:posOffset>
            </wp:positionV>
            <wp:extent cx="137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-376555</wp:posOffset>
            </wp:positionV>
            <wp:extent cx="137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funded status as of December 31, 2021, 2020 and 2019, was $5.6 million, $9.7 million and $8.8 million, respectively and is recognized in our Consolidated Balance Sheets within other long-term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net periodic benefit cost for pension benefits included in the accompanying Consolidated Statements of Income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01"/>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6160" w:type="dxa"/>
            <w:vAlign w:val="bottom"/>
          </w:tcPr>
          <w:p>
            <w:pPr>
              <w:ind w:left="20"/>
              <w:spacing w:after="0" w:line="196" w:lineRule="exact"/>
              <w:rPr>
                <w:sz w:val="20"/>
                <w:szCs w:val="20"/>
                <w:color w:val="auto"/>
              </w:rPr>
            </w:pPr>
            <w:r>
              <w:rPr>
                <w:rFonts w:ascii="Arial" w:cs="Arial" w:eastAsia="Arial" w:hAnsi="Arial"/>
                <w:sz w:val="18"/>
                <w:szCs w:val="18"/>
                <w:color w:val="auto"/>
              </w:rPr>
              <w:t>Interest cost</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775</w:t>
            </w:r>
          </w:p>
        </w:tc>
        <w:tc>
          <w:tcPr>
            <w:tcW w:w="24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1,034</w:t>
            </w:r>
          </w:p>
        </w:tc>
        <w:tc>
          <w:tcPr>
            <w:tcW w:w="24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1,303</w:t>
            </w:r>
          </w:p>
        </w:tc>
        <w:tc>
          <w:tcPr>
            <w:tcW w:w="100" w:type="dxa"/>
            <w:vAlign w:val="bottom"/>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(1,510 )</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(1,594 )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(1,254 )</w:t>
            </w: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net loss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periodic benefit (income) cost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plan assets and benefit obligations recognized in other comprehensive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60" w:type="dxa"/>
            <w:vAlign w:val="bottom"/>
          </w:tcPr>
          <w:p>
            <w:pPr>
              <w:ind w:left="20"/>
              <w:spacing w:after="0" w:line="196" w:lineRule="exact"/>
              <w:rPr>
                <w:sz w:val="20"/>
                <w:szCs w:val="20"/>
                <w:color w:val="auto"/>
              </w:rPr>
            </w:pPr>
            <w:r>
              <w:rPr>
                <w:rFonts w:ascii="Arial" w:cs="Arial" w:eastAsia="Arial" w:hAnsi="Arial"/>
                <w:sz w:val="18"/>
                <w:szCs w:val="18"/>
                <w:color w:val="auto"/>
              </w:rPr>
              <w:t>Net (gain) loss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(3,432</w:t>
            </w:r>
          </w:p>
        </w:tc>
        <w:tc>
          <w:tcPr>
            <w:tcW w:w="24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3,287</w:t>
            </w:r>
          </w:p>
        </w:tc>
        <w:tc>
          <w:tcPr>
            <w:tcW w:w="24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527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net actuarial loss</w:t>
            </w:r>
          </w:p>
        </w:tc>
        <w:tc>
          <w:tcPr>
            <w:tcW w:w="3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(411 )</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(266 )</w:t>
            </w:r>
          </w:p>
        </w:tc>
        <w:tc>
          <w:tcPr>
            <w:tcW w:w="3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r>
        <w:trPr>
          <w:trHeight w:val="20"/>
        </w:trPr>
        <w:tc>
          <w:tcPr>
            <w:tcW w:w="6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60" w:type="dxa"/>
            <w:vAlign w:val="bottom"/>
          </w:tcPr>
          <w:p>
            <w:pPr>
              <w:ind w:left="20"/>
              <w:spacing w:after="0" w:line="196" w:lineRule="exact"/>
              <w:rPr>
                <w:sz w:val="20"/>
                <w:szCs w:val="20"/>
                <w:color w:val="auto"/>
              </w:rPr>
            </w:pPr>
            <w:r>
              <w:rPr>
                <w:rFonts w:ascii="Arial" w:cs="Arial" w:eastAsia="Arial" w:hAnsi="Arial"/>
                <w:sz w:val="18"/>
                <w:szCs w:val="18"/>
                <w:color w:val="auto"/>
              </w:rPr>
              <w:t>Total recognized in other comprehensive income (loss)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(3,843 )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3,021</w:t>
            </w:r>
          </w:p>
        </w:tc>
        <w:tc>
          <w:tcPr>
            <w:tcW w:w="24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Total recognized in net periodic benefit cost and other comprehensive income</w:t>
            </w: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(4,167 )</w:t>
            </w:r>
          </w:p>
        </w:tc>
        <w:tc>
          <w:tcPr>
            <w:tcW w:w="2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2,727</w:t>
            </w:r>
          </w:p>
        </w:tc>
        <w:tc>
          <w:tcPr>
            <w:tcW w:w="24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1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(loss)</w:t>
            </w:r>
          </w:p>
        </w:tc>
        <w:tc>
          <w:tcPr>
            <w:tcW w:w="340" w:type="dxa"/>
            <w:vAlign w:val="bottom"/>
            <w:vMerge w:val="continue"/>
            <w:shd w:val="clear" w:color="auto" w:fill="CFF0FC"/>
          </w:tcPr>
          <w:p>
            <w:pPr>
              <w:spacing w:after="0"/>
              <w:rPr>
                <w:sz w:val="17"/>
                <w:szCs w:val="17"/>
                <w:color w:val="auto"/>
              </w:rPr>
            </w:pPr>
          </w:p>
        </w:tc>
        <w:tc>
          <w:tcPr>
            <w:tcW w:w="1400" w:type="dxa"/>
            <w:vAlign w:val="bottom"/>
            <w:gridSpan w:val="2"/>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vMerge w:val="continue"/>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-399415</wp:posOffset>
            </wp:positionV>
            <wp:extent cx="685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-399415</wp:posOffset>
            </wp:positionV>
            <wp:extent cx="6858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wp:posOffset>
            </wp:positionV>
            <wp:extent cx="685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$3.4 million net gain arising in the year was primarily due to increases in the discount rate, and higher actual returns on plan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00" w:type="dxa"/>
            <w:vAlign w:val="bottom"/>
            <w:vMerge w:val="restart"/>
          </w:tcPr>
          <w:p>
            <w:pPr>
              <w:ind w:left="380"/>
              <w:spacing w:after="0"/>
              <w:rPr>
                <w:sz w:val="20"/>
                <w:szCs w:val="20"/>
                <w:color w:val="auto"/>
              </w:rPr>
            </w:pPr>
            <w:r>
              <w:rPr>
                <w:rFonts w:ascii="Arial" w:cs="Arial" w:eastAsia="Arial" w:hAnsi="Arial"/>
                <w:sz w:val="18"/>
                <w:szCs w:val="18"/>
                <w:color w:val="auto"/>
              </w:rPr>
              <w:t>Discount Rate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74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6"/>
              </w:rPr>
              <w:t>2020</w:t>
            </w:r>
          </w:p>
        </w:tc>
        <w:tc>
          <w:tcPr>
            <w:tcW w:w="172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96"/>
        </w:trPr>
        <w:tc>
          <w:tcPr>
            <w:tcW w:w="6200" w:type="dxa"/>
            <w:vAlign w:val="bottom"/>
            <w:vMerge w:val="continue"/>
          </w:tcPr>
          <w:p>
            <w:pPr>
              <w:spacing w:after="0"/>
              <w:rPr>
                <w:sz w:val="17"/>
                <w:szCs w:val="17"/>
                <w:color w:val="auto"/>
              </w:rPr>
            </w:pPr>
          </w:p>
        </w:tc>
        <w:tc>
          <w:tcPr>
            <w:tcW w:w="15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2.10%</w:t>
            </w:r>
          </w:p>
        </w:tc>
        <w:tc>
          <w:tcPr>
            <w:tcW w:w="160" w:type="dxa"/>
            <w:vAlign w:val="bottom"/>
          </w:tcPr>
          <w:p>
            <w:pPr>
              <w:spacing w:after="0"/>
              <w:rPr>
                <w:sz w:val="17"/>
                <w:szCs w:val="17"/>
                <w:color w:val="auto"/>
              </w:rPr>
            </w:pPr>
          </w:p>
        </w:tc>
        <w:tc>
          <w:tcPr>
            <w:tcW w:w="15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2.95%</w:t>
            </w:r>
          </w:p>
        </w:tc>
        <w:tc>
          <w:tcPr>
            <w:tcW w:w="140" w:type="dxa"/>
            <w:vAlign w:val="bottom"/>
          </w:tcPr>
          <w:p>
            <w:pPr>
              <w:spacing w:after="0"/>
              <w:rPr>
                <w:sz w:val="17"/>
                <w:szCs w:val="17"/>
                <w:color w:val="auto"/>
              </w:rPr>
            </w:pPr>
          </w:p>
        </w:tc>
        <w:tc>
          <w:tcPr>
            <w:tcW w:w="15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4.05%</w:t>
            </w:r>
          </w:p>
        </w:tc>
        <w:tc>
          <w:tcPr>
            <w:tcW w:w="0" w:type="dxa"/>
            <w:vAlign w:val="bottom"/>
          </w:tcPr>
          <w:p>
            <w:pPr>
              <w:spacing w:after="0"/>
              <w:rPr>
                <w:sz w:val="1"/>
                <w:szCs w:val="1"/>
                <w:color w:val="auto"/>
              </w:rPr>
            </w:pPr>
          </w:p>
        </w:tc>
      </w:tr>
      <w:tr>
        <w:trPr>
          <w:trHeight w:val="203"/>
        </w:trPr>
        <w:tc>
          <w:tcPr>
            <w:tcW w:w="62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Expected return on assets</w:t>
            </w:r>
          </w:p>
        </w:tc>
        <w:tc>
          <w:tcPr>
            <w:tcW w:w="15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5.50%</w:t>
            </w:r>
          </w:p>
        </w:tc>
        <w:tc>
          <w:tcPr>
            <w:tcW w:w="1740" w:type="dxa"/>
            <w:vAlign w:val="bottom"/>
            <w:gridSpan w:val="2"/>
            <w:shd w:val="clear" w:color="auto" w:fill="CFF0FC"/>
          </w:tcPr>
          <w:p>
            <w:pPr>
              <w:jc w:val="center"/>
              <w:ind w:left="79"/>
              <w:spacing w:after="0" w:line="202" w:lineRule="exact"/>
              <w:rPr>
                <w:sz w:val="20"/>
                <w:szCs w:val="20"/>
                <w:color w:val="auto"/>
              </w:rPr>
            </w:pPr>
            <w:r>
              <w:rPr>
                <w:rFonts w:ascii="Arial" w:cs="Arial" w:eastAsia="Arial" w:hAnsi="Arial"/>
                <w:sz w:val="18"/>
                <w:szCs w:val="18"/>
                <w:color w:val="auto"/>
                <w:w w:val="90"/>
              </w:rPr>
              <w:t>6.00%</w:t>
            </w:r>
          </w:p>
        </w:tc>
        <w:tc>
          <w:tcPr>
            <w:tcW w:w="1720" w:type="dxa"/>
            <w:vAlign w:val="bottom"/>
            <w:gridSpan w:val="2"/>
            <w:shd w:val="clear" w:color="auto" w:fill="CFF0FC"/>
          </w:tcPr>
          <w:p>
            <w:pPr>
              <w:jc w:val="center"/>
              <w:ind w:left="59"/>
              <w:spacing w:after="0" w:line="202" w:lineRule="exact"/>
              <w:rPr>
                <w:sz w:val="20"/>
                <w:szCs w:val="20"/>
                <w:color w:val="auto"/>
              </w:rPr>
            </w:pPr>
            <w:r>
              <w:rPr>
                <w:rFonts w:ascii="Arial" w:cs="Arial" w:eastAsia="Arial" w:hAnsi="Arial"/>
                <w:sz w:val="18"/>
                <w:szCs w:val="18"/>
                <w:color w:val="auto"/>
                <w:w w:val="90"/>
              </w:rPr>
              <w:t>5.35%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basis of the long-term rate of return assumption reflects the current asset mix for the pension plan of approximately 30% to 40% debt securities and 60% to 70% equity securities with assumed average annual returns of approximately 4% to 6% for debt securities and 8% to 12% for equity securities. The investment portfolio for the pension plan will be adjusted periodically to maintain the current ratios of debt securities and equity securities. Additional consideration is given to the historical returns for the pension plan as well as future long range projections of investment returns for each asset category. The long-term rate of return also considers administrative expenses of the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Benefits under the plan is not based on wages and, therefore, future wage adjustments have no effect on the projected benefit obligation.</w:t>
      </w:r>
    </w:p>
    <w:p>
      <w:pPr>
        <w:spacing w:after="0" w:line="21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During 2021, 2020 and 2019, the Company updated the mortality tables (RP-2020 Total Mortality Table, RP-2019 Total Mortality Table, and RP-2018 Total Mortality Table for each respective year) in the underlying assumptions used to determine the benefit obligation.</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defined benefit pension plan asset allocation by asset category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1120" w:type="dxa"/>
            <w:vAlign w:val="bottom"/>
          </w:tcPr>
          <w:p>
            <w:pPr>
              <w:spacing w:after="0"/>
              <w:rPr>
                <w:sz w:val="14"/>
                <w:szCs w:val="14"/>
                <w:color w:val="auto"/>
              </w:rPr>
            </w:pPr>
          </w:p>
        </w:tc>
        <w:tc>
          <w:tcPr>
            <w:tcW w:w="2180" w:type="dxa"/>
            <w:vAlign w:val="bottom"/>
            <w:gridSpan w:val="3"/>
          </w:tcPr>
          <w:p>
            <w:pPr>
              <w:jc w:val="center"/>
              <w:ind w:right="1030"/>
              <w:spacing w:after="0"/>
              <w:rPr>
                <w:sz w:val="20"/>
                <w:szCs w:val="20"/>
                <w:color w:val="auto"/>
              </w:rPr>
            </w:pPr>
            <w:r>
              <w:rPr>
                <w:rFonts w:ascii="Arial" w:cs="Arial" w:eastAsia="Arial" w:hAnsi="Arial"/>
                <w:sz w:val="14"/>
                <w:szCs w:val="14"/>
                <w:b w:val="1"/>
                <w:bCs w:val="1"/>
                <w:color w:val="auto"/>
                <w:w w:val="88"/>
              </w:rPr>
              <w:t>Percentage of</w:t>
            </w:r>
          </w:p>
        </w:tc>
      </w:tr>
      <w:tr>
        <w:trPr>
          <w:trHeight w:val="175"/>
        </w:trPr>
        <w:tc>
          <w:tcPr>
            <w:tcW w:w="6180" w:type="dxa"/>
            <w:vAlign w:val="bottom"/>
          </w:tcPr>
          <w:p>
            <w:pPr>
              <w:spacing w:after="0"/>
              <w:rPr>
                <w:sz w:val="15"/>
                <w:szCs w:val="15"/>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Allocation</w:t>
            </w:r>
          </w:p>
        </w:tc>
        <w:tc>
          <w:tcPr>
            <w:tcW w:w="1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center"/>
              <w:ind w:right="1030"/>
              <w:spacing w:after="0"/>
              <w:rPr>
                <w:sz w:val="20"/>
                <w:szCs w:val="20"/>
                <w:color w:val="auto"/>
              </w:rPr>
            </w:pPr>
            <w:r>
              <w:rPr>
                <w:rFonts w:ascii="Arial" w:cs="Arial" w:eastAsia="Arial" w:hAnsi="Arial"/>
                <w:sz w:val="14"/>
                <w:szCs w:val="14"/>
                <w:b w:val="1"/>
                <w:bCs w:val="1"/>
                <w:color w:val="auto"/>
                <w:w w:val="88"/>
              </w:rPr>
              <w:t>Plan Assets</w:t>
            </w:r>
          </w:p>
        </w:tc>
      </w:tr>
      <w:tr>
        <w:trPr>
          <w:trHeight w:val="169"/>
        </w:trPr>
        <w:tc>
          <w:tcPr>
            <w:tcW w:w="61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120" w:type="dxa"/>
            <w:vAlign w:val="bottom"/>
          </w:tcPr>
          <w:p>
            <w:pPr>
              <w:jc w:val="center"/>
              <w:ind w:left="374"/>
              <w:spacing w:after="0"/>
              <w:rPr>
                <w:sz w:val="20"/>
                <w:szCs w:val="20"/>
                <w:color w:val="auto"/>
              </w:rPr>
            </w:pPr>
            <w:r>
              <w:rPr>
                <w:rFonts w:ascii="Arial" w:cs="Arial" w:eastAsia="Arial" w:hAnsi="Arial"/>
                <w:sz w:val="14"/>
                <w:szCs w:val="14"/>
                <w:b w:val="1"/>
                <w:bCs w:val="1"/>
                <w:color w:val="auto"/>
                <w:w w:val="96"/>
              </w:rPr>
              <w:t>2021</w:t>
            </w:r>
          </w:p>
        </w:tc>
        <w:tc>
          <w:tcPr>
            <w:tcW w:w="218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6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 Category:</w:t>
            </w:r>
          </w:p>
        </w:tc>
        <w:tc>
          <w:tcPr>
            <w:tcW w:w="1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17"/>
                <w:szCs w:val="17"/>
                <w:color w:val="auto"/>
              </w:rPr>
            </w:pPr>
          </w:p>
        </w:tc>
        <w:tc>
          <w:tcPr>
            <w:tcW w:w="1120" w:type="dxa"/>
            <w:vAlign w:val="bottom"/>
          </w:tcPr>
          <w:p>
            <w:pPr>
              <w:jc w:val="center"/>
              <w:ind w:left="354"/>
              <w:spacing w:after="0" w:line="202" w:lineRule="exact"/>
              <w:rPr>
                <w:sz w:val="20"/>
                <w:szCs w:val="20"/>
                <w:color w:val="auto"/>
              </w:rPr>
            </w:pPr>
            <w:r>
              <w:rPr>
                <w:rFonts w:ascii="Arial" w:cs="Arial" w:eastAsia="Arial" w:hAnsi="Arial"/>
                <w:sz w:val="18"/>
                <w:szCs w:val="18"/>
                <w:color w:val="auto"/>
                <w:w w:val="92"/>
              </w:rPr>
              <w:t>1%</w:t>
            </w:r>
          </w:p>
        </w:tc>
        <w:tc>
          <w:tcPr>
            <w:tcW w:w="2180" w:type="dxa"/>
            <w:vAlign w:val="bottom"/>
            <w:gridSpan w:val="3"/>
          </w:tcPr>
          <w:p>
            <w:pPr>
              <w:jc w:val="center"/>
              <w:ind w:left="539"/>
              <w:spacing w:after="0" w:line="202" w:lineRule="exact"/>
              <w:rPr>
                <w:sz w:val="20"/>
                <w:szCs w:val="20"/>
                <w:color w:val="auto"/>
              </w:rPr>
            </w:pPr>
            <w:r>
              <w:rPr>
                <w:rFonts w:ascii="Arial" w:cs="Arial" w:eastAsia="Arial" w:hAnsi="Arial"/>
                <w:sz w:val="18"/>
                <w:szCs w:val="18"/>
                <w:color w:val="auto"/>
                <w:w w:val="92"/>
              </w:rPr>
              <w:t>6%</w:t>
            </w:r>
          </w:p>
        </w:tc>
      </w:tr>
      <w:tr>
        <w:trPr>
          <w:trHeight w:val="203"/>
        </w:trPr>
        <w:tc>
          <w:tcPr>
            <w:tcW w:w="6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 securities</w:t>
            </w:r>
          </w:p>
        </w:tc>
        <w:tc>
          <w:tcPr>
            <w:tcW w:w="16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70%</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center"/>
              <w:ind w:left="374"/>
              <w:spacing w:after="0" w:line="202" w:lineRule="exact"/>
              <w:rPr>
                <w:sz w:val="20"/>
                <w:szCs w:val="20"/>
                <w:color w:val="auto"/>
              </w:rPr>
            </w:pPr>
            <w:r>
              <w:rPr>
                <w:rFonts w:ascii="Arial" w:cs="Arial" w:eastAsia="Arial" w:hAnsi="Arial"/>
                <w:sz w:val="18"/>
                <w:szCs w:val="18"/>
                <w:color w:val="auto"/>
                <w:w w:val="94"/>
              </w:rPr>
              <w:t>77%</w:t>
            </w:r>
          </w:p>
        </w:tc>
        <w:tc>
          <w:tcPr>
            <w:tcW w:w="2180" w:type="dxa"/>
            <w:vAlign w:val="bottom"/>
            <w:gridSpan w:val="3"/>
            <w:shd w:val="clear" w:color="auto" w:fill="CFF0FC"/>
          </w:tcPr>
          <w:p>
            <w:pPr>
              <w:jc w:val="center"/>
              <w:ind w:left="519"/>
              <w:spacing w:after="0" w:line="202" w:lineRule="exact"/>
              <w:rPr>
                <w:sz w:val="20"/>
                <w:szCs w:val="20"/>
                <w:color w:val="auto"/>
              </w:rPr>
            </w:pPr>
            <w:r>
              <w:rPr>
                <w:rFonts w:ascii="Arial" w:cs="Arial" w:eastAsia="Arial" w:hAnsi="Arial"/>
                <w:sz w:val="18"/>
                <w:szCs w:val="18"/>
                <w:color w:val="auto"/>
                <w:w w:val="94"/>
              </w:rPr>
              <w:t>66%</w:t>
            </w:r>
          </w:p>
        </w:tc>
      </w:tr>
      <w:tr>
        <w:trPr>
          <w:trHeight w:val="203"/>
        </w:trPr>
        <w:tc>
          <w:tcPr>
            <w:tcW w:w="6180" w:type="dxa"/>
            <w:vAlign w:val="bottom"/>
          </w:tcPr>
          <w:p>
            <w:pPr>
              <w:ind w:left="20"/>
              <w:spacing w:after="0" w:line="202" w:lineRule="exact"/>
              <w:rPr>
                <w:sz w:val="20"/>
                <w:szCs w:val="20"/>
                <w:color w:val="auto"/>
              </w:rPr>
            </w:pPr>
            <w:r>
              <w:rPr>
                <w:rFonts w:ascii="Arial" w:cs="Arial" w:eastAsia="Arial" w:hAnsi="Arial"/>
                <w:sz w:val="18"/>
                <w:szCs w:val="18"/>
                <w:color w:val="auto"/>
              </w:rPr>
              <w:t>Debt securities</w:t>
            </w:r>
          </w:p>
        </w:tc>
        <w:tc>
          <w:tcPr>
            <w:tcW w:w="1600" w:type="dxa"/>
            <w:vAlign w:val="bottom"/>
          </w:tcPr>
          <w:p>
            <w:pPr>
              <w:jc w:val="center"/>
              <w:spacing w:after="0" w:line="202" w:lineRule="exact"/>
              <w:rPr>
                <w:sz w:val="20"/>
                <w:szCs w:val="20"/>
                <w:color w:val="auto"/>
              </w:rPr>
            </w:pPr>
            <w:r>
              <w:rPr>
                <w:rFonts w:ascii="Arial" w:cs="Arial" w:eastAsia="Arial" w:hAnsi="Arial"/>
                <w:sz w:val="18"/>
                <w:szCs w:val="18"/>
                <w:color w:val="auto"/>
                <w:w w:val="88"/>
              </w:rPr>
              <w:t>30%</w:t>
            </w:r>
          </w:p>
        </w:tc>
        <w:tc>
          <w:tcPr>
            <w:tcW w:w="160" w:type="dxa"/>
            <w:vAlign w:val="bottom"/>
          </w:tcPr>
          <w:p>
            <w:pPr>
              <w:spacing w:after="0"/>
              <w:rPr>
                <w:sz w:val="17"/>
                <w:szCs w:val="17"/>
                <w:color w:val="auto"/>
              </w:rPr>
            </w:pPr>
          </w:p>
        </w:tc>
        <w:tc>
          <w:tcPr>
            <w:tcW w:w="1120" w:type="dxa"/>
            <w:vAlign w:val="bottom"/>
          </w:tcPr>
          <w:p>
            <w:pPr>
              <w:jc w:val="center"/>
              <w:ind w:left="374"/>
              <w:spacing w:after="0" w:line="202" w:lineRule="exact"/>
              <w:rPr>
                <w:sz w:val="20"/>
                <w:szCs w:val="20"/>
                <w:color w:val="auto"/>
              </w:rPr>
            </w:pPr>
            <w:r>
              <w:rPr>
                <w:rFonts w:ascii="Arial" w:cs="Arial" w:eastAsia="Arial" w:hAnsi="Arial"/>
                <w:sz w:val="18"/>
                <w:szCs w:val="18"/>
                <w:color w:val="auto"/>
                <w:w w:val="94"/>
              </w:rPr>
              <w:t>22%</w:t>
            </w:r>
          </w:p>
        </w:tc>
        <w:tc>
          <w:tcPr>
            <w:tcW w:w="2180" w:type="dxa"/>
            <w:vAlign w:val="bottom"/>
            <w:gridSpan w:val="3"/>
          </w:tcPr>
          <w:p>
            <w:pPr>
              <w:jc w:val="center"/>
              <w:ind w:left="519"/>
              <w:spacing w:after="0" w:line="202" w:lineRule="exact"/>
              <w:rPr>
                <w:sz w:val="20"/>
                <w:szCs w:val="20"/>
                <w:color w:val="auto"/>
              </w:rPr>
            </w:pPr>
            <w:r>
              <w:rPr>
                <w:rFonts w:ascii="Arial" w:cs="Arial" w:eastAsia="Arial" w:hAnsi="Arial"/>
                <w:sz w:val="18"/>
                <w:szCs w:val="18"/>
                <w:color w:val="auto"/>
                <w:w w:val="94"/>
              </w:rPr>
              <w:t>27%</w:t>
            </w:r>
          </w:p>
        </w:tc>
      </w:tr>
      <w:tr>
        <w:trPr>
          <w:trHeight w:val="236"/>
        </w:trPr>
        <w:tc>
          <w:tcPr>
            <w:tcW w:w="61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100%</w:t>
            </w: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center"/>
              <w:ind w:left="374"/>
              <w:spacing w:after="0" w:line="196" w:lineRule="exact"/>
              <w:rPr>
                <w:sz w:val="20"/>
                <w:szCs w:val="20"/>
                <w:color w:val="auto"/>
              </w:rPr>
            </w:pPr>
            <w:r>
              <w:rPr>
                <w:rFonts w:ascii="Arial" w:cs="Arial" w:eastAsia="Arial" w:hAnsi="Arial"/>
                <w:sz w:val="18"/>
                <w:szCs w:val="18"/>
                <w:color w:val="auto"/>
                <w:w w:val="91"/>
              </w:rPr>
              <w:t>100%</w:t>
            </w: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-25400</wp:posOffset>
            </wp:positionV>
            <wp:extent cx="939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939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857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857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Estimated pension plan cash obligations are $2.2 million, $2.2 million, $2.2 million, $2.2 million, and $2.2 million for 2022 through 2026, respectively, and a total of $10.1 million for the years 2027 through 2031.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 of Pension Plan Assets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Following is a description of the valuation methodologies used for pension assets measured at fair value:</w:t>
      </w:r>
    </w:p>
    <w:p>
      <w:pPr>
        <w:spacing w:after="0" w:line="212" w:lineRule="exact"/>
        <w:rPr>
          <w:sz w:val="20"/>
          <w:szCs w:val="20"/>
          <w:color w:val="auto"/>
        </w:rPr>
      </w:pPr>
    </w:p>
    <w:p>
      <w:pPr>
        <w:ind w:left="1020" w:right="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and cash equivalents: Cash and cash equivalents consist primarily of cash on deposit in money market funds. Cash and cash equivalents are stated at cost, which approximates fair value.</w:t>
      </w:r>
    </w:p>
    <w:p>
      <w:pPr>
        <w:spacing w:after="0" w:line="170" w:lineRule="exact"/>
        <w:rPr>
          <w:rFonts w:ascii="Arial" w:cs="Arial" w:eastAsia="Arial" w:hAnsi="Arial"/>
          <w:sz w:val="18"/>
          <w:szCs w:val="18"/>
          <w:color w:val="auto"/>
        </w:rPr>
      </w:pPr>
    </w:p>
    <w:p>
      <w:pPr>
        <w:ind w:left="1020" w:right="200" w:hanging="503"/>
        <w:spacing w:after="0" w:line="248"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Equity securities: Equity securities consist of various managed funds that invest primarily in common stocks. These securities are valued at the net asset value of shares held by the plan at year end. The net asset value is calculated based on the underlying shares and investments held by the funds.</w:t>
      </w:r>
    </w:p>
    <w:p>
      <w:pPr>
        <w:spacing w:after="0" w:line="181" w:lineRule="exact"/>
        <w:rPr>
          <w:rFonts w:ascii="Arial" w:cs="Arial" w:eastAsia="Arial" w:hAnsi="Arial"/>
          <w:sz w:val="18"/>
          <w:szCs w:val="18"/>
          <w:color w:val="auto"/>
        </w:rPr>
      </w:pPr>
    </w:p>
    <w:p>
      <w:pPr>
        <w:ind w:left="1020" w:right="120" w:hanging="503"/>
        <w:spacing w:after="0" w:line="276"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Debt securities: Debt securities consist of U.S. government and agency securities, corporate bonds and notes, and managed funds that invest in fixed income securities. U.S governmental and agency securities are valued at closing prices reported in the active market in which the individual securities are traded. Corporate bonds and notes are valued using market inputs including benchmark yields, reported trades, broker/dealer quotes, issuer spreads, two-sided markets, benchmark securities, bids, offers and reference data including market research publications. Inputs may be prioritized differently at certain times based on market conditions. Managed funds are valued at the net asset value of shares held by the plan at year end. The net asset value is calculated based on the underlying investments held by the fund.</w:t>
      </w:r>
    </w:p>
    <w:p>
      <w:pPr>
        <w:spacing w:after="0" w:line="16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8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levels assigned to the defined benefit plan assets as of December 31, 2021, are summarized in the tables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Pension assets, at fair value: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74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79"/>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Equity securities</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22,687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22,687</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Debt securities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6,579</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6,579</w:t>
            </w:r>
          </w:p>
        </w:tc>
        <w:tc>
          <w:tcPr>
            <w:tcW w:w="10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29,474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79"/>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29,474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levels assigned to the defined benefit plan assets as of December 31, 2020, are summarized in the tables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Pension assets, at fair value: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1,984</w:t>
            </w:r>
          </w:p>
        </w:tc>
        <w:tc>
          <w:tcPr>
            <w:tcW w:w="5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74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79"/>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ind w:left="80"/>
              <w:spacing w:after="0" w:line="202" w:lineRule="exact"/>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1,984</w:t>
            </w:r>
          </w:p>
        </w:tc>
        <w:tc>
          <w:tcPr>
            <w:tcW w:w="100" w:type="dxa"/>
            <w:vAlign w:val="bottom"/>
          </w:tcPr>
          <w:p>
            <w:pPr>
              <w:spacing w:after="0"/>
              <w:rPr>
                <w:sz w:val="17"/>
                <w:szCs w:val="17"/>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Equity securities</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18,987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18,987</w:t>
            </w:r>
          </w:p>
        </w:tc>
        <w:tc>
          <w:tcPr>
            <w:tcW w:w="100" w:type="dxa"/>
            <w:vAlign w:val="bottom"/>
            <w:shd w:val="clear" w:color="auto" w:fill="CFF0FC"/>
          </w:tcPr>
          <w:p>
            <w:pPr>
              <w:spacing w:after="0"/>
              <w:rPr>
                <w:sz w:val="17"/>
                <w:szCs w:val="17"/>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Debt securities</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7,574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7,574</w:t>
            </w:r>
          </w:p>
        </w:tc>
        <w:tc>
          <w:tcPr>
            <w:tcW w:w="100" w:type="dxa"/>
            <w:vAlign w:val="bottom"/>
          </w:tcPr>
          <w:p>
            <w:pPr>
              <w:spacing w:after="0"/>
              <w:rPr>
                <w:sz w:val="17"/>
                <w:szCs w:val="17"/>
                <w:color w:val="auto"/>
              </w:rPr>
            </w:pPr>
          </w:p>
        </w:tc>
      </w:tr>
      <w:tr>
        <w:trPr>
          <w:trHeight w:val="236"/>
        </w:trPr>
        <w:tc>
          <w:tcPr>
            <w:tcW w:w="57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28,545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679"/>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ind w:left="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28,545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color w:val="auto"/>
        </w:rPr>
        <w:t>The Company contributes to a number of multiemployer defined benefit pension plans under the terms of collective-bargaining agreements that cover its union-represented employees. The risks of participating in these multiemployer plans are different from single-employer plans in the following aspects:</w:t>
      </w:r>
    </w:p>
    <w:p>
      <w:pPr>
        <w:spacing w:after="0" w:line="124" w:lineRule="exact"/>
        <w:rPr>
          <w:sz w:val="20"/>
          <w:szCs w:val="20"/>
          <w:color w:val="auto"/>
        </w:rPr>
      </w:pPr>
    </w:p>
    <w:p>
      <w:pPr>
        <w:ind w:left="1020" w:right="82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70"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170"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Company chooses to stop participating in some of its multiemployer plans, CECO may be required to pay those plans an amount based on the underfunded status of the plan, referred to as a withdrawal liability.</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Company’s participation in these plans for the year ended December 31, 2021, is outlined in the table below. The “EIN/Pension Plan Number” column provides the Employer Identification Number and the three-digit plan number, if applicable. Unless otherwise noted, the most recent Pension Protection Act zone status available in 2021 is for the plan’s year-end at December 31, 2020. The zone status is based on information that the Company received from the plan and is certified by the plan’s actuary. Among other factors, plans in the red zone are generally less than 65% funded, plans in the yellow zone are less than 80% funded, and plans in the green zone are at least 80% funded. The “FIP/RP Status Pending/Implemented” column indicates plans for which a financial improvement plan (FIP) or a rehabilitation plan (RP) is either pending or has been implemented. The last column lists the expiration date(s) of the collective-bargaining agreement(s) to which the plans are subject.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Protection</w:t>
            </w: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EIN/Pension</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Act Zone</w:t>
            </w:r>
          </w:p>
        </w:tc>
        <w:tc>
          <w:tcPr>
            <w:tcW w:w="120" w:type="dxa"/>
            <w:vAlign w:val="bottom"/>
          </w:tcPr>
          <w:p>
            <w:pPr>
              <w:spacing w:after="0"/>
              <w:rPr>
                <w:sz w:val="12"/>
                <w:szCs w:val="12"/>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FIF/RP Status</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Surcharge</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Collective</w:t>
            </w:r>
          </w:p>
        </w:tc>
        <w:tc>
          <w:tcPr>
            <w:tcW w:w="0" w:type="dxa"/>
            <w:vAlign w:val="bottom"/>
          </w:tcPr>
          <w:p>
            <w:pPr>
              <w:spacing w:after="0"/>
              <w:rPr>
                <w:sz w:val="1"/>
                <w:szCs w:val="1"/>
                <w:color w:val="auto"/>
              </w:rPr>
            </w:pPr>
          </w:p>
        </w:tc>
      </w:tr>
      <w:tr>
        <w:trPr>
          <w:trHeight w:val="149"/>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Pension Fund</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Status</w:t>
            </w: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Bargaining</w:t>
            </w:r>
          </w:p>
        </w:tc>
        <w:tc>
          <w:tcPr>
            <w:tcW w:w="0" w:type="dxa"/>
            <w:vAlign w:val="bottom"/>
          </w:tcPr>
          <w:p>
            <w:pPr>
              <w:spacing w:after="0"/>
              <w:rPr>
                <w:sz w:val="1"/>
                <w:szCs w:val="1"/>
                <w:color w:val="auto"/>
              </w:rPr>
            </w:pPr>
          </w:p>
        </w:tc>
      </w:tr>
      <w:tr>
        <w:trPr>
          <w:trHeight w:val="185"/>
        </w:trPr>
        <w:tc>
          <w:tcPr>
            <w:tcW w:w="3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Plan Number</w:t>
            </w:r>
          </w:p>
        </w:tc>
        <w:tc>
          <w:tcPr>
            <w:tcW w:w="11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3"/>
              </w:rPr>
              <w:t>Pending/Implemented</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Imposed</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155"/>
        </w:trPr>
        <w:tc>
          <w:tcPr>
            <w:tcW w:w="3860" w:type="dxa"/>
            <w:vAlign w:val="bottom"/>
            <w:tcBorders>
              <w:top w:val="single" w:sz="8" w:color="auto"/>
            </w:tcBorders>
            <w:shd w:val="clear" w:color="auto" w:fill="CFF0FC"/>
          </w:tcPr>
          <w:p>
            <w:pPr>
              <w:ind w:left="20"/>
              <w:spacing w:after="0" w:line="156" w:lineRule="exact"/>
              <w:rPr>
                <w:sz w:val="20"/>
                <w:szCs w:val="20"/>
                <w:color w:val="auto"/>
              </w:rPr>
            </w:pPr>
            <w:r>
              <w:rPr>
                <w:rFonts w:ascii="Arial" w:cs="Arial" w:eastAsia="Arial" w:hAnsi="Arial"/>
                <w:sz w:val="18"/>
                <w:szCs w:val="18"/>
                <w:color w:val="auto"/>
              </w:rPr>
              <w:t>Sheet Metal Workers’ National Pension Fund</w:t>
            </w:r>
          </w:p>
        </w:tc>
        <w:tc>
          <w:tcPr>
            <w:tcW w:w="120" w:type="dxa"/>
            <w:vAlign w:val="bottom"/>
            <w:shd w:val="clear" w:color="auto" w:fill="CFF0FC"/>
          </w:tcPr>
          <w:p>
            <w:pPr>
              <w:spacing w:after="0"/>
              <w:rPr>
                <w:sz w:val="13"/>
                <w:szCs w:val="13"/>
                <w:color w:val="auto"/>
              </w:rPr>
            </w:pPr>
          </w:p>
        </w:tc>
        <w:tc>
          <w:tcPr>
            <w:tcW w:w="1420" w:type="dxa"/>
            <w:vAlign w:val="bottom"/>
            <w:tcBorders>
              <w:top w:val="single" w:sz="8" w:color="auto"/>
            </w:tcBorders>
            <w:shd w:val="clear" w:color="auto" w:fill="CFF0FC"/>
          </w:tcPr>
          <w:p>
            <w:pPr>
              <w:jc w:val="center"/>
              <w:spacing w:after="0" w:line="156" w:lineRule="exact"/>
              <w:rPr>
                <w:sz w:val="20"/>
                <w:szCs w:val="20"/>
                <w:color w:val="auto"/>
              </w:rPr>
            </w:pPr>
            <w:r>
              <w:rPr>
                <w:rFonts w:ascii="Arial" w:cs="Arial" w:eastAsia="Arial" w:hAnsi="Arial"/>
                <w:sz w:val="18"/>
                <w:szCs w:val="18"/>
                <w:color w:val="auto"/>
                <w:w w:val="89"/>
              </w:rPr>
              <w:t>52-6112463/001</w:t>
            </w:r>
          </w:p>
        </w:tc>
        <w:tc>
          <w:tcPr>
            <w:tcW w:w="12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center"/>
              <w:spacing w:after="0" w:line="156" w:lineRule="exact"/>
              <w:rPr>
                <w:sz w:val="20"/>
                <w:szCs w:val="20"/>
                <w:color w:val="auto"/>
              </w:rPr>
            </w:pPr>
            <w:r>
              <w:rPr>
                <w:rFonts w:ascii="Arial" w:cs="Arial" w:eastAsia="Arial" w:hAnsi="Arial"/>
                <w:sz w:val="18"/>
                <w:szCs w:val="18"/>
                <w:color w:val="auto"/>
                <w:w w:val="87"/>
              </w:rPr>
              <w:t>Green</w:t>
            </w:r>
          </w:p>
        </w:tc>
        <w:tc>
          <w:tcPr>
            <w:tcW w:w="120" w:type="dxa"/>
            <w:vAlign w:val="bottom"/>
            <w:shd w:val="clear" w:color="auto" w:fill="CFF0FC"/>
          </w:tcPr>
          <w:p>
            <w:pPr>
              <w:spacing w:after="0"/>
              <w:rPr>
                <w:sz w:val="13"/>
                <w:szCs w:val="13"/>
                <w:color w:val="auto"/>
              </w:rPr>
            </w:pPr>
          </w:p>
        </w:tc>
        <w:tc>
          <w:tcPr>
            <w:tcW w:w="2260" w:type="dxa"/>
            <w:vAlign w:val="bottom"/>
            <w:tcBorders>
              <w:top w:val="single" w:sz="8" w:color="auto"/>
            </w:tcBorders>
            <w:shd w:val="clear" w:color="auto" w:fill="CFF0FC"/>
          </w:tcPr>
          <w:p>
            <w:pPr>
              <w:ind w:left="260"/>
              <w:spacing w:after="0" w:line="156" w:lineRule="exact"/>
              <w:rPr>
                <w:sz w:val="20"/>
                <w:szCs w:val="20"/>
                <w:color w:val="auto"/>
              </w:rPr>
            </w:pPr>
            <w:r>
              <w:rPr>
                <w:rFonts w:ascii="Arial" w:cs="Arial" w:eastAsia="Arial" w:hAnsi="Arial"/>
                <w:sz w:val="18"/>
                <w:szCs w:val="18"/>
                <w:color w:val="auto"/>
              </w:rPr>
              <w:t>FIF: Yes - Implemented</w:t>
            </w:r>
          </w:p>
        </w:tc>
        <w:tc>
          <w:tcPr>
            <w:tcW w:w="10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center"/>
              <w:spacing w:after="0" w:line="156" w:lineRule="exact"/>
              <w:rPr>
                <w:sz w:val="20"/>
                <w:szCs w:val="20"/>
                <w:color w:val="auto"/>
              </w:rPr>
            </w:pPr>
            <w:r>
              <w:rPr>
                <w:rFonts w:ascii="Arial" w:cs="Arial" w:eastAsia="Arial" w:hAnsi="Arial"/>
                <w:sz w:val="18"/>
                <w:szCs w:val="18"/>
                <w:color w:val="auto"/>
                <w:w w:val="95"/>
              </w:rPr>
              <w:t>No</w:t>
            </w:r>
          </w:p>
        </w:tc>
        <w:tc>
          <w:tcPr>
            <w:tcW w:w="120" w:type="dxa"/>
            <w:vAlign w:val="bottom"/>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center"/>
              <w:spacing w:after="0" w:line="156" w:lineRule="exact"/>
              <w:rPr>
                <w:sz w:val="20"/>
                <w:szCs w:val="20"/>
                <w:color w:val="auto"/>
              </w:rPr>
            </w:pPr>
            <w:r>
              <w:rPr>
                <w:rFonts w:ascii="Arial" w:cs="Arial" w:eastAsia="Arial" w:hAnsi="Arial"/>
                <w:sz w:val="18"/>
                <w:szCs w:val="18"/>
                <w:color w:val="auto"/>
                <w:w w:val="88"/>
              </w:rPr>
              <w:t>Various</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RP: Yes - Implemented</w:t>
            </w: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Sheet Metal Workers Local 224 Pension Plan</w:t>
            </w:r>
          </w:p>
        </w:tc>
        <w:tc>
          <w:tcPr>
            <w:tcW w:w="154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89"/>
              </w:rPr>
              <w:t>31-6171353/001</w:t>
            </w:r>
          </w:p>
        </w:tc>
        <w:tc>
          <w:tcPr>
            <w:tcW w:w="1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Yellow</w:t>
            </w:r>
          </w:p>
        </w:tc>
        <w:tc>
          <w:tcPr>
            <w:tcW w:w="120" w:type="dxa"/>
            <w:vAlign w:val="bottom"/>
          </w:tcPr>
          <w:p>
            <w:pPr>
              <w:spacing w:after="0"/>
              <w:rPr>
                <w:sz w:val="17"/>
                <w:szCs w:val="17"/>
                <w:color w:val="auto"/>
              </w:rPr>
            </w:pPr>
          </w:p>
        </w:tc>
        <w:tc>
          <w:tcPr>
            <w:tcW w:w="2260" w:type="dxa"/>
            <w:vAlign w:val="bottom"/>
          </w:tcPr>
          <w:p>
            <w:pPr>
              <w:jc w:val="center"/>
              <w:spacing w:after="0" w:line="202" w:lineRule="exact"/>
              <w:rPr>
                <w:sz w:val="20"/>
                <w:szCs w:val="20"/>
                <w:color w:val="auto"/>
              </w:rPr>
            </w:pPr>
            <w:r>
              <w:rPr>
                <w:rFonts w:ascii="Arial" w:cs="Arial" w:eastAsia="Arial" w:hAnsi="Arial"/>
                <w:sz w:val="18"/>
                <w:szCs w:val="18"/>
                <w:color w:val="auto"/>
                <w:w w:val="90"/>
              </w:rPr>
              <w:t>FIF: Yes - Implemented</w:t>
            </w:r>
          </w:p>
        </w:tc>
        <w:tc>
          <w:tcPr>
            <w:tcW w:w="10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5"/>
              </w:rPr>
              <w:t>No</w:t>
            </w:r>
          </w:p>
        </w:tc>
        <w:tc>
          <w:tcPr>
            <w:tcW w:w="1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1"/>
              </w:rPr>
              <w:t>May 31, 2022</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5"/>
              </w:rPr>
              <w:t>Sheet Metal Workers Local No. 177 Pension Fund</w:t>
            </w:r>
          </w:p>
        </w:tc>
        <w:tc>
          <w:tcPr>
            <w:tcW w:w="1540" w:type="dxa"/>
            <w:vAlign w:val="bottom"/>
            <w:gridSpan w:val="2"/>
            <w:shd w:val="clear" w:color="auto" w:fill="CFF0FC"/>
          </w:tcPr>
          <w:p>
            <w:pPr>
              <w:jc w:val="center"/>
              <w:ind w:left="30"/>
              <w:spacing w:after="0" w:line="202" w:lineRule="exact"/>
              <w:rPr>
                <w:sz w:val="20"/>
                <w:szCs w:val="20"/>
                <w:color w:val="auto"/>
              </w:rPr>
            </w:pPr>
            <w:r>
              <w:rPr>
                <w:rFonts w:ascii="Arial" w:cs="Arial" w:eastAsia="Arial" w:hAnsi="Arial"/>
                <w:sz w:val="18"/>
                <w:szCs w:val="18"/>
                <w:color w:val="auto"/>
                <w:w w:val="89"/>
              </w:rPr>
              <w:t>62-6093256/001</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Green</w:t>
            </w:r>
          </w:p>
        </w:tc>
        <w:tc>
          <w:tcPr>
            <w:tcW w:w="120" w:type="dxa"/>
            <w:vAlign w:val="bottom"/>
            <w:shd w:val="clear" w:color="auto" w:fill="CFF0FC"/>
          </w:tcPr>
          <w:p>
            <w:pPr>
              <w:spacing w:after="0"/>
              <w:rPr>
                <w:sz w:val="17"/>
                <w:szCs w:val="17"/>
                <w:color w:val="auto"/>
              </w:rPr>
            </w:pPr>
          </w:p>
        </w:tc>
        <w:tc>
          <w:tcPr>
            <w:tcW w:w="2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Is not subject</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5"/>
              </w:rPr>
              <w:t>No</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2"/>
              </w:rPr>
              <w:t>May 1, 2023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Kirk and Blum was listed in the Sheet Metal Workers Local No. 177 Pension Fund’s Form 5500 as providing more than five percent of total contributions for the year ended December 31, 2020. The Company was not listed in any of the other plans’ Forms 5500 as providing more than five percent of the total contributions for the plans and plan years. At the date the financial statements were issued, Forms 5500 were not available for the plan years ended December 31, 2021.</w:t>
      </w:r>
    </w:p>
    <w:p>
      <w:pPr>
        <w:spacing w:after="0" w:line="18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have no current intention of withdrawing from any plan and, therefore, no liability has been provided in the accompanying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3" w:name="page74"/>
    <w:bookmarkEnd w:id="73"/>
    <w:p>
      <w:pPr>
        <w:ind w:right="60"/>
        <w:spacing w:after="0" w:line="261" w:lineRule="auto"/>
        <w:rPr>
          <w:sz w:val="20"/>
          <w:szCs w:val="20"/>
          <w:color w:val="auto"/>
        </w:rPr>
      </w:pPr>
      <w:r>
        <w:rPr>
          <w:rFonts w:ascii="Arial" w:cs="Arial" w:eastAsia="Arial" w:hAnsi="Arial"/>
          <w:sz w:val="18"/>
          <w:szCs w:val="18"/>
          <w:color w:val="auto"/>
        </w:rPr>
        <w:t>Amounts charged to pension expense under the above plans including the multi-employer plans totaled $0.6 million, $1.0 million and $1.7 million in 2021, 2020 and 2019, respectively.</w:t>
      </w:r>
    </w:p>
    <w:p>
      <w:pPr>
        <w:spacing w:after="0" w:line="17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have a 401(k) savings retirement plan for employees of certain of our subsidiaries. The plan covers substantially all employees who have 30 days of service, and who have attained 18 years of age. The plan allows us to make discretionary contributions and provides for employee salary deferrals of up to 100%. We made aggregate matching contributions and discretionary contributions of $0.9 million, $1.6 million, and $1.7 million during 2021, 2020 and 2019, respectively.</w:t>
      </w:r>
    </w:p>
    <w:p>
      <w:pPr>
        <w:spacing w:after="0" w:line="184"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1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On January 1, 2019, we adopted the new lease accounting guidance, ASC 842. The Lease accounting guidance under ASC 842 establishes a right-of-use (“ROU”) model that requires a lessee to record a ROU asset and a lease liability on the balance sheet for all leases with terms longer than 12 months. Our leasing activity is primarily related to buildings used for manufacturing, warehousing, sales, and administrative activities. We determine if an arrangement is a lease at inception. Many of our lease agreements contain renewal options; however, we do not recognize ROU assets or lease liabilities for renewal periods unless it is determined that we are reasonably certain of renewing the lease at inception or when a triggering event occurs. Some of our lease agreements contain rent escalation clauses, free-rent periods, or other lease concessions. We recognize our minimum rental expense on a straight-line basis based on the fixed components of a lease arrangement. Variable lease costs represent amounts that are not fixed in nature and are not tied to an index or rate, and are recognized as incurred. Our variable lease costs are not material.</w:t>
      </w:r>
    </w:p>
    <w:p>
      <w:pPr>
        <w:spacing w:after="0" w:line="181"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In determining our ROU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fully collateralized incremental borrowing rate. To estimate our specific incremental borrowing rates we consider, among other factors, interest rates on our existing credit facilities, risk-free rates, the types of assets being leased, and the term of the leases.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Operating lease cost (a)</w:t>
            </w:r>
          </w:p>
        </w:tc>
        <w:tc>
          <w:tcPr>
            <w:tcW w:w="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3,232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3,450</w:t>
            </w:r>
          </w:p>
        </w:tc>
        <w:tc>
          <w:tcPr>
            <w:tcW w:w="180" w:type="dxa"/>
            <w:vAlign w:val="bottom"/>
          </w:tcPr>
          <w:p>
            <w:pPr>
              <w:spacing w:after="0"/>
              <w:rPr>
                <w:sz w:val="17"/>
                <w:szCs w:val="17"/>
                <w:color w:val="auto"/>
              </w:rPr>
            </w:pPr>
          </w:p>
        </w:tc>
        <w:tc>
          <w:tcPr>
            <w:tcW w:w="38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3,612</w:t>
            </w:r>
          </w:p>
        </w:tc>
        <w:tc>
          <w:tcPr>
            <w:tcW w:w="60" w:type="dxa"/>
            <w:vAlign w:val="bottom"/>
          </w:tcPr>
          <w:p>
            <w:pPr>
              <w:spacing w:after="0"/>
              <w:rPr>
                <w:sz w:val="17"/>
                <w:szCs w:val="17"/>
                <w:color w:val="auto"/>
              </w:rPr>
            </w:pPr>
          </w:p>
        </w:tc>
      </w:tr>
      <w:tr>
        <w:trPr>
          <w:trHeight w:val="203"/>
        </w:trPr>
        <w:tc>
          <w:tcPr>
            <w:tcW w:w="6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0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right-of-use assets</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309</w:t>
            </w:r>
          </w:p>
        </w:tc>
        <w:tc>
          <w:tcPr>
            <w:tcW w:w="60" w:type="dxa"/>
            <w:vAlign w:val="bottom"/>
          </w:tcPr>
          <w:p>
            <w:pPr>
              <w:spacing w:after="0"/>
              <w:rPr>
                <w:sz w:val="17"/>
                <w:szCs w:val="17"/>
                <w:color w:val="auto"/>
              </w:rPr>
            </w:pPr>
          </w:p>
        </w:tc>
      </w:tr>
      <w:tr>
        <w:trPr>
          <w:trHeight w:val="203"/>
        </w:trPr>
        <w:tc>
          <w:tcPr>
            <w:tcW w:w="61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on lease liability</w:t>
            </w:r>
          </w:p>
        </w:tc>
        <w:tc>
          <w:tcPr>
            <w:tcW w:w="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338</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Total finance lease cost</w:t>
            </w:r>
          </w:p>
        </w:tc>
        <w:tc>
          <w:tcPr>
            <w:tcW w:w="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623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646</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w:t>
            </w:r>
          </w:p>
        </w:tc>
        <w:tc>
          <w:tcPr>
            <w:tcW w:w="60" w:type="dxa"/>
            <w:vAlign w:val="bottom"/>
          </w:tcPr>
          <w:p>
            <w:pPr>
              <w:spacing w:after="0"/>
              <w:rPr>
                <w:sz w:val="17"/>
                <w:szCs w:val="17"/>
                <w:color w:val="auto"/>
              </w:rPr>
            </w:pPr>
          </w:p>
        </w:tc>
      </w:tr>
      <w:tr>
        <w:trPr>
          <w:trHeight w:val="236"/>
        </w:trPr>
        <w:tc>
          <w:tcPr>
            <w:tcW w:w="61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3,855</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4,096</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4,281</w:t>
            </w:r>
          </w:p>
        </w:tc>
        <w:tc>
          <w:tcPr>
            <w:tcW w:w="60" w:type="dxa"/>
            <w:vAlign w:val="bottom"/>
            <w:tcBorders>
              <w:bottom w:val="single" w:sz="8" w:color="CFF0FC"/>
            </w:tcBorders>
            <w:shd w:val="clear" w:color="auto" w:fill="CFF0FC"/>
          </w:tcPr>
          <w:p>
            <w:pPr>
              <w:spacing w:after="0"/>
              <w:rPr>
                <w:sz w:val="20"/>
                <w:szCs w:val="20"/>
                <w:color w:val="auto"/>
              </w:rPr>
            </w:pPr>
          </w:p>
        </w:tc>
      </w:tr>
      <w:tr>
        <w:trPr>
          <w:trHeight w:val="211"/>
        </w:trPr>
        <w:tc>
          <w:tcPr>
            <w:tcW w:w="6100" w:type="dxa"/>
            <w:vAlign w:val="bottom"/>
          </w:tcPr>
          <w:p>
            <w:pPr>
              <w:ind w:left="20"/>
              <w:spacing w:after="0"/>
              <w:rPr>
                <w:sz w:val="20"/>
                <w:szCs w:val="20"/>
                <w:color w:val="auto"/>
              </w:rPr>
            </w:pPr>
            <w:r>
              <w:rPr>
                <w:rFonts w:ascii="Arial" w:cs="Arial" w:eastAsia="Arial" w:hAnsi="Arial"/>
                <w:sz w:val="18"/>
                <w:szCs w:val="18"/>
                <w:color w:val="auto"/>
              </w:rPr>
              <w:t>(a) includes variable lease costs which are immaterial</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04"/>
        </w:trPr>
        <w:tc>
          <w:tcPr>
            <w:tcW w:w="61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6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6100" w:type="dxa"/>
            <w:vAlign w:val="bottom"/>
            <w:tcBorders>
              <w:bottom w:val="single" w:sz="8" w:color="CFF0FC"/>
            </w:tcBorders>
            <w:shd w:val="clear" w:color="auto" w:fill="CFF0FC"/>
          </w:tcPr>
          <w:p>
            <w:pPr>
              <w:ind w:left="160"/>
              <w:spacing w:after="0" w:line="182" w:lineRule="exact"/>
              <w:rPr>
                <w:sz w:val="20"/>
                <w:szCs w:val="20"/>
                <w:color w:val="auto"/>
              </w:rPr>
            </w:pPr>
            <w:r>
              <w:rPr>
                <w:rFonts w:ascii="Arial" w:cs="Arial" w:eastAsia="Arial" w:hAnsi="Arial"/>
                <w:sz w:val="18"/>
                <w:szCs w:val="18"/>
                <w:color w:val="auto"/>
              </w:rPr>
              <w:t>Operating cash flows from operating leases</w:t>
            </w:r>
          </w:p>
        </w:tc>
        <w:tc>
          <w:tcPr>
            <w:tcW w:w="400" w:type="dxa"/>
            <w:vAlign w:val="bottom"/>
            <w:tcBorders>
              <w:bottom w:val="single" w:sz="8" w:color="auto"/>
            </w:tcBorders>
            <w:gridSpan w:val="2"/>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3,171</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3,338</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3,453</w:t>
            </w:r>
          </w:p>
        </w:tc>
        <w:tc>
          <w:tcPr>
            <w:tcW w:w="60" w:type="dxa"/>
            <w:vAlign w:val="bottom"/>
            <w:tcBorders>
              <w:bottom w:val="single" w:sz="8" w:color="CFF0FC"/>
            </w:tcBorders>
            <w:shd w:val="clear" w:color="auto" w:fill="CFF0FC"/>
          </w:tcPr>
          <w:p>
            <w:pPr>
              <w:spacing w:after="0"/>
              <w:rPr>
                <w:sz w:val="21"/>
                <w:szCs w:val="21"/>
                <w:color w:val="auto"/>
              </w:rPr>
            </w:pPr>
          </w:p>
        </w:tc>
      </w:tr>
      <w:tr>
        <w:trPr>
          <w:trHeight w:val="183"/>
        </w:trPr>
        <w:tc>
          <w:tcPr>
            <w:tcW w:w="6100" w:type="dxa"/>
            <w:vAlign w:val="bottom"/>
          </w:tcPr>
          <w:p>
            <w:pPr>
              <w:ind w:left="160"/>
              <w:spacing w:after="0" w:line="182" w:lineRule="exact"/>
              <w:rPr>
                <w:sz w:val="20"/>
                <w:szCs w:val="20"/>
                <w:color w:val="auto"/>
              </w:rPr>
            </w:pPr>
            <w:r>
              <w:rPr>
                <w:rFonts w:ascii="Arial" w:cs="Arial" w:eastAsia="Arial" w:hAnsi="Arial"/>
                <w:sz w:val="18"/>
                <w:szCs w:val="18"/>
                <w:color w:val="auto"/>
              </w:rPr>
              <w:t>Operating cash flows from finance leases</w:t>
            </w:r>
          </w:p>
        </w:tc>
        <w:tc>
          <w:tcPr>
            <w:tcW w:w="400" w:type="dxa"/>
            <w:vAlign w:val="bottom"/>
            <w:gridSpan w:val="2"/>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315</w:t>
            </w:r>
          </w:p>
        </w:tc>
        <w:tc>
          <w:tcPr>
            <w:tcW w:w="20" w:type="dxa"/>
            <w:vAlign w:val="bottom"/>
          </w:tcPr>
          <w:p>
            <w:pPr>
              <w:spacing w:after="0"/>
              <w:rPr>
                <w:sz w:val="15"/>
                <w:szCs w:val="15"/>
                <w:color w:val="auto"/>
              </w:rPr>
            </w:pPr>
          </w:p>
        </w:tc>
        <w:tc>
          <w:tcPr>
            <w:tcW w:w="420" w:type="dxa"/>
            <w:vAlign w:val="bottom"/>
            <w:gridSpan w:val="3"/>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338</w:t>
            </w:r>
          </w:p>
        </w:tc>
        <w:tc>
          <w:tcPr>
            <w:tcW w:w="560" w:type="dxa"/>
            <w:vAlign w:val="bottom"/>
            <w:gridSpan w:val="2"/>
          </w:tcPr>
          <w:p>
            <w:pPr>
              <w:jc w:val="right"/>
              <w:ind w:right="170"/>
              <w:spacing w:after="0" w:line="18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360</w:t>
            </w:r>
          </w:p>
        </w:tc>
        <w:tc>
          <w:tcPr>
            <w:tcW w:w="60" w:type="dxa"/>
            <w:vAlign w:val="bottom"/>
          </w:tcPr>
          <w:p>
            <w:pPr>
              <w:spacing w:after="0"/>
              <w:rPr>
                <w:sz w:val="15"/>
                <w:szCs w:val="15"/>
                <w:color w:val="auto"/>
              </w:rPr>
            </w:pPr>
          </w:p>
        </w:tc>
      </w:tr>
      <w:tr>
        <w:trPr>
          <w:trHeight w:val="20"/>
        </w:trPr>
        <w:tc>
          <w:tcPr>
            <w:tcW w:w="6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100" w:type="dxa"/>
            <w:vAlign w:val="bottom"/>
            <w:tcBorders>
              <w:bottom w:val="single" w:sz="8" w:color="CFF0FC"/>
            </w:tcBorders>
            <w:shd w:val="clear" w:color="auto" w:fill="CFF0FC"/>
          </w:tcPr>
          <w:p>
            <w:pPr>
              <w:ind w:left="160"/>
              <w:spacing w:after="0" w:line="182" w:lineRule="exact"/>
              <w:rPr>
                <w:sz w:val="20"/>
                <w:szCs w:val="20"/>
                <w:color w:val="auto"/>
              </w:rPr>
            </w:pPr>
            <w:r>
              <w:rPr>
                <w:rFonts w:ascii="Arial" w:cs="Arial" w:eastAsia="Arial" w:hAnsi="Arial"/>
                <w:sz w:val="18"/>
                <w:szCs w:val="18"/>
                <w:color w:val="auto"/>
              </w:rPr>
              <w:t>Financing cash flows from finance leases</w:t>
            </w:r>
          </w:p>
        </w:tc>
        <w:tc>
          <w:tcPr>
            <w:tcW w:w="400" w:type="dxa"/>
            <w:vAlign w:val="bottom"/>
            <w:tcBorders>
              <w:bottom w:val="single" w:sz="8" w:color="auto"/>
            </w:tcBorders>
            <w:gridSpan w:val="2"/>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603</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467</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183"/>
        </w:trPr>
        <w:tc>
          <w:tcPr>
            <w:tcW w:w="6100" w:type="dxa"/>
            <w:vAlign w:val="bottom"/>
          </w:tcPr>
          <w:p>
            <w:pPr>
              <w:ind w:left="20"/>
              <w:spacing w:after="0" w:line="183" w:lineRule="exact"/>
              <w:rPr>
                <w:sz w:val="20"/>
                <w:szCs w:val="20"/>
                <w:color w:val="auto"/>
              </w:rPr>
            </w:pPr>
            <w:r>
              <w:rPr>
                <w:rFonts w:ascii="Arial" w:cs="Arial" w:eastAsia="Arial" w:hAnsi="Arial"/>
                <w:sz w:val="18"/>
                <w:szCs w:val="18"/>
                <w:color w:val="auto"/>
              </w:rPr>
              <w:t>Right of use assets obtained in exchange for lease obligations</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100" w:type="dxa"/>
            <w:vAlign w:val="bottom"/>
            <w:tcBorders>
              <w:bottom w:val="single" w:sz="8" w:color="CFF0FC"/>
            </w:tcBorders>
            <w:shd w:val="clear" w:color="auto" w:fill="CFF0FC"/>
          </w:tcPr>
          <w:p>
            <w:pPr>
              <w:ind w:left="160"/>
              <w:spacing w:after="0" w:line="182" w:lineRule="exact"/>
              <w:rPr>
                <w:sz w:val="20"/>
                <w:szCs w:val="20"/>
                <w:color w:val="auto"/>
              </w:rPr>
            </w:pPr>
            <w:r>
              <w:rPr>
                <w:rFonts w:ascii="Arial" w:cs="Arial" w:eastAsia="Arial" w:hAnsi="Arial"/>
                <w:sz w:val="18"/>
                <w:szCs w:val="18"/>
                <w:color w:val="auto"/>
              </w:rPr>
              <w:t>Operating leases</w:t>
            </w:r>
          </w:p>
        </w:tc>
        <w:tc>
          <w:tcPr>
            <w:tcW w:w="400" w:type="dxa"/>
            <w:vAlign w:val="bottom"/>
            <w:tcBorders>
              <w:bottom w:val="single" w:sz="8" w:color="auto"/>
            </w:tcBorders>
            <w:gridSpan w:val="2"/>
            <w:shd w:val="clear" w:color="auto" w:fill="CFF0FC"/>
          </w:tcPr>
          <w:p>
            <w:pPr>
              <w:jc w:val="right"/>
              <w:ind w:right="190"/>
              <w:spacing w:after="0" w:line="182"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2,206</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545</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3,547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-1950720</wp:posOffset>
            </wp:positionV>
            <wp:extent cx="4318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-1950720</wp:posOffset>
            </wp:positionV>
            <wp:extent cx="3429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-1950720</wp:posOffset>
            </wp:positionV>
            <wp:extent cx="3429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-1679575</wp:posOffset>
            </wp:positionV>
            <wp:extent cx="43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-1662430</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-1679575</wp:posOffset>
            </wp:positionV>
            <wp:extent cx="342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-1662430</wp:posOffset>
            </wp:positionV>
            <wp:extent cx="342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-1679575</wp:posOffset>
            </wp:positionV>
            <wp:extent cx="342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-1662430</wp:posOffset>
            </wp:positionV>
            <wp:extent cx="342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-616585</wp:posOffset>
            </wp:positionV>
            <wp:extent cx="431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-599440</wp:posOffset>
            </wp:positionV>
            <wp:extent cx="431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-616585</wp:posOffset>
            </wp:positionV>
            <wp:extent cx="342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-599440</wp:posOffset>
            </wp:positionV>
            <wp:extent cx="342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-616585</wp:posOffset>
            </wp:positionV>
            <wp:extent cx="342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-599440</wp:posOffset>
            </wp:positionV>
            <wp:extent cx="342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-307975</wp:posOffset>
            </wp:positionV>
            <wp:extent cx="431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-290830</wp:posOffset>
            </wp:positionV>
            <wp:extent cx="431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-307975</wp:posOffset>
            </wp:positionV>
            <wp:extent cx="342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-290830</wp:posOffset>
            </wp:positionV>
            <wp:extent cx="342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-307975</wp:posOffset>
            </wp:positionV>
            <wp:extent cx="342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-290830</wp:posOffset>
            </wp:positionV>
            <wp:extent cx="342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342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342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Right-of-use assets from operating leases</w:t>
            </w:r>
          </w:p>
        </w:tc>
        <w:tc>
          <w:tcPr>
            <w:tcW w:w="300" w:type="dxa"/>
            <w:vAlign w:val="bottom"/>
            <w:tcBorders>
              <w:bottom w:val="single" w:sz="8" w:color="auto"/>
            </w:tcBorders>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10,893</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11,376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Accounts payable and accrued expenses</w:t>
            </w:r>
          </w:p>
        </w:tc>
        <w:tc>
          <w:tcPr>
            <w:tcW w:w="3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2,274</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liabilities</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8,762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9,310</w:t>
            </w:r>
          </w:p>
        </w:tc>
        <w:tc>
          <w:tcPr>
            <w:tcW w:w="100" w:type="dxa"/>
            <w:vAlign w:val="bottom"/>
          </w:tcPr>
          <w:p>
            <w:pPr>
              <w:spacing w:after="0"/>
              <w:rPr>
                <w:sz w:val="17"/>
                <w:szCs w:val="17"/>
                <w:color w:val="auto"/>
              </w:rPr>
            </w:pPr>
          </w:p>
        </w:tc>
      </w:tr>
      <w:tr>
        <w:trPr>
          <w:trHeight w:val="196"/>
        </w:trPr>
        <w:tc>
          <w:tcPr>
            <w:tcW w:w="7280" w:type="dxa"/>
            <w:vAlign w:val="bottom"/>
            <w:tcBorders>
              <w:bottom w:val="single" w:sz="8" w:color="CFF0FC"/>
            </w:tcBorders>
            <w:shd w:val="clear" w:color="auto" w:fill="CFF0FC"/>
          </w:tcPr>
          <w:p>
            <w:pPr>
              <w:ind w:left="240"/>
              <w:spacing w:after="0" w:line="196" w:lineRule="exact"/>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11,176</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gridSpan w:val="2"/>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11,584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leases</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gridSpan w:val="2"/>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2,947</w:t>
            </w:r>
          </w:p>
        </w:tc>
        <w:tc>
          <w:tcPr>
            <w:tcW w:w="100" w:type="dxa"/>
            <w:vAlign w:val="bottom"/>
          </w:tcPr>
          <w:p>
            <w:pPr>
              <w:spacing w:after="0"/>
              <w:rPr>
                <w:sz w:val="17"/>
                <w:szCs w:val="17"/>
                <w:color w:val="auto"/>
              </w:rPr>
            </w:pPr>
          </w:p>
        </w:tc>
      </w:tr>
      <w:tr>
        <w:trPr>
          <w:trHeight w:val="196"/>
        </w:trPr>
        <w:tc>
          <w:tcPr>
            <w:tcW w:w="7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Accounts payable and accrued expenses</w:t>
            </w:r>
          </w:p>
        </w:tc>
        <w:tc>
          <w:tcPr>
            <w:tcW w:w="3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100" w:type="dxa"/>
            <w:vAlign w:val="bottom"/>
          </w:tcPr>
          <w:p>
            <w:pPr>
              <w:spacing w:after="0"/>
              <w:rPr>
                <w:sz w:val="17"/>
                <w:szCs w:val="17"/>
                <w:color w:val="auto"/>
              </w:rPr>
            </w:pPr>
          </w:p>
        </w:tc>
      </w:tr>
      <w:tr>
        <w:trPr>
          <w:trHeight w:val="203"/>
        </w:trPr>
        <w:tc>
          <w:tcPr>
            <w:tcW w:w="728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6,183</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280" w:type="dxa"/>
            <w:vAlign w:val="bottom"/>
          </w:tcPr>
          <w:p>
            <w:pPr>
              <w:ind w:left="240"/>
              <w:spacing w:after="0" w:line="196" w:lineRule="exact"/>
              <w:rPr>
                <w:sz w:val="20"/>
                <w:szCs w:val="20"/>
                <w:color w:val="auto"/>
              </w:rPr>
            </w:pPr>
            <w:r>
              <w:rPr>
                <w:rFonts w:ascii="Arial" w:cs="Arial" w:eastAsia="Arial" w:hAnsi="Arial"/>
                <w:sz w:val="18"/>
                <w:szCs w:val="18"/>
                <w:color w:val="auto"/>
              </w:rPr>
              <w:t>Total finance lease liabilities</w:t>
            </w:r>
          </w:p>
        </w:tc>
        <w:tc>
          <w:tcPr>
            <w:tcW w:w="300" w:type="dxa"/>
            <w:vAlign w:val="bottom"/>
            <w:tcBorders>
              <w:bottom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Borders>
              <w:bottom w:val="single" w:sz="8" w:color="auto"/>
            </w:tcBorders>
            <w:gridSpan w:val="2"/>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7,340</w:t>
            </w:r>
          </w:p>
        </w:tc>
        <w:tc>
          <w:tcPr>
            <w:tcW w:w="100" w:type="dxa"/>
            <w:vAlign w:val="bottom"/>
          </w:tcPr>
          <w:p>
            <w:pPr>
              <w:spacing w:after="0"/>
              <w:rPr>
                <w:sz w:val="17"/>
                <w:szCs w:val="17"/>
                <w:color w:val="auto"/>
              </w:rPr>
            </w:pPr>
          </w:p>
        </w:tc>
      </w:tr>
      <w:tr>
        <w:trPr>
          <w:trHeight w:val="858"/>
        </w:trPr>
        <w:tc>
          <w:tcPr>
            <w:tcW w:w="7280" w:type="dxa"/>
            <w:vAlign w:val="bottom"/>
          </w:tcPr>
          <w:p>
            <w:pPr>
              <w:ind w:left="20"/>
              <w:spacing w:after="0"/>
              <w:rPr>
                <w:sz w:val="20"/>
                <w:szCs w:val="20"/>
                <w:color w:val="auto"/>
              </w:rPr>
            </w:pPr>
            <w:r>
              <w:rPr>
                <w:rFonts w:ascii="Arial" w:cs="Arial" w:eastAsia="Arial" w:hAnsi="Arial"/>
                <w:sz w:val="18"/>
                <w:szCs w:val="18"/>
                <w:color w:val="auto"/>
              </w:rPr>
              <w:t>Weighted-average remaining lease term as of December 31, 2021 were as follows: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2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center"/>
              <w:ind w:right="780"/>
              <w:spacing w:after="0"/>
              <w:rPr>
                <w:sz w:val="20"/>
                <w:szCs w:val="20"/>
                <w:color w:val="auto"/>
              </w:rPr>
            </w:pPr>
            <w:r>
              <w:rPr>
                <w:rFonts w:ascii="Arial" w:cs="Arial" w:eastAsia="Arial" w:hAnsi="Arial"/>
                <w:sz w:val="18"/>
                <w:szCs w:val="18"/>
                <w:color w:val="auto"/>
                <w:w w:val="86"/>
              </w:rPr>
              <w:t>11 years</w:t>
            </w:r>
          </w:p>
        </w:tc>
      </w:tr>
      <w:tr>
        <w:trPr>
          <w:trHeight w:val="230"/>
        </w:trPr>
        <w:tc>
          <w:tcPr>
            <w:tcW w:w="7280" w:type="dxa"/>
            <w:vAlign w:val="bottom"/>
          </w:tcPr>
          <w:p>
            <w:pPr>
              <w:ind w:left="16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8"/>
                <w:szCs w:val="18"/>
                <w:color w:val="auto"/>
                <w:w w:val="86"/>
              </w:rPr>
              <w:t>10 years</w:t>
            </w:r>
          </w:p>
        </w:tc>
      </w:tr>
      <w:tr>
        <w:trPr>
          <w:trHeight w:val="22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discount rate</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28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right="572"/>
              <w:spacing w:after="0"/>
              <w:rPr>
                <w:sz w:val="20"/>
                <w:szCs w:val="20"/>
                <w:color w:val="auto"/>
              </w:rPr>
            </w:pPr>
            <w:r>
              <w:rPr>
                <w:rFonts w:ascii="Arial" w:cs="Arial" w:eastAsia="Arial" w:hAnsi="Arial"/>
                <w:sz w:val="18"/>
                <w:szCs w:val="18"/>
                <w:color w:val="auto"/>
                <w:w w:val="92"/>
              </w:rPr>
              <w:t>4.8%</w:t>
            </w:r>
          </w:p>
        </w:tc>
        <w:tc>
          <w:tcPr>
            <w:tcW w:w="100" w:type="dxa"/>
            <w:vAlign w:val="bottom"/>
          </w:tcPr>
          <w:p>
            <w:pPr>
              <w:spacing w:after="0"/>
              <w:rPr>
                <w:sz w:val="19"/>
                <w:szCs w:val="19"/>
                <w:color w:val="auto"/>
              </w:rPr>
            </w:pPr>
          </w:p>
        </w:tc>
      </w:tr>
      <w:tr>
        <w:trPr>
          <w:trHeight w:val="230"/>
        </w:trPr>
        <w:tc>
          <w:tcPr>
            <w:tcW w:w="72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center"/>
              <w:ind w:right="572"/>
              <w:spacing w:after="0"/>
              <w:rPr>
                <w:sz w:val="20"/>
                <w:szCs w:val="20"/>
                <w:color w:val="auto"/>
              </w:rPr>
            </w:pPr>
            <w:r>
              <w:rPr>
                <w:rFonts w:ascii="Arial" w:cs="Arial" w:eastAsia="Arial" w:hAnsi="Arial"/>
                <w:sz w:val="18"/>
                <w:szCs w:val="18"/>
                <w:color w:val="auto"/>
                <w:w w:val="92"/>
              </w:rPr>
              <w:t>4.5%</w:t>
            </w:r>
          </w:p>
        </w:tc>
        <w:tc>
          <w:tcPr>
            <w:tcW w:w="100" w:type="dxa"/>
            <w:vAlign w:val="bottom"/>
            <w:shd w:val="clear" w:color="auto" w:fill="CFF0FC"/>
          </w:tcPr>
          <w:p>
            <w:pPr>
              <w:spacing w:after="0"/>
              <w:rPr>
                <w:sz w:val="19"/>
                <w:szCs w:val="19"/>
                <w:color w:val="auto"/>
              </w:rPr>
            </w:pPr>
          </w:p>
        </w:tc>
      </w:tr>
      <w:tr>
        <w:trPr>
          <w:trHeight w:val="432"/>
        </w:trPr>
        <w:tc>
          <w:tcPr>
            <w:tcW w:w="7280" w:type="dxa"/>
            <w:vAlign w:val="bottom"/>
          </w:tcPr>
          <w:p>
            <w:pPr>
              <w:spacing w:after="0"/>
              <w:rPr>
                <w:sz w:val="20"/>
                <w:szCs w:val="20"/>
                <w:color w:val="auto"/>
              </w:rPr>
            </w:pPr>
            <w:r>
              <w:rPr>
                <w:rFonts w:ascii="Arial" w:cs="Arial" w:eastAsia="Arial" w:hAnsi="Arial"/>
                <w:sz w:val="18"/>
                <w:szCs w:val="18"/>
                <w:color w:val="auto"/>
              </w:rPr>
              <w:t>As of December 31, 2021, maturities of lease liabilities were as follows: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7"/>
              </w:rPr>
              <w:t>Finance Leases</w:t>
            </w: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2,922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889</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2,498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907</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2,168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1,813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943</w:t>
            </w:r>
          </w:p>
        </w:tc>
        <w:tc>
          <w:tcPr>
            <w:tcW w:w="10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1,169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962</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2,411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3,579</w:t>
            </w:r>
          </w:p>
        </w:tc>
        <w:tc>
          <w:tcPr>
            <w:tcW w:w="100" w:type="dxa"/>
            <w:vAlign w:val="bottom"/>
          </w:tcPr>
          <w:p>
            <w:pPr>
              <w:spacing w:after="0"/>
              <w:rPr>
                <w:sz w:val="17"/>
                <w:szCs w:val="17"/>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minimum lease payments</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12,981</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8,205</w:t>
            </w:r>
          </w:p>
        </w:tc>
        <w:tc>
          <w:tcPr>
            <w:tcW w:w="10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(1,805 )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(1,422 )</w:t>
            </w:r>
          </w:p>
        </w:tc>
      </w:tr>
      <w:tr>
        <w:trPr>
          <w:trHeight w:val="236"/>
        </w:trPr>
        <w:tc>
          <w:tcPr>
            <w:tcW w:w="72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Lease liability</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11,176</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6,783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-4471035</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-4471035</wp:posOffset>
            </wp:positionV>
            <wp:extent cx="685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-3939540</wp:posOffset>
            </wp:positionV>
            <wp:extent cx="6858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-3939540</wp:posOffset>
            </wp:positionV>
            <wp:extent cx="6858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-3150870</wp:posOffset>
            </wp:positionV>
            <wp:extent cx="685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-3150870</wp:posOffset>
            </wp:positionV>
            <wp:extent cx="685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2" w:lineRule="exact"/>
        <w:rPr>
          <w:sz w:val="20"/>
          <w:szCs w:val="20"/>
          <w:color w:val="auto"/>
        </w:rPr>
      </w:pPr>
    </w:p>
    <w:p>
      <w:pPr>
        <w:ind w:right="8180" w:firstLine="8"/>
        <w:spacing w:after="0" w:line="487" w:lineRule="auto"/>
        <w:tabs>
          <w:tab w:leader="none" w:pos="509"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cases</w:t>
      </w:r>
    </w:p>
    <w:p>
      <w:pPr>
        <w:spacing w:after="0" w:line="212"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Our subsidiary,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December 31, 2021 for cases involving asbestos-related claims were $4.8 million which together with all legal fees other than corporate counsel expenses; $4.7 million have been paid by the Company’s insurers. The average cost per settled claim, excluding legal fees, was approximately $41,000.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5" w:name="page76"/>
    <w:bookmarkEnd w:id="75"/>
    <w:p>
      <w:pPr>
        <w:ind w:right="20"/>
        <w:spacing w:after="0" w:line="272" w:lineRule="auto"/>
        <w:rPr>
          <w:sz w:val="20"/>
          <w:szCs w:val="20"/>
          <w:color w:val="auto"/>
        </w:rPr>
      </w:pPr>
      <w:r>
        <w:rPr>
          <w:rFonts w:ascii="Arial" w:cs="Arial" w:eastAsia="Arial" w:hAnsi="Arial"/>
          <w:sz w:val="16"/>
          <w:szCs w:val="16"/>
          <w:color w:val="auto"/>
        </w:rPr>
        <w:t>Based upon the most recent information available to the Company regarding such claims, there were a total of 223 cases pending against the Company as of December 31, 2021 (with Illinois, New York, Pennsylvania and West Virginia having the largest number of cases), as compared with 200 cases that were pending as of December 31, 2020. During 2021, 101 new cases were filed against the Company, and the Company was dismissed from 53 cases and settled 25 cases. Most of the pending cases have not advanced beyond the early stages of discovery, although a number of cases are on schedules leading to or are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1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Company is also a party to routine contract and employment-related litigation matters and routine audits of state and local tax returns arising in the ordinary course of its business.</w:t>
      </w:r>
    </w:p>
    <w:p>
      <w:pPr>
        <w:spacing w:after="0" w:line="171"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reserves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are not aware of pending claims or assessments, other than as described above, which may have a material adverse impact on our liquidity, financial position, results of operations, or cash flows.</w:t>
      </w:r>
    </w:p>
    <w:p>
      <w:pPr>
        <w:spacing w:after="0" w:line="16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Income (loss) before income taxes was generated in the United States and globally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6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Domestic</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3,495</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11,565</w:t>
            </w:r>
          </w:p>
        </w:tc>
        <w:tc>
          <w:tcPr>
            <w:tcW w:w="10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3,903</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8,349</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1,779</w:t>
            </w:r>
          </w:p>
        </w:tc>
        <w:tc>
          <w:tcPr>
            <w:tcW w:w="100" w:type="dxa"/>
            <w:vAlign w:val="bottom"/>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4,674</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11,844</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13,344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Certain of the Company’s undistributed earnings of its foreign subsidiaries are not permanently reinvested, as management intends to repatriate foreign-held cash as needed to meet domestic cash needs for operating, investing, and financing activities. A liability of $1.1 million has been recorded for the deferred taxes on such undistributed foreign earnings as of December 31, 2021. The deferred taxes are attributable primarily to the foreign withholding taxes that would become payable should the Company repatriate cash held in its foreign operations.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Income tax expense (benefit) consisted of the following for the years ended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6"/>
        </w:trPr>
        <w:tc>
          <w:tcPr>
            <w:tcW w:w="616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34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340" w:type="dxa"/>
            <w:vAlign w:val="bottom"/>
          </w:tcPr>
          <w:p>
            <w:pPr>
              <w:jc w:val="right"/>
              <w:ind w:right="158"/>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354</w:t>
            </w:r>
          </w:p>
        </w:tc>
        <w:tc>
          <w:tcPr>
            <w:tcW w:w="24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(239 )</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(4,526 )</w:t>
            </w: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34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278</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241</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(616 )</w:t>
            </w: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2,632</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1,719</w:t>
            </w:r>
          </w:p>
        </w:tc>
        <w:tc>
          <w:tcPr>
            <w:tcW w:w="80" w:type="dxa"/>
            <w:vAlign w:val="bottom"/>
          </w:tcPr>
          <w:p>
            <w:pPr>
              <w:spacing w:after="0"/>
              <w:rPr>
                <w:sz w:val="17"/>
                <w:szCs w:val="17"/>
                <w:color w:val="auto"/>
              </w:rPr>
            </w:pPr>
          </w:p>
        </w:tc>
      </w:tr>
      <w:tr>
        <w:trPr>
          <w:trHeight w:val="196"/>
        </w:trPr>
        <w:tc>
          <w:tcPr>
            <w:tcW w:w="6160" w:type="dxa"/>
            <w:vAlign w:val="bottom"/>
            <w:tcBorders>
              <w:bottom w:val="single" w:sz="8" w:color="CFF0FC"/>
              <w:right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2,604</w:t>
            </w:r>
          </w:p>
        </w:tc>
        <w:tc>
          <w:tcPr>
            <w:tcW w:w="2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2,634</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(3,423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r>
      <w:tr>
        <w:trPr>
          <w:trHeight w:val="196"/>
        </w:trPr>
        <w:tc>
          <w:tcPr>
            <w:tcW w:w="6160" w:type="dxa"/>
            <w:vAlign w:val="bottom"/>
          </w:tcPr>
          <w:p>
            <w:pPr>
              <w:ind w:left="20"/>
              <w:spacing w:after="0" w:line="196" w:lineRule="exact"/>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w:t>
            </w:r>
          </w:p>
        </w:tc>
        <w:tc>
          <w:tcPr>
            <w:tcW w:w="34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426</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1,638</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(604 )</w:t>
            </w: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State</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(220 )</w:t>
            </w: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(384 )</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(913 )</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(116 )</w:t>
            </w:r>
          </w:p>
        </w:tc>
      </w:tr>
      <w:tr>
        <w:trPr>
          <w:trHeight w:val="20"/>
        </w:trPr>
        <w:tc>
          <w:tcPr>
            <w:tcW w:w="616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1,038</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(940 )</w:t>
            </w:r>
          </w:p>
        </w:tc>
      </w:tr>
      <w:tr>
        <w:trPr>
          <w:trHeight w:val="236"/>
        </w:trPr>
        <w:tc>
          <w:tcPr>
            <w:tcW w:w="6160" w:type="dxa"/>
            <w:vAlign w:val="bottom"/>
            <w:tcBorders>
              <w:bottom w:val="single" w:sz="8" w:color="CFF0FC"/>
              <w:right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8"/>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2,691</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3,672</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(4,363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r>
      <w:tr>
        <w:trPr>
          <w:trHeight w:val="413"/>
        </w:trPr>
        <w:tc>
          <w:tcPr>
            <w:tcW w:w="6160" w:type="dxa"/>
            <w:vAlign w:val="bottom"/>
          </w:tcPr>
          <w:p>
            <w:pPr>
              <w:spacing w:after="0"/>
              <w:rPr>
                <w:sz w:val="20"/>
                <w:szCs w:val="20"/>
                <w:color w:val="auto"/>
              </w:rPr>
            </w:pPr>
            <w:r>
              <w:rPr>
                <w:rFonts w:ascii="Arial" w:cs="Arial" w:eastAsia="Arial" w:hAnsi="Arial"/>
                <w:sz w:val="18"/>
                <w:szCs w:val="18"/>
                <w:color w:val="auto"/>
                <w:w w:val="91"/>
              </w:rPr>
              <w:t>The income tax expense (benefit) differs from the statutory rate due to the following:</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616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r>
      <w:tr>
        <w:trPr>
          <w:trHeight w:val="196"/>
        </w:trPr>
        <w:tc>
          <w:tcPr>
            <w:tcW w:w="6160" w:type="dxa"/>
            <w:vAlign w:val="bottom"/>
            <w:tcBorders>
              <w:right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Tax expense at statutory rate</w:t>
            </w:r>
          </w:p>
        </w:tc>
        <w:tc>
          <w:tcPr>
            <w:tcW w:w="340" w:type="dxa"/>
            <w:vAlign w:val="bottom"/>
            <w:shd w:val="clear" w:color="auto" w:fill="CFF0FC"/>
          </w:tcPr>
          <w:p>
            <w:pPr>
              <w:jc w:val="right"/>
              <w:ind w:right="178"/>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2,487</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2,802</w:t>
            </w: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Increase (decrease) in tax resulting from:</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State income tax, net of federal benefit</w:t>
            </w:r>
          </w:p>
        </w:tc>
        <w:tc>
          <w:tcPr>
            <w:tcW w:w="34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334</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503</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(707 )</w:t>
            </w: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Change in uncertain tax position reserves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(115 )</w:t>
            </w:r>
          </w:p>
        </w:tc>
        <w:tc>
          <w:tcPr>
            <w:tcW w:w="3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(236 )</w:t>
            </w: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Permanent differences related to divestitures</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(4,201 )</w:t>
            </w: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Other permanent differences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601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(842 )</w:t>
            </w: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Impact of rate differences and adjustments</w:t>
            </w:r>
          </w:p>
        </w:tc>
        <w:tc>
          <w:tcPr>
            <w:tcW w:w="34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1,003</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884</w:t>
            </w: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United States tax credits and incentives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(2,124 )</w:t>
            </w: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tax credits and incentives</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(265 )</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(794 )</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(1,386 )</w:t>
            </w: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(489 )</w:t>
            </w:r>
          </w:p>
        </w:tc>
        <w:tc>
          <w:tcPr>
            <w:tcW w:w="36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(218 )</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80" w:type="dxa"/>
            <w:vAlign w:val="bottom"/>
          </w:tcPr>
          <w:p>
            <w:pPr>
              <w:spacing w:after="0"/>
              <w:rPr>
                <w:sz w:val="17"/>
                <w:szCs w:val="17"/>
                <w:color w:val="auto"/>
              </w:rPr>
            </w:pP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Net deemed distribution on repatriation of foreign earnings</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4"/>
              <w:spacing w:after="0" w:line="202" w:lineRule="exact"/>
              <w:rPr>
                <w:sz w:val="20"/>
                <w:szCs w:val="20"/>
                <w:color w:val="auto"/>
              </w:rPr>
            </w:pPr>
            <w:r>
              <w:rPr>
                <w:rFonts w:ascii="Arial" w:cs="Arial" w:eastAsia="Arial" w:hAnsi="Arial"/>
                <w:sz w:val="18"/>
                <w:szCs w:val="18"/>
                <w:color w:val="auto"/>
              </w:rPr>
              <w:t>—</w:t>
            </w:r>
          </w:p>
        </w:tc>
      </w:tr>
      <w:tr>
        <w:trPr>
          <w:trHeight w:val="202"/>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Foreign withholding taxes on repatriation of foreign earnings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646</w:t>
            </w:r>
          </w:p>
        </w:tc>
        <w:tc>
          <w:tcPr>
            <w:tcW w:w="80" w:type="dxa"/>
            <w:vAlign w:val="bottom"/>
          </w:tcPr>
          <w:p>
            <w:pPr>
              <w:spacing w:after="0"/>
              <w:rPr>
                <w:sz w:val="17"/>
                <w:szCs w:val="17"/>
                <w:color w:val="auto"/>
              </w:rPr>
            </w:pP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Earnout expense (income)</w:t>
            </w:r>
          </w:p>
        </w:tc>
        <w:tc>
          <w:tcPr>
            <w:tcW w:w="34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4"/>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Investment in joint venture</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(1,341 )</w:t>
            </w:r>
          </w:p>
        </w:tc>
        <w:tc>
          <w:tcPr>
            <w:tcW w:w="360" w:type="dxa"/>
            <w:vAlign w:val="bottom"/>
          </w:tcPr>
          <w:p>
            <w:pPr>
              <w:spacing w:after="0"/>
              <w:rPr>
                <w:sz w:val="17"/>
                <w:szCs w:val="17"/>
                <w:color w:val="auto"/>
              </w:rPr>
            </w:pPr>
          </w:p>
        </w:tc>
        <w:tc>
          <w:tcPr>
            <w:tcW w:w="1240" w:type="dxa"/>
            <w:vAlign w:val="bottom"/>
            <w:gridSpan w:val="2"/>
          </w:tcPr>
          <w:p>
            <w:pPr>
              <w:jc w:val="right"/>
              <w:ind w:right="44"/>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tcBorders>
              <w:right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Net effect GILTI and FDII</w:t>
            </w:r>
          </w:p>
        </w:tc>
        <w:tc>
          <w:tcPr>
            <w:tcW w:w="3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1,598</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399</w:t>
            </w: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204</w:t>
            </w:r>
          </w:p>
        </w:tc>
        <w:tc>
          <w:tcPr>
            <w:tcW w:w="80" w:type="dxa"/>
            <w:vAlign w:val="bottom"/>
          </w:tcPr>
          <w:p>
            <w:pPr>
              <w:spacing w:after="0"/>
              <w:rPr>
                <w:sz w:val="17"/>
                <w:szCs w:val="17"/>
                <w:color w:val="auto"/>
              </w:rPr>
            </w:pPr>
          </w:p>
        </w:tc>
      </w:tr>
      <w:tr>
        <w:trPr>
          <w:trHeight w:val="236"/>
        </w:trPr>
        <w:tc>
          <w:tcPr>
            <w:tcW w:w="6160" w:type="dxa"/>
            <w:vAlign w:val="bottom"/>
            <w:tcBorders>
              <w:bottom w:val="single" w:sz="8" w:color="CFF0FC"/>
              <w:right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78"/>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2,691</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3,672</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(4,363</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615"/>
        </w:trPr>
        <w:tc>
          <w:tcPr>
            <w:tcW w:w="6160" w:type="dxa"/>
            <w:vAlign w:val="bottom"/>
          </w:tcPr>
          <w:p>
            <w:pPr>
              <w:ind w:left="5460"/>
              <w:spacing w:after="0"/>
              <w:rPr>
                <w:sz w:val="20"/>
                <w:szCs w:val="20"/>
                <w:color w:val="auto"/>
              </w:rPr>
            </w:pPr>
            <w:r>
              <w:rPr>
                <w:rFonts w:ascii="Arial" w:cs="Arial" w:eastAsia="Arial" w:hAnsi="Arial"/>
                <w:sz w:val="18"/>
                <w:szCs w:val="18"/>
                <w:color w:val="auto"/>
              </w:rPr>
              <w:t>F-28</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8"/>
        </w:trPr>
        <w:tc>
          <w:tcPr>
            <w:tcW w:w="6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-4034155</wp:posOffset>
            </wp:positionV>
            <wp:extent cx="7683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-4034155</wp:posOffset>
            </wp:positionV>
            <wp:extent cx="6858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-4034155</wp:posOffset>
            </wp:positionV>
            <wp:extent cx="685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-3510915</wp:posOffset>
            </wp:positionV>
            <wp:extent cx="7683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-3510915</wp:posOffset>
            </wp:positionV>
            <wp:extent cx="6858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-3510915</wp:posOffset>
            </wp:positionV>
            <wp:extent cx="6858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-3239770</wp:posOffset>
            </wp:positionV>
            <wp:extent cx="7683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-3222625</wp:posOffset>
            </wp:positionV>
            <wp:extent cx="768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-3239770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-3222625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-496570</wp:posOffset>
            </wp:positionV>
            <wp:extent cx="603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-479425</wp:posOffset>
            </wp:positionV>
            <wp:extent cx="603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-496570</wp:posOffset>
            </wp:positionV>
            <wp:extent cx="514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-479425</wp:posOffset>
            </wp:positionV>
            <wp:extent cx="514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-496570</wp:posOffset>
            </wp:positionV>
            <wp:extent cx="514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-479425</wp:posOffset>
            </wp:positionV>
            <wp:extent cx="514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7" w:name="page78"/>
    <w:bookmarkEnd w:id="77"/>
    <w:p>
      <w:pPr>
        <w:ind w:right="40"/>
        <w:spacing w:after="0" w:line="248" w:lineRule="auto"/>
        <w:rPr>
          <w:sz w:val="20"/>
          <w:szCs w:val="20"/>
          <w:color w:val="auto"/>
        </w:rPr>
      </w:pPr>
      <w:r>
        <w:rPr>
          <w:rFonts w:ascii="Arial" w:cs="Arial" w:eastAsia="Arial" w:hAnsi="Arial"/>
          <w:sz w:val="18"/>
          <w:szCs w:val="18"/>
          <w:color w:val="auto"/>
        </w:rPr>
        <w:t>Deferred income taxes reflect the future tax consequences of temporary differences between the carrying amounts of assets and liabilities for financial reporting purposes and the amounts used for income tax purposes and tax credit carry forwards. The net deferred tax liabilities consisted of the following at December 31: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deferred tax assets: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775</w:t>
            </w:r>
          </w:p>
        </w:tc>
        <w:tc>
          <w:tcPr>
            <w:tcW w:w="240" w:type="dxa"/>
            <w:vAlign w:val="bottom"/>
          </w:tcPr>
          <w:p>
            <w:pPr>
              <w:spacing w:after="0"/>
              <w:rPr>
                <w:sz w:val="17"/>
                <w:szCs w:val="17"/>
                <w:color w:val="auto"/>
              </w:rPr>
            </w:pPr>
          </w:p>
        </w:tc>
        <w:tc>
          <w:tcPr>
            <w:tcW w:w="44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Reserves on assets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1,576</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1,777</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Share-based compensation awards</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400</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334</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Minimum pension</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1,239</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2,188</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3,001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3,531</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credit carry-forwards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2,464</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2,518</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Investment in joint venture</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1,226</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1,505</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2,424</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2,556</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582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645</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Valuation allowances</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(5,476 )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(5,965 )</w:t>
            </w:r>
          </w:p>
        </w:tc>
      </w:tr>
      <w:tr>
        <w:trPr>
          <w:trHeight w:val="196"/>
        </w:trPr>
        <w:tc>
          <w:tcPr>
            <w:tcW w:w="728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8,211</w:t>
            </w: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9,820</w:t>
            </w:r>
          </w:p>
        </w:tc>
        <w:tc>
          <w:tcPr>
            <w:tcW w:w="80" w:type="dxa"/>
            <w:vAlign w:val="bottom"/>
            <w:tcBorders>
              <w:top w:val="single" w:sz="8" w:color="CFF0FC"/>
            </w:tcBorders>
          </w:tcPr>
          <w:p>
            <w:pPr>
              <w:spacing w:after="0"/>
              <w:rPr>
                <w:sz w:val="17"/>
                <w:szCs w:val="17"/>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Gross deferred tax liabilities:</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7"/>
                <w:szCs w:val="17"/>
                <w:color w:val="auto"/>
              </w:rPr>
            </w:pPr>
          </w:p>
        </w:tc>
        <w:tc>
          <w:tcPr>
            <w:tcW w:w="16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(881 )</w:t>
            </w:r>
          </w:p>
        </w:tc>
        <w:tc>
          <w:tcPr>
            <w:tcW w:w="44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(1,159 )</w:t>
            </w: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 and intangibles</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(11,501 )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(11,565 )</w:t>
            </w: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inventory</w:t>
            </w:r>
          </w:p>
        </w:tc>
        <w:tc>
          <w:tcPr>
            <w:tcW w:w="420" w:type="dxa"/>
            <w:vAlign w:val="bottom"/>
          </w:tcPr>
          <w:p>
            <w:pPr>
              <w:spacing w:after="0"/>
              <w:rPr>
                <w:sz w:val="17"/>
                <w:szCs w:val="17"/>
                <w:color w:val="auto"/>
              </w:rPr>
            </w:pPr>
          </w:p>
        </w:tc>
        <w:tc>
          <w:tcPr>
            <w:tcW w:w="16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(132 )</w:t>
            </w:r>
          </w:p>
        </w:tc>
        <w:tc>
          <w:tcPr>
            <w:tcW w:w="44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(438 )</w:t>
            </w: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Withholding tax on unremitted foreign earnings</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(1,114 )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(871 )</w:t>
            </w:r>
          </w:p>
        </w:tc>
      </w:tr>
      <w:tr>
        <w:trPr>
          <w:trHeight w:val="203"/>
        </w:trPr>
        <w:tc>
          <w:tcPr>
            <w:tcW w:w="7280" w:type="dxa"/>
            <w:vAlign w:val="bottom"/>
          </w:tcPr>
          <w:p>
            <w:pPr>
              <w:ind w:left="200"/>
              <w:spacing w:after="0" w:line="202" w:lineRule="exact"/>
              <w:rPr>
                <w:sz w:val="20"/>
                <w:szCs w:val="20"/>
                <w:color w:val="auto"/>
              </w:rPr>
            </w:pPr>
            <w:r>
              <w:rPr>
                <w:rFonts w:ascii="Arial" w:cs="Arial" w:eastAsia="Arial" w:hAnsi="Arial"/>
                <w:sz w:val="18"/>
                <w:szCs w:val="18"/>
                <w:color w:val="auto"/>
              </w:rPr>
              <w:t>Leases</w:t>
            </w:r>
          </w:p>
        </w:tc>
        <w:tc>
          <w:tcPr>
            <w:tcW w:w="420" w:type="dxa"/>
            <w:vAlign w:val="bottom"/>
          </w:tcPr>
          <w:p>
            <w:pPr>
              <w:spacing w:after="0"/>
              <w:rPr>
                <w:sz w:val="17"/>
                <w:szCs w:val="17"/>
                <w:color w:val="auto"/>
              </w:rPr>
            </w:pPr>
          </w:p>
        </w:tc>
        <w:tc>
          <w:tcPr>
            <w:tcW w:w="16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(2,424 )</w:t>
            </w:r>
          </w:p>
        </w:tc>
        <w:tc>
          <w:tcPr>
            <w:tcW w:w="440" w:type="dxa"/>
            <w:vAlign w:val="bottom"/>
          </w:tcPr>
          <w:p>
            <w:pPr>
              <w:spacing w:after="0"/>
              <w:rPr>
                <w:sz w:val="17"/>
                <w:szCs w:val="17"/>
                <w:color w:val="auto"/>
              </w:rPr>
            </w:pP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(2,602 )</w:t>
            </w:r>
          </w:p>
        </w:tc>
      </w:tr>
      <w:tr>
        <w:trPr>
          <w:trHeight w:val="203"/>
        </w:trPr>
        <w:tc>
          <w:tcPr>
            <w:tcW w:w="72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Revenue recognition</w:t>
            </w:r>
          </w:p>
        </w:tc>
        <w:tc>
          <w:tcPr>
            <w:tcW w:w="420" w:type="dxa"/>
            <w:vAlign w:val="bottom"/>
            <w:shd w:val="clear" w:color="auto" w:fill="CFF0FC"/>
          </w:tcPr>
          <w:p>
            <w:pPr>
              <w:spacing w:after="0"/>
              <w:rPr>
                <w:sz w:val="17"/>
                <w:szCs w:val="17"/>
                <w:color w:val="auto"/>
              </w:rPr>
            </w:pPr>
          </w:p>
        </w:tc>
        <w:tc>
          <w:tcPr>
            <w:tcW w:w="16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(44 )</w:t>
            </w: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(155 )</w:t>
            </w:r>
          </w:p>
        </w:tc>
      </w:tr>
      <w:tr>
        <w:trPr>
          <w:trHeight w:val="20"/>
        </w:trPr>
        <w:tc>
          <w:tcPr>
            <w:tcW w:w="7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(16,096 )</w:t>
            </w:r>
          </w:p>
        </w:tc>
        <w:tc>
          <w:tcPr>
            <w:tcW w:w="440" w:type="dxa"/>
            <w:vAlign w:val="bottom"/>
          </w:tcPr>
          <w:p>
            <w:pPr>
              <w:spacing w:after="0"/>
              <w:rPr>
                <w:sz w:val="17"/>
                <w:szCs w:val="17"/>
                <w:color w:val="auto"/>
              </w:rPr>
            </w:pPr>
          </w:p>
        </w:tc>
        <w:tc>
          <w:tcPr>
            <w:tcW w:w="1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(16,790 )</w:t>
            </w:r>
          </w:p>
        </w:tc>
      </w:tr>
      <w:tr>
        <w:trPr>
          <w:trHeight w:val="23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deferred tax liabilities</w:t>
            </w: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(7,885</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(6,970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-1342390</wp:posOffset>
            </wp:positionV>
            <wp:extent cx="5143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-1342390</wp:posOffset>
            </wp:positionV>
            <wp:extent cx="5143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-296545</wp:posOffset>
            </wp:positionV>
            <wp:extent cx="5143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-296545</wp:posOffset>
            </wp:positionV>
            <wp:extent cx="5143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514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of December 31, 2021, state and local net operating loss carry forwards total $42.8 million, which expire from 2022 to 2041. The Company has recorded a valuation allowance on certain of these net operating loss carry forwards to reflect expected realization. The Company also has net operating loss carry forwards in foreign jurisdictions totaling $9.8 million. A valuation allowance of $6.5 million has been established against these losses in foreign jurisdictions. As of December 31, 2021 and 2020, the Company has recorded a valuation reserve in the amount of $5.5 million and $6.0 million, respectively. The changes in the valuation allowance resulted in additional income tax expense (benefit) of $(0.5) million, $(0.2) million, and $0.2 million in 2021, 2020, and 2019, respectively.</w:t>
      </w:r>
    </w:p>
    <w:p>
      <w:pPr>
        <w:spacing w:after="0" w:line="189"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 forward periods), projected future taxable income, and tax-planning strategies in making this assessment. Based on this assessment, management believes it is more likely than not that the Company will realize the benefits of these deductible differences, net of the existing valuation allowances at December 31, 2021. The amount of the deferred tax assets considered realizable, however, could be reduced in the near term if estimates of future taxable income during the carryforward period are reduced.</w:t>
      </w:r>
    </w:p>
    <w:p>
      <w:pPr>
        <w:spacing w:after="0" w:line="18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The Company accounts for uncertain tax positions pursuant to FASB ASC Topic 740.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A reconciliation of the beginning and ending amount of uncertain tax position reserves included in other liabilities on the Consolidated Balance Sheets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7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January 1,</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7"/>
                <w:szCs w:val="17"/>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Additions for tax positions taken in prior years</w:t>
            </w:r>
          </w:p>
        </w:tc>
        <w:tc>
          <w:tcPr>
            <w:tcW w:w="4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r>
      <w:tr>
        <w:trPr>
          <w:trHeight w:val="203"/>
        </w:trPr>
        <w:tc>
          <w:tcPr>
            <w:tcW w:w="7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Reductions of tax positions taken in prior years</w:t>
            </w: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(117 )</w:t>
            </w: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Reductions for settlements on tax positions of prior years</w:t>
            </w:r>
          </w:p>
        </w:tc>
        <w:tc>
          <w:tcPr>
            <w:tcW w:w="4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6"/>
        </w:trPr>
        <w:tc>
          <w:tcPr>
            <w:tcW w:w="7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w:t>
            </w:r>
          </w:p>
        </w:tc>
        <w:tc>
          <w:tcPr>
            <w:tcW w:w="440" w:type="dxa"/>
            <w:vAlign w:val="bottom"/>
            <w:tcBorders>
              <w:top w:val="single" w:sz="8" w:color="auto"/>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139</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431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431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 recognizes interest and penalties related to uncertain tax positions in income tax expense. The reserve for uncertain tax positions includes $0.1 million of interest and penalties as of December 31, 2021 and 2020. The favorable settlement of all uncertain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8" w:name="page79"/>
    <w:bookmarkEnd w:id="78"/>
    <w:p>
      <w:pPr>
        <w:ind w:right="660"/>
        <w:spacing w:after="0" w:line="261" w:lineRule="auto"/>
        <w:rPr>
          <w:sz w:val="20"/>
          <w:szCs w:val="20"/>
          <w:color w:val="auto"/>
        </w:rPr>
      </w:pPr>
      <w:r>
        <w:rPr>
          <w:rFonts w:ascii="Arial" w:cs="Arial" w:eastAsia="Arial" w:hAnsi="Arial"/>
          <w:sz w:val="18"/>
          <w:szCs w:val="18"/>
          <w:color w:val="auto"/>
        </w:rPr>
        <w:t>tax positions would impact the Company’s effective income tax rate. Tax years going back to 2016 remain open for all significant state and foreign authorities.</w:t>
      </w:r>
    </w:p>
    <w:p>
      <w:pPr>
        <w:spacing w:after="0" w:line="167"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16" w:lineRule="exact"/>
        <w:rPr>
          <w:sz w:val="20"/>
          <w:szCs w:val="20"/>
          <w:color w:val="auto"/>
        </w:rPr>
      </w:pPr>
    </w:p>
    <w:p>
      <w:pPr>
        <w:jc w:val="both"/>
        <w:ind w:right="500"/>
        <w:spacing w:after="0" w:line="248" w:lineRule="auto"/>
        <w:rPr>
          <w:sz w:val="20"/>
          <w:szCs w:val="20"/>
          <w:color w:val="auto"/>
        </w:rPr>
      </w:pPr>
      <w:r>
        <w:rPr>
          <w:rFonts w:ascii="Arial" w:cs="Arial" w:eastAsia="Arial" w:hAnsi="Arial"/>
          <w:sz w:val="18"/>
          <w:szCs w:val="18"/>
          <w:color w:val="auto"/>
        </w:rPr>
        <w:t>During 2021, 2020 and 2019 we paid fees of zero, $0.1 million and $0.2 million, respectively, for consulting services to Icarus, through which Jason DeZwirek, our Chairman of our Board, provides services. The services described above are based on a verbal agreement with the Company, but such services were terminated prior to 2021.</w:t>
      </w:r>
    </w:p>
    <w:p>
      <w:pPr>
        <w:spacing w:after="0" w:line="178"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Joint Ventures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Integrated Solutions</w:t>
      </w:r>
    </w:p>
    <w:p>
      <w:pPr>
        <w:spacing w:after="0" w:line="21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On June 4, 2020, the Company acquired 100% of the equity interests of Environmental Integrated Solutions (“EIS”) for $10.3 million in cash, which was financed through our revolving credit facility. As additional consideration, the former owners are entitled to earn-out payments based upon a multiple of specified financial results through December 31, 2021, which was estimated to be $0.6 million at the acquisition date. See Note 7 for additional information on the earnout.</w:t>
      </w:r>
    </w:p>
    <w:p>
      <w:pPr>
        <w:spacing w:after="0" w:line="188"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EIS engineers products that clean air through a variety of technologies including volatile organic compounds (“VOC”) abatement, odor control, regenerative thermal oxidizers, and other air pollution control solutions, which complements our Industrial Process Solutions segment businesses. The following table summarizes the approximate fair values of the assets acquired and liabilities assumed at the date of closing.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assets (including cash of $4,212)</w:t>
            </w:r>
          </w:p>
        </w:tc>
        <w:tc>
          <w:tcPr>
            <w:tcW w:w="760" w:type="dxa"/>
            <w:vAlign w:val="bottom"/>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6,416</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7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7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7,022</w:t>
            </w:r>
          </w:p>
        </w:tc>
        <w:tc>
          <w:tcPr>
            <w:tcW w:w="100" w:type="dxa"/>
            <w:vAlign w:val="bottom"/>
          </w:tcPr>
          <w:p>
            <w:pPr>
              <w:spacing w:after="0"/>
              <w:rPr>
                <w:sz w:val="17"/>
                <w:szCs w:val="17"/>
                <w:color w:val="auto"/>
              </w:rPr>
            </w:pPr>
          </w:p>
        </w:tc>
      </w:tr>
      <w:tr>
        <w:trPr>
          <w:trHeight w:val="203"/>
        </w:trPr>
        <w:tc>
          <w:tcPr>
            <w:tcW w:w="92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 finite life</w:t>
            </w:r>
          </w:p>
        </w:tc>
        <w:tc>
          <w:tcPr>
            <w:tcW w:w="7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4,840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9220" w:type="dxa"/>
            <w:vAlign w:val="bottom"/>
          </w:tcPr>
          <w:p>
            <w:pPr>
              <w:ind w:left="380"/>
              <w:spacing w:after="0" w:line="196" w:lineRule="exact"/>
              <w:rPr>
                <w:sz w:val="20"/>
                <w:szCs w:val="20"/>
                <w:color w:val="auto"/>
              </w:rPr>
            </w:pPr>
            <w:r>
              <w:rPr>
                <w:rFonts w:ascii="Arial" w:cs="Arial" w:eastAsia="Arial" w:hAnsi="Arial"/>
                <w:sz w:val="18"/>
                <w:szCs w:val="18"/>
                <w:color w:val="auto"/>
              </w:rPr>
              <w:t>Total assets acquired</w:t>
            </w:r>
          </w:p>
        </w:tc>
        <w:tc>
          <w:tcPr>
            <w:tcW w:w="76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18,348</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 assumed</w:t>
            </w:r>
          </w:p>
        </w:tc>
        <w:tc>
          <w:tcPr>
            <w:tcW w:w="7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(6,514 )</w:t>
            </w:r>
          </w:p>
        </w:tc>
      </w:tr>
      <w:tr>
        <w:trPr>
          <w:trHeight w:val="202"/>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 liability</w:t>
            </w:r>
          </w:p>
        </w:tc>
        <w:tc>
          <w:tcPr>
            <w:tcW w:w="76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(920 )</w:t>
            </w:r>
          </w:p>
        </w:tc>
      </w:tr>
      <w:tr>
        <w:trPr>
          <w:trHeight w:val="236"/>
        </w:trPr>
        <w:tc>
          <w:tcPr>
            <w:tcW w:w="92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assets acquired</w:t>
            </w:r>
          </w:p>
        </w:tc>
        <w:tc>
          <w:tcPr>
            <w:tcW w:w="760" w:type="dxa"/>
            <w:vAlign w:val="bottom"/>
            <w:tcBorders>
              <w:top w:val="single" w:sz="8" w:color="auto"/>
              <w:bottom w:val="single" w:sz="8" w:color="auto"/>
            </w:tcBorders>
            <w:shd w:val="clear" w:color="auto" w:fill="CFF0FC"/>
          </w:tcPr>
          <w:p>
            <w:pPr>
              <w:jc w:val="right"/>
              <w:ind w:right="550"/>
              <w:spacing w:after="0" w:line="182"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10,914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-553720</wp:posOffset>
            </wp:positionV>
            <wp:extent cx="6858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18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acquired customer lists and tradename intangible assets valued at $4.2 million and $0.6 million, respectively. These assets were determined to have useful lives of 10 years.</w:t>
      </w:r>
    </w:p>
    <w:p>
      <w:pPr>
        <w:spacing w:after="0" w:line="17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Acquisition and integration expenses on the Consolidated Statements of Income are related to acquisition activities, which include retention, legal, accounting, banking, and other expenses. During 2021 and 2020, EIS accounted for $19.9 million and $8.1 million in revenue and $2.5 million and $(0.8) million of pre-tax income (loss) (inclusive of the earnout adjustment noted above),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Mader</w:t>
      </w:r>
    </w:p>
    <w:p>
      <w:pPr>
        <w:spacing w:after="0" w:line="21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On July 31, 2020, the Company entered into the JV Agreement with Mader in which CECO contributed the net assets of its Effox-Flextor damper business and Mader contributed the net assets of their damper business. Under the terms of the JV Agreement, CECO will hold 70% of the equity in the joint venture, and 50% voting interest. We determined CECO was the primary beneficiary of this variable interest entity and therefore the 30% noncontrolling equity interest is in the Consolidated Balance Sheet. The results of the joint venture are included in our Engineered Systems segment. The fair value of Mader’s net assets contributed was $1.0 million. As of December 31, 2021 and 2020 there were $8.9 million and $6.4 million in current assets, $8.7 million and $8.9 million in long-lived assets, and $9.0 million and $7.6 million in total liabilities related to the Effox-Mader joint venture, respectively included in our Consolidated Balance Sheets. During 2021 and 2020, the Effox-Madder joint venture accounted for $21.4 million and $7.7 million in revenue and $2.5 million and $(0.2) million of pre-tax income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approximate fair values of the assets acquired and liabilities assumed at the JV agreement date.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5"/>
        </w:trPr>
        <w:tc>
          <w:tcPr>
            <w:tcW w:w="922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assets (including cash of $229)</w:t>
            </w:r>
          </w:p>
        </w:tc>
        <w:tc>
          <w:tcPr>
            <w:tcW w:w="780" w:type="dxa"/>
            <w:vAlign w:val="bottom"/>
            <w:shd w:val="clear" w:color="auto" w:fill="CFF0FC"/>
          </w:tcPr>
          <w:p>
            <w:pPr>
              <w:jc w:val="right"/>
              <w:ind w:right="57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2,040</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w:t>
            </w:r>
          </w:p>
        </w:tc>
        <w:tc>
          <w:tcPr>
            <w:tcW w:w="7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7"/>
                <w:szCs w:val="17"/>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7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2,085</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 asset</w:t>
            </w: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287</w:t>
            </w:r>
          </w:p>
        </w:tc>
        <w:tc>
          <w:tcPr>
            <w:tcW w:w="100" w:type="dxa"/>
            <w:vAlign w:val="bottom"/>
          </w:tcPr>
          <w:p>
            <w:pPr>
              <w:spacing w:after="0"/>
              <w:rPr>
                <w:sz w:val="17"/>
                <w:szCs w:val="17"/>
                <w:color w:val="auto"/>
              </w:rPr>
            </w:pPr>
          </w:p>
        </w:tc>
      </w:tr>
      <w:tr>
        <w:trPr>
          <w:trHeight w:val="196"/>
        </w:trPr>
        <w:tc>
          <w:tcPr>
            <w:tcW w:w="922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assets assumed</w:t>
            </w:r>
          </w:p>
        </w:tc>
        <w:tc>
          <w:tcPr>
            <w:tcW w:w="7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4,515</w:t>
            </w:r>
          </w:p>
        </w:tc>
        <w:tc>
          <w:tcPr>
            <w:tcW w:w="100" w:type="dxa"/>
            <w:vAlign w:val="bottom"/>
            <w:shd w:val="clear" w:color="auto" w:fill="CFF0FC"/>
          </w:tcPr>
          <w:p>
            <w:pPr>
              <w:spacing w:after="0"/>
              <w:rPr>
                <w:sz w:val="17"/>
                <w:szCs w:val="17"/>
                <w:color w:val="auto"/>
              </w:rPr>
            </w:pP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 assumed</w:t>
            </w:r>
          </w:p>
        </w:tc>
        <w:tc>
          <w:tcPr>
            <w:tcW w:w="78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(515 )</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7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(500 )</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Long term debt</w:t>
            </w:r>
          </w:p>
        </w:tc>
        <w:tc>
          <w:tcPr>
            <w:tcW w:w="78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(2,508 )</w:t>
            </w:r>
          </w:p>
        </w:tc>
      </w:tr>
      <w:tr>
        <w:trPr>
          <w:trHeight w:val="23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assets acquired</w:t>
            </w:r>
          </w:p>
        </w:tc>
        <w:tc>
          <w:tcPr>
            <w:tcW w:w="780" w:type="dxa"/>
            <w:vAlign w:val="bottom"/>
            <w:tcBorders>
              <w:top w:val="single" w:sz="8" w:color="auto"/>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right="360"/>
        <w:spacing w:after="0" w:line="248" w:lineRule="auto"/>
        <w:rPr>
          <w:sz w:val="20"/>
          <w:szCs w:val="20"/>
          <w:color w:val="auto"/>
        </w:rPr>
      </w:pPr>
      <w:r>
        <w:rPr>
          <w:rFonts w:ascii="Arial" w:cs="Arial" w:eastAsia="Arial" w:hAnsi="Arial"/>
          <w:sz w:val="18"/>
          <w:szCs w:val="18"/>
          <w:color w:val="auto"/>
        </w:rPr>
        <w:t>Goodwill recognized represents value the Company expects to be created by combining the various operations of the joint venture with the Company’s operations, including the expansion into markets within existing business segments, access to new customers and potential cost savings and synergies. Goodwill related to this joint venture is not deductible for tax purposes.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financial information represents the Company’s results of operations as if the EIS acquisition and the joint venture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Mader had occurred on January 1, 2019:</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 except per share data)</w:t>
            </w: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color w:val="auto"/>
              </w:rPr>
              <w:t>Net sales</w:t>
            </w:r>
          </w:p>
        </w:tc>
        <w:tc>
          <w:tcPr>
            <w:tcW w:w="420" w:type="dxa"/>
            <w:vAlign w:val="bottom"/>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329,801</w:t>
            </w:r>
          </w:p>
        </w:tc>
        <w:tc>
          <w:tcPr>
            <w:tcW w:w="28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368,027</w:t>
            </w:r>
          </w:p>
        </w:tc>
        <w:tc>
          <w:tcPr>
            <w:tcW w:w="100" w:type="dxa"/>
            <w:vAlign w:val="bottom"/>
          </w:tcPr>
          <w:p>
            <w:pPr>
              <w:spacing w:after="0"/>
              <w:rPr>
                <w:sz w:val="17"/>
                <w:szCs w:val="17"/>
                <w:color w:val="auto"/>
              </w:rPr>
            </w:pPr>
          </w:p>
        </w:tc>
      </w:tr>
      <w:tr>
        <w:trPr>
          <w:trHeight w:val="203"/>
        </w:trPr>
        <w:tc>
          <w:tcPr>
            <w:tcW w:w="7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CECO Environmental Corp.</w:t>
            </w:r>
          </w:p>
        </w:tc>
        <w:tc>
          <w:tcPr>
            <w:tcW w:w="4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9,728</w:t>
            </w: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26,980</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ind w:left="20"/>
              <w:spacing w:after="0" w:line="202" w:lineRule="exact"/>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Basic</w:t>
            </w:r>
          </w:p>
        </w:tc>
        <w:tc>
          <w:tcPr>
            <w:tcW w:w="420" w:type="dxa"/>
            <w:vAlign w:val="bottom"/>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0.28</w:t>
            </w:r>
          </w:p>
        </w:tc>
        <w:tc>
          <w:tcPr>
            <w:tcW w:w="800" w:type="dxa"/>
            <w:vAlign w:val="bottom"/>
            <w:gridSpan w:val="2"/>
            <w:shd w:val="clear" w:color="auto" w:fill="CFF0FC"/>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0.77</w:t>
            </w:r>
          </w:p>
        </w:tc>
        <w:tc>
          <w:tcPr>
            <w:tcW w:w="100" w:type="dxa"/>
            <w:vAlign w:val="bottom"/>
            <w:shd w:val="clear" w:color="auto" w:fill="CFF0FC"/>
          </w:tcPr>
          <w:p>
            <w:pPr>
              <w:spacing w:after="0"/>
              <w:rPr>
                <w:sz w:val="17"/>
                <w:szCs w:val="17"/>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0.27</w:t>
            </w:r>
          </w:p>
        </w:tc>
        <w:tc>
          <w:tcPr>
            <w:tcW w:w="8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 For the year ended December 31, 2021, the results of operations for the EIS acquisition and joint venture with Mader are included in the Company's results for the full year.</w:t>
      </w:r>
    </w:p>
    <w:p>
      <w:pPr>
        <w:spacing w:after="0" w:line="170"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216"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The Company’s operations are organized and reviewed by management along its product lines or end markets that the segment serves and are presented in two reportable segments. The results of the segments are reviewed through to the “Income from operations” line on the Consolidated Statements of Income. The accounting policies of the segments are the same as those in the consolidated financial statements. During the first quarter of 2021, management determined that a realignment of the Company’s segments was necessary to better reflect the solutions we provide, and the end markets we serve. As a result of this realignment, we combined the operating results of the prior Industrial Solutions segment and Fluid Handling Solutions segment into a single reportable segment named the Industrial Process Solutions segment. In addition, the Energy Solutions segment was renamed the Engineered Systems segment. The results of the segments are reviewed through the “Income from operations” line on the Consolidated Statements of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08" w:lineRule="exact"/>
        <w:rPr>
          <w:sz w:val="20"/>
          <w:szCs w:val="20"/>
          <w:color w:val="auto"/>
        </w:rPr>
      </w:pPr>
    </w:p>
    <w:p>
      <w:pPr>
        <w:ind w:left="760" w:right="60" w:hanging="378"/>
        <w:spacing w:after="0" w:line="261"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Engineered Systems segment: </w:t>
      </w:r>
      <w:r>
        <w:rPr>
          <w:rFonts w:ascii="Arial" w:cs="Arial" w:eastAsia="Arial" w:hAnsi="Arial"/>
          <w:sz w:val="18"/>
          <w:szCs w:val="18"/>
          <w:color w:val="auto"/>
        </w:rPr>
        <w:t>Our Engineered Systems segment, formerly known as the Energy Solutions segment, serves the power</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refinery, water/wastewater and midstream oil &amp; gas markets. We are a key part of helping meet the global demand for environmental and equipment protection through our highly engineered platforms including emissions management, fluid bed cyclones, thermal acoustics, separation &amp; filtration, and dampers &amp; expansion joints.</w:t>
      </w:r>
    </w:p>
    <w:p>
      <w:pPr>
        <w:spacing w:after="0" w:line="179" w:lineRule="exact"/>
        <w:rPr>
          <w:rFonts w:ascii="Arial" w:cs="Arial" w:eastAsia="Arial" w:hAnsi="Arial"/>
          <w:sz w:val="18"/>
          <w:szCs w:val="18"/>
          <w:color w:val="auto"/>
        </w:rPr>
      </w:pPr>
    </w:p>
    <w:p>
      <w:pPr>
        <w:ind w:left="760" w:right="160" w:hanging="378"/>
        <w:spacing w:after="0" w:line="256"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Industrial Process Solutions segment: </w:t>
      </w:r>
      <w:r>
        <w:rPr>
          <w:rFonts w:ascii="Arial" w:cs="Arial" w:eastAsia="Arial" w:hAnsi="Arial"/>
          <w:sz w:val="18"/>
          <w:szCs w:val="18"/>
          <w:color w:val="auto"/>
        </w:rPr>
        <w:t>Our Industrial Process Solutions segment is the combination of the segments formerly known as our</w:t>
      </w:r>
      <w:r>
        <w:rPr>
          <w:rFonts w:ascii="Arial" w:cs="Arial" w:eastAsia="Arial" w:hAnsi="Arial"/>
          <w:sz w:val="18"/>
          <w:szCs w:val="18"/>
          <w:b w:val="1"/>
          <w:bCs w:val="1"/>
          <w:color w:val="auto"/>
        </w:rPr>
        <w:t xml:space="preserve"> </w:t>
      </w:r>
      <w:r>
        <w:rPr>
          <w:rFonts w:ascii="Arial" w:cs="Arial" w:eastAsia="Arial" w:hAnsi="Arial"/>
          <w:sz w:val="18"/>
          <w:szCs w:val="18"/>
          <w:color w:val="auto"/>
        </w:rPr>
        <w:t>Industrial Solutions segment and our Fluid Handling Solutions segment, which serves the broad industrial air pollution control, beverage can, fluid handling, electric vehicle production, food and beverage, semi-conductor, process filtration, pharmaceutical, petrochemical, wastewater treatment, wood manufacturing, desalination, and aquaculture markets. We protect the air we collectively breathe, maintain clean and safe operations for employees, lower energy consumption, minimize waste for customers, and ensure they meet regulatory compliance standards for toxic emissions,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ind w:left="760"/>
        <w:spacing w:after="0"/>
        <w:rPr>
          <w:sz w:val="20"/>
          <w:szCs w:val="20"/>
          <w:color w:val="auto"/>
        </w:rPr>
      </w:pPr>
      <w:r>
        <w:rPr>
          <w:rFonts w:ascii="Arial" w:cs="Arial" w:eastAsia="Arial" w:hAnsi="Arial"/>
          <w:sz w:val="18"/>
          <w:szCs w:val="18"/>
          <w:color w:val="auto"/>
        </w:rPr>
        <w:t>fumes, volatile organic compounds and odors through our platforms including duct &amp; installation, industrial air, and fluid handling.</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6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Sales (less intra-, inter-segment sales)</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186,926</w:t>
            </w:r>
          </w:p>
        </w:tc>
        <w:tc>
          <w:tcPr>
            <w:tcW w:w="220" w:type="dxa"/>
            <w:vAlign w:val="bottom"/>
          </w:tcPr>
          <w:p>
            <w:pPr>
              <w:spacing w:after="0"/>
              <w:rPr>
                <w:sz w:val="17"/>
                <w:szCs w:val="17"/>
                <w:color w:val="auto"/>
              </w:rPr>
            </w:pPr>
          </w:p>
        </w:tc>
        <w:tc>
          <w:tcPr>
            <w:tcW w:w="3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205,494</w:t>
            </w:r>
          </w:p>
        </w:tc>
        <w:tc>
          <w:tcPr>
            <w:tcW w:w="20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210,319</w:t>
            </w:r>
          </w:p>
        </w:tc>
        <w:tc>
          <w:tcPr>
            <w:tcW w:w="60" w:type="dxa"/>
            <w:vAlign w:val="bottom"/>
          </w:tcPr>
          <w:p>
            <w:pPr>
              <w:spacing w:after="0"/>
              <w:rPr>
                <w:sz w:val="17"/>
                <w:szCs w:val="17"/>
                <w:color w:val="auto"/>
              </w:rPr>
            </w:pPr>
          </w:p>
        </w:tc>
      </w:tr>
      <w:tr>
        <w:trPr>
          <w:trHeight w:val="203"/>
        </w:trPr>
        <w:tc>
          <w:tcPr>
            <w:tcW w:w="61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137,214</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110,517</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131,550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12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Net sales</w:t>
            </w:r>
          </w:p>
        </w:tc>
        <w:tc>
          <w:tcPr>
            <w:tcW w:w="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324,140</w:t>
            </w:r>
          </w:p>
        </w:tc>
        <w:tc>
          <w:tcPr>
            <w:tcW w:w="220" w:type="dxa"/>
            <w:vAlign w:val="bottom"/>
          </w:tcPr>
          <w:p>
            <w:pPr>
              <w:spacing w:after="0"/>
              <w:rPr>
                <w:sz w:val="17"/>
                <w:szCs w:val="17"/>
                <w:color w:val="auto"/>
              </w:rPr>
            </w:pPr>
          </w:p>
        </w:tc>
        <w:tc>
          <w:tcPr>
            <w:tcW w:w="38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316,011</w:t>
            </w:r>
          </w:p>
        </w:tc>
        <w:tc>
          <w:tcPr>
            <w:tcW w:w="20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341,869</w:t>
            </w:r>
          </w:p>
        </w:tc>
        <w:tc>
          <w:tcPr>
            <w:tcW w:w="60" w:type="dxa"/>
            <w:vAlign w:val="bottom"/>
          </w:tcPr>
          <w:p>
            <w:pPr>
              <w:spacing w:after="0"/>
              <w:rPr>
                <w:sz w:val="17"/>
                <w:szCs w:val="17"/>
                <w:color w:val="auto"/>
              </w:rPr>
            </w:pPr>
          </w:p>
        </w:tc>
      </w:tr>
      <w:tr>
        <w:trPr>
          <w:trHeight w:val="20"/>
        </w:trPr>
        <w:tc>
          <w:tcPr>
            <w:tcW w:w="6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5"/>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6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25,770</w:t>
            </w:r>
          </w:p>
        </w:tc>
        <w:tc>
          <w:tcPr>
            <w:tcW w:w="220" w:type="dxa"/>
            <w:vAlign w:val="bottom"/>
          </w:tcPr>
          <w:p>
            <w:pPr>
              <w:spacing w:after="0"/>
              <w:rPr>
                <w:sz w:val="17"/>
                <w:szCs w:val="17"/>
                <w:color w:val="auto"/>
              </w:rPr>
            </w:pPr>
          </w:p>
        </w:tc>
        <w:tc>
          <w:tcPr>
            <w:tcW w:w="3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34,170</w:t>
            </w:r>
          </w:p>
        </w:tc>
        <w:tc>
          <w:tcPr>
            <w:tcW w:w="200" w:type="dxa"/>
            <w:vAlign w:val="bottom"/>
          </w:tcPr>
          <w:p>
            <w:pPr>
              <w:spacing w:after="0"/>
              <w:rPr>
                <w:sz w:val="17"/>
                <w:szCs w:val="17"/>
                <w:color w:val="auto"/>
              </w:rPr>
            </w:pP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33,886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15,054</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7,220</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11,237</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20" w:type="dxa"/>
            <w:vAlign w:val="bottom"/>
          </w:tcPr>
          <w:p>
            <w:pPr>
              <w:ind w:left="200"/>
              <w:spacing w:after="0" w:line="202" w:lineRule="exact"/>
              <w:rPr>
                <w:sz w:val="20"/>
                <w:szCs w:val="20"/>
                <w:color w:val="auto"/>
              </w:rPr>
            </w:pPr>
            <w:r>
              <w:rPr>
                <w:rFonts w:ascii="Arial" w:cs="Arial" w:eastAsia="Arial" w:hAnsi="Arial"/>
                <w:sz w:val="18"/>
                <w:szCs w:val="18"/>
                <w:color w:val="auto"/>
              </w:rPr>
              <w:t>Corporate and Other (1)</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(30,967 )</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(28,044 )</w:t>
            </w:r>
          </w:p>
        </w:tc>
        <w:tc>
          <w:tcPr>
            <w:tcW w:w="360" w:type="dxa"/>
            <w:vAlign w:val="bottom"/>
          </w:tcPr>
          <w:p>
            <w:pPr>
              <w:spacing w:after="0"/>
              <w:rPr>
                <w:sz w:val="17"/>
                <w:szCs w:val="17"/>
                <w:color w:val="auto"/>
              </w:rPr>
            </w:pPr>
          </w:p>
        </w:tc>
        <w:tc>
          <w:tcPr>
            <w:tcW w:w="1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(27,133 )</w:t>
            </w:r>
          </w:p>
        </w:tc>
      </w:tr>
      <w:tr>
        <w:trPr>
          <w:trHeight w:val="236"/>
        </w:trPr>
        <w:tc>
          <w:tcPr>
            <w:tcW w:w="61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380" w:type="dxa"/>
            <w:vAlign w:val="bottom"/>
            <w:tcBorders>
              <w:top w:val="single" w:sz="8" w:color="auto"/>
              <w:bottom w:val="single" w:sz="8" w:color="auto"/>
            </w:tcBorders>
            <w:gridSpan w:val="2"/>
            <w:shd w:val="clear" w:color="auto" w:fill="CFF0FC"/>
          </w:tcPr>
          <w:p>
            <w:pPr>
              <w:jc w:val="right"/>
              <w:ind w:right="28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9,857</w:t>
            </w: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13,346</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17,990</w:t>
            </w:r>
          </w:p>
        </w:tc>
        <w:tc>
          <w:tcPr>
            <w:tcW w:w="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-1222375</wp:posOffset>
            </wp:positionV>
            <wp:extent cx="4318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-1222375</wp:posOffset>
            </wp:positionV>
            <wp:extent cx="4318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-1222375</wp:posOffset>
            </wp:positionV>
            <wp:extent cx="4318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-8255</wp:posOffset>
            </wp:positionV>
            <wp:extent cx="6032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514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ind w:left="420" w:right="980" w:hanging="365"/>
        <w:spacing w:after="0" w:line="261" w:lineRule="auto"/>
        <w:tabs>
          <w:tab w:leader="none" w:pos="420" w:val="left"/>
        </w:tabs>
        <w:numPr>
          <w:ilvl w:val="0"/>
          <w:numId w:val="40"/>
        </w:numPr>
        <w:rPr>
          <w:rFonts w:ascii="Arial" w:cs="Arial" w:eastAsia="Arial" w:hAnsi="Arial"/>
          <w:sz w:val="14"/>
          <w:szCs w:val="14"/>
          <w:color w:val="auto"/>
        </w:rPr>
      </w:pPr>
      <w:r>
        <w:rPr>
          <w:rFonts w:ascii="Arial" w:cs="Arial" w:eastAsia="Arial" w:hAnsi="Arial"/>
          <w:sz w:val="18"/>
          <w:szCs w:val="18"/>
          <w:color w:val="auto"/>
        </w:rPr>
        <w:t>Includes corporate compensation, professional services, information technology, acquisition and integration expenses, and other general, administrative corporate expenses and loss on divestitures.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196"/>
        </w:trPr>
        <w:tc>
          <w:tcPr>
            <w:tcW w:w="6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Property and Equipment Additions</w:t>
            </w: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550</w:t>
            </w:r>
          </w:p>
        </w:tc>
        <w:tc>
          <w:tcPr>
            <w:tcW w:w="18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434</w:t>
            </w:r>
          </w:p>
        </w:tc>
        <w:tc>
          <w:tcPr>
            <w:tcW w:w="60" w:type="dxa"/>
            <w:vAlign w:val="bottom"/>
          </w:tcPr>
          <w:p>
            <w:pPr>
              <w:spacing w:after="0"/>
              <w:rPr>
                <w:sz w:val="17"/>
                <w:szCs w:val="17"/>
                <w:color w:val="auto"/>
              </w:rPr>
            </w:pPr>
          </w:p>
        </w:tc>
      </w:tr>
      <w:tr>
        <w:trPr>
          <w:trHeight w:val="203"/>
        </w:trPr>
        <w:tc>
          <w:tcPr>
            <w:tcW w:w="6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3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721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1,349</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3,641</w:t>
            </w:r>
          </w:p>
        </w:tc>
        <w:tc>
          <w:tcPr>
            <w:tcW w:w="6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1,795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2,046</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1,580</w:t>
            </w:r>
          </w:p>
        </w:tc>
        <w:tc>
          <w:tcPr>
            <w:tcW w:w="60" w:type="dxa"/>
            <w:vAlign w:val="bottom"/>
          </w:tcPr>
          <w:p>
            <w:pPr>
              <w:spacing w:after="0"/>
              <w:rPr>
                <w:sz w:val="17"/>
                <w:szCs w:val="17"/>
                <w:color w:val="auto"/>
              </w:rPr>
            </w:pPr>
          </w:p>
        </w:tc>
      </w:tr>
      <w:tr>
        <w:trPr>
          <w:trHeight w:val="236"/>
        </w:trPr>
        <w:tc>
          <w:tcPr>
            <w:tcW w:w="61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Property and equipment additions</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2,616</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3,945</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5,655</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75"/>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r>
      <w:tr>
        <w:trPr>
          <w:trHeight w:val="196"/>
        </w:trPr>
        <w:tc>
          <w:tcPr>
            <w:tcW w:w="6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4,249</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4,957</w:t>
            </w:r>
          </w:p>
        </w:tc>
        <w:tc>
          <w:tcPr>
            <w:tcW w:w="180" w:type="dxa"/>
            <w:vAlign w:val="bottom"/>
          </w:tcPr>
          <w:p>
            <w:pPr>
              <w:spacing w:after="0"/>
              <w:rPr>
                <w:sz w:val="17"/>
                <w:szCs w:val="17"/>
                <w:color w:val="auto"/>
              </w:rPr>
            </w:pP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6,084</w:t>
            </w:r>
          </w:p>
        </w:tc>
        <w:tc>
          <w:tcPr>
            <w:tcW w:w="60" w:type="dxa"/>
            <w:vAlign w:val="bottom"/>
          </w:tcPr>
          <w:p>
            <w:pPr>
              <w:spacing w:after="0"/>
              <w:rPr>
                <w:sz w:val="17"/>
                <w:szCs w:val="17"/>
                <w:color w:val="auto"/>
              </w:rPr>
            </w:pPr>
          </w:p>
        </w:tc>
      </w:tr>
      <w:tr>
        <w:trPr>
          <w:trHeight w:val="203"/>
        </w:trPr>
        <w:tc>
          <w:tcPr>
            <w:tcW w:w="6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3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4,299</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4,199</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4,115</w:t>
            </w:r>
          </w:p>
        </w:tc>
        <w:tc>
          <w:tcPr>
            <w:tcW w:w="6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1,305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9"/>
              </w:rPr>
              <w:t>765</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w:t>
            </w:r>
          </w:p>
        </w:tc>
        <w:tc>
          <w:tcPr>
            <w:tcW w:w="60" w:type="dxa"/>
            <w:vAlign w:val="bottom"/>
          </w:tcPr>
          <w:p>
            <w:pPr>
              <w:spacing w:after="0"/>
              <w:rPr>
                <w:sz w:val="17"/>
                <w:szCs w:val="17"/>
                <w:color w:val="auto"/>
              </w:rPr>
            </w:pPr>
          </w:p>
        </w:tc>
      </w:tr>
      <w:tr>
        <w:trPr>
          <w:trHeight w:val="236"/>
        </w:trPr>
        <w:tc>
          <w:tcPr>
            <w:tcW w:w="61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9,853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9,921</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10,609</w:t>
            </w:r>
          </w:p>
        </w:tc>
        <w:tc>
          <w:tcPr>
            <w:tcW w:w="60" w:type="dxa"/>
            <w:vAlign w:val="bottom"/>
            <w:tcBorders>
              <w:bottom w:val="single" w:sz="8" w:color="CFF0FC"/>
            </w:tcBorders>
            <w:shd w:val="clear" w:color="auto" w:fill="CFF0FC"/>
          </w:tcPr>
          <w:p>
            <w:pPr>
              <w:spacing w:after="0"/>
              <w:rPr>
                <w:sz w:val="20"/>
                <w:szCs w:val="20"/>
                <w:color w:val="auto"/>
              </w:rPr>
            </w:pPr>
          </w:p>
        </w:tc>
      </w:tr>
      <w:tr>
        <w:trPr>
          <w:trHeight w:val="574"/>
        </w:trPr>
        <w:tc>
          <w:tcPr>
            <w:tcW w:w="6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1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6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Identifiable Assets</w:t>
            </w: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360" w:type="dxa"/>
            <w:vAlign w:val="bottom"/>
          </w:tcPr>
          <w:p>
            <w:pPr>
              <w:spacing w:after="0"/>
              <w:rPr>
                <w:sz w:val="17"/>
                <w:szCs w:val="17"/>
                <w:color w:val="auto"/>
              </w:rPr>
            </w:pPr>
          </w:p>
        </w:tc>
        <w:tc>
          <w:tcPr>
            <w:tcW w:w="120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262,558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270,573</w:t>
            </w:r>
          </w:p>
        </w:tc>
        <w:tc>
          <w:tcPr>
            <w:tcW w:w="60" w:type="dxa"/>
            <w:vAlign w:val="bottom"/>
          </w:tcPr>
          <w:p>
            <w:pPr>
              <w:spacing w:after="0"/>
              <w:rPr>
                <w:sz w:val="17"/>
                <w:szCs w:val="17"/>
                <w:color w:val="auto"/>
              </w:rPr>
            </w:pPr>
          </w:p>
        </w:tc>
      </w:tr>
      <w:tr>
        <w:trPr>
          <w:trHeight w:val="203"/>
        </w:trPr>
        <w:tc>
          <w:tcPr>
            <w:tcW w:w="6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3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141,975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135,204</w:t>
            </w:r>
          </w:p>
        </w:tc>
        <w:tc>
          <w:tcPr>
            <w:tcW w:w="60" w:type="dxa"/>
            <w:vAlign w:val="bottom"/>
            <w:shd w:val="clear" w:color="auto" w:fill="CFF0FC"/>
          </w:tcPr>
          <w:p>
            <w:pPr>
              <w:spacing w:after="0"/>
              <w:rPr>
                <w:sz w:val="17"/>
                <w:szCs w:val="17"/>
                <w:color w:val="auto"/>
              </w:rPr>
            </w:pPr>
          </w:p>
        </w:tc>
      </w:tr>
      <w:tr>
        <w:trPr>
          <w:trHeight w:val="203"/>
        </w:trPr>
        <w:tc>
          <w:tcPr>
            <w:tcW w:w="6140" w:type="dxa"/>
            <w:vAlign w:val="bottom"/>
          </w:tcPr>
          <w:p>
            <w:pPr>
              <w:ind w:left="200"/>
              <w:spacing w:after="0" w:line="202" w:lineRule="exact"/>
              <w:rPr>
                <w:sz w:val="20"/>
                <w:szCs w:val="20"/>
                <w:color w:val="auto"/>
              </w:rPr>
            </w:pPr>
            <w:r>
              <w:rPr>
                <w:rFonts w:ascii="Arial" w:cs="Arial" w:eastAsia="Arial" w:hAnsi="Arial"/>
                <w:sz w:val="18"/>
                <w:szCs w:val="18"/>
                <w:color w:val="auto"/>
              </w:rPr>
              <w:t>Corporate and Other (2)</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11,664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13,537</w:t>
            </w:r>
          </w:p>
        </w:tc>
        <w:tc>
          <w:tcPr>
            <w:tcW w:w="60" w:type="dxa"/>
            <w:vAlign w:val="bottom"/>
          </w:tcPr>
          <w:p>
            <w:pPr>
              <w:spacing w:after="0"/>
              <w:rPr>
                <w:sz w:val="17"/>
                <w:szCs w:val="17"/>
                <w:color w:val="auto"/>
              </w:rPr>
            </w:pPr>
          </w:p>
        </w:tc>
      </w:tr>
      <w:tr>
        <w:trPr>
          <w:trHeight w:val="236"/>
        </w:trPr>
        <w:tc>
          <w:tcPr>
            <w:tcW w:w="614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b w:val="1"/>
                <w:bCs w:val="1"/>
                <w:color w:val="auto"/>
              </w:rPr>
              <w:t>Identifiable assets</w:t>
            </w:r>
          </w:p>
        </w:tc>
        <w:tc>
          <w:tcPr>
            <w:tcW w:w="36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416,197</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419,314</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-2271395</wp:posOffset>
            </wp:positionV>
            <wp:extent cx="431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-2253615</wp:posOffset>
            </wp:positionV>
            <wp:extent cx="431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-2271395</wp:posOffset>
            </wp:positionV>
            <wp:extent cx="342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-2253615</wp:posOffset>
            </wp:positionV>
            <wp:extent cx="342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-2271395</wp:posOffset>
            </wp:positionV>
            <wp:extent cx="342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-2253615</wp:posOffset>
            </wp:positionV>
            <wp:extent cx="342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-1207770</wp:posOffset>
            </wp:positionV>
            <wp:extent cx="431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-1191260</wp:posOffset>
            </wp:positionV>
            <wp:extent cx="431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-1207770</wp:posOffset>
            </wp:positionV>
            <wp:extent cx="342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-1191260</wp:posOffset>
            </wp:positionV>
            <wp:extent cx="3429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-1207770</wp:posOffset>
            </wp:positionV>
            <wp:extent cx="342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-1191260</wp:posOffset>
            </wp:positionV>
            <wp:extent cx="342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431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431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76" w:lineRule="exact"/>
        <w:rPr>
          <w:sz w:val="20"/>
          <w:szCs w:val="20"/>
          <w:color w:val="auto"/>
        </w:rPr>
      </w:pPr>
    </w:p>
    <w:p>
      <w:pPr>
        <w:ind w:left="420" w:hanging="367"/>
        <w:spacing w:after="0"/>
        <w:tabs>
          <w:tab w:leader="none" w:pos="420" w:val="left"/>
        </w:tabs>
        <w:numPr>
          <w:ilvl w:val="0"/>
          <w:numId w:val="41"/>
        </w:numPr>
        <w:rPr>
          <w:rFonts w:ascii="Arial" w:cs="Arial" w:eastAsia="Arial" w:hAnsi="Arial"/>
          <w:sz w:val="14"/>
          <w:szCs w:val="14"/>
          <w:color w:val="auto"/>
        </w:rPr>
      </w:pPr>
      <w:r>
        <w:rPr>
          <w:rFonts w:ascii="Arial" w:cs="Arial" w:eastAsia="Arial" w:hAnsi="Arial"/>
          <w:sz w:val="18"/>
          <w:szCs w:val="18"/>
          <w:color w:val="auto"/>
        </w:rPr>
        <w:t>Corporate assets primarily consist of cash and income tax related assets.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3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4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Goodwill</w:t>
            </w:r>
          </w:p>
        </w:tc>
        <w:tc>
          <w:tcPr>
            <w:tcW w:w="3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35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99,303</w:t>
            </w:r>
          </w:p>
        </w:tc>
        <w:tc>
          <w:tcPr>
            <w:tcW w:w="76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99,785</w:t>
            </w:r>
          </w:p>
        </w:tc>
        <w:tc>
          <w:tcPr>
            <w:tcW w:w="60" w:type="dxa"/>
            <w:vAlign w:val="bottom"/>
          </w:tcPr>
          <w:p>
            <w:pPr>
              <w:spacing w:after="0"/>
              <w:rPr>
                <w:sz w:val="17"/>
                <w:szCs w:val="17"/>
                <w:color w:val="auto"/>
              </w:rPr>
            </w:pPr>
          </w:p>
        </w:tc>
      </w:tr>
      <w:tr>
        <w:trPr>
          <w:trHeight w:val="203"/>
        </w:trPr>
        <w:tc>
          <w:tcPr>
            <w:tcW w:w="41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3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61,880</w:t>
            </w:r>
          </w:p>
        </w:tc>
        <w:tc>
          <w:tcPr>
            <w:tcW w:w="2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62,035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16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Goodwill</w:t>
            </w:r>
          </w:p>
        </w:tc>
        <w:tc>
          <w:tcPr>
            <w:tcW w:w="3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161,183</w:t>
            </w:r>
          </w:p>
        </w:tc>
        <w:tc>
          <w:tcPr>
            <w:tcW w:w="22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161,820</w:t>
            </w:r>
          </w:p>
        </w:tc>
        <w:tc>
          <w:tcPr>
            <w:tcW w:w="60" w:type="dxa"/>
            <w:vAlign w:val="bottom"/>
          </w:tcPr>
          <w:p>
            <w:pPr>
              <w:spacing w:after="0"/>
              <w:rPr>
                <w:sz w:val="17"/>
                <w:szCs w:val="17"/>
                <w:color w:val="auto"/>
              </w:rPr>
            </w:pPr>
          </w:p>
        </w:tc>
      </w:tr>
      <w:tr>
        <w:trPr>
          <w:trHeight w:val="20"/>
        </w:trPr>
        <w:tc>
          <w:tcPr>
            <w:tcW w:w="4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5"/>
        </w:trPr>
        <w:tc>
          <w:tcPr>
            <w:tcW w:w="4160" w:type="dxa"/>
            <w:vAlign w:val="bottom"/>
          </w:tcPr>
          <w:p>
            <w:pPr>
              <w:spacing w:after="0"/>
              <w:rPr>
                <w:sz w:val="24"/>
                <w:szCs w:val="24"/>
                <w:color w:val="auto"/>
              </w:rPr>
            </w:pPr>
          </w:p>
        </w:tc>
        <w:tc>
          <w:tcPr>
            <w:tcW w:w="3560" w:type="dxa"/>
            <w:vAlign w:val="bottom"/>
            <w:gridSpan w:val="2"/>
          </w:tcPr>
          <w:p>
            <w:pPr>
              <w:jc w:val="right"/>
              <w:ind w:right="1830"/>
              <w:spacing w:after="0"/>
              <w:rPr>
                <w:sz w:val="20"/>
                <w:szCs w:val="20"/>
                <w:color w:val="auto"/>
              </w:rPr>
            </w:pPr>
            <w:r>
              <w:rPr>
                <w:rFonts w:ascii="Arial" w:cs="Arial" w:eastAsia="Arial" w:hAnsi="Arial"/>
                <w:sz w:val="18"/>
                <w:szCs w:val="18"/>
                <w:color w:val="auto"/>
              </w:rPr>
              <w:t>F-32</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-630555</wp:posOffset>
            </wp:positionV>
            <wp:extent cx="4318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-630555</wp:posOffset>
            </wp:positionV>
            <wp:extent cx="4318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21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Company has divisions that sell to each other within segments (intra-segment sales) and between segments (inter-segment sales) as indicated in the following tables: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4"/>
                <w:szCs w:val="14"/>
                <w:b w:val="1"/>
                <w:bCs w:val="1"/>
                <w:color w:val="auto"/>
                <w:w w:val="92"/>
              </w:rPr>
              <w:t>Year Ended December 31, 2021</w:t>
            </w: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Less Inter-Segment Sales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Intra-Segment</w:t>
            </w:r>
          </w:p>
        </w:tc>
        <w:tc>
          <w:tcPr>
            <w:tcW w:w="160" w:type="dxa"/>
            <w:vAlign w:val="bottom"/>
          </w:tcPr>
          <w:p>
            <w:pPr>
              <w:spacing w:after="0"/>
              <w:rPr>
                <w:sz w:val="11"/>
                <w:szCs w:val="11"/>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Industrial</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Engineered</w:t>
            </w:r>
          </w:p>
        </w:tc>
        <w:tc>
          <w:tcPr>
            <w:tcW w:w="160" w:type="dxa"/>
            <w:vAlign w:val="bottom"/>
          </w:tcPr>
          <w:p>
            <w:pPr>
              <w:spacing w:after="0"/>
              <w:rPr>
                <w:sz w:val="11"/>
                <w:szCs w:val="11"/>
                <w:color w:val="auto"/>
              </w:rPr>
            </w:pPr>
          </w:p>
        </w:tc>
        <w:tc>
          <w:tcPr>
            <w:tcW w:w="104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85"/>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55"/>
              <w:spacing w:after="0"/>
              <w:rPr>
                <w:sz w:val="20"/>
                <w:szCs w:val="20"/>
                <w:color w:val="auto"/>
              </w:rPr>
            </w:pPr>
            <w:r>
              <w:rPr>
                <w:rFonts w:ascii="Arial" w:cs="Arial" w:eastAsia="Arial" w:hAnsi="Arial"/>
                <w:sz w:val="14"/>
                <w:szCs w:val="14"/>
                <w:b w:val="1"/>
                <w:bCs w:val="1"/>
                <w:color w:val="auto"/>
              </w:rPr>
              <w:t>Total Sales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Sales</w:t>
            </w: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Process Solutions</w:t>
            </w:r>
          </w:p>
        </w:tc>
        <w:tc>
          <w:tcPr>
            <w:tcW w:w="18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Systems</w:t>
            </w:r>
          </w:p>
        </w:tc>
        <w:tc>
          <w:tcPr>
            <w:tcW w:w="16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Sales</w:t>
            </w:r>
          </w:p>
        </w:tc>
        <w:tc>
          <w:tcPr>
            <w:tcW w:w="80" w:type="dxa"/>
            <w:vAlign w:val="bottom"/>
            <w:tcBorders>
              <w:lef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left w:val="single" w:sz="8" w:color="CFF0FC"/>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197,380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(9,483 )</w:t>
            </w:r>
          </w:p>
        </w:tc>
        <w:tc>
          <w:tcPr>
            <w:tcW w:w="160" w:type="dxa"/>
            <w:vAlign w:val="bottom"/>
          </w:tcPr>
          <w:p>
            <w:pPr>
              <w:jc w:val="right"/>
              <w:ind w:right="1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(971 )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380"/>
              <w:spacing w:after="0" w:line="202" w:lineRule="exact"/>
              <w:rPr>
                <w:sz w:val="20"/>
                <w:szCs w:val="20"/>
                <w:color w:val="auto"/>
              </w:rPr>
            </w:pPr>
            <w:r>
              <w:rPr>
                <w:rFonts w:ascii="Arial" w:cs="Arial" w:eastAsia="Arial" w:hAnsi="Arial"/>
                <w:sz w:val="18"/>
                <w:szCs w:val="18"/>
                <w:color w:val="auto"/>
                <w:w w:val="95"/>
              </w:rPr>
              <w:t>186,926</w:t>
            </w: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80" w:type="dxa"/>
            <w:vAlign w:val="bottom"/>
            <w:tcBorders>
              <w:lef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152,886</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(14,533 )</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(1,139 )</w:t>
            </w: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w w:val="95"/>
              </w:rPr>
              <w:t>137,214</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Net Sales</w:t>
            </w:r>
          </w:p>
        </w:tc>
        <w:tc>
          <w:tcPr>
            <w:tcW w:w="8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350,266</w:t>
            </w: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(24,016 )</w:t>
            </w:r>
          </w:p>
        </w:tc>
        <w:tc>
          <w:tcPr>
            <w:tcW w:w="160" w:type="dxa"/>
            <w:vAlign w:val="bottom"/>
          </w:tcPr>
          <w:p>
            <w:pPr>
              <w:jc w:val="right"/>
              <w:ind w:right="1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(971 )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(1,139 )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ind w:left="380"/>
              <w:spacing w:after="0" w:line="196" w:lineRule="exact"/>
              <w:rPr>
                <w:sz w:val="20"/>
                <w:szCs w:val="20"/>
                <w:color w:val="auto"/>
              </w:rPr>
            </w:pPr>
            <w:r>
              <w:rPr>
                <w:rFonts w:ascii="Arial" w:cs="Arial" w:eastAsia="Arial" w:hAnsi="Arial"/>
                <w:sz w:val="18"/>
                <w:szCs w:val="18"/>
                <w:color w:val="auto"/>
                <w:w w:val="95"/>
              </w:rPr>
              <w:t>324,140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4"/>
                <w:szCs w:val="14"/>
                <w:b w:val="1"/>
                <w:bCs w:val="1"/>
                <w:color w:val="auto"/>
                <w:w w:val="92"/>
              </w:rPr>
              <w:t>Year Ended December 31, 2020</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Less Inter-Segment Sales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Intra-Segment</w:t>
            </w:r>
          </w:p>
        </w:tc>
        <w:tc>
          <w:tcPr>
            <w:tcW w:w="160" w:type="dxa"/>
            <w:vAlign w:val="bottom"/>
          </w:tcPr>
          <w:p>
            <w:pPr>
              <w:spacing w:after="0"/>
              <w:rPr>
                <w:sz w:val="11"/>
                <w:szCs w:val="11"/>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8"/>
              </w:rPr>
              <w:t>Industrial</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Engineered</w:t>
            </w:r>
          </w:p>
        </w:tc>
        <w:tc>
          <w:tcPr>
            <w:tcW w:w="160" w:type="dxa"/>
            <w:vAlign w:val="bottom"/>
          </w:tcPr>
          <w:p>
            <w:pPr>
              <w:spacing w:after="0"/>
              <w:rPr>
                <w:sz w:val="11"/>
                <w:szCs w:val="11"/>
                <w:color w:val="auto"/>
              </w:rPr>
            </w:pPr>
          </w:p>
        </w:tc>
        <w:tc>
          <w:tcPr>
            <w:tcW w:w="1040" w:type="dxa"/>
            <w:vAlign w:val="bottom"/>
          </w:tcPr>
          <w:p>
            <w:pPr>
              <w:jc w:val="center"/>
              <w:ind w:right="159"/>
              <w:spacing w:after="0" w:line="133" w:lineRule="exact"/>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85"/>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 Sales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Sales</w:t>
            </w:r>
          </w:p>
        </w:tc>
        <w:tc>
          <w:tcPr>
            <w:tcW w:w="13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Process Solutions</w:t>
            </w:r>
          </w:p>
        </w:tc>
        <w:tc>
          <w:tcPr>
            <w:tcW w:w="1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Systems</w:t>
            </w:r>
          </w:p>
        </w:tc>
        <w:tc>
          <w:tcPr>
            <w:tcW w:w="160" w:type="dxa"/>
            <w:vAlign w:val="bottom"/>
          </w:tcPr>
          <w:p>
            <w:pPr>
              <w:spacing w:after="0"/>
              <w:rPr>
                <w:sz w:val="16"/>
                <w:szCs w:val="16"/>
                <w:color w:val="auto"/>
              </w:rPr>
            </w:pPr>
          </w:p>
        </w:tc>
        <w:tc>
          <w:tcPr>
            <w:tcW w:w="104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Customers</w:t>
            </w: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Sales</w:t>
            </w:r>
          </w:p>
        </w:tc>
        <w:tc>
          <w:tcPr>
            <w:tcW w:w="80" w:type="dxa"/>
            <w:vAlign w:val="bottom"/>
            <w:tcBorders>
              <w:top w:val="single" w:sz="8" w:color="auto"/>
              <w:lef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left w:val="single" w:sz="8" w:color="CFF0FC"/>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218,290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(11,333 )</w:t>
            </w:r>
          </w:p>
        </w:tc>
        <w:tc>
          <w:tcPr>
            <w:tcW w:w="160" w:type="dxa"/>
            <w:vAlign w:val="bottom"/>
          </w:tcPr>
          <w:p>
            <w:pPr>
              <w:jc w:val="right"/>
              <w:ind w:right="1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(1,463 )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380"/>
              <w:spacing w:after="0" w:line="202" w:lineRule="exact"/>
              <w:rPr>
                <w:sz w:val="20"/>
                <w:szCs w:val="20"/>
                <w:color w:val="auto"/>
              </w:rPr>
            </w:pPr>
            <w:r>
              <w:rPr>
                <w:rFonts w:ascii="Arial" w:cs="Arial" w:eastAsia="Arial" w:hAnsi="Arial"/>
                <w:sz w:val="18"/>
                <w:szCs w:val="18"/>
                <w:color w:val="auto"/>
                <w:w w:val="95"/>
              </w:rPr>
              <w:t>205,494</w:t>
            </w: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80" w:type="dxa"/>
            <w:vAlign w:val="bottom"/>
            <w:tcBorders>
              <w:lef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124,547</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(12,798 )</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(1,232 )</w:t>
            </w: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w w:val="95"/>
              </w:rPr>
              <w:t>110,517</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80" w:type="dxa"/>
            <w:vAlign w:val="bottom"/>
            <w:tcBorders>
              <w:left w:val="single" w:sz="8" w:color="CFF0FC"/>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Net Sales</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342,837</w:t>
            </w: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(24,131 )</w:t>
            </w:r>
          </w:p>
        </w:tc>
        <w:tc>
          <w:tcPr>
            <w:tcW w:w="160" w:type="dxa"/>
            <w:vAlign w:val="bottom"/>
          </w:tcPr>
          <w:p>
            <w:pPr>
              <w:jc w:val="right"/>
              <w:ind w:right="12"/>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(1,463 )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(1,232 )</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380"/>
              <w:spacing w:after="0" w:line="196" w:lineRule="exact"/>
              <w:rPr>
                <w:sz w:val="20"/>
                <w:szCs w:val="20"/>
                <w:color w:val="auto"/>
              </w:rPr>
            </w:pPr>
            <w:r>
              <w:rPr>
                <w:rFonts w:ascii="Arial" w:cs="Arial" w:eastAsia="Arial" w:hAnsi="Arial"/>
                <w:sz w:val="18"/>
                <w:szCs w:val="18"/>
                <w:color w:val="auto"/>
                <w:w w:val="95"/>
              </w:rPr>
              <w:t>316,011</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6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Less Inter-Segment Sales</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Intra-Segment</w:t>
            </w:r>
          </w:p>
        </w:tc>
        <w:tc>
          <w:tcPr>
            <w:tcW w:w="13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Industrial Process</w:t>
            </w:r>
          </w:p>
        </w:tc>
        <w:tc>
          <w:tcPr>
            <w:tcW w:w="180" w:type="dxa"/>
            <w:vAlign w:val="bottom"/>
          </w:tcPr>
          <w:p>
            <w:pPr>
              <w:spacing w:after="0"/>
              <w:rPr>
                <w:sz w:val="11"/>
                <w:szCs w:val="11"/>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Engineered</w:t>
            </w:r>
          </w:p>
        </w:tc>
        <w:tc>
          <w:tcPr>
            <w:tcW w:w="160" w:type="dxa"/>
            <w:vAlign w:val="bottom"/>
          </w:tcPr>
          <w:p>
            <w:pPr>
              <w:spacing w:after="0"/>
              <w:rPr>
                <w:sz w:val="11"/>
                <w:szCs w:val="11"/>
                <w:color w:val="auto"/>
              </w:rPr>
            </w:pPr>
          </w:p>
        </w:tc>
        <w:tc>
          <w:tcPr>
            <w:tcW w:w="104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85"/>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(table only 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35"/>
              <w:spacing w:after="0"/>
              <w:rPr>
                <w:sz w:val="20"/>
                <w:szCs w:val="20"/>
                <w:color w:val="auto"/>
              </w:rPr>
            </w:pPr>
            <w:r>
              <w:rPr>
                <w:rFonts w:ascii="Arial" w:cs="Arial" w:eastAsia="Arial" w:hAnsi="Arial"/>
                <w:sz w:val="14"/>
                <w:szCs w:val="14"/>
                <w:b w:val="1"/>
                <w:bCs w:val="1"/>
                <w:color w:val="auto"/>
                <w:w w:val="91"/>
              </w:rPr>
              <w:t>Total Sales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Solutions</w:t>
            </w:r>
          </w:p>
        </w:tc>
        <w:tc>
          <w:tcPr>
            <w:tcW w:w="18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Systems</w:t>
            </w:r>
          </w:p>
        </w:tc>
        <w:tc>
          <w:tcPr>
            <w:tcW w:w="160" w:type="dxa"/>
            <w:vAlign w:val="bottom"/>
          </w:tcPr>
          <w:p>
            <w:pPr>
              <w:spacing w:after="0"/>
              <w:rPr>
                <w:sz w:val="16"/>
                <w:szCs w:val="16"/>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196"/>
        </w:trPr>
        <w:tc>
          <w:tcPr>
            <w:tcW w:w="4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Sales</w:t>
            </w:r>
          </w:p>
        </w:tc>
        <w:tc>
          <w:tcPr>
            <w:tcW w:w="80" w:type="dxa"/>
            <w:vAlign w:val="bottom"/>
            <w:tcBorders>
              <w:top w:val="single" w:sz="8" w:color="auto"/>
              <w:lef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right w:val="single" w:sz="8" w:color="CFF0FC"/>
            </w:tcBorders>
            <w:shd w:val="clear" w:color="auto" w:fill="CFF0FC"/>
          </w:tcPr>
          <w:p>
            <w:pPr>
              <w:spacing w:after="0"/>
              <w:rPr>
                <w:sz w:val="17"/>
                <w:szCs w:val="17"/>
                <w:color w:val="auto"/>
              </w:rPr>
            </w:pP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top w:val="single" w:sz="8" w:color="auto"/>
              <w:left w:val="single" w:sz="8" w:color="CFF0FC"/>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00"/>
              <w:spacing w:after="0" w:line="202" w:lineRule="exact"/>
              <w:rPr>
                <w:sz w:val="20"/>
                <w:szCs w:val="20"/>
                <w:color w:val="auto"/>
              </w:rPr>
            </w:pPr>
            <w:r>
              <w:rPr>
                <w:rFonts w:ascii="Arial" w:cs="Arial" w:eastAsia="Arial" w:hAnsi="Arial"/>
                <w:sz w:val="18"/>
                <w:szCs w:val="18"/>
                <w:color w:val="auto"/>
              </w:rPr>
              <w:t>Engineered Systems segment</w:t>
            </w:r>
          </w:p>
        </w:tc>
        <w:tc>
          <w:tcPr>
            <w:tcW w:w="2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217,359</w:t>
            </w:r>
          </w:p>
        </w:tc>
        <w:tc>
          <w:tcPr>
            <w:tcW w:w="300" w:type="dxa"/>
            <w:vAlign w:val="bottom"/>
            <w:gridSpan w:val="2"/>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(6,650 )</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(390 )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ind w:left="380"/>
              <w:spacing w:after="0" w:line="202" w:lineRule="exact"/>
              <w:rPr>
                <w:sz w:val="20"/>
                <w:szCs w:val="20"/>
                <w:color w:val="auto"/>
              </w:rPr>
            </w:pPr>
            <w:r>
              <w:rPr>
                <w:rFonts w:ascii="Arial" w:cs="Arial" w:eastAsia="Arial" w:hAnsi="Arial"/>
                <w:sz w:val="18"/>
                <w:szCs w:val="18"/>
                <w:color w:val="auto"/>
                <w:w w:val="95"/>
              </w:rPr>
              <w:t>210,319</w:t>
            </w:r>
          </w:p>
        </w:tc>
        <w:tc>
          <w:tcPr>
            <w:tcW w:w="0" w:type="dxa"/>
            <w:vAlign w:val="bottom"/>
          </w:tcPr>
          <w:p>
            <w:pPr>
              <w:spacing w:after="0"/>
              <w:rPr>
                <w:sz w:val="1"/>
                <w:szCs w:val="1"/>
                <w:color w:val="auto"/>
              </w:rPr>
            </w:pPr>
          </w:p>
        </w:tc>
      </w:tr>
      <w:tr>
        <w:trPr>
          <w:trHeight w:val="203"/>
        </w:trPr>
        <w:tc>
          <w:tcPr>
            <w:tcW w:w="4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Industrial Process Solutions segment</w:t>
            </w:r>
          </w:p>
        </w:tc>
        <w:tc>
          <w:tcPr>
            <w:tcW w:w="80" w:type="dxa"/>
            <w:vAlign w:val="bottom"/>
            <w:tcBorders>
              <w:left w:val="single" w:sz="8" w:color="CFF0FC"/>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143,086</w:t>
            </w:r>
          </w:p>
        </w:tc>
        <w:tc>
          <w:tcPr>
            <w:tcW w:w="180" w:type="dxa"/>
            <w:vAlign w:val="bottom"/>
            <w:tcBorders>
              <w:right w:val="single" w:sz="8" w:color="CFF0FC"/>
            </w:tcBorders>
            <w:shd w:val="clear" w:color="auto" w:fill="CFF0FC"/>
          </w:tcPr>
          <w:p>
            <w:pPr>
              <w:spacing w:after="0"/>
              <w:rPr>
                <w:sz w:val="17"/>
                <w:szCs w:val="17"/>
                <w:color w:val="auto"/>
              </w:rPr>
            </w:pPr>
          </w:p>
        </w:tc>
        <w:tc>
          <w:tcPr>
            <w:tcW w:w="120" w:type="dxa"/>
            <w:vAlign w:val="bottom"/>
            <w:tcBorders>
              <w:left w:val="single" w:sz="8" w:color="CFF0FC"/>
            </w:tcBorders>
            <w:shd w:val="clear" w:color="auto" w:fill="CFF0FC"/>
          </w:tcPr>
          <w:p>
            <w:pPr>
              <w:spacing w:after="0"/>
              <w:rPr>
                <w:sz w:val="17"/>
                <w:szCs w:val="17"/>
                <w:color w:val="auto"/>
              </w:rPr>
            </w:pPr>
          </w:p>
        </w:tc>
        <w:tc>
          <w:tcPr>
            <w:tcW w:w="1240" w:type="dxa"/>
            <w:vAlign w:val="bottom"/>
            <w:tcBorders>
              <w:right w:val="single" w:sz="8" w:color="CFF0FC"/>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(9,859 )</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(1,677 )</w:t>
            </w:r>
          </w:p>
        </w:tc>
        <w:tc>
          <w:tcPr>
            <w:tcW w:w="160" w:type="dxa"/>
            <w:vAlign w:val="bottom"/>
            <w:shd w:val="clear" w:color="auto" w:fill="CFF0FC"/>
          </w:tcPr>
          <w:p>
            <w:pPr>
              <w:spacing w:after="0"/>
              <w:rPr>
                <w:sz w:val="17"/>
                <w:szCs w:val="17"/>
                <w:color w:val="auto"/>
              </w:rPr>
            </w:pPr>
          </w:p>
        </w:tc>
        <w:tc>
          <w:tcPr>
            <w:tcW w:w="1040" w:type="dxa"/>
            <w:vAlign w:val="bottom"/>
            <w:tcBorders>
              <w:right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w w:val="95"/>
              </w:rPr>
              <w:t>131,550</w:t>
            </w: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4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Net Sales</w:t>
            </w:r>
          </w:p>
        </w:tc>
        <w:tc>
          <w:tcPr>
            <w:tcW w:w="2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360,445</w:t>
            </w:r>
          </w:p>
        </w:tc>
        <w:tc>
          <w:tcPr>
            <w:tcW w:w="180" w:type="dxa"/>
            <w:vAlign w:val="bottom"/>
          </w:tcPr>
          <w:p>
            <w:pPr>
              <w:spacing w:after="0"/>
              <w:rPr>
                <w:sz w:val="17"/>
                <w:szCs w:val="17"/>
                <w:color w:val="auto"/>
              </w:rPr>
            </w:pPr>
          </w:p>
        </w:tc>
        <w:tc>
          <w:tcPr>
            <w:tcW w:w="120" w:type="dxa"/>
            <w:vAlign w:val="bottom"/>
          </w:tcPr>
          <w:p>
            <w:pPr>
              <w:jc w:val="right"/>
              <w:ind w:right="11"/>
              <w:spacing w:after="0"/>
              <w:rPr>
                <w:sz w:val="20"/>
                <w:szCs w:val="20"/>
                <w:color w:val="auto"/>
              </w:rPr>
            </w:pPr>
            <w:r>
              <w:rPr>
                <w:rFonts w:ascii="Arial" w:cs="Arial" w:eastAsia="Arial" w:hAnsi="Arial"/>
                <w:sz w:val="4"/>
                <w:szCs w:val="4"/>
                <w:color w:val="auto"/>
                <w:w w:val="87"/>
              </w:rPr>
              <w:t>$</w:t>
            </w:r>
          </w:p>
        </w:tc>
        <w:tc>
          <w:tcPr>
            <w:tcW w:w="12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(16,509 )</w:t>
            </w:r>
          </w:p>
        </w:tc>
        <w:tc>
          <w:tcPr>
            <w:tcW w:w="16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(390 )</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(1,677 )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ind w:left="380"/>
              <w:spacing w:after="0" w:line="196" w:lineRule="exact"/>
              <w:rPr>
                <w:sz w:val="20"/>
                <w:szCs w:val="20"/>
                <w:color w:val="auto"/>
              </w:rPr>
            </w:pPr>
            <w:r>
              <w:rPr>
                <w:rFonts w:ascii="Arial" w:cs="Arial" w:eastAsia="Arial" w:hAnsi="Arial"/>
                <w:sz w:val="18"/>
                <w:szCs w:val="18"/>
                <w:color w:val="auto"/>
                <w:w w:val="95"/>
              </w:rPr>
              <w:t>341,869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-2885440</wp:posOffset>
            </wp:positionV>
            <wp:extent cx="51435"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-2885440</wp:posOffset>
            </wp:positionV>
            <wp:extent cx="51435"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-2885440</wp:posOffset>
            </wp:positionV>
            <wp:extent cx="51435"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-2885440</wp:posOffset>
            </wp:positionV>
            <wp:extent cx="51435"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-2885440</wp:posOffset>
            </wp:positionV>
            <wp:extent cx="4318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-1522095</wp:posOffset>
            </wp:positionV>
            <wp:extent cx="5143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-1522095</wp:posOffset>
            </wp:positionV>
            <wp:extent cx="51435"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-1522095</wp:posOffset>
            </wp:positionV>
            <wp:extent cx="51435"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-1522095</wp:posOffset>
            </wp:positionV>
            <wp:extent cx="5143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-1522095</wp:posOffset>
            </wp:positionV>
            <wp:extent cx="4318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-159385</wp:posOffset>
            </wp:positionV>
            <wp:extent cx="4318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-159385</wp:posOffset>
            </wp:positionV>
            <wp:extent cx="6032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-159385</wp:posOffset>
            </wp:positionV>
            <wp:extent cx="5143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wp:posOffset>
            </wp:positionV>
            <wp:extent cx="51435"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greater than 10% of consolidated net sales or accounts receivable for 2021, 2020, or 2019.</w:t>
      </w:r>
    </w:p>
    <w:p>
      <w:pPr>
        <w:spacing w:after="0" w:line="212"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For 2021, 2020, and 2019, sales to customers outside the United States, including export sales, accounted for approximately 38%, 35%, and 30%, respectively, of consolidated net sales. The largest portion of export sales in 2021 was destined for Asia (16.0%), and Europe (10.3%). Of consolidated long-lived assets, $26.7 million and $29.0 million were located outside of the United States as of December 31, 2021 and 2020, respectively. The largest portion of long-lived assets located outside the United States at December 31, 2021 were in Europe ($23.1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1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March 7, 2022, the Company completed the acquisition of General Rubber, LLC ("GRC") through its Effox-Flextor-Mador ("EFM") joint venture. GRC is a worldwide leader in the engineering and manufacturing of non-metallic (rubber) expansion joints and flow control products with a highly diversified industrial customer base. This acquisition advances the Company further into the water, storm water and wastewater markets, which we plan to help deliver turnkey, environmentally friendly solutions that protect critical infrastructure, piping, and flow controls for these markets. The purchase price is approximately $24.0 million and financed using debt, cash and equity from EFM. The impact of this acquisition is not included in our results for the year ended December 31, 2021. The initial accounting for the acquisition was not complete at the time the financial statements were issued due to the timing of the acquisition and the filing of this Annual Report on Form 10-K. As a result, complete disclosures required under ASC 805, Business Combinations cannot be made at this time.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2" w:name="page83"/>
    <w:bookmarkEnd w:id="82"/>
    <w:p>
      <w:pPr>
        <w:ind w:left="3960"/>
        <w:spacing w:after="0"/>
        <w:rPr>
          <w:sz w:val="20"/>
          <w:szCs w:val="20"/>
          <w:color w:val="auto"/>
        </w:rPr>
      </w:pPr>
      <w:r>
        <w:rPr>
          <w:rFonts w:ascii="Arial" w:cs="Arial" w:eastAsia="Arial" w:hAnsi="Arial"/>
          <w:sz w:val="22"/>
          <w:szCs w:val="22"/>
          <w:b w:val="1"/>
          <w:bCs w:val="1"/>
          <w:color w:val="auto"/>
        </w:rPr>
        <w:t>CECO ENVIRONMENTAL CORP.</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u w:val="single" w:color="auto"/>
          <w:color w:val="auto"/>
        </w:rPr>
        <w:t>Restricted Stock Units Agreement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This RESTRICTED STOCK UNITS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as of _________, 20__, by and</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between CECO Environmental Corp.,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___________ (the “</w:t>
      </w:r>
      <w:r>
        <w:rPr>
          <w:rFonts w:ascii="Arial" w:cs="Arial" w:eastAsia="Arial" w:hAnsi="Arial"/>
          <w:sz w:val="21"/>
          <w:szCs w:val="21"/>
          <w:b w:val="1"/>
          <w:bCs w:val="1"/>
          <w:i w:val="1"/>
          <w:iCs w:val="1"/>
          <w:color w:val="auto"/>
        </w:rPr>
        <w:t>Grantee</w:t>
      </w:r>
      <w:r>
        <w:rPr>
          <w:rFonts w:ascii="Arial" w:cs="Arial" w:eastAsia="Arial" w:hAnsi="Arial"/>
          <w:sz w:val="21"/>
          <w:szCs w:val="21"/>
          <w:color w:val="auto"/>
        </w:rPr>
        <w:t>”).</w:t>
      </w:r>
    </w:p>
    <w:p>
      <w:pPr>
        <w:spacing w:after="0" w:line="221" w:lineRule="exact"/>
        <w:rPr>
          <w:sz w:val="20"/>
          <w:szCs w:val="20"/>
          <w:color w:val="auto"/>
        </w:rPr>
      </w:pPr>
    </w:p>
    <w:p>
      <w:pPr>
        <w:ind w:right="340" w:firstLine="757"/>
        <w:spacing w:after="0" w:line="334" w:lineRule="auto"/>
        <w:tabs>
          <w:tab w:leader="none" w:pos="1498"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Capitalized terms used, but not otherwise defined, in this Agreement will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meanings given to such terms in the CECO Environmental Corp. 2021 Equity and Incentive Compensation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93" w:lineRule="exact"/>
        <w:rPr>
          <w:rFonts w:ascii="Arial" w:cs="Arial" w:eastAsia="Arial" w:hAnsi="Arial"/>
          <w:sz w:val="19"/>
          <w:szCs w:val="19"/>
          <w:color w:val="auto"/>
        </w:rPr>
      </w:pPr>
    </w:p>
    <w:p>
      <w:pPr>
        <w:ind w:firstLine="757"/>
        <w:spacing w:after="0" w:line="289" w:lineRule="auto"/>
        <w:tabs>
          <w:tab w:leader="none" w:pos="1498" w:val="left"/>
        </w:tabs>
        <w:numPr>
          <w:ilvl w:val="0"/>
          <w:numId w:val="42"/>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RSUs</w:t>
      </w:r>
      <w:r>
        <w:rPr>
          <w:rFonts w:ascii="Arial" w:cs="Arial" w:eastAsia="Arial" w:hAnsi="Arial"/>
          <w:sz w:val="19"/>
          <w:szCs w:val="19"/>
          <w:color w:val="auto"/>
        </w:rPr>
        <w:t>. Subject to and upon the terms, conditions and restrictions set forth in this Agreement and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pursuant to authorization under resolutions of the Committee, the Company has granted to the Grantee as of _________, 20__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 ______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Each RSU shall represent the right of the Grantee to receive one share of Common Stock subject to and upon the terms and conditions of this Agreement.</w:t>
      </w:r>
    </w:p>
    <w:p>
      <w:pPr>
        <w:spacing w:after="0" w:line="135" w:lineRule="exact"/>
        <w:rPr>
          <w:rFonts w:ascii="Arial" w:cs="Arial" w:eastAsia="Arial" w:hAnsi="Arial"/>
          <w:sz w:val="19"/>
          <w:szCs w:val="19"/>
          <w:color w:val="auto"/>
        </w:rPr>
      </w:pPr>
    </w:p>
    <w:p>
      <w:pPr>
        <w:ind w:right="20" w:firstLine="757"/>
        <w:spacing w:after="0" w:line="260" w:lineRule="auto"/>
        <w:tabs>
          <w:tab w:leader="none" w:pos="1498" w:val="left"/>
        </w:tabs>
        <w:numPr>
          <w:ilvl w:val="0"/>
          <w:numId w:val="42"/>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 on Transfer of RSUs</w:t>
      </w:r>
      <w:r>
        <w:rPr>
          <w:rFonts w:ascii="Arial" w:cs="Arial" w:eastAsia="Arial" w:hAnsi="Arial"/>
          <w:sz w:val="21"/>
          <w:szCs w:val="21"/>
          <w:color w:val="auto"/>
        </w:rPr>
        <w:t>. Subject to Section 15 of the Plan, neither the RSUs evidenced hereby nor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interest therein or in the Common Stock underlying such RSUs shall be transferable prior to payment to the Grantee pursuant to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hereof other than by will or pursuant to the laws of descent and distribution.</w:t>
      </w:r>
    </w:p>
    <w:p>
      <w:pPr>
        <w:spacing w:after="0" w:line="160" w:lineRule="exact"/>
        <w:rPr>
          <w:rFonts w:ascii="Arial" w:cs="Arial" w:eastAsia="Arial" w:hAnsi="Arial"/>
          <w:sz w:val="21"/>
          <w:szCs w:val="21"/>
          <w:color w:val="auto"/>
        </w:rPr>
      </w:pPr>
    </w:p>
    <w:p>
      <w:pPr>
        <w:ind w:right="40" w:firstLine="757"/>
        <w:spacing w:after="0" w:line="237" w:lineRule="auto"/>
        <w:tabs>
          <w:tab w:leader="none" w:pos="1498"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Vesting of RSUs</w:t>
      </w:r>
      <w:r>
        <w:rPr>
          <w:rFonts w:ascii="Arial" w:cs="Arial" w:eastAsia="Arial" w:hAnsi="Arial"/>
          <w:sz w:val="22"/>
          <w:szCs w:val="22"/>
          <w:color w:val="auto"/>
        </w:rPr>
        <w:t>. The RSUs covered by this Agreement shall become nonforfeitable and payable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Grantee pursuant to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hereof on the first anniversary of the Date of Grant if the Grantee remains a member of the Board until such date (the period from the Date of Grant until the first anniversary of the Date of Grant, the “</w:t>
      </w:r>
      <w:r>
        <w:rPr>
          <w:rFonts w:ascii="Arial" w:cs="Arial" w:eastAsia="Arial" w:hAnsi="Arial"/>
          <w:sz w:val="22"/>
          <w:szCs w:val="22"/>
          <w:b w:val="1"/>
          <w:bCs w:val="1"/>
          <w:i w:val="1"/>
          <w:iCs w:val="1"/>
          <w:color w:val="auto"/>
        </w:rPr>
        <w:t>Vesting Period</w:t>
      </w:r>
      <w:r>
        <w:rPr>
          <w:rFonts w:ascii="Arial" w:cs="Arial" w:eastAsia="Arial" w:hAnsi="Arial"/>
          <w:sz w:val="22"/>
          <w:szCs w:val="22"/>
          <w:color w:val="auto"/>
        </w:rPr>
        <w:t>”). Subject to the terms of the Plan, any RSUs that do not so become nonforfeitable will be forfeited, including if the Grantee ceases to serve on the Board prior to the end of the Vesting Period.</w:t>
      </w:r>
    </w:p>
    <w:p>
      <w:pPr>
        <w:spacing w:after="0" w:line="181" w:lineRule="exact"/>
        <w:rPr>
          <w:rFonts w:ascii="Arial" w:cs="Arial" w:eastAsia="Arial" w:hAnsi="Arial"/>
          <w:sz w:val="22"/>
          <w:szCs w:val="22"/>
          <w:color w:val="auto"/>
        </w:rPr>
      </w:pPr>
    </w:p>
    <w:p>
      <w:pPr>
        <w:ind w:left="1500" w:hanging="743"/>
        <w:spacing w:after="0"/>
        <w:tabs>
          <w:tab w:leader="none" w:pos="1500" w:val="left"/>
        </w:tabs>
        <w:numPr>
          <w:ilvl w:val="0"/>
          <w:numId w:val="42"/>
        </w:numPr>
        <w:rPr>
          <w:rFonts w:ascii="Arial" w:cs="Arial" w:eastAsia="Arial" w:hAnsi="Arial"/>
          <w:sz w:val="22"/>
          <w:szCs w:val="22"/>
          <w:color w:val="auto"/>
        </w:rPr>
      </w:pPr>
      <w:r>
        <w:rPr>
          <w:rFonts w:ascii="Arial" w:cs="Arial" w:eastAsia="Arial" w:hAnsi="Arial"/>
          <w:sz w:val="22"/>
          <w:szCs w:val="22"/>
          <w:b w:val="1"/>
          <w:bCs w:val="1"/>
          <w:u w:val="single" w:color="auto"/>
          <w:color w:val="auto"/>
        </w:rPr>
        <w:t>Form and Time of Payment of RSUs</w:t>
      </w:r>
      <w:r>
        <w:rPr>
          <w:rFonts w:ascii="Arial" w:cs="Arial" w:eastAsia="Arial" w:hAnsi="Arial"/>
          <w:sz w:val="22"/>
          <w:szCs w:val="22"/>
          <w:color w:val="auto"/>
        </w:rPr>
        <w:t>.</w:t>
      </w:r>
    </w:p>
    <w:p>
      <w:pPr>
        <w:spacing w:after="0" w:line="212" w:lineRule="exact"/>
        <w:rPr>
          <w:sz w:val="20"/>
          <w:szCs w:val="20"/>
          <w:color w:val="auto"/>
        </w:rPr>
      </w:pPr>
    </w:p>
    <w:p>
      <w:pPr>
        <w:jc w:val="both"/>
        <w:ind w:left="1500" w:right="340" w:hanging="743"/>
        <w:spacing w:after="0" w:line="297" w:lineRule="auto"/>
        <w:tabs>
          <w:tab w:leader="none" w:pos="1500"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Payment for the RSUs, after and to the extent they have become nonforfeitable, shall be made in the form of Common Stock. Payment shall be made as soon as administratively practicable following (but no later than thirty (30) days following) the date that the RSUs become nonforfeitable pursuant to </w:t>
      </w:r>
      <w:r>
        <w:rPr>
          <w:rFonts w:ascii="Arial" w:cs="Arial" w:eastAsia="Arial" w:hAnsi="Arial"/>
          <w:sz w:val="19"/>
          <w:szCs w:val="19"/>
          <w:b w:val="1"/>
          <w:bCs w:val="1"/>
          <w:u w:val="single" w:color="auto"/>
          <w:color w:val="auto"/>
        </w:rPr>
        <w:t>Section 4</w:t>
      </w:r>
      <w:r>
        <w:rPr>
          <w:rFonts w:ascii="Arial" w:cs="Arial" w:eastAsia="Arial" w:hAnsi="Arial"/>
          <w:sz w:val="19"/>
          <w:szCs w:val="19"/>
          <w:color w:val="auto"/>
        </w:rPr>
        <w:t xml:space="preserve"> hereof.</w:t>
      </w:r>
    </w:p>
    <w:p>
      <w:pPr>
        <w:spacing w:after="0" w:line="133" w:lineRule="exact"/>
        <w:rPr>
          <w:rFonts w:ascii="Arial" w:cs="Arial" w:eastAsia="Arial" w:hAnsi="Arial"/>
          <w:sz w:val="19"/>
          <w:szCs w:val="19"/>
          <w:color w:val="auto"/>
        </w:rPr>
      </w:pPr>
    </w:p>
    <w:p>
      <w:pPr>
        <w:ind w:left="1500" w:right="20" w:hanging="743"/>
        <w:spacing w:after="0" w:line="250" w:lineRule="auto"/>
        <w:tabs>
          <w:tab w:leader="none" w:pos="1500"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Company’s obligations to the Grantee with respect to the RSUs will be satisfied in full upon the issuance of Common Stock corresponding to such RSUs.</w:t>
      </w:r>
    </w:p>
    <w:p>
      <w:pPr>
        <w:spacing w:after="0" w:line="169" w:lineRule="exact"/>
        <w:rPr>
          <w:sz w:val="20"/>
          <w:szCs w:val="20"/>
          <w:color w:val="auto"/>
        </w:rPr>
      </w:pPr>
    </w:p>
    <w:p>
      <w:pPr>
        <w:ind w:left="1500" w:hanging="743"/>
        <w:spacing w:after="0"/>
        <w:tabs>
          <w:tab w:leader="none" w:pos="1500" w:val="left"/>
        </w:tabs>
        <w:numPr>
          <w:ilvl w:val="0"/>
          <w:numId w:val="44"/>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Equivalents; Voting and Other Rights</w:t>
      </w:r>
      <w:r>
        <w:rPr>
          <w:rFonts w:ascii="Arial" w:cs="Arial" w:eastAsia="Arial" w:hAnsi="Arial"/>
          <w:sz w:val="22"/>
          <w:szCs w:val="22"/>
          <w:color w:val="auto"/>
        </w:rPr>
        <w:t>.</w:t>
      </w:r>
    </w:p>
    <w:p>
      <w:pPr>
        <w:spacing w:after="0" w:line="212" w:lineRule="exact"/>
        <w:rPr>
          <w:sz w:val="20"/>
          <w:szCs w:val="20"/>
          <w:color w:val="auto"/>
        </w:rPr>
      </w:pPr>
    </w:p>
    <w:p>
      <w:pPr>
        <w:ind w:left="1500" w:right="160" w:hanging="743"/>
        <w:spacing w:after="0"/>
        <w:tabs>
          <w:tab w:leader="none" w:pos="15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above.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83" w:name="page84"/>
    <w:bookmarkEnd w:id="83"/>
    <w:p>
      <w:pPr>
        <w:ind w:left="1500" w:right="40" w:hanging="743"/>
        <w:spacing w:after="0" w:line="275" w:lineRule="auto"/>
        <w:tabs>
          <w:tab w:leader="none" w:pos="15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From and after the Date of Grant and until the earlier of (i) the time when the RSUs become nonforfeitable and are paid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or (ii) the time when the Grantee’s right to receive Common Stock in payment of the RSUs is forfeited in accordance with </w:t>
      </w:r>
      <w:r>
        <w:rPr>
          <w:rFonts w:ascii="Arial" w:cs="Arial" w:eastAsia="Arial" w:hAnsi="Arial"/>
          <w:sz w:val="19"/>
          <w:szCs w:val="19"/>
          <w:b w:val="1"/>
          <w:bCs w:val="1"/>
          <w:u w:val="single" w:color="auto"/>
          <w:color w:val="auto"/>
        </w:rPr>
        <w:t>Section 4</w:t>
      </w:r>
      <w:r>
        <w:rPr>
          <w:rFonts w:ascii="Arial" w:cs="Arial" w:eastAsia="Arial" w:hAnsi="Arial"/>
          <w:sz w:val="19"/>
          <w:szCs w:val="19"/>
          <w:color w:val="auto"/>
        </w:rPr>
        <w:t xml:space="preserve"> hereof, on the date that the Company pays a cash dividend (if any) to holders of Common Stock generally, the Grantee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w:t>
      </w:r>
    </w:p>
    <w:p>
      <w:pPr>
        <w:spacing w:after="0" w:line="157" w:lineRule="exact"/>
        <w:rPr>
          <w:rFonts w:ascii="Arial" w:cs="Arial" w:eastAsia="Arial" w:hAnsi="Arial"/>
          <w:sz w:val="19"/>
          <w:szCs w:val="19"/>
          <w:color w:val="auto"/>
        </w:rPr>
      </w:pPr>
    </w:p>
    <w:p>
      <w:pPr>
        <w:ind w:left="1500" w:right="20" w:hanging="743"/>
        <w:spacing w:after="0" w:line="238" w:lineRule="auto"/>
        <w:tabs>
          <w:tab w:leader="none" w:pos="15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79" w:lineRule="exact"/>
        <w:rPr>
          <w:sz w:val="20"/>
          <w:szCs w:val="20"/>
          <w:color w:val="auto"/>
        </w:rPr>
      </w:pPr>
    </w:p>
    <w:p>
      <w:pPr>
        <w:jc w:val="both"/>
        <w:ind w:right="320" w:firstLine="757"/>
        <w:spacing w:after="0" w:line="243"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RSUs and the number of shares of Common Stock issuable for each RSU, and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of the grant evidenced by this Agreement, are subject to mandatory adjustment, including as provided in Section 11 of the Plan.</w:t>
      </w:r>
    </w:p>
    <w:p>
      <w:pPr>
        <w:spacing w:after="0" w:line="176" w:lineRule="exact"/>
        <w:rPr>
          <w:rFonts w:ascii="Arial" w:cs="Arial" w:eastAsia="Arial" w:hAnsi="Arial"/>
          <w:sz w:val="22"/>
          <w:szCs w:val="22"/>
          <w:color w:val="auto"/>
        </w:rPr>
      </w:pPr>
    </w:p>
    <w:p>
      <w:pPr>
        <w:ind w:firstLine="757"/>
        <w:spacing w:after="0" w:line="256"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color w:val="auto"/>
        </w:rPr>
        <w:t>. The Grantee will be solely responsible for the payment of all taxes that arise with respect to the granting</w:t>
      </w:r>
      <w:r>
        <w:rPr>
          <w:rFonts w:ascii="Arial" w:cs="Arial" w:eastAsia="Arial" w:hAnsi="Arial"/>
          <w:sz w:val="22"/>
          <w:szCs w:val="22"/>
          <w:b w:val="1"/>
          <w:bCs w:val="1"/>
          <w:color w:val="auto"/>
        </w:rPr>
        <w:t xml:space="preserve"> </w:t>
      </w:r>
      <w:r>
        <w:rPr>
          <w:rFonts w:ascii="Arial" w:cs="Arial" w:eastAsia="Arial" w:hAnsi="Arial"/>
          <w:sz w:val="22"/>
          <w:szCs w:val="22"/>
          <w:color w:val="auto"/>
        </w:rPr>
        <w:t>and payment of the RSUs, including the payment of any shares of Common Stock.</w:t>
      </w:r>
    </w:p>
    <w:p>
      <w:pPr>
        <w:spacing w:after="0" w:line="162" w:lineRule="exact"/>
        <w:rPr>
          <w:rFonts w:ascii="Arial" w:cs="Arial" w:eastAsia="Arial" w:hAnsi="Arial"/>
          <w:sz w:val="22"/>
          <w:szCs w:val="22"/>
          <w:color w:val="auto"/>
        </w:rPr>
      </w:pPr>
    </w:p>
    <w:p>
      <w:pPr>
        <w:jc w:val="both"/>
        <w:ind w:right="40" w:firstLine="757"/>
        <w:spacing w:after="0" w:line="239" w:lineRule="auto"/>
        <w:tabs>
          <w:tab w:leader="none" w:pos="1498"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w:t>
      </w:r>
      <w:r>
        <w:rPr>
          <w:rFonts w:ascii="Arial" w:cs="Arial" w:eastAsia="Arial" w:hAnsi="Arial"/>
          <w:sz w:val="22"/>
          <w:szCs w:val="22"/>
          <w:color w:val="auto"/>
        </w:rPr>
        <w:t>. The Company shall make reasonable efforts to comply with all applicable federal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state securities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80" w:lineRule="exact"/>
        <w:rPr>
          <w:rFonts w:ascii="Arial" w:cs="Arial" w:eastAsia="Arial" w:hAnsi="Arial"/>
          <w:sz w:val="22"/>
          <w:szCs w:val="22"/>
          <w:color w:val="auto"/>
        </w:rPr>
      </w:pPr>
    </w:p>
    <w:p>
      <w:pPr>
        <w:ind w:left="100" w:right="80" w:firstLine="657"/>
        <w:spacing w:after="0" w:line="249" w:lineRule="auto"/>
        <w:tabs>
          <w:tab w:leader="none" w:pos="1411" w:val="left"/>
        </w:tabs>
        <w:numPr>
          <w:ilvl w:val="0"/>
          <w:numId w:val="47"/>
        </w:numPr>
        <w:rPr>
          <w:rFonts w:ascii="Arial" w:cs="Arial" w:eastAsia="Arial" w:hAnsi="Arial"/>
          <w:sz w:val="21"/>
          <w:szCs w:val="21"/>
          <w:color w:val="auto"/>
        </w:rPr>
      </w:pPr>
      <w:r>
        <w:rPr>
          <w:rFonts w:ascii="Arial" w:cs="Arial" w:eastAsia="Arial" w:hAnsi="Arial"/>
          <w:sz w:val="21"/>
          <w:szCs w:val="21"/>
          <w:b w:val="1"/>
          <w:bCs w:val="1"/>
          <w:u w:val="single" w:color="auto"/>
          <w:color w:val="auto"/>
        </w:rPr>
        <w:t>Compliance With or Exemption From Section 409A of the Code</w:t>
      </w:r>
      <w:r>
        <w:rPr>
          <w:rFonts w:ascii="Arial" w:cs="Arial" w:eastAsia="Arial" w:hAnsi="Arial"/>
          <w:sz w:val="21"/>
          <w:szCs w:val="21"/>
          <w:color w:val="auto"/>
        </w:rPr>
        <w:t>. To the extent applicable, it is intended that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70" w:lineRule="exact"/>
        <w:rPr>
          <w:rFonts w:ascii="Arial" w:cs="Arial" w:eastAsia="Arial" w:hAnsi="Arial"/>
          <w:sz w:val="21"/>
          <w:szCs w:val="21"/>
          <w:color w:val="auto"/>
        </w:rPr>
      </w:pPr>
    </w:p>
    <w:p>
      <w:pPr>
        <w:jc w:val="both"/>
        <w:ind w:left="100" w:right="200" w:firstLine="657"/>
        <w:spacing w:after="0" w:line="243" w:lineRule="auto"/>
        <w:tabs>
          <w:tab w:leader="none" w:pos="1411" w:val="left"/>
        </w:tabs>
        <w:numPr>
          <w:ilvl w:val="0"/>
          <w:numId w:val="47"/>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Interpretation</w:t>
      </w:r>
      <w:r>
        <w:rPr>
          <w:rFonts w:ascii="Arial" w:cs="Arial" w:eastAsia="Arial" w:hAnsi="Arial"/>
          <w:sz w:val="22"/>
          <w:szCs w:val="22"/>
          <w:color w:val="auto"/>
        </w:rPr>
        <w:t>. Any reference in this Agreement to Section 409A of the Code will also include any proposed,</w:t>
      </w:r>
      <w:r>
        <w:rPr>
          <w:rFonts w:ascii="Arial" w:cs="Arial" w:eastAsia="Arial" w:hAnsi="Arial"/>
          <w:sz w:val="22"/>
          <w:szCs w:val="22"/>
          <w:b w:val="1"/>
          <w:bCs w:val="1"/>
          <w:color w:val="auto"/>
        </w:rPr>
        <w:t xml:space="preserve"> </w:t>
      </w:r>
      <w:r>
        <w:rPr>
          <w:rFonts w:ascii="Arial" w:cs="Arial" w:eastAsia="Arial" w:hAnsi="Arial"/>
          <w:sz w:val="22"/>
          <w:szCs w:val="22"/>
          <w:color w:val="auto"/>
        </w:rPr>
        <w:t>temporary or final regulations, or any other guidance, promulgated with respect to such Section by the U.S. Department of the Treasury or the Internal Revenue Service.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84" w:name="page85"/>
    <w:bookmarkEnd w:id="84"/>
    <w:p>
      <w:pPr>
        <w:ind w:right="20" w:firstLine="757"/>
        <w:spacing w:after="0" w:line="239" w:lineRule="auto"/>
        <w:tabs>
          <w:tab w:leader="none" w:pos="1498"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No Right to Future Awards or Board Membership</w:t>
      </w:r>
      <w:r>
        <w:rPr>
          <w:rFonts w:ascii="Arial" w:cs="Arial" w:eastAsia="Arial" w:hAnsi="Arial"/>
          <w:sz w:val="22"/>
          <w:szCs w:val="22"/>
          <w:color w:val="auto"/>
        </w:rPr>
        <w:t>. The grant of the RSUs under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is a voluntary, discretionary award being made on a one-time basis and it does not constitute a commitment to make any future awards. Nothing contained in this Agreement shall confer upon the Grantee any right to continued service as a member of the Board.</w:t>
      </w:r>
    </w:p>
    <w:p>
      <w:pPr>
        <w:spacing w:after="0" w:line="180" w:lineRule="exact"/>
        <w:rPr>
          <w:rFonts w:ascii="Arial" w:cs="Arial" w:eastAsia="Arial" w:hAnsi="Arial"/>
          <w:sz w:val="22"/>
          <w:szCs w:val="22"/>
          <w:color w:val="auto"/>
        </w:rPr>
      </w:pPr>
    </w:p>
    <w:p>
      <w:pPr>
        <w:ind w:right="60" w:firstLine="757"/>
        <w:spacing w:after="0" w:line="289" w:lineRule="auto"/>
        <w:tabs>
          <w:tab w:leader="none" w:pos="1498"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Any amendment to the Plan shall be deemed to be an amendment to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extent that the amendment is applicable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w:t>
      </w:r>
    </w:p>
    <w:p>
      <w:pPr>
        <w:spacing w:after="0" w:line="135" w:lineRule="exact"/>
        <w:rPr>
          <w:rFonts w:ascii="Arial" w:cs="Arial" w:eastAsia="Arial" w:hAnsi="Arial"/>
          <w:sz w:val="19"/>
          <w:szCs w:val="19"/>
          <w:color w:val="auto"/>
        </w:rPr>
      </w:pPr>
    </w:p>
    <w:p>
      <w:pPr>
        <w:ind w:right="380" w:firstLine="757"/>
        <w:spacing w:after="0" w:line="300" w:lineRule="auto"/>
        <w:tabs>
          <w:tab w:leader="none" w:pos="1498"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color w:val="auto"/>
        </w:rPr>
        <w:t>. In the event that one or more of the provisions of this Agreement shall be invalidated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by a court of competent jurisdiction, any provision so invalidated shall be deemed to be separable from the other provisions hereof, and the remaining provisions hereof shall continue to be valid and fully enforceable.</w:t>
      </w:r>
    </w:p>
    <w:p>
      <w:pPr>
        <w:spacing w:after="0" w:line="125" w:lineRule="exact"/>
        <w:rPr>
          <w:rFonts w:ascii="Arial" w:cs="Arial" w:eastAsia="Arial" w:hAnsi="Arial"/>
          <w:sz w:val="19"/>
          <w:szCs w:val="19"/>
          <w:color w:val="auto"/>
        </w:rPr>
      </w:pPr>
    </w:p>
    <w:p>
      <w:pPr>
        <w:ind w:right="180" w:firstLine="757"/>
        <w:spacing w:after="0" w:line="254" w:lineRule="auto"/>
        <w:tabs>
          <w:tab w:leader="none" w:pos="1498"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Relation to Plan</w:t>
      </w:r>
      <w:r>
        <w:rPr>
          <w:rFonts w:ascii="Arial" w:cs="Arial" w:eastAsia="Arial" w:hAnsi="Arial"/>
          <w:sz w:val="21"/>
          <w:szCs w:val="21"/>
          <w:color w:val="auto"/>
        </w:rPr>
        <w:t>. This Agreement is subject to the terms and conditions of the Plan. In the event of any</w:t>
      </w:r>
      <w:r>
        <w:rPr>
          <w:rFonts w:ascii="Arial" w:cs="Arial" w:eastAsia="Arial" w:hAnsi="Arial"/>
          <w:sz w:val="21"/>
          <w:szCs w:val="21"/>
          <w:b w:val="1"/>
          <w:bCs w:val="1"/>
          <w:color w:val="auto"/>
        </w:rPr>
        <w:t xml:space="preserve"> </w:t>
      </w:r>
      <w:r>
        <w:rPr>
          <w:rFonts w:ascii="Arial" w:cs="Arial" w:eastAsia="Arial" w:hAnsi="Arial"/>
          <w:sz w:val="21"/>
          <w:szCs w:val="21"/>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65" w:lineRule="exact"/>
        <w:rPr>
          <w:rFonts w:ascii="Arial" w:cs="Arial" w:eastAsia="Arial" w:hAnsi="Arial"/>
          <w:sz w:val="21"/>
          <w:szCs w:val="21"/>
          <w:color w:val="auto"/>
        </w:rPr>
      </w:pPr>
    </w:p>
    <w:p>
      <w:pPr>
        <w:ind w:right="80" w:firstLine="757"/>
        <w:spacing w:after="0" w:line="251" w:lineRule="auto"/>
        <w:tabs>
          <w:tab w:leader="none" w:pos="1498" w:val="left"/>
        </w:tabs>
        <w:numPr>
          <w:ilvl w:val="0"/>
          <w:numId w:val="48"/>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RSUs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8" w:lineRule="exact"/>
        <w:rPr>
          <w:rFonts w:ascii="Arial" w:cs="Arial" w:eastAsia="Arial" w:hAnsi="Arial"/>
          <w:sz w:val="21"/>
          <w:szCs w:val="21"/>
          <w:color w:val="auto"/>
        </w:rPr>
      </w:pPr>
    </w:p>
    <w:p>
      <w:pPr>
        <w:ind w:right="60" w:firstLine="757"/>
        <w:spacing w:after="0" w:line="243" w:lineRule="auto"/>
        <w:tabs>
          <w:tab w:leader="none" w:pos="1498"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with the internal substantive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without giving effect to any principle of law that would result in the application of the law of any other jurisdiction.</w:t>
      </w:r>
    </w:p>
    <w:p>
      <w:pPr>
        <w:spacing w:after="0" w:line="176" w:lineRule="exact"/>
        <w:rPr>
          <w:rFonts w:ascii="Arial" w:cs="Arial" w:eastAsia="Arial" w:hAnsi="Arial"/>
          <w:sz w:val="22"/>
          <w:szCs w:val="22"/>
          <w:color w:val="auto"/>
        </w:rPr>
      </w:pPr>
    </w:p>
    <w:p>
      <w:pPr>
        <w:ind w:firstLine="757"/>
        <w:spacing w:after="0" w:line="243" w:lineRule="auto"/>
        <w:tabs>
          <w:tab w:leader="none" w:pos="1498"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Without limiting</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3</w:t>
      </w:r>
      <w:r>
        <w:rPr>
          <w:rFonts w:ascii="Arial" w:cs="Arial" w:eastAsia="Arial" w:hAnsi="Arial"/>
          <w:sz w:val="22"/>
          <w:szCs w:val="22"/>
          <w:b w:val="1"/>
          <w:bCs w:val="1"/>
          <w:color w:val="auto"/>
        </w:rPr>
        <w:t xml:space="preserve"> </w:t>
      </w:r>
      <w:r>
        <w:rPr>
          <w:rFonts w:ascii="Arial" w:cs="Arial" w:eastAsia="Arial" w:hAnsi="Arial"/>
          <w:sz w:val="22"/>
          <w:szCs w:val="22"/>
          <w:color w:val="auto"/>
        </w:rPr>
        <w:t>hereof, the provisions of this Agreement shall inure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of, and be binding upon, the successors, administrators, heirs, legal representatives and assigns of the Grantee, and the successors and assigns of the Company.</w:t>
      </w:r>
    </w:p>
    <w:p>
      <w:pPr>
        <w:spacing w:after="0" w:line="176" w:lineRule="exact"/>
        <w:rPr>
          <w:rFonts w:ascii="Arial" w:cs="Arial" w:eastAsia="Arial" w:hAnsi="Arial"/>
          <w:sz w:val="22"/>
          <w:szCs w:val="22"/>
          <w:color w:val="auto"/>
        </w:rPr>
      </w:pPr>
    </w:p>
    <w:p>
      <w:pPr>
        <w:ind w:right="280" w:firstLine="757"/>
        <w:spacing w:after="0" w:line="243" w:lineRule="auto"/>
        <w:tabs>
          <w:tab w:leader="none" w:pos="1498" w:val="left"/>
        </w:tabs>
        <w:numPr>
          <w:ilvl w:val="0"/>
          <w:numId w:val="48"/>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Acknowledgement</w:t>
      </w:r>
      <w:r>
        <w:rPr>
          <w:rFonts w:ascii="Arial" w:cs="Arial" w:eastAsia="Arial" w:hAnsi="Arial"/>
          <w:sz w:val="22"/>
          <w:szCs w:val="22"/>
          <w:color w:val="auto"/>
        </w:rPr>
        <w:t>. The Grantee acknowledges that the Grantee (a) has received a copy of the Plan, (b) has</w:t>
      </w:r>
      <w:r>
        <w:rPr>
          <w:rFonts w:ascii="Arial" w:cs="Arial" w:eastAsia="Arial" w:hAnsi="Arial"/>
          <w:sz w:val="22"/>
          <w:szCs w:val="22"/>
          <w:b w:val="1"/>
          <w:bCs w:val="1"/>
          <w:color w:val="auto"/>
        </w:rPr>
        <w:t xml:space="preserve"> </w:t>
      </w:r>
      <w:r>
        <w:rPr>
          <w:rFonts w:ascii="Arial" w:cs="Arial" w:eastAsia="Arial" w:hAnsi="Arial"/>
          <w:sz w:val="22"/>
          <w:szCs w:val="22"/>
          <w:color w:val="auto"/>
        </w:rPr>
        <w:t>had an opportunity to review the terms of this Agreement and the Plan, (c) understands the terms and conditions of this Agreement and the Plan and (d) agrees to such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5951220</wp:posOffset>
            </wp:positionH>
            <wp:positionV relativeFrom="paragraph">
              <wp:posOffset>-4095750</wp:posOffset>
            </wp:positionV>
            <wp:extent cx="342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5" w:right="399" w:bottom="1440" w:gutter="0" w:footer="0" w:header="0"/>
        </w:sectPr>
      </w:pPr>
    </w:p>
    <w:bookmarkStart w:id="85" w:name="page86"/>
    <w:bookmarkEnd w:id="85"/>
    <w:p>
      <w:pPr>
        <w:ind w:firstLine="757"/>
        <w:spacing w:after="0" w:line="256" w:lineRule="auto"/>
        <w:tabs>
          <w:tab w:leader="none" w:pos="1498" w:val="left"/>
        </w:tabs>
        <w:numPr>
          <w:ilvl w:val="0"/>
          <w:numId w:val="49"/>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to be an original but all of which together will constitute one and the same agreement.</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 ON FOLLOWING PAGE]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15" w:right="559" w:bottom="1440" w:gutter="0" w:footer="0" w:header="0"/>
        </w:sectPr>
      </w:pPr>
    </w:p>
    <w:bookmarkStart w:id="86" w:name="page87"/>
    <w:bookmarkEnd w:id="86"/>
    <w:p>
      <w:pPr>
        <w:ind w:left="4880"/>
        <w:spacing w:after="0"/>
        <w:rPr>
          <w:sz w:val="20"/>
          <w:szCs w:val="20"/>
          <w:color w:val="auto"/>
        </w:rPr>
      </w:pPr>
      <w:r>
        <w:rPr>
          <w:rFonts w:ascii="Arial" w:cs="Arial" w:eastAsia="Arial" w:hAnsi="Arial"/>
          <w:sz w:val="22"/>
          <w:szCs w:val="22"/>
          <w:b w:val="1"/>
          <w:bCs w:val="1"/>
          <w:color w:val="auto"/>
        </w:rPr>
        <w:t>CECO ENVIRONMENTAL CORP.</w:t>
      </w:r>
    </w:p>
    <w:p>
      <w:pPr>
        <w:spacing w:after="0" w:line="239"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-17780</wp:posOffset>
            </wp:positionV>
            <wp:extent cx="16535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8">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13"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Title:</w:t>
      </w:r>
    </w:p>
    <w:p>
      <w:pPr>
        <w:spacing w:after="0" w:line="209" w:lineRule="exact"/>
        <w:rPr>
          <w:sz w:val="20"/>
          <w:szCs w:val="20"/>
          <w:color w:val="auto"/>
        </w:rPr>
      </w:pPr>
    </w:p>
    <w:p>
      <w:pPr>
        <w:ind w:left="4880"/>
        <w:spacing w:after="0"/>
        <w:rPr>
          <w:sz w:val="20"/>
          <w:szCs w:val="20"/>
          <w:color w:val="auto"/>
        </w:rPr>
      </w:pPr>
      <w:r>
        <w:rPr>
          <w:rFonts w:ascii="Arial" w:cs="Arial" w:eastAsia="Arial" w:hAnsi="Arial"/>
          <w:sz w:val="19"/>
          <w:szCs w:val="19"/>
          <w:b w:val="1"/>
          <w:bCs w:val="1"/>
          <w:color w:val="auto"/>
        </w:rPr>
        <w:t>Grantee Acknowledgment and Acceptance</w:t>
      </w:r>
    </w:p>
    <w:p>
      <w:pPr>
        <w:spacing w:after="0" w:line="27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-17780</wp:posOffset>
            </wp:positionV>
            <wp:extent cx="16535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9">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13"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87" w:name="page88"/>
    <w:bookmarkEnd w:id="87"/>
    <w:p>
      <w:pPr>
        <w:ind w:left="3960"/>
        <w:spacing w:after="0"/>
        <w:rPr>
          <w:sz w:val="20"/>
          <w:szCs w:val="20"/>
          <w:color w:val="auto"/>
        </w:rPr>
      </w:pPr>
      <w:r>
        <w:rPr>
          <w:rFonts w:ascii="Arial" w:cs="Arial" w:eastAsia="Arial" w:hAnsi="Arial"/>
          <w:sz w:val="22"/>
          <w:szCs w:val="22"/>
          <w:b w:val="1"/>
          <w:bCs w:val="1"/>
          <w:color w:val="auto"/>
        </w:rPr>
        <w:t>CECO ENVIRONMENTAL CORP.</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u w:val="single" w:color="auto"/>
          <w:color w:val="auto"/>
        </w:rPr>
        <w:t>Restricted Stock Units Agreement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This RESTRICTED STOCK UNITS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made as of _________, 2021, by and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between CECO Environmental Corp.,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___________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w:t>
      </w:r>
    </w:p>
    <w:p>
      <w:pPr>
        <w:spacing w:after="0" w:line="209" w:lineRule="exact"/>
        <w:rPr>
          <w:sz w:val="20"/>
          <w:szCs w:val="20"/>
          <w:color w:val="auto"/>
        </w:rPr>
      </w:pPr>
    </w:p>
    <w:p>
      <w:pPr>
        <w:ind w:right="360" w:firstLine="757"/>
        <w:spacing w:after="0" w:line="334" w:lineRule="auto"/>
        <w:tabs>
          <w:tab w:leader="none" w:pos="1498" w:val="left"/>
        </w:tabs>
        <w:numPr>
          <w:ilvl w:val="0"/>
          <w:numId w:val="50"/>
        </w:numPr>
        <w:rPr>
          <w:rFonts w:ascii="Arial" w:cs="Arial" w:eastAsia="Arial" w:hAnsi="Arial"/>
          <w:sz w:val="19"/>
          <w:szCs w:val="19"/>
          <w:color w:val="auto"/>
        </w:rPr>
      </w:pPr>
      <w:r>
        <w:rPr>
          <w:rFonts w:ascii="Arial" w:cs="Arial" w:eastAsia="Arial" w:hAnsi="Arial"/>
          <w:sz w:val="19"/>
          <w:szCs w:val="19"/>
          <w:b w:val="1"/>
          <w:bCs w:val="1"/>
          <w:u w:val="single" w:color="auto"/>
          <w:color w:val="auto"/>
        </w:rPr>
        <w:t>Certain Definitions</w:t>
      </w:r>
      <w:r>
        <w:rPr>
          <w:rFonts w:ascii="Arial" w:cs="Arial" w:eastAsia="Arial" w:hAnsi="Arial"/>
          <w:sz w:val="19"/>
          <w:szCs w:val="19"/>
          <w:color w:val="auto"/>
        </w:rPr>
        <w:t>. Capitalized terms used, but not otherwise defined, in this Agreement will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meanings given to such terms in the CECO Environmental Corp. 2017 Equity and Incentive Compensation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w:t>
      </w:r>
    </w:p>
    <w:p>
      <w:pPr>
        <w:spacing w:after="0" w:line="93" w:lineRule="exact"/>
        <w:rPr>
          <w:rFonts w:ascii="Arial" w:cs="Arial" w:eastAsia="Arial" w:hAnsi="Arial"/>
          <w:sz w:val="19"/>
          <w:szCs w:val="19"/>
          <w:color w:val="auto"/>
        </w:rPr>
      </w:pPr>
    </w:p>
    <w:p>
      <w:pPr>
        <w:ind w:firstLine="757"/>
        <w:spacing w:after="0" w:line="249" w:lineRule="auto"/>
        <w:tabs>
          <w:tab w:leader="none" w:pos="1498"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RSUs</w:t>
      </w:r>
      <w:r>
        <w:rPr>
          <w:rFonts w:ascii="Arial" w:cs="Arial" w:eastAsia="Arial" w:hAnsi="Arial"/>
          <w:sz w:val="21"/>
          <w:szCs w:val="21"/>
          <w:color w:val="auto"/>
        </w:rPr>
        <w:t>. Subject to and upon the terms, conditions and restrictions set forth in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any additional terms and conditions for the Grantee’s country (for Grantees outside the United States only) set forth in any attached Appendix that would form part of this Agreement, and in the Plan, pursuant to authorization under resolutions of the Committee, the Company has granted to the Grantee as of _________, 2021 (the “</w:t>
      </w:r>
      <w:r>
        <w:rPr>
          <w:rFonts w:ascii="Arial" w:cs="Arial" w:eastAsia="Arial" w:hAnsi="Arial"/>
          <w:sz w:val="21"/>
          <w:szCs w:val="21"/>
          <w:b w:val="1"/>
          <w:bCs w:val="1"/>
          <w:i w:val="1"/>
          <w:iCs w:val="1"/>
          <w:color w:val="auto"/>
        </w:rPr>
        <w:t>Date of Grant</w:t>
      </w:r>
      <w:r>
        <w:rPr>
          <w:rFonts w:ascii="Arial" w:cs="Arial" w:eastAsia="Arial" w:hAnsi="Arial"/>
          <w:sz w:val="21"/>
          <w:szCs w:val="21"/>
          <w:color w:val="auto"/>
        </w:rPr>
        <w:t>”) ______ Restricted Stock Units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Each RSU shall represent the right of the Grantee to receive one share of Common Stock subject to and upon the terms and conditions of this Agreement.</w:t>
      </w:r>
    </w:p>
    <w:p>
      <w:pPr>
        <w:spacing w:after="0" w:line="170" w:lineRule="exact"/>
        <w:rPr>
          <w:rFonts w:ascii="Arial" w:cs="Arial" w:eastAsia="Arial" w:hAnsi="Arial"/>
          <w:sz w:val="21"/>
          <w:szCs w:val="21"/>
          <w:color w:val="auto"/>
        </w:rPr>
      </w:pPr>
    </w:p>
    <w:p>
      <w:pPr>
        <w:ind w:right="40" w:firstLine="757"/>
        <w:spacing w:after="0" w:line="260" w:lineRule="auto"/>
        <w:tabs>
          <w:tab w:leader="none" w:pos="1498"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Restrictions on Transfer of RSUs</w:t>
      </w:r>
      <w:r>
        <w:rPr>
          <w:rFonts w:ascii="Arial" w:cs="Arial" w:eastAsia="Arial" w:hAnsi="Arial"/>
          <w:sz w:val="21"/>
          <w:szCs w:val="21"/>
          <w:color w:val="auto"/>
        </w:rPr>
        <w:t>. Subject to Section 15 of the Plan, neither the RSUs evidenced hereby nor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interest therein or in the Common Stock underlying such RSUs shall be transferable prior to payment to the Grantee pursuant to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hereof other than by will or pursuant to the laws of descent and distribution.</w:t>
      </w:r>
    </w:p>
    <w:p>
      <w:pPr>
        <w:spacing w:after="0" w:line="160" w:lineRule="exact"/>
        <w:rPr>
          <w:rFonts w:ascii="Arial" w:cs="Arial" w:eastAsia="Arial" w:hAnsi="Arial"/>
          <w:sz w:val="21"/>
          <w:szCs w:val="21"/>
          <w:color w:val="auto"/>
        </w:rPr>
      </w:pPr>
    </w:p>
    <w:p>
      <w:pPr>
        <w:ind w:right="20" w:firstLine="757"/>
        <w:spacing w:after="0" w:line="246" w:lineRule="auto"/>
        <w:tabs>
          <w:tab w:leader="none" w:pos="1498" w:val="left"/>
        </w:tabs>
        <w:numPr>
          <w:ilvl w:val="0"/>
          <w:numId w:val="50"/>
        </w:numPr>
        <w:rPr>
          <w:rFonts w:ascii="Arial" w:cs="Arial" w:eastAsia="Arial" w:hAnsi="Arial"/>
          <w:sz w:val="21"/>
          <w:szCs w:val="21"/>
          <w:color w:val="auto"/>
        </w:rPr>
      </w:pPr>
      <w:r>
        <w:rPr>
          <w:rFonts w:ascii="Arial" w:cs="Arial" w:eastAsia="Arial" w:hAnsi="Arial"/>
          <w:sz w:val="21"/>
          <w:szCs w:val="21"/>
          <w:b w:val="1"/>
          <w:bCs w:val="1"/>
          <w:u w:val="single" w:color="auto"/>
          <w:color w:val="auto"/>
        </w:rPr>
        <w:t>Vesting of RSUs</w:t>
      </w:r>
      <w:r>
        <w:rPr>
          <w:rFonts w:ascii="Arial" w:cs="Arial" w:eastAsia="Arial" w:hAnsi="Arial"/>
          <w:sz w:val="21"/>
          <w:szCs w:val="21"/>
          <w:color w:val="auto"/>
        </w:rPr>
        <w:t>. The RSUs covered by this Agreement shall become nonforfeitable and payable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Grantee pursuant to </w:t>
      </w:r>
      <w:r>
        <w:rPr>
          <w:rFonts w:ascii="Arial" w:cs="Arial" w:eastAsia="Arial" w:hAnsi="Arial"/>
          <w:sz w:val="21"/>
          <w:szCs w:val="21"/>
          <w:b w:val="1"/>
          <w:bCs w:val="1"/>
          <w:u w:val="single" w:color="auto"/>
          <w:color w:val="auto"/>
        </w:rPr>
        <w:t>Section 5</w:t>
      </w:r>
      <w:r>
        <w:rPr>
          <w:rFonts w:ascii="Arial" w:cs="Arial" w:eastAsia="Arial" w:hAnsi="Arial"/>
          <w:sz w:val="21"/>
          <w:szCs w:val="21"/>
          <w:color w:val="auto"/>
        </w:rPr>
        <w:t xml:space="preserve"> hereof in substantially equal installments on each of the first ______ anniversaries of the Date of Grant if the Grantee remains in the continuous employment of the Company or a Subsidiary until each such date (the period from the Date of Grant until the last such anniversary of the Date of Grant, the “</w:t>
      </w:r>
      <w:r>
        <w:rPr>
          <w:rFonts w:ascii="Arial" w:cs="Arial" w:eastAsia="Arial" w:hAnsi="Arial"/>
          <w:sz w:val="21"/>
          <w:szCs w:val="21"/>
          <w:b w:val="1"/>
          <w:bCs w:val="1"/>
          <w:i w:val="1"/>
          <w:iCs w:val="1"/>
          <w:color w:val="auto"/>
        </w:rPr>
        <w:t>Vesting Period</w:t>
      </w:r>
      <w:r>
        <w:rPr>
          <w:rFonts w:ascii="Arial" w:cs="Arial" w:eastAsia="Arial" w:hAnsi="Arial"/>
          <w:sz w:val="21"/>
          <w:szCs w:val="21"/>
          <w:color w:val="auto"/>
        </w:rPr>
        <w:t>”). Subject to the terms of the Plan, any RSUs that do not so become nonforfeitable will be forfeited, including if the Grantee ceases to be continuously employed by the Company or a Subsidiary prior to the end of the Vesting Period. For purposes of this Agreement, “continuously employed” (or substantially similar terms) means the absence of any interruption or termination of the Grantee’s employment with the Company or a Subsidiary. Continuous employment shall not be considered interrupted or terminated in the case of transfers between locations of the Company and its Subsidiaries.</w:t>
      </w:r>
    </w:p>
    <w:p>
      <w:pPr>
        <w:spacing w:after="0" w:line="175" w:lineRule="exact"/>
        <w:rPr>
          <w:rFonts w:ascii="Arial" w:cs="Arial" w:eastAsia="Arial" w:hAnsi="Arial"/>
          <w:sz w:val="21"/>
          <w:szCs w:val="21"/>
          <w:color w:val="auto"/>
        </w:rPr>
      </w:pPr>
    </w:p>
    <w:p>
      <w:pPr>
        <w:ind w:left="1500" w:hanging="743"/>
        <w:spacing w:after="0"/>
        <w:tabs>
          <w:tab w:leader="none" w:pos="1500" w:val="left"/>
        </w:tabs>
        <w:numPr>
          <w:ilvl w:val="0"/>
          <w:numId w:val="50"/>
        </w:numPr>
        <w:rPr>
          <w:rFonts w:ascii="Arial" w:cs="Arial" w:eastAsia="Arial" w:hAnsi="Arial"/>
          <w:sz w:val="22"/>
          <w:szCs w:val="22"/>
          <w:color w:val="auto"/>
        </w:rPr>
      </w:pPr>
      <w:r>
        <w:rPr>
          <w:rFonts w:ascii="Arial" w:cs="Arial" w:eastAsia="Arial" w:hAnsi="Arial"/>
          <w:sz w:val="22"/>
          <w:szCs w:val="22"/>
          <w:b w:val="1"/>
          <w:bCs w:val="1"/>
          <w:u w:val="single" w:color="auto"/>
          <w:color w:val="auto"/>
        </w:rPr>
        <w:t>Form and Time of Payment of RSUs</w:t>
      </w:r>
      <w:r>
        <w:rPr>
          <w:rFonts w:ascii="Arial" w:cs="Arial" w:eastAsia="Arial" w:hAnsi="Arial"/>
          <w:sz w:val="22"/>
          <w:szCs w:val="22"/>
          <w:color w:val="auto"/>
        </w:rPr>
        <w:t>.</w:t>
      </w:r>
    </w:p>
    <w:p>
      <w:pPr>
        <w:spacing w:after="0" w:line="212" w:lineRule="exact"/>
        <w:rPr>
          <w:sz w:val="20"/>
          <w:szCs w:val="20"/>
          <w:color w:val="auto"/>
        </w:rPr>
      </w:pPr>
    </w:p>
    <w:p>
      <w:pPr>
        <w:jc w:val="both"/>
        <w:ind w:left="1500" w:right="360" w:hanging="743"/>
        <w:spacing w:after="0" w:line="297" w:lineRule="auto"/>
        <w:tabs>
          <w:tab w:leader="none" w:pos="15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 xml:space="preserve">Payment for the RSUs, after and to the extent they have become nonforfeitable, shall be made in the form of Common Stock. Payment shall be made as soon as administratively practicable following (but no later than thirty (30) days following) the date that the RSUs become nonforfeitable pursuant to </w:t>
      </w:r>
      <w:r>
        <w:rPr>
          <w:rFonts w:ascii="Arial" w:cs="Arial" w:eastAsia="Arial" w:hAnsi="Arial"/>
          <w:sz w:val="19"/>
          <w:szCs w:val="19"/>
          <w:b w:val="1"/>
          <w:bCs w:val="1"/>
          <w:u w:val="single" w:color="auto"/>
          <w:color w:val="auto"/>
        </w:rPr>
        <w:t>Section 4</w:t>
      </w:r>
      <w:r>
        <w:rPr>
          <w:rFonts w:ascii="Arial" w:cs="Arial" w:eastAsia="Arial" w:hAnsi="Arial"/>
          <w:sz w:val="19"/>
          <w:szCs w:val="19"/>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88" w:name="page89"/>
    <w:bookmarkEnd w:id="88"/>
    <w:p>
      <w:pPr>
        <w:ind w:left="1200" w:right="20" w:hanging="743"/>
        <w:spacing w:after="0" w:line="250" w:lineRule="auto"/>
        <w:tabs>
          <w:tab w:leader="none" w:pos="12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Company’s obligations to the Grantee with respect to the RSUs will be satisfied in full upon the issuance of Common Stock corresponding to such RSUs.</w:t>
      </w:r>
    </w:p>
    <w:p>
      <w:pPr>
        <w:spacing w:after="0" w:line="169" w:lineRule="exact"/>
        <w:rPr>
          <w:sz w:val="20"/>
          <w:szCs w:val="20"/>
          <w:color w:val="auto"/>
        </w:rPr>
      </w:pPr>
    </w:p>
    <w:p>
      <w:pPr>
        <w:ind w:left="1200" w:hanging="743"/>
        <w:spacing w:after="0"/>
        <w:tabs>
          <w:tab w:leader="none" w:pos="1200" w:val="left"/>
        </w:tabs>
        <w:numPr>
          <w:ilvl w:val="0"/>
          <w:numId w:val="53"/>
        </w:numPr>
        <w:rPr>
          <w:rFonts w:ascii="Arial" w:cs="Arial" w:eastAsia="Arial" w:hAnsi="Arial"/>
          <w:sz w:val="22"/>
          <w:szCs w:val="22"/>
          <w:color w:val="auto"/>
        </w:rPr>
      </w:pPr>
      <w:r>
        <w:rPr>
          <w:rFonts w:ascii="Arial" w:cs="Arial" w:eastAsia="Arial" w:hAnsi="Arial"/>
          <w:sz w:val="22"/>
          <w:szCs w:val="22"/>
          <w:b w:val="1"/>
          <w:bCs w:val="1"/>
          <w:u w:val="single" w:color="auto"/>
          <w:color w:val="auto"/>
        </w:rPr>
        <w:t>Dividend Equivalents; Voting and Other Rights</w:t>
      </w:r>
      <w:r>
        <w:rPr>
          <w:rFonts w:ascii="Arial" w:cs="Arial" w:eastAsia="Arial" w:hAnsi="Arial"/>
          <w:sz w:val="22"/>
          <w:szCs w:val="22"/>
          <w:color w:val="auto"/>
        </w:rPr>
        <w:t>.</w:t>
      </w:r>
    </w:p>
    <w:p>
      <w:pPr>
        <w:spacing w:after="0" w:line="212" w:lineRule="exact"/>
        <w:rPr>
          <w:sz w:val="20"/>
          <w:szCs w:val="20"/>
          <w:color w:val="auto"/>
        </w:rPr>
      </w:pPr>
    </w:p>
    <w:p>
      <w:pPr>
        <w:ind w:left="1200" w:right="160" w:hanging="743"/>
        <w:spacing w:after="0"/>
        <w:tabs>
          <w:tab w:leader="none" w:pos="12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The Grantee shall have no rights of ownership in the Common Stock underlying the RSUs and no right to vote the Common Stock underlying the RSUs until the date on which the Common Stock underlying the RSUs is issued or transferred to the Grantee pursuant to </w:t>
      </w:r>
      <w:r>
        <w:rPr>
          <w:rFonts w:ascii="Arial" w:cs="Arial" w:eastAsia="Arial" w:hAnsi="Arial"/>
          <w:sz w:val="22"/>
          <w:szCs w:val="22"/>
          <w:b w:val="1"/>
          <w:bCs w:val="1"/>
          <w:u w:val="single" w:color="auto"/>
          <w:color w:val="auto"/>
        </w:rPr>
        <w:t>Section 5</w:t>
      </w:r>
      <w:r>
        <w:rPr>
          <w:rFonts w:ascii="Arial" w:cs="Arial" w:eastAsia="Arial" w:hAnsi="Arial"/>
          <w:sz w:val="22"/>
          <w:szCs w:val="22"/>
          <w:color w:val="auto"/>
        </w:rPr>
        <w:t xml:space="preserve"> above.</w:t>
      </w:r>
    </w:p>
    <w:p>
      <w:pPr>
        <w:spacing w:after="0" w:line="186" w:lineRule="exact"/>
        <w:rPr>
          <w:rFonts w:ascii="Arial" w:cs="Arial" w:eastAsia="Arial" w:hAnsi="Arial"/>
          <w:sz w:val="22"/>
          <w:szCs w:val="22"/>
          <w:color w:val="auto"/>
        </w:rPr>
      </w:pPr>
    </w:p>
    <w:p>
      <w:pPr>
        <w:ind w:left="1200" w:right="60" w:hanging="743"/>
        <w:spacing w:after="0" w:line="275" w:lineRule="auto"/>
        <w:tabs>
          <w:tab w:leader="none" w:pos="12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From and after the Date of Grant and until the earlier of (i) the time when the RSUs become nonforfeitable and are paid in accordance with </w:t>
      </w:r>
      <w:r>
        <w:rPr>
          <w:rFonts w:ascii="Arial" w:cs="Arial" w:eastAsia="Arial" w:hAnsi="Arial"/>
          <w:sz w:val="19"/>
          <w:szCs w:val="19"/>
          <w:b w:val="1"/>
          <w:bCs w:val="1"/>
          <w:u w:val="single" w:color="auto"/>
          <w:color w:val="auto"/>
        </w:rPr>
        <w:t>Section 5</w:t>
      </w:r>
      <w:r>
        <w:rPr>
          <w:rFonts w:ascii="Arial" w:cs="Arial" w:eastAsia="Arial" w:hAnsi="Arial"/>
          <w:sz w:val="19"/>
          <w:szCs w:val="19"/>
          <w:color w:val="auto"/>
        </w:rPr>
        <w:t xml:space="preserve"> hereof or (ii) the time when the Grantee’s right to receive Common Stock in payment of the RSUs is forfeited in accordance with </w:t>
      </w:r>
      <w:r>
        <w:rPr>
          <w:rFonts w:ascii="Arial" w:cs="Arial" w:eastAsia="Arial" w:hAnsi="Arial"/>
          <w:sz w:val="19"/>
          <w:szCs w:val="19"/>
          <w:b w:val="1"/>
          <w:bCs w:val="1"/>
          <w:u w:val="single" w:color="auto"/>
          <w:color w:val="auto"/>
        </w:rPr>
        <w:t>Section 4</w:t>
      </w:r>
      <w:r>
        <w:rPr>
          <w:rFonts w:ascii="Arial" w:cs="Arial" w:eastAsia="Arial" w:hAnsi="Arial"/>
          <w:sz w:val="19"/>
          <w:szCs w:val="19"/>
          <w:color w:val="auto"/>
        </w:rPr>
        <w:t xml:space="preserve"> hereof, on the date that the Company pays a cash dividend (if any) to holders of Common Stock generally, the Grantee shall be credited with cash per RSU equal to the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at the same time as the RSUs to which they relate.</w:t>
      </w:r>
    </w:p>
    <w:p>
      <w:pPr>
        <w:spacing w:after="0" w:line="157" w:lineRule="exact"/>
        <w:rPr>
          <w:rFonts w:ascii="Arial" w:cs="Arial" w:eastAsia="Arial" w:hAnsi="Arial"/>
          <w:sz w:val="19"/>
          <w:szCs w:val="19"/>
          <w:color w:val="auto"/>
        </w:rPr>
      </w:pPr>
    </w:p>
    <w:p>
      <w:pPr>
        <w:ind w:left="1200" w:right="40" w:hanging="743"/>
        <w:spacing w:after="0" w:line="238" w:lineRule="auto"/>
        <w:tabs>
          <w:tab w:leader="none" w:pos="12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obligations of the Company under this Agreement will be merely that of an unfunded and unsecured promise of the Company to deliver Common Stock in the future, and the rights of the Grantee will be no greater than that of an unsecured general creditor. No assets of the Company will be held or set aside as security for the obligations of the Company under this Agreement.</w:t>
      </w:r>
    </w:p>
    <w:p>
      <w:pPr>
        <w:spacing w:after="0" w:line="179" w:lineRule="exact"/>
        <w:rPr>
          <w:sz w:val="20"/>
          <w:szCs w:val="20"/>
          <w:color w:val="auto"/>
        </w:rPr>
      </w:pPr>
    </w:p>
    <w:p>
      <w:pPr>
        <w:jc w:val="both"/>
        <w:ind w:left="-300" w:right="340" w:firstLine="757"/>
        <w:spacing w:after="0" w:line="243" w:lineRule="auto"/>
        <w:tabs>
          <w:tab w:leader="none" w:pos="1198"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RSUs and the number of shares of Common Stock issuable for each RSU, and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conditions of the grant evidenced by this Agreement, are subject to mandatory adjustment, including as provided in Section 11 of the Plan.</w:t>
      </w:r>
    </w:p>
    <w:p>
      <w:pPr>
        <w:spacing w:after="0" w:line="176" w:lineRule="exact"/>
        <w:rPr>
          <w:rFonts w:ascii="Arial" w:cs="Arial" w:eastAsia="Arial" w:hAnsi="Arial"/>
          <w:sz w:val="22"/>
          <w:szCs w:val="22"/>
          <w:color w:val="auto"/>
        </w:rPr>
      </w:pPr>
    </w:p>
    <w:p>
      <w:pPr>
        <w:ind w:left="-300" w:firstLine="757"/>
        <w:spacing w:after="0" w:line="273" w:lineRule="auto"/>
        <w:tabs>
          <w:tab w:leader="none" w:pos="1198" w:val="left"/>
        </w:tabs>
        <w:numPr>
          <w:ilvl w:val="0"/>
          <w:numId w:val="55"/>
        </w:numPr>
        <w:rPr>
          <w:rFonts w:ascii="Arial" w:cs="Arial" w:eastAsia="Arial" w:hAnsi="Arial"/>
          <w:sz w:val="19"/>
          <w:szCs w:val="19"/>
          <w:color w:val="auto"/>
        </w:rPr>
      </w:pPr>
      <w:r>
        <w:rPr>
          <w:rFonts w:ascii="Arial" w:cs="Arial" w:eastAsia="Arial" w:hAnsi="Arial"/>
          <w:sz w:val="19"/>
          <w:szCs w:val="19"/>
          <w:b w:val="1"/>
          <w:bCs w:val="1"/>
          <w:u w:val="single" w:color="auto"/>
          <w:color w:val="auto"/>
        </w:rPr>
        <w:t>Withholding Taxes</w:t>
      </w:r>
      <w:r>
        <w:rPr>
          <w:rFonts w:ascii="Arial" w:cs="Arial" w:eastAsia="Arial" w:hAnsi="Arial"/>
          <w:sz w:val="19"/>
          <w:szCs w:val="19"/>
          <w:color w:val="auto"/>
        </w:rPr>
        <w:t>. To the extent that the Company is required to withhold federal, state, local or foreign taxes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other amounts in connection with the delivery to the Grantee of Common Stock or any other payment to the Grantee or any other payment or vesting event under this Agreement, the Grantee agrees that the Company will withhold any taxes required to be withheld by the Company under federal, state, local or foreign law as a result of the settlement of the RSUs in an amount sufficient to satisfy the minimum statutory withholding amount permissible. To the extent that the amounts available to the Company for such withholding are insufficient, it shall be a condition to the obligation of the Company to make any such delivery or payment that the Grantee make arrangements satisfactory to the Company for payment of the balance of such taxes or other amounts required to be withheld. The shares so retained shall be credited against any such withholding requirement at the market value of such Common Stock on the date of such delivery. In no event will the market value of the Common Stock to be withheld and/or delivered pursuant to this </w:t>
      </w:r>
      <w:r>
        <w:rPr>
          <w:rFonts w:ascii="Arial" w:cs="Arial" w:eastAsia="Arial" w:hAnsi="Arial"/>
          <w:sz w:val="19"/>
          <w:szCs w:val="19"/>
          <w:b w:val="1"/>
          <w:bCs w:val="1"/>
          <w:u w:val="single" w:color="auto"/>
          <w:color w:val="auto"/>
        </w:rPr>
        <w:t>Section 8</w:t>
      </w:r>
      <w:r>
        <w:rPr>
          <w:rFonts w:ascii="Arial" w:cs="Arial" w:eastAsia="Arial" w:hAnsi="Arial"/>
          <w:sz w:val="19"/>
          <w:szCs w:val="19"/>
          <w:color w:val="auto"/>
        </w:rPr>
        <w:t xml:space="preserve"> to satisfy applicable withholding taxes exceed the maximum amount of taxes or other amounts that could be required to be withheld.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190500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620" w:top="321" w:right="359" w:bottom="1440" w:gutter="0" w:footer="0" w:header="0"/>
        </w:sectPr>
      </w:pPr>
    </w:p>
    <w:bookmarkStart w:id="89" w:name="page90"/>
    <w:bookmarkEnd w:id="89"/>
    <w:p>
      <w:pPr>
        <w:jc w:val="both"/>
        <w:ind w:left="-300" w:right="80" w:firstLine="757"/>
        <w:spacing w:after="0" w:line="239" w:lineRule="auto"/>
        <w:tabs>
          <w:tab w:leader="none" w:pos="1198"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w:t>
      </w:r>
      <w:r>
        <w:rPr>
          <w:rFonts w:ascii="Arial" w:cs="Arial" w:eastAsia="Arial" w:hAnsi="Arial"/>
          <w:sz w:val="22"/>
          <w:szCs w:val="22"/>
          <w:color w:val="auto"/>
        </w:rPr>
        <w:t>. The Company shall make reasonable efforts to comply with all applicable federal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state securities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notwithstanding any other provision of the Plan and this Agreement, the Company shall not be obligated to issue any Common Stock pursuant to this Agreement if the issuance thereof would result in a violation of any such law.</w:t>
      </w:r>
    </w:p>
    <w:p>
      <w:pPr>
        <w:spacing w:after="0" w:line="180" w:lineRule="exact"/>
        <w:rPr>
          <w:rFonts w:ascii="Arial" w:cs="Arial" w:eastAsia="Arial" w:hAnsi="Arial"/>
          <w:sz w:val="22"/>
          <w:szCs w:val="22"/>
          <w:color w:val="auto"/>
        </w:rPr>
      </w:pPr>
    </w:p>
    <w:p>
      <w:pPr>
        <w:ind w:left="-200" w:right="120" w:firstLine="657"/>
        <w:spacing w:after="0" w:line="249" w:lineRule="auto"/>
        <w:tabs>
          <w:tab w:leader="none" w:pos="1111" w:val="left"/>
        </w:tabs>
        <w:numPr>
          <w:ilvl w:val="0"/>
          <w:numId w:val="56"/>
        </w:numPr>
        <w:rPr>
          <w:rFonts w:ascii="Arial" w:cs="Arial" w:eastAsia="Arial" w:hAnsi="Arial"/>
          <w:sz w:val="21"/>
          <w:szCs w:val="21"/>
          <w:color w:val="auto"/>
        </w:rPr>
      </w:pPr>
      <w:r>
        <w:rPr>
          <w:rFonts w:ascii="Arial" w:cs="Arial" w:eastAsia="Arial" w:hAnsi="Arial"/>
          <w:sz w:val="21"/>
          <w:szCs w:val="21"/>
          <w:b w:val="1"/>
          <w:bCs w:val="1"/>
          <w:u w:val="single" w:color="auto"/>
          <w:color w:val="auto"/>
        </w:rPr>
        <w:t>Compliance With or Exemption From Section 409A of the Code</w:t>
      </w:r>
      <w:r>
        <w:rPr>
          <w:rFonts w:ascii="Arial" w:cs="Arial" w:eastAsia="Arial" w:hAnsi="Arial"/>
          <w:sz w:val="21"/>
          <w:szCs w:val="21"/>
          <w:color w:val="auto"/>
        </w:rPr>
        <w:t>. To the extent applicable, it is intended that</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70" w:lineRule="exact"/>
        <w:rPr>
          <w:rFonts w:ascii="Arial" w:cs="Arial" w:eastAsia="Arial" w:hAnsi="Arial"/>
          <w:sz w:val="21"/>
          <w:szCs w:val="21"/>
          <w:color w:val="auto"/>
        </w:rPr>
      </w:pPr>
    </w:p>
    <w:p>
      <w:pPr>
        <w:jc w:val="both"/>
        <w:ind w:left="-200" w:right="240" w:firstLine="657"/>
        <w:spacing w:after="0" w:line="243" w:lineRule="auto"/>
        <w:tabs>
          <w:tab w:leader="none" w:pos="1111"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Interpretation</w:t>
      </w:r>
      <w:r>
        <w:rPr>
          <w:rFonts w:ascii="Arial" w:cs="Arial" w:eastAsia="Arial" w:hAnsi="Arial"/>
          <w:sz w:val="22"/>
          <w:szCs w:val="22"/>
          <w:color w:val="auto"/>
        </w:rPr>
        <w:t>. Any reference in this Agreement to Section 409A of the Code will also include any proposed,</w:t>
      </w:r>
      <w:r>
        <w:rPr>
          <w:rFonts w:ascii="Arial" w:cs="Arial" w:eastAsia="Arial" w:hAnsi="Arial"/>
          <w:sz w:val="22"/>
          <w:szCs w:val="22"/>
          <w:b w:val="1"/>
          <w:bCs w:val="1"/>
          <w:color w:val="auto"/>
        </w:rPr>
        <w:t xml:space="preserve"> </w:t>
      </w:r>
      <w:r>
        <w:rPr>
          <w:rFonts w:ascii="Arial" w:cs="Arial" w:eastAsia="Arial" w:hAnsi="Arial"/>
          <w:sz w:val="22"/>
          <w:szCs w:val="22"/>
          <w:color w:val="auto"/>
        </w:rPr>
        <w:t>temporary or final regulations, or any other guidance, promulgated with respect to such Section by the U.S. Department of the Treasury or the Internal Revenue Service.</w:t>
      </w:r>
    </w:p>
    <w:p>
      <w:pPr>
        <w:spacing w:after="0" w:line="176" w:lineRule="exact"/>
        <w:rPr>
          <w:rFonts w:ascii="Arial" w:cs="Arial" w:eastAsia="Arial" w:hAnsi="Arial"/>
          <w:sz w:val="22"/>
          <w:szCs w:val="22"/>
          <w:color w:val="auto"/>
        </w:rPr>
      </w:pPr>
    </w:p>
    <w:p>
      <w:pPr>
        <w:ind w:left="-300" w:right="60" w:firstLine="757"/>
        <w:spacing w:after="0" w:line="235" w:lineRule="auto"/>
        <w:tabs>
          <w:tab w:leader="none" w:pos="1198"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No Right to Future Awards or Employment</w:t>
      </w:r>
      <w:r>
        <w:rPr>
          <w:rFonts w:ascii="Arial" w:cs="Arial" w:eastAsia="Arial" w:hAnsi="Arial"/>
          <w:sz w:val="22"/>
          <w:szCs w:val="22"/>
          <w:color w:val="auto"/>
        </w:rPr>
        <w:t>. The grant of the RSUs under this Agreement to the Grantee is a</w:t>
      </w:r>
      <w:r>
        <w:rPr>
          <w:rFonts w:ascii="Arial" w:cs="Arial" w:eastAsia="Arial" w:hAnsi="Arial"/>
          <w:sz w:val="22"/>
          <w:szCs w:val="22"/>
          <w:b w:val="1"/>
          <w:bCs w:val="1"/>
          <w:color w:val="auto"/>
        </w:rPr>
        <w:t xml:space="preserve"> </w:t>
      </w:r>
      <w:r>
        <w:rPr>
          <w:rFonts w:ascii="Arial" w:cs="Arial" w:eastAsia="Arial" w:hAnsi="Arial"/>
          <w:sz w:val="22"/>
          <w:szCs w:val="22"/>
          <w:color w:val="auto"/>
        </w:rPr>
        <w:t>voluntary, discretionary award being made on a one-time basis and it does not constitute a commitment to make any future awards. The grant of the RSUs and any payments made hereunder will not be considered salary or other compensation for purposes of any severance pay or similar allowance, except as otherwise required by law. Nothing contained in this Agreement shall confer upon the Grantee any right to be employed or remain employed by the Company or any of its Subsidiaries, nor limit or affect in any manner the right of the Company or any of its Subsidiaries to terminate the employment or adjust the compensation of the Grantee.</w:t>
      </w:r>
    </w:p>
    <w:p>
      <w:pPr>
        <w:spacing w:after="0" w:line="183" w:lineRule="exact"/>
        <w:rPr>
          <w:rFonts w:ascii="Arial" w:cs="Arial" w:eastAsia="Arial" w:hAnsi="Arial"/>
          <w:sz w:val="22"/>
          <w:szCs w:val="22"/>
          <w:color w:val="auto"/>
        </w:rPr>
      </w:pPr>
    </w:p>
    <w:p>
      <w:pPr>
        <w:ind w:left="-300" w:right="320" w:firstLine="757"/>
        <w:spacing w:after="0" w:line="237" w:lineRule="auto"/>
        <w:tabs>
          <w:tab w:leader="none" w:pos="1198"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Relation to Other Benefits</w:t>
      </w:r>
      <w:r>
        <w:rPr>
          <w:rFonts w:ascii="Arial" w:cs="Arial" w:eastAsia="Arial" w:hAnsi="Arial"/>
          <w:sz w:val="22"/>
          <w:szCs w:val="22"/>
          <w:color w:val="auto"/>
        </w:rPr>
        <w:t>. Any economic or other benefit to the Grantee under this Agreement or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be taken into account in determining any benefits to which the Grantee may be entitled under any profit-sharing, retirement or other benefit or compensation plan maintained by the Company or any of its Subsidiaries and shall not affect the amount of any life insurance coverage available to any beneficiary under any life insurance plan covering employees of the Company or any of its Subsidiaries.</w:t>
      </w:r>
    </w:p>
    <w:p>
      <w:pPr>
        <w:spacing w:after="0" w:line="181" w:lineRule="exact"/>
        <w:rPr>
          <w:rFonts w:ascii="Arial" w:cs="Arial" w:eastAsia="Arial" w:hAnsi="Arial"/>
          <w:sz w:val="22"/>
          <w:szCs w:val="22"/>
          <w:color w:val="auto"/>
        </w:rPr>
      </w:pPr>
    </w:p>
    <w:p>
      <w:pPr>
        <w:ind w:left="-300" w:firstLine="757"/>
        <w:spacing w:after="0" w:line="237" w:lineRule="auto"/>
        <w:tabs>
          <w:tab w:leader="none" w:pos="1198"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Any amendment to the Plan shall be deemed to be an amendment to this Agreement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extent that 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adversely affect the rights of the Grantee under this Agreement without the Grantee’s written consent, and (b) the Grantee’s consent shall not be required to an amendment that is deemed necessary by the Company to ensure compliance with Section 409A of the Code or Section 10D of the Exchange Act.</w:t>
      </w:r>
    </w:p>
    <w:p>
      <w:pPr>
        <w:spacing w:after="0" w:line="181" w:lineRule="exact"/>
        <w:rPr>
          <w:rFonts w:ascii="Arial" w:cs="Arial" w:eastAsia="Arial" w:hAnsi="Arial"/>
          <w:sz w:val="22"/>
          <w:szCs w:val="22"/>
          <w:color w:val="auto"/>
        </w:rPr>
      </w:pPr>
    </w:p>
    <w:p>
      <w:pPr>
        <w:ind w:left="-300" w:right="440" w:firstLine="757"/>
        <w:spacing w:after="0" w:line="256" w:lineRule="auto"/>
        <w:tabs>
          <w:tab w:leader="none" w:pos="1198"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In the event that one or more of the provisions of this Agreement shall be invalidated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by a court of competent jurisdiction, any provision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-487680</wp:posOffset>
            </wp:positionV>
            <wp:extent cx="342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190500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15" w:right="339" w:bottom="1440" w:gutter="0" w:footer="0" w:header="0"/>
        </w:sectPr>
      </w:pPr>
    </w:p>
    <w:bookmarkStart w:id="90" w:name="page91"/>
    <w:bookmarkEnd w:id="90"/>
    <w:p>
      <w:pPr>
        <w:ind w:right="80"/>
        <w:spacing w:after="0" w:line="250" w:lineRule="auto"/>
        <w:rPr>
          <w:sz w:val="20"/>
          <w:szCs w:val="20"/>
          <w:color w:val="auto"/>
        </w:rPr>
      </w:pPr>
      <w:r>
        <w:rPr>
          <w:rFonts w:ascii="Arial" w:cs="Arial" w:eastAsia="Arial" w:hAnsi="Arial"/>
          <w:sz w:val="22"/>
          <w:szCs w:val="22"/>
          <w:color w:val="auto"/>
        </w:rPr>
        <w:t>invalidated shall be deemed to be separable from the other provisions hereof, and the remaining provisions hereof shall continue to be valid and fully enforceable.</w:t>
      </w:r>
    </w:p>
    <w:p>
      <w:pPr>
        <w:spacing w:after="0" w:line="169" w:lineRule="exact"/>
        <w:rPr>
          <w:sz w:val="20"/>
          <w:szCs w:val="20"/>
          <w:color w:val="auto"/>
        </w:rPr>
      </w:pPr>
    </w:p>
    <w:p>
      <w:pPr>
        <w:ind w:right="80" w:firstLine="757"/>
        <w:spacing w:after="0" w:line="274" w:lineRule="auto"/>
        <w:tabs>
          <w:tab w:leader="none" w:pos="1498" w:val="left"/>
        </w:tabs>
        <w:numPr>
          <w:ilvl w:val="0"/>
          <w:numId w:val="57"/>
        </w:numPr>
        <w:rPr>
          <w:rFonts w:ascii="Arial" w:cs="Arial" w:eastAsia="Arial" w:hAnsi="Arial"/>
          <w:sz w:val="19"/>
          <w:szCs w:val="19"/>
          <w:color w:val="auto"/>
        </w:rPr>
      </w:pPr>
      <w:r>
        <w:rPr>
          <w:rFonts w:ascii="Arial" w:cs="Arial" w:eastAsia="Arial" w:hAnsi="Arial"/>
          <w:sz w:val="19"/>
          <w:szCs w:val="19"/>
          <w:b w:val="1"/>
          <w:bCs w:val="1"/>
          <w:u w:val="single" w:color="auto"/>
          <w:color w:val="auto"/>
        </w:rPr>
        <w:t>Relation to Plan</w:t>
      </w:r>
      <w:r>
        <w:rPr>
          <w:rFonts w:ascii="Arial" w:cs="Arial" w:eastAsia="Arial" w:hAnsi="Arial"/>
          <w:sz w:val="19"/>
          <w:szCs w:val="19"/>
          <w:color w:val="auto"/>
        </w:rPr>
        <w:t>. This Agreement is subject to the terms and conditions of the Plan. In the event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 Notwithstanding anything in this Agreement to the contrary, Grantee acknowledges and agrees that this Agreement and the award described herein (and any settlement thereof) are subject to the terms and conditions of the Company’s clawback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w:t>
      </w:r>
      <w:r>
        <w:rPr>
          <w:rFonts w:ascii="Arial" w:cs="Arial" w:eastAsia="Arial" w:hAnsi="Arial"/>
          <w:sz w:val="19"/>
          <w:szCs w:val="19"/>
          <w:b w:val="1"/>
          <w:bCs w:val="1"/>
          <w:i w:val="1"/>
          <w:iCs w:val="1"/>
          <w:color w:val="auto"/>
        </w:rPr>
        <w:t>Compensation Recovery Policy</w:t>
      </w:r>
      <w:r>
        <w:rPr>
          <w:rFonts w:ascii="Arial" w:cs="Arial" w:eastAsia="Arial" w:hAnsi="Arial"/>
          <w:sz w:val="19"/>
          <w:szCs w:val="19"/>
          <w:color w:val="auto"/>
        </w:rPr>
        <w:t>”), and that relevant sections of this Agreement shall be deemed superseded by and subject to the terms and conditions of the Compensation Recovery Policy from and after the effective date thereof.</w:t>
      </w:r>
    </w:p>
    <w:p>
      <w:pPr>
        <w:spacing w:after="0" w:line="151" w:lineRule="exact"/>
        <w:rPr>
          <w:rFonts w:ascii="Arial" w:cs="Arial" w:eastAsia="Arial" w:hAnsi="Arial"/>
          <w:sz w:val="19"/>
          <w:szCs w:val="19"/>
          <w:color w:val="auto"/>
        </w:rPr>
      </w:pPr>
    </w:p>
    <w:p>
      <w:pPr>
        <w:ind w:right="80" w:firstLine="757"/>
        <w:spacing w:after="0" w:line="251" w:lineRule="auto"/>
        <w:tabs>
          <w:tab w:leader="none" w:pos="1498" w:val="left"/>
        </w:tabs>
        <w:numPr>
          <w:ilvl w:val="0"/>
          <w:numId w:val="57"/>
        </w:numPr>
        <w:rPr>
          <w:rFonts w:ascii="Arial" w:cs="Arial" w:eastAsia="Arial" w:hAnsi="Arial"/>
          <w:sz w:val="21"/>
          <w:szCs w:val="2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RSUs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Grantee’s participation in the Plan, or future awards that may be granted under the Plan, by electronic means or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68" w:lineRule="exact"/>
        <w:rPr>
          <w:rFonts w:ascii="Arial" w:cs="Arial" w:eastAsia="Arial" w:hAnsi="Arial"/>
          <w:sz w:val="21"/>
          <w:szCs w:val="21"/>
          <w:color w:val="auto"/>
        </w:rPr>
      </w:pPr>
    </w:p>
    <w:p>
      <w:pPr>
        <w:ind w:right="60" w:firstLine="757"/>
        <w:spacing w:after="0" w:line="243" w:lineRule="auto"/>
        <w:tabs>
          <w:tab w:leader="none" w:pos="1498"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governed by and construed with the internal substantive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without giving effect to any principle of law that would result in the application of the law of any other jurisdiction.</w:t>
      </w:r>
    </w:p>
    <w:p>
      <w:pPr>
        <w:spacing w:after="0" w:line="176" w:lineRule="exact"/>
        <w:rPr>
          <w:rFonts w:ascii="Arial" w:cs="Arial" w:eastAsia="Arial" w:hAnsi="Arial"/>
          <w:sz w:val="22"/>
          <w:szCs w:val="22"/>
          <w:color w:val="auto"/>
        </w:rPr>
      </w:pPr>
    </w:p>
    <w:p>
      <w:pPr>
        <w:ind w:firstLine="757"/>
        <w:spacing w:after="0" w:line="243" w:lineRule="auto"/>
        <w:tabs>
          <w:tab w:leader="none" w:pos="1498"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Without limiting</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Section 3</w:t>
      </w:r>
      <w:r>
        <w:rPr>
          <w:rFonts w:ascii="Arial" w:cs="Arial" w:eastAsia="Arial" w:hAnsi="Arial"/>
          <w:sz w:val="22"/>
          <w:szCs w:val="22"/>
          <w:b w:val="1"/>
          <w:bCs w:val="1"/>
          <w:color w:val="auto"/>
        </w:rPr>
        <w:t xml:space="preserve"> </w:t>
      </w:r>
      <w:r>
        <w:rPr>
          <w:rFonts w:ascii="Arial" w:cs="Arial" w:eastAsia="Arial" w:hAnsi="Arial"/>
          <w:sz w:val="22"/>
          <w:szCs w:val="22"/>
          <w:color w:val="auto"/>
        </w:rPr>
        <w:t>hereof, the provisions of this Agreement shall inure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benefit of, and be binding upon, the successors, administrators, heirs, legal representatives and assigns of the Grantee, and the successors and assigns of the Company.</w:t>
      </w:r>
    </w:p>
    <w:p>
      <w:pPr>
        <w:spacing w:after="0" w:line="176" w:lineRule="exact"/>
        <w:rPr>
          <w:rFonts w:ascii="Arial" w:cs="Arial" w:eastAsia="Arial" w:hAnsi="Arial"/>
          <w:sz w:val="22"/>
          <w:szCs w:val="22"/>
          <w:color w:val="auto"/>
        </w:rPr>
      </w:pPr>
    </w:p>
    <w:p>
      <w:pPr>
        <w:ind w:right="280" w:firstLine="757"/>
        <w:spacing w:after="0" w:line="243" w:lineRule="auto"/>
        <w:tabs>
          <w:tab w:leader="none" w:pos="1498"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Acknowledgement</w:t>
      </w:r>
      <w:r>
        <w:rPr>
          <w:rFonts w:ascii="Arial" w:cs="Arial" w:eastAsia="Arial" w:hAnsi="Arial"/>
          <w:sz w:val="22"/>
          <w:szCs w:val="22"/>
          <w:color w:val="auto"/>
        </w:rPr>
        <w:t>. The Grantee acknowledges that the Grantee (a) has received a copy of the Plan, (b) has</w:t>
      </w:r>
      <w:r>
        <w:rPr>
          <w:rFonts w:ascii="Arial" w:cs="Arial" w:eastAsia="Arial" w:hAnsi="Arial"/>
          <w:sz w:val="22"/>
          <w:szCs w:val="22"/>
          <w:b w:val="1"/>
          <w:bCs w:val="1"/>
          <w:color w:val="auto"/>
        </w:rPr>
        <w:t xml:space="preserve"> </w:t>
      </w:r>
      <w:r>
        <w:rPr>
          <w:rFonts w:ascii="Arial" w:cs="Arial" w:eastAsia="Arial" w:hAnsi="Arial"/>
          <w:sz w:val="22"/>
          <w:szCs w:val="22"/>
          <w:color w:val="auto"/>
        </w:rPr>
        <w:t>had an opportunity to review the terms of this Agreement and the Plan, (c) understands the terms and conditions of this Agreement and the Plan and (d) agrees to such terms and conditions.</w:t>
      </w:r>
    </w:p>
    <w:p>
      <w:pPr>
        <w:spacing w:after="0" w:line="176" w:lineRule="exact"/>
        <w:rPr>
          <w:rFonts w:ascii="Arial" w:cs="Arial" w:eastAsia="Arial" w:hAnsi="Arial"/>
          <w:sz w:val="22"/>
          <w:szCs w:val="22"/>
          <w:color w:val="auto"/>
        </w:rPr>
      </w:pPr>
    </w:p>
    <w:p>
      <w:pPr>
        <w:ind w:right="160" w:firstLine="757"/>
        <w:spacing w:after="0" w:line="256" w:lineRule="auto"/>
        <w:tabs>
          <w:tab w:leader="none" w:pos="1498" w:val="left"/>
        </w:tabs>
        <w:numPr>
          <w:ilvl w:val="0"/>
          <w:numId w:val="5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may be executed in one or more counterparts, each of which shall be deemed</w:t>
      </w:r>
      <w:r>
        <w:rPr>
          <w:rFonts w:ascii="Arial" w:cs="Arial" w:eastAsia="Arial" w:hAnsi="Arial"/>
          <w:sz w:val="22"/>
          <w:szCs w:val="22"/>
          <w:b w:val="1"/>
          <w:bCs w:val="1"/>
          <w:color w:val="auto"/>
        </w:rPr>
        <w:t xml:space="preserve"> </w:t>
      </w:r>
      <w:r>
        <w:rPr>
          <w:rFonts w:ascii="Arial" w:cs="Arial" w:eastAsia="Arial" w:hAnsi="Arial"/>
          <w:sz w:val="22"/>
          <w:szCs w:val="22"/>
          <w:color w:val="auto"/>
        </w:rPr>
        <w:t>to be an original but all of which together will constitute one and the same agreement.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[SIGNATURES ON FOLLOWING PAGE]</w:t>
      </w: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1440" w:gutter="0" w:footer="0" w:header="0"/>
        </w:sectPr>
      </w:pPr>
    </w:p>
    <w:bookmarkStart w:id="91" w:name="page92"/>
    <w:bookmarkEnd w:id="91"/>
    <w:p>
      <w:pPr>
        <w:ind w:left="4580"/>
        <w:spacing w:after="0"/>
        <w:rPr>
          <w:sz w:val="20"/>
          <w:szCs w:val="20"/>
          <w:color w:val="auto"/>
        </w:rPr>
      </w:pPr>
      <w:r>
        <w:rPr>
          <w:rFonts w:ascii="Arial" w:cs="Arial" w:eastAsia="Arial" w:hAnsi="Arial"/>
          <w:sz w:val="22"/>
          <w:szCs w:val="22"/>
          <w:b w:val="1"/>
          <w:bCs w:val="1"/>
          <w:color w:val="auto"/>
        </w:rPr>
        <w:t>CECO ENVIRONMENTAL CORP.</w:t>
      </w:r>
    </w:p>
    <w:p>
      <w:pPr>
        <w:spacing w:after="0" w:line="23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-17780</wp:posOffset>
            </wp:positionV>
            <wp:extent cx="165354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6">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b w:val="1"/>
          <w:bCs w:val="1"/>
          <w:color w:val="auto"/>
        </w:rPr>
        <w:t>[NAME]</w:t>
      </w:r>
    </w:p>
    <w:p>
      <w:pPr>
        <w:spacing w:after="0" w:line="1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b w:val="1"/>
          <w:bCs w:val="1"/>
          <w:color w:val="auto"/>
        </w:rPr>
        <w:t>[TITLE]</w:t>
      </w:r>
    </w:p>
    <w:p>
      <w:pPr>
        <w:spacing w:after="0" w:line="209" w:lineRule="exact"/>
        <w:rPr>
          <w:sz w:val="20"/>
          <w:szCs w:val="20"/>
          <w:color w:val="auto"/>
        </w:rPr>
      </w:pPr>
    </w:p>
    <w:p>
      <w:pPr>
        <w:ind w:left="4580"/>
        <w:spacing w:after="0"/>
        <w:rPr>
          <w:sz w:val="20"/>
          <w:szCs w:val="20"/>
          <w:color w:val="auto"/>
        </w:rPr>
      </w:pPr>
      <w:r>
        <w:rPr>
          <w:rFonts w:ascii="Arial" w:cs="Arial" w:eastAsia="Arial" w:hAnsi="Arial"/>
          <w:sz w:val="19"/>
          <w:szCs w:val="19"/>
          <w:b w:val="1"/>
          <w:bCs w:val="1"/>
          <w:color w:val="auto"/>
        </w:rPr>
        <w:t>Grantee Acknowledgment and Acceptance</w:t>
      </w:r>
    </w:p>
    <w:p>
      <w:pPr>
        <w:spacing w:after="0" w:line="274"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-17780</wp:posOffset>
            </wp:positionV>
            <wp:extent cx="165354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7">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180340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39"/>
          </w:cols>
          <w:pgMar w:left="620" w:top="315"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20"/>
          <w:szCs w:val="20"/>
          <w:color w:val="auto"/>
        </w:rPr>
        <w:t xml:space="preserve">AMENDMENT </w:t>
      </w:r>
      <w:r>
        <w:rPr>
          <w:rFonts w:ascii="Arial" w:cs="Arial" w:eastAsia="Arial" w:hAnsi="Arial"/>
          <w:sz w:val="20"/>
          <w:szCs w:val="20"/>
          <w:b w:val="1"/>
          <w:bCs w:val="1"/>
          <w:color w:val="auto"/>
        </w:rPr>
        <w:t>NO. 1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AMENDED AND RESTATED CREDIT AGREEMENT</w:t>
      </w:r>
    </w:p>
    <w:p>
      <w:pPr>
        <w:spacing w:after="0" w:line="200" w:lineRule="exact"/>
        <w:rPr>
          <w:sz w:val="20"/>
          <w:szCs w:val="20"/>
          <w:color w:val="auto"/>
        </w:rPr>
      </w:pPr>
    </w:p>
    <w:p>
      <w:pPr>
        <w:spacing w:after="0" w:line="210" w:lineRule="exact"/>
        <w:rPr>
          <w:sz w:val="20"/>
          <w:szCs w:val="20"/>
          <w:color w:val="auto"/>
        </w:rPr>
      </w:pPr>
    </w:p>
    <w:p>
      <w:pPr>
        <w:ind w:left="740"/>
        <w:spacing w:after="0"/>
        <w:tabs>
          <w:tab w:leader="none" w:pos="7620" w:val="left"/>
        </w:tabs>
        <w:rPr>
          <w:sz w:val="20"/>
          <w:szCs w:val="20"/>
          <w:color w:val="auto"/>
        </w:rPr>
      </w:pPr>
      <w:r>
        <w:rPr>
          <w:rFonts w:ascii="Arial" w:cs="Arial" w:eastAsia="Arial" w:hAnsi="Arial"/>
          <w:sz w:val="20"/>
          <w:szCs w:val="20"/>
          <w:b w:val="1"/>
          <w:bCs w:val="1"/>
          <w:color w:val="auto"/>
        </w:rPr>
        <w:t>THIS AMENDMENT NO. 1 TO SECOND AMENDED AND RESTATED</w:t>
        <w:tab/>
        <w:t>CREDIT</w:t>
      </w:r>
    </w:p>
    <w:p>
      <w:pPr>
        <w:spacing w:after="0" w:line="8" w:lineRule="exact"/>
        <w:rPr>
          <w:sz w:val="20"/>
          <w:szCs w:val="20"/>
          <w:color w:val="auto"/>
        </w:rPr>
      </w:pPr>
    </w:p>
    <w:p>
      <w:pPr>
        <w:jc w:val="both"/>
        <w:ind w:right="20"/>
        <w:spacing w:after="0" w:line="231" w:lineRule="auto"/>
        <w:rPr>
          <w:sz w:val="20"/>
          <w:szCs w:val="20"/>
          <w:color w:val="auto"/>
        </w:rPr>
      </w:pPr>
      <w:r>
        <w:rPr>
          <w:rFonts w:ascii="Arial" w:cs="Arial" w:eastAsia="Arial" w:hAnsi="Arial"/>
          <w:sz w:val="20"/>
          <w:szCs w:val="20"/>
          <w:b w:val="1"/>
          <w:bCs w:val="1"/>
          <w:color w:val="auto"/>
        </w:rPr>
        <w:t xml:space="preserve">AGREEMENT </w:t>
      </w:r>
      <w:r>
        <w:rPr>
          <w:rFonts w:ascii="Arial" w:cs="Arial" w:eastAsia="Arial" w:hAnsi="Arial"/>
          <w:sz w:val="20"/>
          <w:szCs w:val="20"/>
          <w:color w:val="auto"/>
        </w:rPr>
        <w:t>dated and effective as of October 30, 2020 (this “</w:t>
      </w:r>
      <w:r>
        <w:rPr>
          <w:rFonts w:ascii="Arial" w:cs="Arial" w:eastAsia="Arial" w:hAnsi="Arial"/>
          <w:sz w:val="20"/>
          <w:szCs w:val="20"/>
          <w:u w:val="single" w:color="auto"/>
          <w:color w:val="auto"/>
        </w:rPr>
        <w:t>Amendment</w:t>
      </w:r>
      <w:r>
        <w:rPr>
          <w:rFonts w:ascii="Arial" w:cs="Arial" w:eastAsia="Arial" w:hAnsi="Arial"/>
          <w:sz w:val="20"/>
          <w:szCs w:val="20"/>
          <w:color w:val="auto"/>
        </w:rPr>
        <w:t>”), is among CECO ENVIRONMENTAL CORP., a</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BANK OF AMERICA, N.A., in its capacity as the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each of the Subsidiary Guarantors party hereto and each of the Lenders party hereto.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08" w:lineRule="exact"/>
        <w:rPr>
          <w:sz w:val="20"/>
          <w:szCs w:val="20"/>
          <w:color w:val="auto"/>
        </w:rPr>
      </w:pPr>
    </w:p>
    <w:p>
      <w:pPr>
        <w:jc w:val="both"/>
        <w:ind w:firstLine="741"/>
        <w:spacing w:after="0" w:line="237" w:lineRule="auto"/>
        <w:tabs>
          <w:tab w:leader="none" w:pos="1489"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Company, the lenders party thereto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Administrative Agent have entered into a Second Amended and Restated Credit Agreement dated as of June 11, 2019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Capitalized terms used and not otherwise defined herein shall have the meanings ascribed to them in the Credit Agreement.</w:t>
      </w:r>
    </w:p>
    <w:p>
      <w:pPr>
        <w:spacing w:after="0" w:line="196" w:lineRule="exact"/>
        <w:rPr>
          <w:rFonts w:ascii="Arial" w:cs="Arial" w:eastAsia="Arial" w:hAnsi="Arial"/>
          <w:sz w:val="20"/>
          <w:szCs w:val="20"/>
          <w:color w:val="auto"/>
        </w:rPr>
      </w:pPr>
    </w:p>
    <w:p>
      <w:pPr>
        <w:ind w:firstLine="741"/>
        <w:spacing w:after="0" w:line="246" w:lineRule="auto"/>
        <w:tabs>
          <w:tab w:leader="none" w:pos="1489"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Subsidiary Guarantors and the Administrative Agent have entered into an Amended and Restated Subsidiary Guaranty Agreement dated as of June 11, 2019 (the “</w:t>
      </w:r>
      <w:r>
        <w:rPr>
          <w:rFonts w:ascii="Arial" w:cs="Arial" w:eastAsia="Arial" w:hAnsi="Arial"/>
          <w:sz w:val="20"/>
          <w:szCs w:val="20"/>
          <w:u w:val="single" w:color="auto"/>
          <w:color w:val="auto"/>
        </w:rPr>
        <w:t>Subsidiary Guaranty</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1480" w:hanging="739"/>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advised the Administrative Agent and the Lenders that it desires to amend the Credit Agreement as</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set forth herein.</w:t>
      </w:r>
    </w:p>
    <w:p>
      <w:pPr>
        <w:spacing w:after="0" w:line="199" w:lineRule="exact"/>
        <w:rPr>
          <w:rFonts w:ascii="Arial" w:cs="Arial" w:eastAsia="Arial" w:hAnsi="Arial"/>
          <w:sz w:val="18"/>
          <w:szCs w:val="18"/>
          <w:color w:val="auto"/>
        </w:rPr>
      </w:pPr>
    </w:p>
    <w:p>
      <w:pPr>
        <w:ind w:right="20" w:firstLine="741"/>
        <w:spacing w:after="0" w:line="246" w:lineRule="auto"/>
        <w:tabs>
          <w:tab w:leader="none" w:pos="1489" w:val="left"/>
        </w:tabs>
        <w:numPr>
          <w:ilvl w:val="0"/>
          <w:numId w:val="58"/>
        </w:numPr>
        <w:rPr>
          <w:rFonts w:ascii="Arial" w:cs="Arial" w:eastAsia="Arial" w:hAnsi="Arial"/>
          <w:sz w:val="20"/>
          <w:szCs w:val="20"/>
          <w:color w:val="auto"/>
        </w:rPr>
      </w:pPr>
      <w:r>
        <w:rPr>
          <w:rFonts w:ascii="Arial" w:cs="Arial" w:eastAsia="Arial" w:hAnsi="Arial"/>
          <w:sz w:val="20"/>
          <w:szCs w:val="20"/>
          <w:color w:val="auto"/>
        </w:rPr>
        <w:t>Subject to the terms and conditions set forth below, the Administrative Agent and the Lenders party hereto have agreed to so amend the Credit Agreement.</w:t>
      </w:r>
    </w:p>
    <w:p>
      <w:pPr>
        <w:spacing w:after="0" w:line="190" w:lineRule="exact"/>
        <w:rPr>
          <w:sz w:val="20"/>
          <w:szCs w:val="20"/>
          <w:color w:val="auto"/>
        </w:rPr>
      </w:pPr>
    </w:p>
    <w:p>
      <w:pPr>
        <w:ind w:left="740"/>
        <w:spacing w:after="0"/>
        <w:rPr>
          <w:sz w:val="20"/>
          <w:szCs w:val="20"/>
          <w:color w:val="auto"/>
        </w:rPr>
      </w:pPr>
      <w:r>
        <w:rPr>
          <w:rFonts w:ascii="Arial" w:cs="Arial" w:eastAsia="Arial" w:hAnsi="Arial"/>
          <w:sz w:val="20"/>
          <w:szCs w:val="20"/>
          <w:color w:val="auto"/>
        </w:rPr>
        <w:t>In furtherance of the foregoing, the parties agree as follows:</w:t>
      </w:r>
    </w:p>
    <w:p>
      <w:pPr>
        <w:spacing w:after="0" w:line="18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 xml:space="preserve">Section 1. </w:t>
      </w:r>
      <w:r>
        <w:rPr>
          <w:rFonts w:ascii="Arial" w:cs="Arial" w:eastAsia="Arial" w:hAnsi="Arial"/>
          <w:sz w:val="20"/>
          <w:szCs w:val="20"/>
          <w:b w:val="1"/>
          <w:bCs w:val="1"/>
          <w:u w:val="single" w:color="auto"/>
          <w:color w:val="auto"/>
        </w:rPr>
        <w:t>Amendments to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set forth herein and in reliance upon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representations and warranties set forth herein, </w:t>
      </w:r>
      <w:r>
        <w:rPr>
          <w:rFonts w:ascii="Arial" w:cs="Arial" w:eastAsia="Arial" w:hAnsi="Arial"/>
          <w:sz w:val="20"/>
          <w:szCs w:val="20"/>
          <w:u w:val="single" w:color="auto"/>
          <w:color w:val="auto"/>
        </w:rPr>
        <w:t>Section 7.05(f)</w:t>
      </w:r>
      <w:r>
        <w:rPr>
          <w:rFonts w:ascii="Arial" w:cs="Arial" w:eastAsia="Arial" w:hAnsi="Arial"/>
          <w:sz w:val="20"/>
          <w:szCs w:val="20"/>
          <w:color w:val="auto"/>
        </w:rPr>
        <w:t xml:space="preserve"> of the Credit Agreement is hereby amended and restated in its entirety as follows:</w:t>
      </w:r>
    </w:p>
    <w:p>
      <w:pPr>
        <w:spacing w:after="0" w:line="183" w:lineRule="exact"/>
        <w:rPr>
          <w:sz w:val="20"/>
          <w:szCs w:val="20"/>
          <w:color w:val="auto"/>
        </w:rPr>
      </w:pPr>
    </w:p>
    <w:p>
      <w:pPr>
        <w:ind w:left="740" w:firstLine="749"/>
        <w:spacing w:after="0" w:line="229" w:lineRule="auto"/>
        <w:rPr>
          <w:sz w:val="20"/>
          <w:szCs w:val="20"/>
          <w:color w:val="auto"/>
        </w:rPr>
      </w:pPr>
      <w:r>
        <w:rPr>
          <w:rFonts w:ascii="Arial" w:cs="Arial" w:eastAsia="Arial" w:hAnsi="Arial"/>
          <w:sz w:val="20"/>
          <w:szCs w:val="20"/>
          <w:color w:val="auto"/>
        </w:rPr>
        <w:t xml:space="preserve">(f) (i) Dispositions of accounts receivable that are at least 180 days past due or are owing from obligors that are the subject of proceedings of the types described in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and (ii) Dispositions of accounts receivable in connection with supply chain finance programs in the ordinary course of business and not as part of a factoring or financing or securitization transaction;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the foregoing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 any such Disposition must be made without recourse for credit risk to the Company or its Subsidiaries and otherwise on terms customary for supply chain finance arrangements (as determined by the Administrative Agent in its reasonable discretion) and (B) the aggregate amount of accounts receivable sold, assigned, conveyed or otherwise transferred pursuant to the foregoing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not exceed $15,000,000 at any one time outstanding;</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amendments to the Credit Agreement are limited to the extent specifically set forth above and no other terms, covenants or provisions of the Loan Documents are intended to be effected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349885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16" w:right="459" w:bottom="1440" w:gutter="0" w:footer="0" w:header="0"/>
        </w:sectPr>
      </w:pPr>
    </w:p>
    <w:bookmarkStart w:id="93" w:name="page94"/>
    <w:bookmarkEnd w:id="93"/>
    <w:p>
      <w:pPr>
        <w:ind w:left="120" w:firstLine="749"/>
        <w:spacing w:after="0" w:line="252" w:lineRule="auto"/>
        <w:rPr>
          <w:sz w:val="20"/>
          <w:szCs w:val="20"/>
          <w:color w:val="auto"/>
        </w:rPr>
      </w:pPr>
      <w:r>
        <w:rPr>
          <w:rFonts w:ascii="Arial" w:cs="Arial" w:eastAsia="Arial" w:hAnsi="Arial"/>
          <w:sz w:val="20"/>
          <w:szCs w:val="20"/>
          <w:b w:val="1"/>
          <w:bCs w:val="1"/>
          <w:color w:val="auto"/>
        </w:rPr>
        <w:t xml:space="preserve">Section 2. </w:t>
      </w:r>
      <w:r>
        <w:rPr>
          <w:rFonts w:ascii="Arial" w:cs="Arial" w:eastAsia="Arial" w:hAnsi="Arial"/>
          <w:sz w:val="20"/>
          <w:szCs w:val="20"/>
          <w:b w:val="1"/>
          <w:bCs w:val="1"/>
          <w:u w:val="single" w:color="auto"/>
          <w:color w:val="auto"/>
        </w:rPr>
        <w:t>Conditions Precedent</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effectiveness of this Amendment and the amendments contemplated hereby is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satisfaction of the following conditions precedent:</w:t>
      </w:r>
    </w:p>
    <w:p>
      <w:pPr>
        <w:spacing w:after="0" w:line="171" w:lineRule="exact"/>
        <w:rPr>
          <w:sz w:val="20"/>
          <w:szCs w:val="20"/>
          <w:color w:val="auto"/>
        </w:rPr>
      </w:pPr>
    </w:p>
    <w:p>
      <w:pPr>
        <w:ind w:left="120" w:right="20" w:firstLine="741"/>
        <w:spacing w:after="0" w:line="272" w:lineRule="auto"/>
        <w:tabs>
          <w:tab w:leader="none" w:pos="160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The Administrative Agent shall have received counterparts of this Amendment, duly executed and delivered by the Company, the Subsidiary Guarantors, the Administrative Agent and Lenders constituting Required Lenders.</w:t>
      </w:r>
    </w:p>
    <w:p>
      <w:pPr>
        <w:spacing w:after="0" w:line="166" w:lineRule="exact"/>
        <w:rPr>
          <w:rFonts w:ascii="Arial" w:cs="Arial" w:eastAsia="Arial" w:hAnsi="Arial"/>
          <w:sz w:val="19"/>
          <w:szCs w:val="19"/>
          <w:color w:val="auto"/>
        </w:rPr>
      </w:pPr>
    </w:p>
    <w:p>
      <w:pPr>
        <w:jc w:val="both"/>
        <w:ind w:left="120" w:firstLine="741"/>
        <w:spacing w:after="0" w:line="248" w:lineRule="auto"/>
        <w:tabs>
          <w:tab w:leader="none" w:pos="1609"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The Company shall have paid (i) all fees payable to the Lenders pursuant to that certain engagement letter dated as of October 30, 2020 (the “</w:t>
      </w:r>
      <w:r>
        <w:rPr>
          <w:rFonts w:ascii="Arial" w:cs="Arial" w:eastAsia="Arial" w:hAnsi="Arial"/>
          <w:sz w:val="19"/>
          <w:szCs w:val="19"/>
          <w:u w:val="single" w:color="auto"/>
          <w:color w:val="auto"/>
        </w:rPr>
        <w:t>Engagement Letter</w:t>
      </w:r>
      <w:r>
        <w:rPr>
          <w:rFonts w:ascii="Arial" w:cs="Arial" w:eastAsia="Arial" w:hAnsi="Arial"/>
          <w:sz w:val="19"/>
          <w:szCs w:val="19"/>
          <w:color w:val="auto"/>
        </w:rPr>
        <w:t>”) between the Company and BofA Securities, Inc. and (ii) all reasonable and documented out-of-pocket fees, charges and disbursements of counsel to the Administrative Agent (directly to such counsel if requested by the Administrative Agent) to the extent invoiced at least two days prior to the date hereof.</w:t>
      </w:r>
    </w:p>
    <w:p>
      <w:pPr>
        <w:spacing w:after="0" w:line="177" w:lineRule="exact"/>
        <w:rPr>
          <w:sz w:val="20"/>
          <w:szCs w:val="20"/>
          <w:color w:val="auto"/>
        </w:rPr>
      </w:pPr>
    </w:p>
    <w:p>
      <w:pPr>
        <w:ind w:left="120" w:firstLine="749"/>
        <w:spacing w:after="0" w:line="246" w:lineRule="auto"/>
        <w:rPr>
          <w:sz w:val="20"/>
          <w:szCs w:val="20"/>
          <w:color w:val="auto"/>
        </w:rPr>
      </w:pPr>
      <w:r>
        <w:rPr>
          <w:rFonts w:ascii="Arial" w:cs="Arial" w:eastAsia="Arial" w:hAnsi="Arial"/>
          <w:sz w:val="20"/>
          <w:szCs w:val="20"/>
          <w:color w:val="auto"/>
        </w:rPr>
        <w:t xml:space="preserve">Upon satisfaction of the conditions set forth in this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and the effectiveness of this Amendment, the Administrative Agent shall provide notice of such effectiveness to the Company and the Lenders.</w:t>
      </w:r>
    </w:p>
    <w:p>
      <w:pPr>
        <w:spacing w:after="0" w:line="171" w:lineRule="exact"/>
        <w:rPr>
          <w:sz w:val="20"/>
          <w:szCs w:val="20"/>
          <w:color w:val="auto"/>
        </w:rPr>
      </w:pPr>
    </w:p>
    <w:p>
      <w:pPr>
        <w:ind w:left="860"/>
        <w:spacing w:after="0"/>
        <w:tabs>
          <w:tab w:leader="none" w:pos="202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6"/>
          <w:szCs w:val="16"/>
          <w:b w:val="1"/>
          <w:bCs w:val="1"/>
          <w:u w:val="single" w:color="auto"/>
          <w:color w:val="auto"/>
        </w:rPr>
        <w:t>Representations and Warranties</w:t>
      </w:r>
      <w:r>
        <w:rPr>
          <w:rFonts w:ascii="Arial" w:cs="Arial" w:eastAsia="Arial" w:hAnsi="Arial"/>
          <w:sz w:val="16"/>
          <w:szCs w:val="16"/>
          <w:b w:val="1"/>
          <w:bCs w:val="1"/>
          <w:color w:val="auto"/>
        </w:rPr>
        <w:t>.</w:t>
      </w:r>
    </w:p>
    <w:p>
      <w:pPr>
        <w:spacing w:after="0" w:line="195" w:lineRule="exact"/>
        <w:rPr>
          <w:sz w:val="20"/>
          <w:szCs w:val="20"/>
          <w:color w:val="auto"/>
        </w:rPr>
      </w:pPr>
    </w:p>
    <w:p>
      <w:pPr>
        <w:ind w:left="120" w:firstLine="741"/>
        <w:spacing w:after="0" w:line="246" w:lineRule="auto"/>
        <w:tabs>
          <w:tab w:leader="none" w:pos="1609" w:val="left"/>
        </w:tabs>
        <w:numPr>
          <w:ilvl w:val="0"/>
          <w:numId w:val="60"/>
        </w:numPr>
        <w:rPr>
          <w:rFonts w:ascii="Arial" w:cs="Arial" w:eastAsia="Arial" w:hAnsi="Arial"/>
          <w:sz w:val="20"/>
          <w:szCs w:val="20"/>
          <w:color w:val="auto"/>
        </w:rPr>
      </w:pPr>
      <w:r>
        <w:rPr>
          <w:rFonts w:ascii="Arial" w:cs="Arial" w:eastAsia="Arial" w:hAnsi="Arial"/>
          <w:sz w:val="20"/>
          <w:szCs w:val="20"/>
          <w:color w:val="auto"/>
        </w:rPr>
        <w:t>In order to induce the Administrative Agent and the Lenders to enter into this Amendment, the Company represents and warrants to the Administrative Agent and the Lenders as follows:</w:t>
      </w:r>
    </w:p>
    <w:p>
      <w:pPr>
        <w:spacing w:after="0" w:line="176" w:lineRule="exact"/>
        <w:rPr>
          <w:rFonts w:ascii="Arial" w:cs="Arial" w:eastAsia="Arial" w:hAnsi="Arial"/>
          <w:sz w:val="20"/>
          <w:szCs w:val="20"/>
          <w:color w:val="auto"/>
        </w:rPr>
      </w:pPr>
    </w:p>
    <w:p>
      <w:pPr>
        <w:jc w:val="both"/>
        <w:ind w:left="860" w:firstLine="750"/>
        <w:spacing w:after="0" w:line="299" w:lineRule="auto"/>
        <w:tabs>
          <w:tab w:leader="none" w:pos="2349"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After giving effect to this Amendment, the representations and warranties of the Company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Credit Agreement and in each other Loan Document are true and correct in all material respects on and as of the date hereof, except to the extent that such representations and warranties specifically refer to an earlier date, in which case they are true and correct in all material respects as of such earlier date, and except that for purposes of this Amendment, the representations and warranties contained in </w:t>
      </w:r>
      <w:r>
        <w:rPr>
          <w:rFonts w:ascii="Arial" w:cs="Arial" w:eastAsia="Arial" w:hAnsi="Arial"/>
          <w:sz w:val="16"/>
          <w:szCs w:val="16"/>
          <w:u w:val="single" w:color="auto"/>
          <w:color w:val="auto"/>
        </w:rPr>
        <w:t>Sections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Credit Agreement shall be deemed to refer to the most recent statements furnished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 of the Credit Agreement.</w:t>
      </w:r>
    </w:p>
    <w:p>
      <w:pPr>
        <w:spacing w:after="0" w:line="136" w:lineRule="exact"/>
        <w:rPr>
          <w:rFonts w:ascii="Arial" w:cs="Arial" w:eastAsia="Arial" w:hAnsi="Arial"/>
          <w:sz w:val="16"/>
          <w:szCs w:val="16"/>
          <w:color w:val="auto"/>
        </w:rPr>
      </w:pPr>
    </w:p>
    <w:p>
      <w:pPr>
        <w:ind w:left="860" w:right="20" w:firstLine="750"/>
        <w:spacing w:after="0" w:line="246" w:lineRule="auto"/>
        <w:tabs>
          <w:tab w:leader="none" w:pos="2349" w:val="left"/>
        </w:tabs>
        <w:numPr>
          <w:ilvl w:val="1"/>
          <w:numId w:val="60"/>
        </w:numPr>
        <w:rPr>
          <w:rFonts w:ascii="Arial" w:cs="Arial" w:eastAsia="Arial" w:hAnsi="Arial"/>
          <w:sz w:val="20"/>
          <w:szCs w:val="20"/>
          <w:color w:val="auto"/>
        </w:rPr>
      </w:pPr>
      <w:r>
        <w:rPr>
          <w:rFonts w:ascii="Arial" w:cs="Arial" w:eastAsia="Arial" w:hAnsi="Arial"/>
          <w:sz w:val="20"/>
          <w:szCs w:val="20"/>
          <w:color w:val="auto"/>
        </w:rPr>
        <w:t>Since December 31, 2018, there has been no event or circumstance, either individually or in the aggregate, that has had or could reasonably be expected to have a Material Adverse Effect.</w:t>
      </w:r>
    </w:p>
    <w:p>
      <w:pPr>
        <w:spacing w:after="0" w:line="176" w:lineRule="exact"/>
        <w:rPr>
          <w:rFonts w:ascii="Arial" w:cs="Arial" w:eastAsia="Arial" w:hAnsi="Arial"/>
          <w:sz w:val="20"/>
          <w:szCs w:val="20"/>
          <w:color w:val="auto"/>
        </w:rPr>
      </w:pPr>
    </w:p>
    <w:p>
      <w:pPr>
        <w:ind w:left="2360" w:hanging="750"/>
        <w:spacing w:after="0"/>
        <w:tabs>
          <w:tab w:leader="none" w:pos="2360" w:val="left"/>
        </w:tabs>
        <w:numPr>
          <w:ilvl w:val="1"/>
          <w:numId w:val="60"/>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will exist after giving effect to this</w:t>
      </w:r>
    </w:p>
    <w:p>
      <w:pPr>
        <w:spacing w:after="0" w:line="2" w:lineRule="exact"/>
        <w:rPr>
          <w:rFonts w:ascii="Arial" w:cs="Arial" w:eastAsia="Arial" w:hAnsi="Arial"/>
          <w:sz w:val="20"/>
          <w:szCs w:val="20"/>
          <w:color w:val="auto"/>
        </w:rPr>
      </w:pPr>
    </w:p>
    <w:p>
      <w:pPr>
        <w:ind w:left="860"/>
        <w:spacing w:after="0"/>
        <w:rPr>
          <w:rFonts w:ascii="Arial" w:cs="Arial" w:eastAsia="Arial" w:hAnsi="Arial"/>
          <w:sz w:val="20"/>
          <w:szCs w:val="20"/>
          <w:color w:val="auto"/>
        </w:rPr>
      </w:pPr>
      <w:r>
        <w:rPr>
          <w:rFonts w:ascii="Arial" w:cs="Arial" w:eastAsia="Arial" w:hAnsi="Arial"/>
          <w:sz w:val="20"/>
          <w:szCs w:val="20"/>
          <w:color w:val="auto"/>
        </w:rPr>
        <w:t>Amendment.</w:t>
      </w:r>
    </w:p>
    <w:p>
      <w:pPr>
        <w:spacing w:after="0" w:line="186" w:lineRule="exact"/>
        <w:rPr>
          <w:rFonts w:ascii="Arial" w:cs="Arial" w:eastAsia="Arial" w:hAnsi="Arial"/>
          <w:sz w:val="20"/>
          <w:szCs w:val="20"/>
          <w:color w:val="auto"/>
        </w:rPr>
      </w:pPr>
    </w:p>
    <w:p>
      <w:pPr>
        <w:jc w:val="both"/>
        <w:ind w:left="120" w:firstLine="741"/>
        <w:spacing w:after="0" w:line="263" w:lineRule="auto"/>
        <w:tabs>
          <w:tab w:leader="none" w:pos="160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order to induce the Administrative Agent and the Lenders to enter into this Amendment, each of the Company and each Subsidiary Guarantor represents and warrants to the Administrative Agent and the Lenders that this Amendment has been duly authorized, executed and delivered by it and constitutes its legal, valid and binding obligation,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56" w:lineRule="exact"/>
        <w:rPr>
          <w:sz w:val="20"/>
          <w:szCs w:val="20"/>
          <w:color w:val="auto"/>
        </w:rPr>
      </w:pPr>
    </w:p>
    <w:p>
      <w:pPr>
        <w:ind w:left="860"/>
        <w:spacing w:after="0"/>
        <w:tabs>
          <w:tab w:leader="none" w:pos="2020" w:val="left"/>
        </w:tabs>
        <w:rPr>
          <w:sz w:val="20"/>
          <w:szCs w:val="20"/>
          <w:color w:val="auto"/>
        </w:rPr>
      </w:pPr>
      <w:r>
        <w:rPr>
          <w:rFonts w:ascii="Arial" w:cs="Arial" w:eastAsia="Arial" w:hAnsi="Arial"/>
          <w:sz w:val="20"/>
          <w:szCs w:val="20"/>
          <w:b w:val="1"/>
          <w:bCs w:val="1"/>
          <w:color w:val="auto"/>
        </w:rPr>
        <w:t>Section 4.</w:t>
      </w:r>
      <w:r>
        <w:rPr>
          <w:sz w:val="20"/>
          <w:szCs w:val="20"/>
          <w:color w:val="auto"/>
        </w:rPr>
        <w:tab/>
      </w:r>
      <w:r>
        <w:rPr>
          <w:rFonts w:ascii="Arial" w:cs="Arial" w:eastAsia="Arial" w:hAnsi="Arial"/>
          <w:sz w:val="16"/>
          <w:szCs w:val="16"/>
          <w:b w:val="1"/>
          <w:bCs w:val="1"/>
          <w:u w:val="single" w:color="auto"/>
          <w:color w:val="auto"/>
        </w:rPr>
        <w:t>Miscellaneous</w:t>
      </w:r>
      <w:r>
        <w:rPr>
          <w:rFonts w:ascii="Arial" w:cs="Arial" w:eastAsia="Arial" w:hAnsi="Arial"/>
          <w:sz w:val="16"/>
          <w:szCs w:val="16"/>
          <w:b w:val="1"/>
          <w:bCs w:val="1"/>
          <w:color w:val="auto"/>
        </w:rPr>
        <w:t>.</w:t>
      </w:r>
    </w:p>
    <w:p>
      <w:pPr>
        <w:sectPr>
          <w:pgSz w:w="11900" w:h="16838" w:orient="portrait"/>
          <w:cols w:equalWidth="0" w:num="1">
            <w:col w:w="11100"/>
          </w:cols>
          <w:pgMar w:left="340" w:top="616" w:right="459" w:bottom="1440" w:gutter="0" w:footer="0" w:header="0"/>
        </w:sectPr>
      </w:pPr>
    </w:p>
    <w:p>
      <w:pPr>
        <w:spacing w:after="0" w:line="208" w:lineRule="exact"/>
        <w:rPr>
          <w:sz w:val="20"/>
          <w:szCs w:val="20"/>
          <w:color w:val="auto"/>
        </w:rPr>
      </w:pPr>
    </w:p>
    <w:p>
      <w:pPr>
        <w:ind w:left="120" w:firstLine="741"/>
        <w:spacing w:after="0" w:line="368" w:lineRule="auto"/>
        <w:tabs>
          <w:tab w:leader="none" w:pos="1609"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Ratification and Confirmation of Loan Documents</w:t>
      </w:r>
      <w:r>
        <w:rPr>
          <w:rFonts w:ascii="Arial" w:cs="Arial" w:eastAsia="Arial" w:hAnsi="Arial"/>
          <w:sz w:val="16"/>
          <w:szCs w:val="16"/>
          <w:color w:val="auto"/>
        </w:rPr>
        <w:t>. consents, acknowledges and agrees to the amendments set forth herein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140" w:firstLine="113"/>
        <w:spacing w:after="0" w:line="246" w:lineRule="auto"/>
        <w:rPr>
          <w:sz w:val="20"/>
          <w:szCs w:val="20"/>
          <w:color w:val="auto"/>
        </w:rPr>
      </w:pPr>
      <w:r>
        <w:rPr>
          <w:rFonts w:ascii="Arial" w:cs="Arial" w:eastAsia="Arial" w:hAnsi="Arial"/>
          <w:sz w:val="20"/>
          <w:szCs w:val="20"/>
          <w:color w:val="auto"/>
        </w:rPr>
        <w:t>Each of the Company and each Subsidiary Guarantor hereby and</w:t>
      </w:r>
    </w:p>
    <w:p>
      <w:pPr>
        <w:spacing w:after="0" w:line="171" w:lineRule="exact"/>
        <w:rPr>
          <w:sz w:val="20"/>
          <w:szCs w:val="20"/>
          <w:color w:val="auto"/>
        </w:rPr>
      </w:pPr>
    </w:p>
    <w:p>
      <w:pPr>
        <w:sectPr>
          <w:pgSz w:w="11900" w:h="16838" w:orient="portrait"/>
          <w:cols w:equalWidth="0" w:num="2">
            <w:col w:w="5800" w:space="100"/>
            <w:col w:w="5200"/>
          </w:cols>
          <w:pgMar w:left="340" w:top="616" w:right="45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136080510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616" w:right="459" w:bottom="1440" w:gutter="0" w:footer="0" w:header="0"/>
          <w:type w:val="continuous"/>
        </w:sectPr>
      </w:pPr>
    </w:p>
    <w:bookmarkStart w:id="94" w:name="page95"/>
    <w:bookmarkEnd w:id="94"/>
    <w:p>
      <w:pPr>
        <w:jc w:val="both"/>
        <w:ind w:left="120"/>
        <w:spacing w:after="0" w:line="267" w:lineRule="auto"/>
        <w:rPr>
          <w:sz w:val="20"/>
          <w:szCs w:val="20"/>
          <w:color w:val="auto"/>
        </w:rPr>
      </w:pPr>
      <w:r>
        <w:rPr>
          <w:rFonts w:ascii="Arial" w:cs="Arial" w:eastAsia="Arial" w:hAnsi="Arial"/>
          <w:sz w:val="18"/>
          <w:szCs w:val="18"/>
          <w:color w:val="auto"/>
        </w:rPr>
        <w:t>hereby confirms and ratifies in all respects the Loan Documents to which such Person is a party (including without limitation, with respect to each Subsidiary Guarantor, the continuation of its payment and performance obligations under the Subsidiary Guaranty and, with respect to both the Company and each Subsidiary Guarantor, the continuation and extension of the liens granted under the Collateral Documents to secure the Secured Obligations), in each case after giving effect to the amendments contemplated hereby.</w:t>
      </w:r>
    </w:p>
    <w:p>
      <w:pPr>
        <w:spacing w:after="0" w:line="159" w:lineRule="exact"/>
        <w:rPr>
          <w:sz w:val="20"/>
          <w:szCs w:val="20"/>
          <w:color w:val="auto"/>
        </w:rPr>
      </w:pPr>
    </w:p>
    <w:p>
      <w:pPr>
        <w:jc w:val="both"/>
        <w:ind w:left="120" w:firstLine="742"/>
        <w:spacing w:after="0" w:line="234" w:lineRule="auto"/>
        <w:tabs>
          <w:tab w:leader="none" w:pos="161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xml:space="preserve">. The Company shall pay on demand all reasonable costs and expenses of the Administrative Agent in connection with the preparation, negotiation, execution, and delivery of this Amendment and any other documents prepared in connection herewith, including, without limitation, the reasonable fees and out-of-pocket expenses of counsel for the Administrative Agent, in each case, as set forth in </w:t>
      </w:r>
      <w:r>
        <w:rPr>
          <w:rFonts w:ascii="Arial" w:cs="Arial" w:eastAsia="Arial" w:hAnsi="Arial"/>
          <w:sz w:val="20"/>
          <w:szCs w:val="20"/>
          <w:u w:val="single" w:color="auto"/>
          <w:color w:val="auto"/>
        </w:rPr>
        <w:t>Section 10.04(a)</w:t>
      </w:r>
      <w:r>
        <w:rPr>
          <w:rFonts w:ascii="Arial" w:cs="Arial" w:eastAsia="Arial" w:hAnsi="Arial"/>
          <w:sz w:val="20"/>
          <w:szCs w:val="20"/>
          <w:color w:val="auto"/>
        </w:rPr>
        <w:t xml:space="preserve"> of the Credit Agreement.</w:t>
      </w:r>
    </w:p>
    <w:p>
      <w:pPr>
        <w:spacing w:after="0" w:line="183" w:lineRule="exact"/>
        <w:rPr>
          <w:rFonts w:ascii="Arial" w:cs="Arial" w:eastAsia="Arial" w:hAnsi="Arial"/>
          <w:sz w:val="20"/>
          <w:szCs w:val="20"/>
          <w:color w:val="auto"/>
        </w:rPr>
      </w:pPr>
    </w:p>
    <w:p>
      <w:pPr>
        <w:ind w:left="120" w:firstLine="741"/>
        <w:spacing w:after="0" w:line="246" w:lineRule="auto"/>
        <w:tabs>
          <w:tab w:leader="none" w:pos="1609"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and subsection headings in this Amendment are included herein for convenience of reference only and shall not constitute a part of this Amendment for any other purpose or be given any substantive effect.</w:t>
      </w:r>
    </w:p>
    <w:p>
      <w:pPr>
        <w:spacing w:after="0" w:line="176" w:lineRule="exact"/>
        <w:rPr>
          <w:rFonts w:ascii="Arial" w:cs="Arial" w:eastAsia="Arial" w:hAnsi="Arial"/>
          <w:sz w:val="20"/>
          <w:szCs w:val="20"/>
          <w:color w:val="auto"/>
        </w:rPr>
      </w:pPr>
    </w:p>
    <w:p>
      <w:pPr>
        <w:jc w:val="both"/>
        <w:ind w:left="120" w:firstLine="741"/>
        <w:spacing w:after="0" w:line="237" w:lineRule="auto"/>
        <w:tabs>
          <w:tab w:leader="none" w:pos="1609"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Waiver of Jury Trial; Etc</w:t>
      </w:r>
      <w:r>
        <w:rPr>
          <w:rFonts w:ascii="Arial" w:cs="Arial" w:eastAsia="Arial" w:hAnsi="Arial"/>
          <w:sz w:val="20"/>
          <w:szCs w:val="20"/>
          <w:color w:val="auto"/>
        </w:rPr>
        <w:t xml:space="preserve">. This Amendment shall be governed by and construed in accordance with the laws of the State of New York, and shall be further subject to the provisions of </w:t>
      </w:r>
      <w:r>
        <w:rPr>
          <w:rFonts w:ascii="Arial" w:cs="Arial" w:eastAsia="Arial" w:hAnsi="Arial"/>
          <w:sz w:val="20"/>
          <w:szCs w:val="20"/>
          <w:u w:val="single" w:color="auto"/>
          <w:color w:val="auto"/>
        </w:rPr>
        <w:t>Sections 10.14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10.15</w:t>
      </w:r>
      <w:r>
        <w:rPr>
          <w:rFonts w:ascii="Arial" w:cs="Arial" w:eastAsia="Arial" w:hAnsi="Arial"/>
          <w:sz w:val="20"/>
          <w:szCs w:val="20"/>
          <w:color w:val="auto"/>
        </w:rPr>
        <w:t xml:space="preserve"> of the Credit Agreement.</w:t>
      </w:r>
    </w:p>
    <w:p>
      <w:pPr>
        <w:spacing w:after="0" w:line="182" w:lineRule="exact"/>
        <w:rPr>
          <w:rFonts w:ascii="Arial" w:cs="Arial" w:eastAsia="Arial" w:hAnsi="Arial"/>
          <w:sz w:val="20"/>
          <w:szCs w:val="20"/>
          <w:color w:val="auto"/>
        </w:rPr>
      </w:pPr>
    </w:p>
    <w:p>
      <w:pPr>
        <w:jc w:val="both"/>
        <w:ind w:left="120" w:firstLine="741"/>
        <w:spacing w:after="0" w:line="234" w:lineRule="auto"/>
        <w:tabs>
          <w:tab w:leader="none" w:pos="1609"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when executed and delivered shall be deemed to be an original, and all of which when taken together shall constitute one and the same agreement. Delivery of an executed counterpart of a signature page of this Amendment by facsimile or electronic transmission (including .pdf file) shall be effective as delivery of a manually executed counterpart hereof.</w:t>
      </w:r>
    </w:p>
    <w:p>
      <w:pPr>
        <w:spacing w:after="0" w:line="183" w:lineRule="exact"/>
        <w:rPr>
          <w:rFonts w:ascii="Arial" w:cs="Arial" w:eastAsia="Arial" w:hAnsi="Arial"/>
          <w:sz w:val="20"/>
          <w:szCs w:val="20"/>
          <w:color w:val="auto"/>
        </w:rPr>
      </w:pPr>
    </w:p>
    <w:p>
      <w:pPr>
        <w:jc w:val="both"/>
        <w:ind w:left="120" w:firstLine="741"/>
        <w:spacing w:after="0" w:line="257" w:lineRule="auto"/>
        <w:tabs>
          <w:tab w:leader="none" w:pos="160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Engagement Letter and the other Loan Documents (collectively, the “</w:t>
      </w:r>
      <w:r>
        <w:rPr>
          <w:rFonts w:ascii="Arial" w:cs="Arial" w:eastAsia="Arial" w:hAnsi="Arial"/>
          <w:sz w:val="18"/>
          <w:szCs w:val="18"/>
          <w:u w:val="single" w:color="auto"/>
          <w:color w:val="auto"/>
        </w:rPr>
        <w:t>Relevant Documents</w:t>
      </w:r>
      <w:r>
        <w:rPr>
          <w:rFonts w:ascii="Arial" w:cs="Arial" w:eastAsia="Arial" w:hAnsi="Arial"/>
          <w:sz w:val="18"/>
          <w:szCs w:val="18"/>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of the Credit Agreement.</w:t>
      </w:r>
    </w:p>
    <w:p>
      <w:pPr>
        <w:spacing w:after="0" w:line="170" w:lineRule="exact"/>
        <w:rPr>
          <w:rFonts w:ascii="Arial" w:cs="Arial" w:eastAsia="Arial" w:hAnsi="Arial"/>
          <w:sz w:val="18"/>
          <w:szCs w:val="18"/>
          <w:color w:val="auto"/>
        </w:rPr>
      </w:pPr>
    </w:p>
    <w:p>
      <w:pPr>
        <w:jc w:val="both"/>
        <w:ind w:left="120" w:firstLine="741"/>
        <w:spacing w:after="0" w:line="237" w:lineRule="auto"/>
        <w:tabs>
          <w:tab w:leader="none" w:pos="1609"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Enforceability</w:t>
      </w:r>
      <w:r>
        <w:rPr>
          <w:rFonts w:ascii="Arial" w:cs="Arial" w:eastAsia="Arial" w:hAnsi="Arial"/>
          <w:sz w:val="20"/>
          <w:szCs w:val="20"/>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82" w:lineRule="exact"/>
        <w:rPr>
          <w:rFonts w:ascii="Arial" w:cs="Arial" w:eastAsia="Arial" w:hAnsi="Arial"/>
          <w:sz w:val="20"/>
          <w:szCs w:val="20"/>
          <w:color w:val="auto"/>
        </w:rPr>
      </w:pPr>
    </w:p>
    <w:p>
      <w:pPr>
        <w:ind w:left="120" w:firstLine="741"/>
        <w:spacing w:after="0" w:line="246" w:lineRule="auto"/>
        <w:tabs>
          <w:tab w:leader="none" w:pos="1609"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Amendment shall be binding upon and inure to the benefit of the parties hereto and their respective successors and assigns (subject to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of the Credit Agreement).</w:t>
      </w:r>
    </w:p>
    <w:p>
      <w:pPr>
        <w:spacing w:after="0" w:line="177" w:lineRule="exact"/>
        <w:rPr>
          <w:sz w:val="20"/>
          <w:szCs w:val="20"/>
          <w:color w:val="auto"/>
        </w:rPr>
      </w:pPr>
    </w:p>
    <w:p>
      <w:pPr>
        <w:ind w:left="1720"/>
        <w:spacing w:after="0"/>
        <w:rPr>
          <w:sz w:val="20"/>
          <w:szCs w:val="20"/>
          <w:color w:val="auto"/>
        </w:rPr>
      </w:pPr>
      <w:r>
        <w:rPr>
          <w:rFonts w:ascii="Arial" w:cs="Arial" w:eastAsia="Arial" w:hAnsi="Arial"/>
          <w:sz w:val="20"/>
          <w:szCs w:val="20"/>
          <w:i w:val="1"/>
          <w:iCs w:val="1"/>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136080510 </w:t>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69215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622" w:right="459" w:bottom="1440" w:gutter="0" w:footer="0" w:header="0"/>
        </w:sectPr>
      </w:pPr>
    </w:p>
    <w:bookmarkStart w:id="95" w:name="page96"/>
    <w:bookmarkEnd w:id="95"/>
    <w:p>
      <w:pPr>
        <w:ind w:left="380"/>
        <w:spacing w:after="0"/>
        <w:rPr>
          <w:sz w:val="20"/>
          <w:szCs w:val="20"/>
          <w:color w:val="auto"/>
        </w:rPr>
      </w:pPr>
      <w:r>
        <w:rPr>
          <w:rFonts w:ascii="Arial" w:cs="Arial" w:eastAsia="Arial" w:hAnsi="Arial"/>
          <w:sz w:val="20"/>
          <w:szCs w:val="20"/>
          <w:color w:val="auto"/>
        </w:rPr>
        <w:t>The following parties have caused this Amendment to be executed as of the date first written above.</w:t>
      </w:r>
    </w:p>
    <w:p>
      <w:pPr>
        <w:spacing w:after="0" w:line="200" w:lineRule="exact"/>
        <w:rPr>
          <w:sz w:val="20"/>
          <w:szCs w:val="20"/>
          <w:color w:val="auto"/>
        </w:rPr>
      </w:pPr>
    </w:p>
    <w:p>
      <w:pPr>
        <w:spacing w:after="0" w:line="206" w:lineRule="exact"/>
        <w:rPr>
          <w:sz w:val="20"/>
          <w:szCs w:val="20"/>
          <w:color w:val="auto"/>
        </w:rPr>
      </w:pPr>
    </w:p>
    <w:p>
      <w:pPr>
        <w:ind w:left="3080"/>
        <w:spacing w:after="0"/>
        <w:rPr>
          <w:sz w:val="20"/>
          <w:szCs w:val="20"/>
          <w:color w:val="auto"/>
        </w:rPr>
      </w:pPr>
      <w:r>
        <w:rPr>
          <w:rFonts w:ascii="Arial" w:cs="Arial" w:eastAsia="Arial" w:hAnsi="Arial"/>
          <w:sz w:val="19"/>
          <w:szCs w:val="19"/>
          <w:b w:val="1"/>
          <w:bCs w:val="1"/>
          <w:u w:val="single" w:color="auto"/>
          <w:color w:val="3A3838"/>
        </w:rPr>
        <w:t>COMPANY</w:t>
      </w:r>
      <w:r>
        <w:rPr>
          <w:rFonts w:ascii="Arial" w:cs="Arial" w:eastAsia="Arial" w:hAnsi="Arial"/>
          <w:sz w:val="19"/>
          <w:szCs w:val="19"/>
          <w:b w:val="1"/>
          <w:bCs w:val="1"/>
          <w:color w:val="3A3838"/>
        </w:rPr>
        <w:t>:</w:t>
      </w:r>
    </w:p>
    <w:p>
      <w:pPr>
        <w:spacing w:after="0" w:line="268"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3A3838"/>
        </w:rPr>
        <w:t>CECO ENVIRONMENTAL CORP.</w:t>
      </w:r>
    </w:p>
    <w:p>
      <w:pPr>
        <w:spacing w:after="0" w:line="160"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3A3838"/>
        </w:rPr>
        <w:t xml:space="preserve">By: </w:t>
      </w:r>
      <w:r>
        <w:rPr>
          <w:rFonts w:ascii="Arial" w:cs="Arial" w:eastAsia="Arial" w:hAnsi="Arial"/>
          <w:sz w:val="19"/>
          <w:szCs w:val="19"/>
          <w:b w:val="1"/>
          <w:bCs w:val="1"/>
          <w:u w:val="single" w:color="auto"/>
          <w:color w:val="3A3838"/>
        </w:rPr>
        <w:t>/s/ Matthew Eckl</w:t>
      </w:r>
    </w:p>
    <w:p>
      <w:pPr>
        <w:ind w:left="3060"/>
        <w:spacing w:after="0" w:line="229" w:lineRule="auto"/>
        <w:rPr>
          <w:sz w:val="20"/>
          <w:szCs w:val="20"/>
          <w:color w:val="auto"/>
        </w:rPr>
      </w:pPr>
      <w:r>
        <w:rPr>
          <w:rFonts w:ascii="Arial" w:cs="Arial" w:eastAsia="Arial" w:hAnsi="Arial"/>
          <w:sz w:val="19"/>
          <w:szCs w:val="19"/>
          <w:color w:val="3A3838"/>
        </w:rPr>
        <w:t>Name: Matthew Eckl</w:t>
      </w:r>
    </w:p>
    <w:p>
      <w:pPr>
        <w:ind w:left="3060"/>
        <w:spacing w:after="0"/>
        <w:rPr>
          <w:sz w:val="20"/>
          <w:szCs w:val="20"/>
          <w:color w:val="auto"/>
        </w:rPr>
      </w:pPr>
      <w:r>
        <w:rPr>
          <w:rFonts w:ascii="Arial" w:cs="Arial" w:eastAsia="Arial" w:hAnsi="Arial"/>
          <w:sz w:val="19"/>
          <w:szCs w:val="19"/>
          <w:color w:val="3A3838"/>
        </w:rPr>
        <w:t>Title:  Chief Financial Officer</w:t>
      </w:r>
    </w:p>
    <w:p>
      <w:pPr>
        <w:spacing w:after="0" w:line="228" w:lineRule="exact"/>
        <w:rPr>
          <w:sz w:val="20"/>
          <w:szCs w:val="20"/>
          <w:color w:val="auto"/>
        </w:rPr>
      </w:pPr>
    </w:p>
    <w:p>
      <w:pPr>
        <w:ind w:left="3060"/>
        <w:spacing w:after="0"/>
        <w:rPr>
          <w:sz w:val="20"/>
          <w:szCs w:val="20"/>
          <w:color w:val="auto"/>
        </w:rPr>
      </w:pPr>
      <w:r>
        <w:rPr>
          <w:rFonts w:ascii="Arial" w:cs="Arial" w:eastAsia="Arial" w:hAnsi="Arial"/>
          <w:sz w:val="21"/>
          <w:szCs w:val="21"/>
          <w:b w:val="1"/>
          <w:bCs w:val="1"/>
          <w:color w:val="3A3838"/>
        </w:rPr>
        <w:t>SUBSIDIARY GUARANTORS:</w:t>
      </w:r>
    </w:p>
    <w:p>
      <w:pPr>
        <w:spacing w:after="0" w:line="236"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3A3838"/>
        </w:rPr>
        <w:t>AARDING THERMAL ACOUSTICS USA INC. CECO</w:t>
      </w:r>
    </w:p>
    <w:p>
      <w:pPr>
        <w:spacing w:after="0" w:line="12"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3A3838"/>
        </w:rPr>
        <w:t xml:space="preserve">ENVIRONMENTAL </w:t>
      </w:r>
      <w:r>
        <w:rPr>
          <w:rFonts w:ascii="Arial" w:cs="Arial" w:eastAsia="Arial" w:hAnsi="Arial"/>
          <w:sz w:val="19"/>
          <w:szCs w:val="19"/>
          <w:color w:val="3A3838"/>
        </w:rPr>
        <w:t>IP INC.</w:t>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3A3838"/>
        </w:rPr>
        <w:t>CECO GROUP, INC.</w:t>
      </w:r>
    </w:p>
    <w:p>
      <w:pPr>
        <w:ind w:left="3060"/>
        <w:spacing w:after="0" w:line="237" w:lineRule="auto"/>
        <w:rPr>
          <w:sz w:val="20"/>
          <w:szCs w:val="20"/>
          <w:color w:val="auto"/>
        </w:rPr>
      </w:pPr>
      <w:r>
        <w:rPr>
          <w:rFonts w:ascii="Arial" w:cs="Arial" w:eastAsia="Arial" w:hAnsi="Arial"/>
          <w:sz w:val="19"/>
          <w:szCs w:val="19"/>
          <w:b w:val="1"/>
          <w:bCs w:val="1"/>
          <w:color w:val="3A3838"/>
        </w:rPr>
        <w:t>CECO MEXICO HOLDINGS LLC</w:t>
      </w:r>
    </w:p>
    <w:p>
      <w:pPr>
        <w:ind w:left="3060"/>
        <w:spacing w:after="0" w:line="222" w:lineRule="auto"/>
        <w:rPr>
          <w:sz w:val="20"/>
          <w:szCs w:val="20"/>
          <w:color w:val="auto"/>
        </w:rPr>
      </w:pPr>
      <w:r>
        <w:rPr>
          <w:rFonts w:ascii="Arial" w:cs="Arial" w:eastAsia="Arial" w:hAnsi="Arial"/>
          <w:sz w:val="19"/>
          <w:szCs w:val="19"/>
          <w:b w:val="1"/>
          <w:bCs w:val="1"/>
          <w:color w:val="3A3838"/>
        </w:rPr>
        <w:t>EFFOX INC.</w:t>
      </w:r>
    </w:p>
    <w:p>
      <w:pPr>
        <w:ind w:left="3060"/>
        <w:spacing w:after="0" w:line="223" w:lineRule="auto"/>
        <w:rPr>
          <w:sz w:val="20"/>
          <w:szCs w:val="20"/>
          <w:color w:val="auto"/>
        </w:rPr>
      </w:pPr>
      <w:r>
        <w:rPr>
          <w:rFonts w:ascii="Arial" w:cs="Arial" w:eastAsia="Arial" w:hAnsi="Arial"/>
          <w:sz w:val="19"/>
          <w:szCs w:val="19"/>
          <w:b w:val="1"/>
          <w:bCs w:val="1"/>
          <w:color w:val="3A3838"/>
        </w:rPr>
        <w:t>EMTROL LLC</w:t>
      </w:r>
    </w:p>
    <w:p>
      <w:pPr>
        <w:ind w:left="3060"/>
        <w:spacing w:after="0" w:line="237" w:lineRule="auto"/>
        <w:rPr>
          <w:sz w:val="20"/>
          <w:szCs w:val="20"/>
          <w:color w:val="auto"/>
        </w:rPr>
      </w:pPr>
      <w:r>
        <w:rPr>
          <w:rFonts w:ascii="Arial" w:cs="Arial" w:eastAsia="Arial" w:hAnsi="Arial"/>
          <w:sz w:val="19"/>
          <w:szCs w:val="19"/>
          <w:b w:val="1"/>
          <w:bCs w:val="1"/>
          <w:color w:val="3A3838"/>
        </w:rPr>
        <w:t>FKI, LLC</w:t>
      </w:r>
    </w:p>
    <w:p>
      <w:pPr>
        <w:ind w:left="3060"/>
        <w:spacing w:after="0" w:line="237" w:lineRule="auto"/>
        <w:rPr>
          <w:sz w:val="20"/>
          <w:szCs w:val="20"/>
          <w:color w:val="auto"/>
        </w:rPr>
      </w:pPr>
      <w:r>
        <w:rPr>
          <w:rFonts w:ascii="Arial" w:cs="Arial" w:eastAsia="Arial" w:hAnsi="Arial"/>
          <w:sz w:val="19"/>
          <w:szCs w:val="19"/>
          <w:b w:val="1"/>
          <w:bCs w:val="1"/>
          <w:color w:val="4D4D4D"/>
        </w:rPr>
        <w:t>H</w:t>
      </w:r>
      <w:r>
        <w:rPr>
          <w:rFonts w:ascii="Arial" w:cs="Arial" w:eastAsia="Arial" w:hAnsi="Arial"/>
          <w:sz w:val="19"/>
          <w:szCs w:val="19"/>
          <w:b w:val="1"/>
          <w:bCs w:val="1"/>
          <w:color w:val="282626"/>
        </w:rPr>
        <w:t>.M</w:t>
      </w:r>
      <w:r>
        <w:rPr>
          <w:rFonts w:ascii="Arial" w:cs="Arial" w:eastAsia="Arial" w:hAnsi="Arial"/>
          <w:sz w:val="19"/>
          <w:szCs w:val="19"/>
          <w:b w:val="1"/>
          <w:bCs w:val="1"/>
          <w:color w:val="6B6B6B"/>
        </w:rPr>
        <w:t>.</w:t>
      </w:r>
      <w:r>
        <w:rPr>
          <w:rFonts w:ascii="Arial" w:cs="Arial" w:eastAsia="Arial" w:hAnsi="Arial"/>
          <w:sz w:val="19"/>
          <w:szCs w:val="19"/>
          <w:b w:val="1"/>
          <w:bCs w:val="1"/>
          <w:color w:val="4D4D4D"/>
        </w:rPr>
        <w:t xml:space="preserve"> </w:t>
      </w:r>
      <w:r>
        <w:rPr>
          <w:rFonts w:ascii="Arial" w:cs="Arial" w:eastAsia="Arial" w:hAnsi="Arial"/>
          <w:sz w:val="19"/>
          <w:szCs w:val="19"/>
          <w:b w:val="1"/>
          <w:bCs w:val="1"/>
          <w:color w:val="3A3838"/>
        </w:rPr>
        <w:t>WHITE, INC.</w:t>
      </w:r>
    </w:p>
    <w:p>
      <w:pPr>
        <w:ind w:left="3060"/>
        <w:spacing w:after="0" w:line="237" w:lineRule="auto"/>
        <w:rPr>
          <w:sz w:val="20"/>
          <w:szCs w:val="20"/>
          <w:color w:val="auto"/>
        </w:rPr>
      </w:pPr>
      <w:r>
        <w:rPr>
          <w:rFonts w:ascii="Arial" w:cs="Arial" w:eastAsia="Arial" w:hAnsi="Arial"/>
          <w:sz w:val="19"/>
          <w:szCs w:val="19"/>
          <w:b w:val="1"/>
          <w:bCs w:val="1"/>
          <w:color w:val="3A3838"/>
        </w:rPr>
        <w:t>MET-PRO TECHNOLOGIES LLC PEERLESS MFG. CO.</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3A3838"/>
        </w:rPr>
        <w:t xml:space="preserve">THE KIRK </w:t>
      </w:r>
      <w:r>
        <w:rPr>
          <w:rFonts w:ascii="Arial" w:cs="Arial" w:eastAsia="Arial" w:hAnsi="Arial"/>
          <w:sz w:val="19"/>
          <w:szCs w:val="19"/>
          <w:color w:val="3A3838"/>
        </w:rPr>
        <w:t>&amp;</w:t>
      </w:r>
      <w:r>
        <w:rPr>
          <w:rFonts w:ascii="Arial" w:cs="Arial" w:eastAsia="Arial" w:hAnsi="Arial"/>
          <w:sz w:val="19"/>
          <w:szCs w:val="19"/>
          <w:b w:val="1"/>
          <w:bCs w:val="1"/>
          <w:color w:val="3A3838"/>
        </w:rPr>
        <w:t xml:space="preserve"> BLUM MANUFACTURING COMPANY</w:t>
      </w:r>
    </w:p>
    <w:p>
      <w:pPr>
        <w:spacing w:after="0" w:line="246" w:lineRule="exact"/>
        <w:rPr>
          <w:sz w:val="20"/>
          <w:szCs w:val="20"/>
          <w:color w:val="auto"/>
        </w:rPr>
      </w:pPr>
    </w:p>
    <w:p>
      <w:pPr>
        <w:ind w:left="3040"/>
        <w:spacing w:after="0"/>
        <w:rPr>
          <w:sz w:val="20"/>
          <w:szCs w:val="20"/>
          <w:color w:val="auto"/>
        </w:rPr>
      </w:pPr>
      <w:r>
        <w:rPr>
          <w:rFonts w:ascii="Arial" w:cs="Arial" w:eastAsia="Arial" w:hAnsi="Arial"/>
          <w:sz w:val="19"/>
          <w:szCs w:val="19"/>
          <w:b w:val="1"/>
          <w:bCs w:val="1"/>
          <w:color w:val="auto"/>
        </w:rPr>
        <w:t xml:space="preserve">By: </w:t>
      </w:r>
      <w:r>
        <w:rPr>
          <w:rFonts w:ascii="Arial" w:cs="Arial" w:eastAsia="Arial" w:hAnsi="Arial"/>
          <w:sz w:val="19"/>
          <w:szCs w:val="19"/>
          <w:b w:val="1"/>
          <w:bCs w:val="1"/>
          <w:u w:val="single" w:color="auto"/>
          <w:color w:val="auto"/>
        </w:rPr>
        <w:t>/s/ Matthew Eckl</w:t>
      </w:r>
    </w:p>
    <w:p>
      <w:pPr>
        <w:ind w:left="3040"/>
        <w:spacing w:after="0" w:line="229" w:lineRule="auto"/>
        <w:rPr>
          <w:sz w:val="20"/>
          <w:szCs w:val="20"/>
          <w:color w:val="auto"/>
        </w:rPr>
      </w:pPr>
      <w:r>
        <w:rPr>
          <w:rFonts w:ascii="Arial" w:cs="Arial" w:eastAsia="Arial" w:hAnsi="Arial"/>
          <w:sz w:val="19"/>
          <w:szCs w:val="19"/>
          <w:color w:val="auto"/>
        </w:rPr>
        <w:t>Name: Matthew Eckl</w:t>
      </w:r>
    </w:p>
    <w:p>
      <w:pPr>
        <w:ind w:left="3040"/>
        <w:spacing w:after="0"/>
        <w:rPr>
          <w:sz w:val="20"/>
          <w:szCs w:val="20"/>
          <w:color w:val="auto"/>
        </w:rPr>
      </w:pPr>
      <w:r>
        <w:rPr>
          <w:rFonts w:ascii="Arial" w:cs="Arial" w:eastAsia="Arial" w:hAnsi="Arial"/>
          <w:sz w:val="19"/>
          <w:szCs w:val="19"/>
          <w:color w:val="auto"/>
        </w:rPr>
        <w:t>Title: Chief Financial Officer and Treasurer</w:t>
      </w: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3A3838"/>
        </w:rPr>
        <w:t>CECO INDUSTRIAL SOLUTIONS, INC.</w:t>
      </w:r>
    </w:p>
    <w:p>
      <w:pPr>
        <w:spacing w:after="0" w:line="200" w:lineRule="exact"/>
        <w:rPr>
          <w:sz w:val="20"/>
          <w:szCs w:val="20"/>
          <w:color w:val="auto"/>
        </w:rPr>
      </w:pPr>
    </w:p>
    <w:p>
      <w:pPr>
        <w:spacing w:after="0" w:line="230" w:lineRule="exact"/>
        <w:rPr>
          <w:sz w:val="20"/>
          <w:szCs w:val="20"/>
          <w:color w:val="auto"/>
        </w:rPr>
      </w:pPr>
    </w:p>
    <w:p>
      <w:pPr>
        <w:ind w:left="6940"/>
        <w:spacing w:after="0"/>
        <w:rPr>
          <w:sz w:val="20"/>
          <w:szCs w:val="20"/>
          <w:color w:val="auto"/>
        </w:rPr>
      </w:pPr>
      <w:r>
        <w:rPr>
          <w:rFonts w:ascii="Arial" w:cs="Arial" w:eastAsia="Arial" w:hAnsi="Arial"/>
          <w:sz w:val="19"/>
          <w:szCs w:val="19"/>
          <w:b w:val="1"/>
          <w:bCs w:val="1"/>
          <w:color w:val="auto"/>
        </w:rPr>
        <w:t xml:space="preserve">By: </w:t>
      </w:r>
      <w:r>
        <w:rPr>
          <w:rFonts w:ascii="Arial" w:cs="Arial" w:eastAsia="Arial" w:hAnsi="Arial"/>
          <w:sz w:val="19"/>
          <w:szCs w:val="19"/>
          <w:b w:val="1"/>
          <w:bCs w:val="1"/>
          <w:u w:val="single" w:color="auto"/>
          <w:color w:val="auto"/>
        </w:rPr>
        <w:t>/s/ Matthew Eckl</w:t>
      </w:r>
    </w:p>
    <w:p>
      <w:pPr>
        <w:ind w:left="3060"/>
        <w:spacing w:after="0" w:line="237" w:lineRule="auto"/>
        <w:rPr>
          <w:sz w:val="20"/>
          <w:szCs w:val="20"/>
          <w:color w:val="auto"/>
        </w:rPr>
      </w:pPr>
      <w:r>
        <w:rPr>
          <w:rFonts w:ascii="Arial" w:cs="Arial" w:eastAsia="Arial" w:hAnsi="Arial"/>
          <w:sz w:val="20"/>
          <w:szCs w:val="20"/>
          <w:color w:val="3A3838"/>
        </w:rPr>
        <w:t xml:space="preserve">Name: Matthew </w:t>
      </w:r>
      <w:r>
        <w:rPr>
          <w:rFonts w:ascii="Arial" w:cs="Arial" w:eastAsia="Arial" w:hAnsi="Arial"/>
          <w:sz w:val="20"/>
          <w:szCs w:val="20"/>
          <w:color w:val="282626"/>
        </w:rPr>
        <w:t>Eckl</w:t>
      </w:r>
    </w:p>
    <w:p>
      <w:pPr>
        <w:ind w:left="3060"/>
        <w:spacing w:after="0"/>
        <w:rPr>
          <w:sz w:val="20"/>
          <w:szCs w:val="20"/>
          <w:color w:val="auto"/>
        </w:rPr>
      </w:pPr>
      <w:r>
        <w:rPr>
          <w:rFonts w:ascii="Arial" w:cs="Arial" w:eastAsia="Arial" w:hAnsi="Arial"/>
          <w:sz w:val="20"/>
          <w:szCs w:val="20"/>
          <w:color w:val="282626"/>
        </w:rPr>
        <w:t>Title: Chief Financial Officer, Treasurer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555" w:right="1440" w:bottom="1440" w:gutter="0" w:footer="0" w:header="0"/>
        </w:sectPr>
      </w:pPr>
    </w:p>
    <w:bookmarkStart w:id="96" w:name="page97"/>
    <w:bookmarkEnd w:id="96"/>
    <w:p>
      <w:pPr>
        <w:ind w:left="3060"/>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202"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8"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29"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Kyle D Harding</w:t>
      </w:r>
    </w:p>
    <w:p>
      <w:pPr>
        <w:ind w:left="3060"/>
        <w:spacing w:after="0" w:line="227" w:lineRule="auto"/>
        <w:rPr>
          <w:sz w:val="20"/>
          <w:szCs w:val="20"/>
          <w:color w:val="auto"/>
        </w:rPr>
      </w:pPr>
      <w:r>
        <w:rPr>
          <w:rFonts w:ascii="Arial" w:cs="Arial" w:eastAsia="Arial" w:hAnsi="Arial"/>
          <w:sz w:val="20"/>
          <w:szCs w:val="20"/>
          <w:color w:val="auto"/>
        </w:rPr>
        <w:t>Name: Kyle D Harding</w:t>
      </w:r>
    </w:p>
    <w:p>
      <w:pPr>
        <w:spacing w:after="0" w:line="1" w:lineRule="exact"/>
        <w:rPr>
          <w:sz w:val="20"/>
          <w:szCs w:val="20"/>
          <w:color w:val="auto"/>
        </w:rPr>
      </w:pPr>
    </w:p>
    <w:p>
      <w:pPr>
        <w:ind w:left="3060"/>
        <w:spacing w:after="0"/>
        <w:tabs>
          <w:tab w:leader="none" w:pos="36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13" w:right="1440" w:bottom="1440" w:gutter="0" w:footer="0" w:header="0"/>
        </w:sectPr>
      </w:pPr>
    </w:p>
    <w:bookmarkStart w:id="97" w:name="page98"/>
    <w:bookmarkEnd w:id="97"/>
    <w:p>
      <w:pPr>
        <w:ind w:left="3060"/>
        <w:spacing w:after="0"/>
        <w:rPr>
          <w:sz w:val="20"/>
          <w:szCs w:val="20"/>
          <w:color w:val="auto"/>
        </w:rPr>
      </w:pPr>
      <w:r>
        <w:rPr>
          <w:rFonts w:ascii="Arial" w:cs="Arial" w:eastAsia="Arial" w:hAnsi="Arial"/>
          <w:sz w:val="19"/>
          <w:szCs w:val="19"/>
          <w:b w:val="1"/>
          <w:bCs w:val="1"/>
          <w:u w:val="single" w:color="auto"/>
          <w:color w:val="2F2F2F"/>
        </w:rPr>
        <w:t>LENDERS:</w:t>
      </w:r>
    </w:p>
    <w:p>
      <w:pPr>
        <w:spacing w:after="0" w:line="212" w:lineRule="exact"/>
        <w:rPr>
          <w:sz w:val="20"/>
          <w:szCs w:val="20"/>
          <w:color w:val="auto"/>
        </w:rPr>
      </w:pPr>
    </w:p>
    <w:p>
      <w:pPr>
        <w:ind w:left="2620"/>
        <w:spacing w:after="0"/>
        <w:rPr>
          <w:sz w:val="20"/>
          <w:szCs w:val="20"/>
          <w:color w:val="auto"/>
        </w:rPr>
      </w:pPr>
      <w:r>
        <w:rPr>
          <w:rFonts w:ascii="Arial" w:cs="Arial" w:eastAsia="Arial" w:hAnsi="Arial"/>
          <w:sz w:val="19"/>
          <w:szCs w:val="19"/>
          <w:b w:val="1"/>
          <w:bCs w:val="1"/>
          <w:color w:val="2F2F2F"/>
        </w:rPr>
        <w:t xml:space="preserve">BANK OF AMERICA, N.A., </w:t>
      </w:r>
      <w:r>
        <w:rPr>
          <w:rFonts w:ascii="Arial" w:cs="Arial" w:eastAsia="Arial" w:hAnsi="Arial"/>
          <w:sz w:val="19"/>
          <w:szCs w:val="19"/>
          <w:color w:val="2F2F2F"/>
        </w:rPr>
        <w:t>as a Lender</w:t>
      </w:r>
    </w:p>
    <w:p>
      <w:pPr>
        <w:spacing w:after="0" w:line="227"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Gregg Bush</w:t>
      </w:r>
    </w:p>
    <w:p>
      <w:pPr>
        <w:ind w:left="2620"/>
        <w:spacing w:after="0" w:line="227" w:lineRule="auto"/>
        <w:rPr>
          <w:sz w:val="20"/>
          <w:szCs w:val="20"/>
          <w:color w:val="auto"/>
        </w:rPr>
      </w:pPr>
      <w:r>
        <w:rPr>
          <w:rFonts w:ascii="Arial" w:cs="Arial" w:eastAsia="Arial" w:hAnsi="Arial"/>
          <w:sz w:val="20"/>
          <w:szCs w:val="20"/>
          <w:color w:val="auto"/>
        </w:rPr>
        <w:t>Name: Gregg Bush</w:t>
      </w:r>
    </w:p>
    <w:p>
      <w:pPr>
        <w:spacing w:after="0" w:line="1" w:lineRule="exact"/>
        <w:rPr>
          <w:sz w:val="20"/>
          <w:szCs w:val="20"/>
          <w:color w:val="auto"/>
        </w:rPr>
      </w:pPr>
    </w:p>
    <w:p>
      <w:pPr>
        <w:ind w:left="2620"/>
        <w:spacing w:after="0"/>
        <w:tabs>
          <w:tab w:leader="none" w:pos="3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13" w:right="1440" w:bottom="1440" w:gutter="0" w:footer="0" w:header="0"/>
        </w:sectPr>
      </w:pPr>
    </w:p>
    <w:bookmarkStart w:id="98" w:name="page99"/>
    <w:bookmarkEnd w:id="98"/>
    <w:p>
      <w:pPr>
        <w:ind w:left="2600"/>
        <w:spacing w:after="0"/>
        <w:rPr>
          <w:sz w:val="20"/>
          <w:szCs w:val="20"/>
          <w:color w:val="auto"/>
        </w:rPr>
      </w:pPr>
      <w:r>
        <w:rPr>
          <w:rFonts w:ascii="Arial" w:cs="Arial" w:eastAsia="Arial" w:hAnsi="Arial"/>
          <w:sz w:val="19"/>
          <w:szCs w:val="19"/>
          <w:b w:val="1"/>
          <w:bCs w:val="1"/>
          <w:color w:val="2D2D2D"/>
        </w:rPr>
        <w:t>CITIZENS BANK, N.A.</w:t>
      </w:r>
      <w:r>
        <w:rPr>
          <w:rFonts w:ascii="Arial" w:cs="Arial" w:eastAsia="Arial" w:hAnsi="Arial"/>
          <w:sz w:val="19"/>
          <w:szCs w:val="19"/>
          <w:b w:val="1"/>
          <w:bCs w:val="1"/>
          <w:color w:val="4D4D4F"/>
        </w:rPr>
        <w:t>,</w:t>
      </w:r>
      <w:r>
        <w:rPr>
          <w:rFonts w:ascii="Arial" w:cs="Arial" w:eastAsia="Arial" w:hAnsi="Arial"/>
          <w:sz w:val="19"/>
          <w:szCs w:val="19"/>
          <w:b w:val="1"/>
          <w:bCs w:val="1"/>
          <w:color w:val="2D2D2D"/>
        </w:rPr>
        <w:t xml:space="preserve"> </w:t>
      </w:r>
      <w:r>
        <w:rPr>
          <w:rFonts w:ascii="Arial" w:cs="Arial" w:eastAsia="Arial" w:hAnsi="Arial"/>
          <w:sz w:val="19"/>
          <w:szCs w:val="19"/>
          <w:color w:val="2D2D2D"/>
        </w:rPr>
        <w:t>as a Lender</w:t>
      </w:r>
    </w:p>
    <w:p>
      <w:pPr>
        <w:spacing w:after="0" w:line="200" w:lineRule="exact"/>
        <w:rPr>
          <w:sz w:val="20"/>
          <w:szCs w:val="20"/>
          <w:color w:val="auto"/>
        </w:rPr>
      </w:pPr>
    </w:p>
    <w:p>
      <w:pPr>
        <w:spacing w:after="0" w:line="257" w:lineRule="exact"/>
        <w:rPr>
          <w:sz w:val="20"/>
          <w:szCs w:val="20"/>
          <w:color w:val="auto"/>
        </w:rPr>
      </w:pPr>
    </w:p>
    <w:p>
      <w:pPr>
        <w:ind w:left="2600"/>
        <w:spacing w:after="0"/>
        <w:rPr>
          <w:sz w:val="20"/>
          <w:szCs w:val="20"/>
          <w:color w:val="auto"/>
        </w:rPr>
      </w:pPr>
      <w:r>
        <w:rPr>
          <w:rFonts w:ascii="Arial" w:cs="Arial" w:eastAsia="Arial" w:hAnsi="Arial"/>
          <w:sz w:val="20"/>
          <w:szCs w:val="20"/>
          <w:color w:val="2D2D2D"/>
        </w:rPr>
        <w:t xml:space="preserve">By: </w:t>
      </w:r>
      <w:r>
        <w:rPr>
          <w:rFonts w:ascii="Arial" w:cs="Arial" w:eastAsia="Arial" w:hAnsi="Arial"/>
          <w:sz w:val="20"/>
          <w:szCs w:val="20"/>
          <w:u w:val="single" w:color="auto"/>
          <w:color w:val="2D2D2D"/>
        </w:rPr>
        <w:t>/s/ Dale R. Carr</w:t>
      </w:r>
    </w:p>
    <w:p>
      <w:pPr>
        <w:ind w:left="2600"/>
        <w:spacing w:after="0" w:line="227" w:lineRule="auto"/>
        <w:rPr>
          <w:sz w:val="20"/>
          <w:szCs w:val="20"/>
          <w:color w:val="auto"/>
        </w:rPr>
      </w:pPr>
      <w:r>
        <w:rPr>
          <w:rFonts w:ascii="Arial" w:cs="Arial" w:eastAsia="Arial" w:hAnsi="Arial"/>
          <w:sz w:val="20"/>
          <w:szCs w:val="20"/>
          <w:color w:val="2D2D2D"/>
        </w:rPr>
        <w:t>Name: Dale R. Carr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2D2D2D"/>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25" w:right="1440" w:bottom="1440" w:gutter="0" w:footer="0" w:header="0"/>
        </w:sectPr>
      </w:pPr>
    </w:p>
    <w:bookmarkStart w:id="99" w:name="page100"/>
    <w:bookmarkEnd w:id="99"/>
    <w:p>
      <w:pPr>
        <w:ind w:left="254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Torres</w:t>
      </w:r>
    </w:p>
    <w:p>
      <w:pPr>
        <w:ind w:left="2540"/>
        <w:spacing w:after="0" w:line="227" w:lineRule="auto"/>
        <w:rPr>
          <w:sz w:val="20"/>
          <w:szCs w:val="20"/>
          <w:color w:val="auto"/>
        </w:rPr>
      </w:pPr>
      <w:r>
        <w:rPr>
          <w:rFonts w:ascii="Arial" w:cs="Arial" w:eastAsia="Arial" w:hAnsi="Arial"/>
          <w:sz w:val="20"/>
          <w:szCs w:val="20"/>
          <w:color w:val="auto"/>
        </w:rPr>
        <w:t>Name: John Torres</w:t>
      </w:r>
    </w:p>
    <w:p>
      <w:pPr>
        <w:spacing w:after="0" w:line="1" w:lineRule="exact"/>
        <w:rPr>
          <w:sz w:val="20"/>
          <w:szCs w:val="20"/>
          <w:color w:val="auto"/>
        </w:rPr>
      </w:pPr>
    </w:p>
    <w:p>
      <w:pPr>
        <w:ind w:left="2540"/>
        <w:spacing w:after="0"/>
        <w:tabs>
          <w:tab w:leader="none" w:pos="3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32" w:right="1440" w:bottom="1440" w:gutter="0" w:footer="0" w:header="0"/>
        </w:sectPr>
      </w:pPr>
    </w:p>
    <w:bookmarkStart w:id="100" w:name="page101"/>
    <w:bookmarkEnd w:id="100"/>
    <w:p>
      <w:pPr>
        <w:ind w:left="4040"/>
        <w:spacing w:after="0"/>
        <w:rPr>
          <w:sz w:val="20"/>
          <w:szCs w:val="20"/>
          <w:color w:val="auto"/>
        </w:rPr>
      </w:pPr>
      <w:r>
        <w:rPr>
          <w:rFonts w:ascii="Arial" w:cs="Arial" w:eastAsia="Arial" w:hAnsi="Arial"/>
          <w:sz w:val="20"/>
          <w:szCs w:val="20"/>
          <w:b w:val="1"/>
          <w:bCs w:val="1"/>
          <w:color w:val="auto"/>
        </w:rPr>
        <w:t xml:space="preserve">FIFTH THIRD BANK, </w:t>
      </w:r>
      <w:r>
        <w:rPr>
          <w:rFonts w:ascii="Arial" w:cs="Arial" w:eastAsia="Arial" w:hAnsi="Arial"/>
          <w:sz w:val="20"/>
          <w:szCs w:val="20"/>
          <w:color w:val="auto"/>
        </w:rPr>
        <w:t>as a Lender</w:t>
      </w:r>
    </w:p>
    <w:p>
      <w:pPr>
        <w:spacing w:after="0" w:line="200" w:lineRule="exact"/>
        <w:rPr>
          <w:sz w:val="20"/>
          <w:szCs w:val="20"/>
          <w:color w:val="auto"/>
        </w:rPr>
      </w:pPr>
    </w:p>
    <w:p>
      <w:pPr>
        <w:spacing w:after="0" w:line="22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R. Gray</w:t>
      </w:r>
    </w:p>
    <w:p>
      <w:pPr>
        <w:ind w:left="4100"/>
        <w:spacing w:after="0" w:line="227" w:lineRule="auto"/>
        <w:rPr>
          <w:sz w:val="20"/>
          <w:szCs w:val="20"/>
          <w:color w:val="auto"/>
        </w:rPr>
      </w:pPr>
      <w:r>
        <w:rPr>
          <w:rFonts w:ascii="Arial" w:cs="Arial" w:eastAsia="Arial" w:hAnsi="Arial"/>
          <w:sz w:val="20"/>
          <w:szCs w:val="20"/>
          <w:color w:val="auto"/>
        </w:rPr>
        <w:t>Name: John R. Gray</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20"/>
          <w:szCs w:val="20"/>
          <w:color w:val="auto"/>
        </w:rPr>
        <w:t>Title: AVP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81" w:right="1440" w:bottom="1440" w:gutter="0" w:footer="0" w:header="0"/>
        </w:sectPr>
      </w:pPr>
    </w:p>
    <w:bookmarkStart w:id="101" w:name="page102"/>
    <w:bookmarkEnd w:id="101"/>
    <w:p>
      <w:pPr>
        <w:ind w:left="2540"/>
        <w:spacing w:after="0"/>
        <w:rPr>
          <w:sz w:val="20"/>
          <w:szCs w:val="20"/>
          <w:color w:val="auto"/>
        </w:rPr>
      </w:pPr>
      <w:r>
        <w:rPr>
          <w:rFonts w:ascii="Arial" w:cs="Arial" w:eastAsia="Arial" w:hAnsi="Arial"/>
          <w:sz w:val="20"/>
          <w:szCs w:val="20"/>
          <w:b w:val="1"/>
          <w:bCs w:val="1"/>
          <w:color w:val="231F20"/>
        </w:rPr>
        <w:t>BMO HARRIS BANK, N.A.</w:t>
      </w:r>
      <w:r>
        <w:rPr>
          <w:rFonts w:ascii="Arial" w:cs="Arial" w:eastAsia="Arial" w:hAnsi="Arial"/>
          <w:sz w:val="20"/>
          <w:szCs w:val="20"/>
          <w:color w:val="231F20"/>
        </w:rPr>
        <w:t>, as a Lender</w:t>
      </w:r>
    </w:p>
    <w:p>
      <w:pPr>
        <w:spacing w:after="0" w:line="397" w:lineRule="exact"/>
        <w:rPr>
          <w:sz w:val="20"/>
          <w:szCs w:val="20"/>
          <w:color w:val="auto"/>
        </w:rPr>
      </w:pPr>
    </w:p>
    <w:p>
      <w:pPr>
        <w:ind w:left="2540"/>
        <w:spacing w:after="0"/>
        <w:rPr>
          <w:sz w:val="20"/>
          <w:szCs w:val="20"/>
          <w:color w:val="auto"/>
        </w:rPr>
      </w:pPr>
      <w:r>
        <w:rPr>
          <w:rFonts w:ascii="Arial" w:cs="Arial" w:eastAsia="Arial" w:hAnsi="Arial"/>
          <w:sz w:val="20"/>
          <w:szCs w:val="20"/>
          <w:color w:val="231F20"/>
        </w:rPr>
        <w:t xml:space="preserve">By: </w:t>
      </w:r>
      <w:r>
        <w:rPr>
          <w:rFonts w:ascii="Arial" w:cs="Arial" w:eastAsia="Arial" w:hAnsi="Arial"/>
          <w:sz w:val="20"/>
          <w:szCs w:val="20"/>
          <w:u w:val="single" w:color="auto"/>
          <w:color w:val="231F20"/>
        </w:rPr>
        <w:t>/s/ John Armstrong</w:t>
      </w:r>
    </w:p>
    <w:p>
      <w:pPr>
        <w:ind w:left="2540"/>
        <w:spacing w:after="0" w:line="227" w:lineRule="auto"/>
        <w:rPr>
          <w:sz w:val="20"/>
          <w:szCs w:val="20"/>
          <w:color w:val="auto"/>
        </w:rPr>
      </w:pPr>
      <w:r>
        <w:rPr>
          <w:rFonts w:ascii="Arial" w:cs="Arial" w:eastAsia="Arial" w:hAnsi="Arial"/>
          <w:sz w:val="20"/>
          <w:szCs w:val="20"/>
          <w:color w:val="231F20"/>
        </w:rPr>
        <w:t>Name: John Armstrong</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0"/>
          <w:szCs w:val="20"/>
          <w:color w:val="231F20"/>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32" w:right="1440" w:bottom="1440" w:gutter="0" w:footer="0" w:header="0"/>
        </w:sectPr>
      </w:pPr>
    </w:p>
    <w:bookmarkStart w:id="102" w:name="page103"/>
    <w:bookmarkEnd w:id="102"/>
    <w:p>
      <w:pPr>
        <w:ind w:left="5700"/>
        <w:spacing w:after="0"/>
        <w:rPr>
          <w:sz w:val="20"/>
          <w:szCs w:val="20"/>
          <w:color w:val="auto"/>
        </w:rPr>
      </w:pPr>
      <w:r>
        <w:rPr>
          <w:rFonts w:ascii="Arial" w:cs="Arial" w:eastAsia="Arial" w:hAnsi="Arial"/>
          <w:sz w:val="19"/>
          <w:szCs w:val="19"/>
          <w:b w:val="1"/>
          <w:bCs w:val="1"/>
          <w:color w:val="131313"/>
        </w:rPr>
        <w:t xml:space="preserve">PNC BANK, NATIONAL </w:t>
      </w:r>
      <w:r>
        <w:rPr>
          <w:rFonts w:ascii="Arial" w:cs="Arial" w:eastAsia="Arial" w:hAnsi="Arial"/>
          <w:sz w:val="19"/>
          <w:szCs w:val="19"/>
          <w:b w:val="1"/>
          <w:bCs w:val="1"/>
          <w:color w:val="232323"/>
        </w:rPr>
        <w:t>ASSOCIATION,</w:t>
      </w:r>
    </w:p>
    <w:p>
      <w:pPr>
        <w:spacing w:after="0" w:line="77" w:lineRule="exact"/>
        <w:rPr>
          <w:sz w:val="20"/>
          <w:szCs w:val="20"/>
          <w:color w:val="auto"/>
        </w:rPr>
      </w:pPr>
    </w:p>
    <w:p>
      <w:pPr>
        <w:ind w:left="5760"/>
        <w:spacing w:after="0"/>
        <w:rPr>
          <w:sz w:val="20"/>
          <w:szCs w:val="20"/>
          <w:color w:val="auto"/>
        </w:rPr>
      </w:pPr>
      <w:r>
        <w:rPr>
          <w:rFonts w:ascii="Arial" w:cs="Arial" w:eastAsia="Arial" w:hAnsi="Arial"/>
          <w:sz w:val="20"/>
          <w:szCs w:val="20"/>
          <w:color w:val="232323"/>
        </w:rPr>
        <w:t xml:space="preserve">as a </w:t>
      </w:r>
      <w:r>
        <w:rPr>
          <w:rFonts w:ascii="Arial" w:cs="Arial" w:eastAsia="Arial" w:hAnsi="Arial"/>
          <w:sz w:val="18"/>
          <w:szCs w:val="18"/>
          <w:color w:val="232323"/>
        </w:rPr>
        <w:t>Lender</w:t>
      </w:r>
    </w:p>
    <w:p>
      <w:pPr>
        <w:spacing w:after="0" w:line="200" w:lineRule="exact"/>
        <w:rPr>
          <w:sz w:val="20"/>
          <w:szCs w:val="20"/>
          <w:color w:val="auto"/>
        </w:rPr>
      </w:pPr>
    </w:p>
    <w:p>
      <w:pPr>
        <w:spacing w:after="0" w:line="245" w:lineRule="exact"/>
        <w:rPr>
          <w:sz w:val="20"/>
          <w:szCs w:val="20"/>
          <w:color w:val="auto"/>
        </w:rPr>
      </w:pPr>
    </w:p>
    <w:p>
      <w:pPr>
        <w:ind w:left="2540"/>
        <w:spacing w:after="0"/>
        <w:rPr>
          <w:sz w:val="20"/>
          <w:szCs w:val="20"/>
          <w:color w:val="auto"/>
        </w:rPr>
      </w:pPr>
      <w:r>
        <w:rPr>
          <w:rFonts w:ascii="Arial" w:cs="Arial" w:eastAsia="Arial" w:hAnsi="Arial"/>
          <w:sz w:val="20"/>
          <w:szCs w:val="20"/>
          <w:color w:val="231F20"/>
        </w:rPr>
        <w:t xml:space="preserve">By: </w:t>
      </w:r>
      <w:r>
        <w:rPr>
          <w:rFonts w:ascii="Arial" w:cs="Arial" w:eastAsia="Arial" w:hAnsi="Arial"/>
          <w:sz w:val="20"/>
          <w:szCs w:val="20"/>
          <w:u w:val="single" w:color="auto"/>
          <w:color w:val="231F20"/>
        </w:rPr>
        <w:t>/s/ Ruining Nguyen</w:t>
      </w:r>
    </w:p>
    <w:p>
      <w:pPr>
        <w:ind w:left="2540"/>
        <w:spacing w:after="0" w:line="227" w:lineRule="auto"/>
        <w:rPr>
          <w:sz w:val="20"/>
          <w:szCs w:val="20"/>
          <w:color w:val="auto"/>
        </w:rPr>
      </w:pPr>
      <w:r>
        <w:rPr>
          <w:rFonts w:ascii="Arial" w:cs="Arial" w:eastAsia="Arial" w:hAnsi="Arial"/>
          <w:sz w:val="20"/>
          <w:szCs w:val="20"/>
          <w:color w:val="231F20"/>
        </w:rPr>
        <w:t>Name: Ruining Nguyen</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0"/>
          <w:szCs w:val="20"/>
          <w:color w:val="231F20"/>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840" w:right="1440" w:bottom="1440" w:gutter="0" w:footer="0" w:header="0"/>
        </w:sectPr>
      </w:pPr>
    </w:p>
    <w:bookmarkStart w:id="103" w:name="page104"/>
    <w:bookmarkEnd w:id="103"/>
    <w:p>
      <w:pPr>
        <w:ind w:left="2420"/>
        <w:spacing w:after="0"/>
        <w:rPr>
          <w:sz w:val="20"/>
          <w:szCs w:val="20"/>
          <w:color w:val="auto"/>
        </w:rPr>
      </w:pPr>
      <w:r>
        <w:rPr>
          <w:rFonts w:ascii="Arial" w:cs="Arial" w:eastAsia="Arial" w:hAnsi="Arial"/>
          <w:sz w:val="19"/>
          <w:szCs w:val="19"/>
          <w:b w:val="1"/>
          <w:bCs w:val="1"/>
          <w:color w:val="333331"/>
        </w:rPr>
        <w:t>HSBC BANK USA, NATIONAL ASSOCIATION,</w:t>
      </w:r>
    </w:p>
    <w:p>
      <w:pPr>
        <w:spacing w:after="0" w:line="71" w:lineRule="exact"/>
        <w:rPr>
          <w:sz w:val="20"/>
          <w:szCs w:val="20"/>
          <w:color w:val="auto"/>
        </w:rPr>
      </w:pPr>
    </w:p>
    <w:p>
      <w:pPr>
        <w:ind w:left="2420"/>
        <w:spacing w:after="0"/>
        <w:rPr>
          <w:sz w:val="20"/>
          <w:szCs w:val="20"/>
          <w:color w:val="auto"/>
        </w:rPr>
      </w:pPr>
      <w:r>
        <w:rPr>
          <w:rFonts w:ascii="Arial" w:cs="Arial" w:eastAsia="Arial" w:hAnsi="Arial"/>
          <w:sz w:val="19"/>
          <w:szCs w:val="19"/>
          <w:color w:val="333331"/>
        </w:rPr>
        <w:t>as a Lender</w:t>
      </w: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9"/>
          <w:szCs w:val="19"/>
          <w:color w:val="333331"/>
        </w:rPr>
        <w:t xml:space="preserve">By: </w:t>
      </w:r>
      <w:r>
        <w:rPr>
          <w:rFonts w:ascii="Arial" w:cs="Arial" w:eastAsia="Arial" w:hAnsi="Arial"/>
          <w:sz w:val="19"/>
          <w:szCs w:val="19"/>
          <w:u w:val="single" w:color="auto"/>
          <w:color w:val="333331"/>
        </w:rPr>
        <w:t>/s/ Michael Madden</w:t>
      </w:r>
    </w:p>
    <w:p>
      <w:pPr>
        <w:ind w:left="5520"/>
        <w:spacing w:after="0" w:line="222" w:lineRule="auto"/>
        <w:rPr>
          <w:sz w:val="20"/>
          <w:szCs w:val="20"/>
          <w:color w:val="auto"/>
        </w:rPr>
      </w:pPr>
      <w:r>
        <w:rPr>
          <w:rFonts w:ascii="Arial" w:cs="Arial" w:eastAsia="Arial" w:hAnsi="Arial"/>
          <w:sz w:val="19"/>
          <w:szCs w:val="19"/>
          <w:color w:val="333331"/>
        </w:rPr>
        <w:t>Name: Michael Madden</w:t>
      </w:r>
    </w:p>
    <w:p>
      <w:pPr>
        <w:ind w:left="5520"/>
        <w:spacing w:after="0"/>
        <w:rPr>
          <w:sz w:val="20"/>
          <w:szCs w:val="20"/>
          <w:color w:val="auto"/>
        </w:rPr>
      </w:pPr>
      <w:r>
        <w:rPr>
          <w:rFonts w:ascii="Arial" w:cs="Arial" w:eastAsia="Arial" w:hAnsi="Arial"/>
          <w:sz w:val="19"/>
          <w:szCs w:val="19"/>
          <w:color w:val="333331"/>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tabs>
          <w:tab w:leader="none" w:pos="6060" w:val="left"/>
        </w:tabs>
        <w:rPr>
          <w:sz w:val="20"/>
          <w:szCs w:val="20"/>
          <w:color w:val="auto"/>
        </w:rPr>
      </w:pPr>
      <w:r>
        <w:rPr>
          <w:rFonts w:ascii="Arial" w:cs="Arial" w:eastAsia="Arial" w:hAnsi="Arial"/>
          <w:sz w:val="14"/>
          <w:szCs w:val="14"/>
          <w:color w:val="auto"/>
        </w:rPr>
        <w:t>136080510</w:t>
      </w:r>
      <w:r>
        <w:rPr>
          <w:sz w:val="20"/>
          <w:szCs w:val="20"/>
          <w:color w:val="auto"/>
        </w:rPr>
        <w:tab/>
      </w:r>
      <w:r>
        <w:rPr>
          <w:rFonts w:ascii="Arial" w:cs="Arial" w:eastAsia="Arial" w:hAnsi="Arial"/>
          <w:sz w:val="18"/>
          <w:szCs w:val="18"/>
          <w:color w:val="auto"/>
        </w:rPr>
        <w:t>AMENDMENT NO. 1 TO</w:t>
      </w:r>
    </w:p>
    <w:p>
      <w:pPr>
        <w:jc w:val="right"/>
        <w:ind w:right="519"/>
        <w:spacing w:after="0" w:line="234" w:lineRule="auto"/>
        <w:rPr>
          <w:sz w:val="20"/>
          <w:szCs w:val="20"/>
          <w:color w:val="auto"/>
        </w:rPr>
      </w:pPr>
      <w:r>
        <w:rPr>
          <w:rFonts w:ascii="Arial" w:cs="Arial" w:eastAsia="Arial" w:hAnsi="Arial"/>
          <w:sz w:val="20"/>
          <w:szCs w:val="20"/>
          <w:color w:val="auto"/>
        </w:rPr>
        <w:t>SECOND AMENDED AND RESTATED CREDIT AGREEMENT</w:t>
      </w:r>
    </w:p>
    <w:p>
      <w:pPr>
        <w:spacing w:after="0" w:line="1" w:lineRule="exact"/>
        <w:rPr>
          <w:sz w:val="20"/>
          <w:szCs w:val="20"/>
          <w:color w:val="auto"/>
        </w:rPr>
      </w:pPr>
    </w:p>
    <w:p>
      <w:pPr>
        <w:ind w:left="6460"/>
        <w:spacing w:after="0"/>
        <w:rPr>
          <w:sz w:val="20"/>
          <w:szCs w:val="20"/>
          <w:color w:val="auto"/>
        </w:rPr>
      </w:pPr>
      <w:r>
        <w:rPr>
          <w:rFonts w:ascii="Arial" w:cs="Arial" w:eastAsia="Arial" w:hAnsi="Arial"/>
          <w:sz w:val="20"/>
          <w:szCs w:val="20"/>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043" w:right="1440" w:bottom="1440" w:gutter="0" w:footer="0" w:header="0"/>
        </w:sectPr>
      </w:pPr>
    </w:p>
    <w:bookmarkStart w:id="104" w:name="page105"/>
    <w:bookmarkEnd w:id="104"/>
    <w:p>
      <w:pPr>
        <w:ind w:left="7340"/>
        <w:spacing w:after="0"/>
        <w:rPr>
          <w:sz w:val="20"/>
          <w:szCs w:val="20"/>
          <w:color w:val="auto"/>
        </w:rPr>
      </w:pPr>
      <w:r>
        <w:rPr>
          <w:rFonts w:ascii="Arial" w:cs="Arial" w:eastAsia="Arial" w:hAnsi="Arial"/>
          <w:sz w:val="20"/>
          <w:szCs w:val="20"/>
          <w:color w:val="auto"/>
        </w:rPr>
        <w:t>EXECUTION VERSION</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AMENDMENT NO. 2 TO</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SECOND AMENDED AND RESTATED CREDIT AGREEMENT</w:t>
      </w: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THIS AMENDMENT NO. 2 TO SECOND AMENDED AND RESTATED CREDIT</w:t>
      </w:r>
    </w:p>
    <w:p>
      <w:pPr>
        <w:spacing w:after="0" w:line="2" w:lineRule="exact"/>
        <w:rPr>
          <w:sz w:val="20"/>
          <w:szCs w:val="20"/>
          <w:color w:val="auto"/>
        </w:rPr>
      </w:pPr>
    </w:p>
    <w:p>
      <w:pPr>
        <w:jc w:val="both"/>
        <w:ind w:left="100"/>
        <w:spacing w:after="0" w:line="245" w:lineRule="auto"/>
        <w:rPr>
          <w:sz w:val="20"/>
          <w:szCs w:val="20"/>
          <w:color w:val="auto"/>
        </w:rPr>
      </w:pPr>
      <w:r>
        <w:rPr>
          <w:rFonts w:ascii="Arial" w:cs="Arial" w:eastAsia="Arial" w:hAnsi="Arial"/>
          <w:sz w:val="19"/>
          <w:szCs w:val="19"/>
          <w:color w:val="auto"/>
        </w:rPr>
        <w:t>AGREEMENT dated and effective as of December 17, 2021 (this “</w:t>
      </w:r>
      <w:r>
        <w:rPr>
          <w:rFonts w:ascii="Arial" w:cs="Arial" w:eastAsia="Arial" w:hAnsi="Arial"/>
          <w:sz w:val="19"/>
          <w:szCs w:val="19"/>
          <w:u w:val="single" w:color="auto"/>
          <w:color w:val="auto"/>
        </w:rPr>
        <w:t>Amendment</w:t>
      </w:r>
      <w:r>
        <w:rPr>
          <w:rFonts w:ascii="Arial" w:cs="Arial" w:eastAsia="Arial" w:hAnsi="Arial"/>
          <w:sz w:val="19"/>
          <w:szCs w:val="19"/>
          <w:color w:val="auto"/>
        </w:rPr>
        <w:t>”), is among CECO ENVIRONMENTAL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BANK OF AMERICA, N.A., in its capacity as the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each of the Subsidiary Guarantors party hereto and each of the Lenders (as defined below) party hereto.</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0"/>
          <w:szCs w:val="20"/>
          <w:u w:val="single" w:color="auto"/>
          <w:color w:val="auto"/>
        </w:rPr>
        <w:t>Recitals:</w:t>
      </w:r>
    </w:p>
    <w:p>
      <w:pPr>
        <w:spacing w:after="0" w:line="202" w:lineRule="exact"/>
        <w:rPr>
          <w:sz w:val="20"/>
          <w:szCs w:val="20"/>
          <w:color w:val="auto"/>
        </w:rPr>
      </w:pPr>
    </w:p>
    <w:p>
      <w:pPr>
        <w:jc w:val="both"/>
        <w:ind w:left="100" w:right="20" w:firstLine="741"/>
        <w:spacing w:after="0" w:line="267" w:lineRule="auto"/>
        <w:tabs>
          <w:tab w:leader="none" w:pos="15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the lenders party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have entered into a Second Amended and Restated Credit Agreement dated as of June 11, 2019 (as amended by Amendment No. 1 to Credit Agreement dated as of October 30, 2020, prior to the effectiveness of this Amendment,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Capitalized terms used and not otherwise defined herein shall have the meanings ascribed to them in the Credit Agreement (as defined below).</w:t>
      </w:r>
    </w:p>
    <w:p>
      <w:pPr>
        <w:spacing w:after="0" w:line="158" w:lineRule="exact"/>
        <w:rPr>
          <w:rFonts w:ascii="Arial" w:cs="Arial" w:eastAsia="Arial" w:hAnsi="Arial"/>
          <w:sz w:val="18"/>
          <w:szCs w:val="18"/>
          <w:color w:val="auto"/>
        </w:rPr>
      </w:pPr>
    </w:p>
    <w:p>
      <w:pPr>
        <w:ind w:left="100" w:right="20" w:firstLine="741"/>
        <w:spacing w:after="0" w:line="260" w:lineRule="auto"/>
        <w:tabs>
          <w:tab w:leader="none" w:pos="1589"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Subsidiary Guarantors and the Administrative Agent have entered into an Amended and Restated Subsidiary Guaranty Agreement dated as of June 11, 2019 (the “</w:t>
      </w:r>
      <w:r>
        <w:rPr>
          <w:rFonts w:ascii="Arial" w:cs="Arial" w:eastAsia="Arial" w:hAnsi="Arial"/>
          <w:sz w:val="20"/>
          <w:szCs w:val="20"/>
          <w:u w:val="single" w:color="auto"/>
          <w:color w:val="auto"/>
        </w:rPr>
        <w:t>Subsidiary Guaranty</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100" w:right="20" w:firstLine="741"/>
        <w:spacing w:after="0" w:line="260" w:lineRule="auto"/>
        <w:tabs>
          <w:tab w:leader="none" w:pos="1589"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Company has advised the Administrative Agent and the Lenders that it desires to amend the Existing Credit Agreement as set forth herein.</w:t>
      </w:r>
    </w:p>
    <w:p>
      <w:pPr>
        <w:spacing w:after="0" w:line="149" w:lineRule="exact"/>
        <w:rPr>
          <w:rFonts w:ascii="Arial" w:cs="Arial" w:eastAsia="Arial" w:hAnsi="Arial"/>
          <w:sz w:val="20"/>
          <w:szCs w:val="20"/>
          <w:color w:val="auto"/>
        </w:rPr>
      </w:pPr>
    </w:p>
    <w:p>
      <w:pPr>
        <w:ind w:left="100" w:right="20" w:firstLine="741"/>
        <w:spacing w:after="0" w:line="246" w:lineRule="auto"/>
        <w:tabs>
          <w:tab w:leader="none" w:pos="1589" w:val="left"/>
        </w:tabs>
        <w:numPr>
          <w:ilvl w:val="0"/>
          <w:numId w:val="63"/>
        </w:numPr>
        <w:rPr>
          <w:rFonts w:ascii="Arial" w:cs="Arial" w:eastAsia="Arial" w:hAnsi="Arial"/>
          <w:sz w:val="20"/>
          <w:szCs w:val="20"/>
          <w:color w:val="auto"/>
        </w:rPr>
      </w:pPr>
      <w:r>
        <w:rPr>
          <w:rFonts w:ascii="Arial" w:cs="Arial" w:eastAsia="Arial" w:hAnsi="Arial"/>
          <w:sz w:val="20"/>
          <w:szCs w:val="20"/>
          <w:color w:val="auto"/>
        </w:rPr>
        <w:t>Subject to the terms and conditions set forth below, the Administrative Agent and the Lenders party hereto have agreed to so amend the Existing Credit Agreement.</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In furtherance of the foregoing, the parties agree as follows:</w:t>
      </w:r>
    </w:p>
    <w:p>
      <w:pPr>
        <w:spacing w:after="0" w:line="202" w:lineRule="exact"/>
        <w:rPr>
          <w:sz w:val="20"/>
          <w:szCs w:val="20"/>
          <w:color w:val="auto"/>
        </w:rPr>
      </w:pPr>
    </w:p>
    <w:p>
      <w:pPr>
        <w:ind w:left="100" w:firstLine="741"/>
        <w:spacing w:after="0" w:line="246" w:lineRule="auto"/>
        <w:tabs>
          <w:tab w:leader="none" w:pos="1589"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Amendments to Existing Credit Agreement</w:t>
      </w:r>
      <w:r>
        <w:rPr>
          <w:rFonts w:ascii="Arial" w:cs="Arial" w:eastAsia="Arial" w:hAnsi="Arial"/>
          <w:sz w:val="20"/>
          <w:szCs w:val="20"/>
          <w:color w:val="auto"/>
        </w:rPr>
        <w:t>. Subject to the terms and conditions set forth herein and in reliance upon the representations and warranties set forth herein:</w:t>
      </w:r>
    </w:p>
    <w:p>
      <w:pPr>
        <w:spacing w:after="0" w:line="176" w:lineRule="exact"/>
        <w:rPr>
          <w:rFonts w:ascii="Arial" w:cs="Arial" w:eastAsia="Arial" w:hAnsi="Arial"/>
          <w:sz w:val="20"/>
          <w:szCs w:val="20"/>
          <w:color w:val="auto"/>
        </w:rPr>
      </w:pPr>
    </w:p>
    <w:p>
      <w:pPr>
        <w:ind w:left="100" w:firstLine="741"/>
        <w:spacing w:after="0" w:line="246" w:lineRule="auto"/>
        <w:tabs>
          <w:tab w:leader="none" w:pos="1589"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The Existing Credit Agreement (other than the Exhibits and Schedules attached thereto) is hereby amended in its entirety to read in the form of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attached hereto (as so amended,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w:t>
      </w:r>
    </w:p>
    <w:p>
      <w:pPr>
        <w:spacing w:after="0" w:line="163" w:lineRule="exact"/>
        <w:rPr>
          <w:rFonts w:ascii="Arial" w:cs="Arial" w:eastAsia="Arial" w:hAnsi="Arial"/>
          <w:sz w:val="20"/>
          <w:szCs w:val="20"/>
          <w:color w:val="auto"/>
        </w:rPr>
      </w:pPr>
    </w:p>
    <w:p>
      <w:pPr>
        <w:ind w:left="100" w:right="520" w:firstLine="741"/>
        <w:spacing w:after="0" w:line="246" w:lineRule="auto"/>
        <w:tabs>
          <w:tab w:leader="none" w:pos="1585"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A new </w:t>
      </w:r>
      <w:r>
        <w:rPr>
          <w:rFonts w:ascii="Arial" w:cs="Arial" w:eastAsia="Arial" w:hAnsi="Arial"/>
          <w:sz w:val="20"/>
          <w:szCs w:val="20"/>
          <w:u w:val="single" w:color="auto"/>
          <w:color w:val="auto"/>
        </w:rPr>
        <w:t>Schedule 2.01LC</w:t>
      </w:r>
      <w:r>
        <w:rPr>
          <w:rFonts w:ascii="Arial" w:cs="Arial" w:eastAsia="Arial" w:hAnsi="Arial"/>
          <w:sz w:val="20"/>
          <w:szCs w:val="20"/>
          <w:color w:val="auto"/>
        </w:rPr>
        <w:t xml:space="preserve"> (L/C Commitments) is hereby added to the Credit Agreement to read in the form thereof included as </w:t>
      </w:r>
      <w:r>
        <w:rPr>
          <w:rFonts w:ascii="Arial" w:cs="Arial" w:eastAsia="Arial" w:hAnsi="Arial"/>
          <w:sz w:val="20"/>
          <w:szCs w:val="20"/>
          <w:u w:val="single" w:color="auto"/>
          <w:color w:val="auto"/>
        </w:rPr>
        <w:t>Annex B</w:t>
      </w:r>
      <w:r>
        <w:rPr>
          <w:rFonts w:ascii="Arial" w:cs="Arial" w:eastAsia="Arial" w:hAnsi="Arial"/>
          <w:sz w:val="20"/>
          <w:szCs w:val="20"/>
          <w:color w:val="auto"/>
        </w:rPr>
        <w:t xml:space="preserve"> attached hereto.</w:t>
      </w:r>
    </w:p>
    <w:p>
      <w:pPr>
        <w:spacing w:after="0" w:line="190" w:lineRule="exact"/>
        <w:rPr>
          <w:rFonts w:ascii="Arial" w:cs="Arial" w:eastAsia="Arial" w:hAnsi="Arial"/>
          <w:sz w:val="20"/>
          <w:szCs w:val="20"/>
          <w:color w:val="auto"/>
        </w:rPr>
      </w:pPr>
    </w:p>
    <w:p>
      <w:pPr>
        <w:jc w:val="both"/>
        <w:ind w:left="100" w:firstLine="741"/>
        <w:spacing w:after="0" w:line="237" w:lineRule="auto"/>
        <w:tabs>
          <w:tab w:leader="none" w:pos="1590"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Each of </w:t>
      </w:r>
      <w:r>
        <w:rPr>
          <w:rFonts w:ascii="Arial" w:cs="Arial" w:eastAsia="Arial" w:hAnsi="Arial"/>
          <w:sz w:val="20"/>
          <w:szCs w:val="20"/>
          <w:u w:val="single" w:color="auto"/>
          <w:color w:val="auto"/>
        </w:rPr>
        <w:t>Schedules 2.07(a)</w:t>
      </w:r>
      <w:r>
        <w:rPr>
          <w:rFonts w:ascii="Arial" w:cs="Arial" w:eastAsia="Arial" w:hAnsi="Arial"/>
          <w:sz w:val="20"/>
          <w:szCs w:val="20"/>
          <w:color w:val="auto"/>
        </w:rPr>
        <w:t xml:space="preserve"> (Term Loan Facility Amortization Schedule) and </w:t>
      </w:r>
      <w:r>
        <w:rPr>
          <w:rFonts w:ascii="Arial" w:cs="Arial" w:eastAsia="Arial" w:hAnsi="Arial"/>
          <w:sz w:val="20"/>
          <w:szCs w:val="20"/>
          <w:u w:val="single" w:color="auto"/>
          <w:color w:val="auto"/>
        </w:rPr>
        <w:t>10.02</w:t>
      </w:r>
      <w:r>
        <w:rPr>
          <w:rFonts w:ascii="Arial" w:cs="Arial" w:eastAsia="Arial" w:hAnsi="Arial"/>
          <w:sz w:val="20"/>
          <w:szCs w:val="20"/>
          <w:color w:val="auto"/>
        </w:rPr>
        <w:t xml:space="preserve"> (Administrative Agent’s Office; Certain Addresses for Notices) attached to the Existing Credit Agreement is hereby amended in its entirety to read in the form thereof included as part of </w:t>
      </w:r>
      <w:r>
        <w:rPr>
          <w:rFonts w:ascii="Arial" w:cs="Arial" w:eastAsia="Arial" w:hAnsi="Arial"/>
          <w:sz w:val="20"/>
          <w:szCs w:val="20"/>
          <w:u w:val="single" w:color="auto"/>
          <w:color w:val="auto"/>
        </w:rPr>
        <w:t>Annex C</w:t>
      </w:r>
      <w:r>
        <w:rPr>
          <w:rFonts w:ascii="Arial" w:cs="Arial" w:eastAsia="Arial" w:hAnsi="Arial"/>
          <w:sz w:val="20"/>
          <w:szCs w:val="20"/>
          <w:color w:val="auto"/>
        </w:rPr>
        <w:t xml:space="preserve"> attachedhereto.</w:t>
      </w:r>
    </w:p>
    <w:p>
      <w:pPr>
        <w:spacing w:after="0" w:line="182" w:lineRule="exact"/>
        <w:rPr>
          <w:rFonts w:ascii="Arial" w:cs="Arial" w:eastAsia="Arial" w:hAnsi="Arial"/>
          <w:sz w:val="20"/>
          <w:szCs w:val="20"/>
          <w:color w:val="auto"/>
        </w:rPr>
      </w:pPr>
    </w:p>
    <w:p>
      <w:pPr>
        <w:jc w:val="both"/>
        <w:ind w:left="100" w:right="20" w:firstLine="741"/>
        <w:spacing w:after="0" w:line="237" w:lineRule="auto"/>
        <w:tabs>
          <w:tab w:leader="none" w:pos="1589"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Each of </w:t>
      </w:r>
      <w:r>
        <w:rPr>
          <w:rFonts w:ascii="Arial" w:cs="Arial" w:eastAsia="Arial" w:hAnsi="Arial"/>
          <w:sz w:val="20"/>
          <w:szCs w:val="20"/>
          <w:u w:val="single" w:color="auto"/>
          <w:color w:val="auto"/>
        </w:rPr>
        <w:t>Exhibits A</w:t>
      </w:r>
      <w:r>
        <w:rPr>
          <w:rFonts w:ascii="Arial" w:cs="Arial" w:eastAsia="Arial" w:hAnsi="Arial"/>
          <w:sz w:val="20"/>
          <w:szCs w:val="20"/>
          <w:color w:val="auto"/>
        </w:rPr>
        <w:t xml:space="preserve"> (Form of Loan Notice),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(Form of Compliance Certificate) and </w:t>
      </w:r>
      <w:r>
        <w:rPr>
          <w:rFonts w:ascii="Arial" w:cs="Arial" w:eastAsia="Arial" w:hAnsi="Arial"/>
          <w:sz w:val="20"/>
          <w:szCs w:val="20"/>
          <w:u w:val="single" w:color="auto"/>
          <w:color w:val="auto"/>
        </w:rPr>
        <w:t>J</w:t>
      </w:r>
      <w:r>
        <w:rPr>
          <w:rFonts w:ascii="Arial" w:cs="Arial" w:eastAsia="Arial" w:hAnsi="Arial"/>
          <w:sz w:val="20"/>
          <w:szCs w:val="20"/>
          <w:color w:val="auto"/>
        </w:rPr>
        <w:t xml:space="preserve"> (Form of Notice of Loan Prepayment) attached to the Existing Credit Agreement is hereby amended in its entirety to read in the form thereof included as part of </w:t>
      </w:r>
      <w:r>
        <w:rPr>
          <w:rFonts w:ascii="Arial" w:cs="Arial" w:eastAsia="Arial" w:hAnsi="Arial"/>
          <w:sz w:val="20"/>
          <w:szCs w:val="20"/>
          <w:u w:val="single" w:color="auto"/>
          <w:color w:val="auto"/>
        </w:rPr>
        <w:t>Annex D</w:t>
      </w:r>
      <w:r>
        <w:rPr>
          <w:rFonts w:ascii="Arial" w:cs="Arial" w:eastAsia="Arial" w:hAnsi="Arial"/>
          <w:sz w:val="20"/>
          <w:szCs w:val="20"/>
          <w:color w:val="auto"/>
        </w:rPr>
        <w:t xml:space="preserve"> attachedhereto.</w:t>
      </w:r>
    </w:p>
    <w:p>
      <w:pPr>
        <w:spacing w:after="0" w:line="182" w:lineRule="exact"/>
        <w:rPr>
          <w:rFonts w:ascii="Arial" w:cs="Arial" w:eastAsia="Arial" w:hAnsi="Arial"/>
          <w:sz w:val="20"/>
          <w:szCs w:val="20"/>
          <w:color w:val="auto"/>
        </w:rPr>
      </w:pPr>
    </w:p>
    <w:p>
      <w:pPr>
        <w:jc w:val="both"/>
        <w:ind w:left="100" w:firstLine="741"/>
        <w:spacing w:after="0" w:line="237" w:lineRule="auto"/>
        <w:tabs>
          <w:tab w:leader="none" w:pos="1589" w:val="left"/>
        </w:tabs>
        <w:numPr>
          <w:ilvl w:val="1"/>
          <w:numId w:val="64"/>
        </w:numPr>
        <w:rPr>
          <w:rFonts w:ascii="Arial" w:cs="Arial" w:eastAsia="Arial" w:hAnsi="Arial"/>
          <w:sz w:val="20"/>
          <w:szCs w:val="20"/>
          <w:color w:val="auto"/>
        </w:rPr>
      </w:pPr>
      <w:r>
        <w:rPr>
          <w:rFonts w:ascii="Arial" w:cs="Arial" w:eastAsia="Arial" w:hAnsi="Arial"/>
          <w:sz w:val="20"/>
          <w:szCs w:val="20"/>
          <w:color w:val="auto"/>
        </w:rPr>
        <w:t xml:space="preserve">Each of the parties hereto acknowledges and agrees that immediately upon the effectiveness of this Amendment all outstanding Revolving Credit Loans denominated in Dollars and Term Loans shall be converted to Daily Simple SOFR Loans, with this </w:t>
      </w:r>
      <w:r>
        <w:rPr>
          <w:rFonts w:ascii="Arial" w:cs="Arial" w:eastAsia="Arial" w:hAnsi="Arial"/>
          <w:sz w:val="20"/>
          <w:szCs w:val="20"/>
          <w:u w:val="single" w:color="auto"/>
          <w:color w:val="auto"/>
        </w:rPr>
        <w:t>Section 1(e)</w:t>
      </w:r>
      <w:r>
        <w:rPr>
          <w:rFonts w:ascii="Arial" w:cs="Arial" w:eastAsia="Arial" w:hAnsi="Arial"/>
          <w:sz w:val="20"/>
          <w:szCs w:val="20"/>
          <w:color w:val="auto"/>
        </w:rPr>
        <w:t xml:space="preserve"> satisfying any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1" w:right="459" w:bottom="1440" w:gutter="0" w:footer="0" w:header="0"/>
        </w:sectPr>
      </w:pPr>
    </w:p>
    <w:bookmarkStart w:id="105" w:name="page106"/>
    <w:bookmarkEnd w:id="105"/>
    <w:p>
      <w:pPr>
        <w:jc w:val="both"/>
        <w:ind w:left="100"/>
        <w:spacing w:after="0" w:line="246" w:lineRule="auto"/>
        <w:rPr>
          <w:sz w:val="20"/>
          <w:szCs w:val="20"/>
          <w:color w:val="auto"/>
        </w:rPr>
      </w:pPr>
      <w:r>
        <w:rPr>
          <w:rFonts w:ascii="Arial" w:cs="Arial" w:eastAsia="Arial" w:hAnsi="Arial"/>
          <w:sz w:val="20"/>
          <w:szCs w:val="20"/>
          <w:color w:val="auto"/>
        </w:rPr>
        <w:t xml:space="preserve">requirement for the delivery of a Loan Notice as contemplated by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of the Credit Agreement. As of the effective date of this Amendment, there are no outstanding Revolving Credit Loans denominated in Alternative Currencies.</w:t>
      </w:r>
    </w:p>
    <w:p>
      <w:pPr>
        <w:spacing w:after="0" w:line="177"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The amendments to the Existing Credit Agreement and the above referenced Schedules and Exhibits to the Existing Credit Agreement are limited to the extent specifically set forth above and no other terms, covenants or provisions of the Loan Documents are intended to be effected hereby.</w:t>
      </w:r>
    </w:p>
    <w:p>
      <w:pPr>
        <w:spacing w:after="0" w:line="183"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Precedent</w:t>
      </w:r>
      <w:r>
        <w:rPr>
          <w:rFonts w:ascii="Arial" w:cs="Arial" w:eastAsia="Arial" w:hAnsi="Arial"/>
          <w:sz w:val="20"/>
          <w:szCs w:val="20"/>
          <w:color w:val="auto"/>
        </w:rPr>
        <w:t>. The effectiveness of this Amendment and the amendments contemplated hereby is subject to the satisfaction of the following conditions precedent:</w:t>
      </w:r>
    </w:p>
    <w:p>
      <w:pPr>
        <w:spacing w:after="0" w:line="177" w:lineRule="exact"/>
        <w:rPr>
          <w:sz w:val="20"/>
          <w:szCs w:val="20"/>
          <w:color w:val="auto"/>
        </w:rPr>
      </w:pPr>
    </w:p>
    <w:p>
      <w:pPr>
        <w:ind w:left="1580" w:hanging="739"/>
        <w:spacing w:after="0"/>
        <w:tabs>
          <w:tab w:leader="none" w:pos="158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Documentation</w:t>
      </w:r>
      <w:r>
        <w:rPr>
          <w:rFonts w:ascii="Arial" w:cs="Arial" w:eastAsia="Arial" w:hAnsi="Arial"/>
          <w:sz w:val="20"/>
          <w:szCs w:val="20"/>
          <w:color w:val="auto"/>
        </w:rPr>
        <w:t>. The Administrative Agent shall have received the following:</w:t>
      </w:r>
    </w:p>
    <w:p>
      <w:pPr>
        <w:spacing w:after="0" w:line="188" w:lineRule="exact"/>
        <w:rPr>
          <w:rFonts w:ascii="Arial" w:cs="Arial" w:eastAsia="Arial" w:hAnsi="Arial"/>
          <w:sz w:val="20"/>
          <w:szCs w:val="20"/>
          <w:color w:val="auto"/>
        </w:rPr>
      </w:pPr>
    </w:p>
    <w:p>
      <w:pPr>
        <w:ind w:left="840" w:right="20" w:firstLine="750"/>
        <w:spacing w:after="0" w:line="246" w:lineRule="auto"/>
        <w:tabs>
          <w:tab w:leader="none" w:pos="2329" w:val="left"/>
        </w:tabs>
        <w:numPr>
          <w:ilvl w:val="1"/>
          <w:numId w:val="65"/>
        </w:numPr>
        <w:rPr>
          <w:rFonts w:ascii="Arial" w:cs="Arial" w:eastAsia="Arial" w:hAnsi="Arial"/>
          <w:sz w:val="20"/>
          <w:szCs w:val="20"/>
          <w:color w:val="auto"/>
        </w:rPr>
      </w:pPr>
      <w:r>
        <w:rPr>
          <w:rFonts w:ascii="Arial" w:cs="Arial" w:eastAsia="Arial" w:hAnsi="Arial"/>
          <w:sz w:val="20"/>
          <w:szCs w:val="20"/>
          <w:color w:val="auto"/>
        </w:rPr>
        <w:t>counterparts of this Amendment, duly executed and delivered by the Company, the Subsidiary Guarantors, the Administrative Agent and all of the Lenders;</w:t>
      </w:r>
    </w:p>
    <w:p>
      <w:pPr>
        <w:spacing w:after="0" w:line="190" w:lineRule="exact"/>
        <w:rPr>
          <w:rFonts w:ascii="Arial" w:cs="Arial" w:eastAsia="Arial" w:hAnsi="Arial"/>
          <w:sz w:val="20"/>
          <w:szCs w:val="20"/>
          <w:color w:val="auto"/>
        </w:rPr>
      </w:pPr>
    </w:p>
    <w:p>
      <w:pPr>
        <w:ind w:left="840" w:right="20" w:firstLine="749"/>
        <w:spacing w:after="0" w:line="246" w:lineRule="auto"/>
        <w:tabs>
          <w:tab w:leader="none" w:pos="2328" w:val="left"/>
        </w:tabs>
        <w:numPr>
          <w:ilvl w:val="1"/>
          <w:numId w:val="65"/>
        </w:numPr>
        <w:rPr>
          <w:rFonts w:ascii="Arial" w:cs="Arial" w:eastAsia="Arial" w:hAnsi="Arial"/>
          <w:sz w:val="20"/>
          <w:szCs w:val="20"/>
          <w:color w:val="auto"/>
        </w:rPr>
      </w:pPr>
      <w:r>
        <w:rPr>
          <w:rFonts w:ascii="Arial" w:cs="Arial" w:eastAsia="Arial" w:hAnsi="Arial"/>
          <w:sz w:val="20"/>
          <w:szCs w:val="20"/>
          <w:color w:val="auto"/>
        </w:rPr>
        <w:t>counterparts of the letter agreement referenced in clause (b) of the definition of “Fee Letter”, duly executed by the Company and Bank of America;</w:t>
      </w:r>
    </w:p>
    <w:p>
      <w:pPr>
        <w:spacing w:after="0" w:line="176" w:lineRule="exact"/>
        <w:rPr>
          <w:rFonts w:ascii="Arial" w:cs="Arial" w:eastAsia="Arial" w:hAnsi="Arial"/>
          <w:sz w:val="20"/>
          <w:szCs w:val="20"/>
          <w:color w:val="auto"/>
        </w:rPr>
      </w:pPr>
    </w:p>
    <w:p>
      <w:pPr>
        <w:jc w:val="both"/>
        <w:ind w:left="840" w:firstLine="749"/>
        <w:spacing w:after="0" w:line="243" w:lineRule="auto"/>
        <w:tabs>
          <w:tab w:leader="none" w:pos="2329"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certificate of a Responsible Officer of each Loan Party certifying as to (A) copies of the Organization Documents of such Loan Party (or as to no change since last delivered to the Administrative Agent on June 11, 2019) and a good standing (or equivalent) certificate as of a recent date for such Loan Party from the relevant authority of its jurisdiction of incorporation (to the extent applicable), (B) copies of resolutions, written consents or other applicable action authorizing the transactions contemplated the Loan Documents (after giving effect to this Amendment) and (C) the identity, authority, signature and capacity of each Responsible Officer thereof authorized to act as a Responsible Officer in connection with the Loan Documents to which such Loan Party is a party;</w:t>
      </w:r>
    </w:p>
    <w:p>
      <w:pPr>
        <w:spacing w:after="0" w:line="192" w:lineRule="exact"/>
        <w:rPr>
          <w:rFonts w:ascii="Arial" w:cs="Arial" w:eastAsia="Arial" w:hAnsi="Arial"/>
          <w:sz w:val="19"/>
          <w:szCs w:val="19"/>
          <w:color w:val="auto"/>
        </w:rPr>
      </w:pPr>
    </w:p>
    <w:p>
      <w:pPr>
        <w:ind w:left="840" w:firstLine="749"/>
        <w:spacing w:after="0" w:line="300" w:lineRule="auto"/>
        <w:tabs>
          <w:tab w:leader="none" w:pos="23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favorable opinions of counsel to the Loan Parties addressed to the Administrative Agent and each Lender, as to the matters concerning the Loan Parties and the Loan Documents as the Administrative Agent may reasonably request; and</w:t>
      </w:r>
    </w:p>
    <w:p>
      <w:pPr>
        <w:spacing w:after="0" w:line="130" w:lineRule="exact"/>
        <w:rPr>
          <w:rFonts w:ascii="Arial" w:cs="Arial" w:eastAsia="Arial" w:hAnsi="Arial"/>
          <w:sz w:val="18"/>
          <w:szCs w:val="18"/>
          <w:color w:val="auto"/>
        </w:rPr>
      </w:pPr>
    </w:p>
    <w:p>
      <w:pPr>
        <w:ind w:left="840" w:firstLine="749"/>
        <w:spacing w:after="0" w:line="260" w:lineRule="auto"/>
        <w:tabs>
          <w:tab w:leader="none" w:pos="2328" w:val="left"/>
        </w:tabs>
        <w:numPr>
          <w:ilvl w:val="1"/>
          <w:numId w:val="65"/>
        </w:numPr>
        <w:rPr>
          <w:rFonts w:ascii="Arial" w:cs="Arial" w:eastAsia="Arial" w:hAnsi="Arial"/>
          <w:sz w:val="20"/>
          <w:szCs w:val="20"/>
          <w:color w:val="auto"/>
        </w:rPr>
      </w:pPr>
      <w:r>
        <w:rPr>
          <w:rFonts w:ascii="Arial" w:cs="Arial" w:eastAsia="Arial" w:hAnsi="Arial"/>
          <w:sz w:val="20"/>
          <w:szCs w:val="20"/>
          <w:color w:val="auto"/>
        </w:rPr>
        <w:t>such searches of UCC filings as the Administrative Agent may require in the jurisdiction of incorporation or formation, as applicable, of each Loan Party.</w:t>
      </w:r>
    </w:p>
    <w:p>
      <w:pPr>
        <w:spacing w:after="0" w:line="163" w:lineRule="exact"/>
        <w:rPr>
          <w:rFonts w:ascii="Arial" w:cs="Arial" w:eastAsia="Arial" w:hAnsi="Arial"/>
          <w:sz w:val="20"/>
          <w:szCs w:val="20"/>
          <w:color w:val="auto"/>
        </w:rPr>
      </w:pPr>
    </w:p>
    <w:p>
      <w:pPr>
        <w:jc w:val="both"/>
        <w:ind w:left="100" w:firstLine="741"/>
        <w:spacing w:after="0" w:line="267" w:lineRule="auto"/>
        <w:tabs>
          <w:tab w:leader="none" w:pos="1589"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Company shall have paid (i) all fees payable to the Arranger and the Lenders pursuant to that certain engagement letter dated as of November 18, 2021 (the “</w:t>
      </w:r>
      <w:r>
        <w:rPr>
          <w:rFonts w:ascii="Arial" w:cs="Arial" w:eastAsia="Arial" w:hAnsi="Arial"/>
          <w:sz w:val="18"/>
          <w:szCs w:val="18"/>
          <w:u w:val="single" w:color="auto"/>
          <w:color w:val="auto"/>
        </w:rPr>
        <w:t>Engagement Letter</w:t>
      </w:r>
      <w:r>
        <w:rPr>
          <w:rFonts w:ascii="Arial" w:cs="Arial" w:eastAsia="Arial" w:hAnsi="Arial"/>
          <w:sz w:val="18"/>
          <w:szCs w:val="18"/>
          <w:color w:val="auto"/>
        </w:rPr>
        <w:t>”) between the Company and the Arranger and (ii) all reasonable and documented out-of-pocket fees, charges and disbursements of counsel to the Administrative Agent (directly to such counsel if requested by the Administrative Agent) to the extent invoiced at least two days prior to the datehereof.</w:t>
      </w:r>
    </w:p>
    <w:p>
      <w:pPr>
        <w:spacing w:after="0" w:line="158" w:lineRule="exact"/>
        <w:rPr>
          <w:rFonts w:ascii="Arial" w:cs="Arial" w:eastAsia="Arial" w:hAnsi="Arial"/>
          <w:sz w:val="18"/>
          <w:szCs w:val="18"/>
          <w:color w:val="auto"/>
        </w:rPr>
      </w:pPr>
    </w:p>
    <w:p>
      <w:pPr>
        <w:jc w:val="both"/>
        <w:ind w:left="100" w:right="20" w:firstLine="741"/>
        <w:spacing w:after="0" w:line="237" w:lineRule="auto"/>
        <w:tabs>
          <w:tab w:leader="none" w:pos="1589"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The Administrative Agent shall have received evidence reasonably satisfactory to it that, concurrently with the closing, all accrued and unpaid interest and fees owing to the Lenders under the Existing Credit Agreement have been paid in full.</w:t>
      </w:r>
    </w:p>
    <w:p>
      <w:pPr>
        <w:spacing w:after="0" w:line="399" w:lineRule="exact"/>
        <w:rPr>
          <w:sz w:val="20"/>
          <w:szCs w:val="20"/>
          <w:color w:val="auto"/>
        </w:rPr>
      </w:pPr>
    </w:p>
    <w:p>
      <w:pPr>
        <w:ind w:left="100" w:right="20" w:firstLine="747"/>
        <w:spacing w:after="0" w:line="246" w:lineRule="auto"/>
        <w:rPr>
          <w:sz w:val="20"/>
          <w:szCs w:val="20"/>
          <w:color w:val="auto"/>
        </w:rPr>
      </w:pPr>
      <w:r>
        <w:rPr>
          <w:rFonts w:ascii="Arial" w:cs="Arial" w:eastAsia="Arial" w:hAnsi="Arial"/>
          <w:sz w:val="20"/>
          <w:szCs w:val="20"/>
          <w:color w:val="auto"/>
        </w:rPr>
        <w:t xml:space="preserve">Upon satisfaction of the conditions set forth in this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and the effectiveness of this Amendment, the Administrative Agent shall provide notice of such effectiveness to the Company and the Lenders.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06" w:name="page107"/>
    <w:bookmarkEnd w:id="106"/>
    <w:p>
      <w:pPr>
        <w:ind w:left="840"/>
        <w:spacing w:after="0"/>
        <w:tabs>
          <w:tab w:leader="none" w:pos="20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202" w:lineRule="exact"/>
        <w:rPr>
          <w:sz w:val="20"/>
          <w:szCs w:val="20"/>
          <w:color w:val="auto"/>
        </w:rPr>
      </w:pPr>
    </w:p>
    <w:p>
      <w:pPr>
        <w:ind w:left="100" w:right="20" w:firstLine="741"/>
        <w:spacing w:after="0" w:line="246" w:lineRule="auto"/>
        <w:tabs>
          <w:tab w:leader="none" w:pos="1589"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order to induce the Administrative Agent and the Lenders to enter into this Amendment, the Company represents and warrants to the Administrative Agent and the Lenders as follows:</w:t>
      </w:r>
    </w:p>
    <w:p>
      <w:pPr>
        <w:spacing w:after="0" w:line="176" w:lineRule="exact"/>
        <w:rPr>
          <w:rFonts w:ascii="Arial" w:cs="Arial" w:eastAsia="Arial" w:hAnsi="Arial"/>
          <w:sz w:val="20"/>
          <w:szCs w:val="20"/>
          <w:color w:val="auto"/>
        </w:rPr>
      </w:pPr>
    </w:p>
    <w:p>
      <w:pPr>
        <w:jc w:val="both"/>
        <w:ind w:left="840" w:firstLine="750"/>
        <w:spacing w:after="0" w:line="299" w:lineRule="auto"/>
        <w:tabs>
          <w:tab w:leader="none" w:pos="2329"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After giving effect to this Amendment, the representations and warranties of the Company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of the Credit Agreement and in each other Loan Document are true and correct in all material respects on and as of the date hereof, except to the extent that such representations and warranties specifically refer to an earlier date, in which case they are true and correct in all material respects as of such earlier date, and except that for purposes of this Amendment, the representations and warranties contained in </w:t>
      </w:r>
      <w:r>
        <w:rPr>
          <w:rFonts w:ascii="Arial" w:cs="Arial" w:eastAsia="Arial" w:hAnsi="Arial"/>
          <w:sz w:val="16"/>
          <w:szCs w:val="16"/>
          <w:u w:val="single" w:color="auto"/>
          <w:color w:val="auto"/>
        </w:rPr>
        <w:t>Sections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Credit Agreement shall be deemed to refer to the most recent statements furnished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 of the Credit Agreement.</w:t>
      </w:r>
    </w:p>
    <w:p>
      <w:pPr>
        <w:spacing w:after="0" w:line="136" w:lineRule="exact"/>
        <w:rPr>
          <w:rFonts w:ascii="Arial" w:cs="Arial" w:eastAsia="Arial" w:hAnsi="Arial"/>
          <w:sz w:val="16"/>
          <w:szCs w:val="16"/>
          <w:color w:val="auto"/>
        </w:rPr>
      </w:pPr>
    </w:p>
    <w:p>
      <w:pPr>
        <w:ind w:left="840" w:right="20" w:firstLine="749"/>
        <w:spacing w:after="0" w:line="246" w:lineRule="auto"/>
        <w:tabs>
          <w:tab w:leader="none" w:pos="2328" w:val="left"/>
        </w:tabs>
        <w:numPr>
          <w:ilvl w:val="1"/>
          <w:numId w:val="66"/>
        </w:numPr>
        <w:rPr>
          <w:rFonts w:ascii="Arial" w:cs="Arial" w:eastAsia="Arial" w:hAnsi="Arial"/>
          <w:sz w:val="20"/>
          <w:szCs w:val="20"/>
          <w:color w:val="auto"/>
        </w:rPr>
      </w:pPr>
      <w:r>
        <w:rPr>
          <w:rFonts w:ascii="Arial" w:cs="Arial" w:eastAsia="Arial" w:hAnsi="Arial"/>
          <w:sz w:val="20"/>
          <w:szCs w:val="20"/>
          <w:color w:val="auto"/>
        </w:rPr>
        <w:t>Since December 31, 2020, there has been no event or circumstance, either individually or in the aggregate, that has had or could reasonably be expected to have a Material Adverse Effect.</w:t>
      </w:r>
    </w:p>
    <w:p>
      <w:pPr>
        <w:spacing w:after="0" w:line="176" w:lineRule="exact"/>
        <w:rPr>
          <w:rFonts w:ascii="Arial" w:cs="Arial" w:eastAsia="Arial" w:hAnsi="Arial"/>
          <w:sz w:val="20"/>
          <w:szCs w:val="20"/>
          <w:color w:val="auto"/>
        </w:rPr>
      </w:pPr>
    </w:p>
    <w:p>
      <w:pPr>
        <w:ind w:left="2320" w:hanging="730"/>
        <w:spacing w:after="0"/>
        <w:tabs>
          <w:tab w:leader="none" w:pos="2320" w:val="left"/>
        </w:tabs>
        <w:numPr>
          <w:ilvl w:val="1"/>
          <w:numId w:val="66"/>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or will exist after giving effect to this</w:t>
      </w:r>
    </w:p>
    <w:p>
      <w:pPr>
        <w:spacing w:after="0" w:line="2" w:lineRule="exact"/>
        <w:rPr>
          <w:rFonts w:ascii="Arial" w:cs="Arial" w:eastAsia="Arial" w:hAnsi="Arial"/>
          <w:sz w:val="20"/>
          <w:szCs w:val="20"/>
          <w:color w:val="auto"/>
        </w:rPr>
      </w:pPr>
    </w:p>
    <w:p>
      <w:pPr>
        <w:ind w:left="840"/>
        <w:spacing w:after="0"/>
        <w:rPr>
          <w:rFonts w:ascii="Arial" w:cs="Arial" w:eastAsia="Arial" w:hAnsi="Arial"/>
          <w:sz w:val="20"/>
          <w:szCs w:val="20"/>
          <w:color w:val="auto"/>
        </w:rPr>
      </w:pPr>
      <w:r>
        <w:rPr>
          <w:rFonts w:ascii="Arial" w:cs="Arial" w:eastAsia="Arial" w:hAnsi="Arial"/>
          <w:sz w:val="20"/>
          <w:szCs w:val="20"/>
          <w:color w:val="auto"/>
        </w:rPr>
        <w:t>Amendment.</w:t>
      </w:r>
    </w:p>
    <w:p>
      <w:pPr>
        <w:spacing w:after="0" w:line="172" w:lineRule="exact"/>
        <w:rPr>
          <w:rFonts w:ascii="Arial" w:cs="Arial" w:eastAsia="Arial" w:hAnsi="Arial"/>
          <w:sz w:val="20"/>
          <w:szCs w:val="20"/>
          <w:color w:val="auto"/>
        </w:rPr>
      </w:pPr>
    </w:p>
    <w:p>
      <w:pPr>
        <w:jc w:val="both"/>
        <w:ind w:left="100" w:firstLine="741"/>
        <w:spacing w:after="0" w:line="263" w:lineRule="auto"/>
        <w:tabs>
          <w:tab w:leader="none" w:pos="15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order to induce the Administrative Agent and the Lenders to enter into this Amendment, each of the Company and each Subsidiary Guarantor represents and warrants to the Administrative Agent and the Lenders that this Amendment has been duly authorized, executed and delivered by it and constitutes its legal, valid and binding obligation,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62" w:lineRule="exact"/>
        <w:rPr>
          <w:sz w:val="20"/>
          <w:szCs w:val="20"/>
          <w:color w:val="auto"/>
        </w:rPr>
      </w:pPr>
    </w:p>
    <w:p>
      <w:pPr>
        <w:ind w:left="840"/>
        <w:spacing w:after="0"/>
        <w:tabs>
          <w:tab w:leader="none" w:pos="200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02" w:lineRule="exact"/>
        <w:rPr>
          <w:sz w:val="20"/>
          <w:szCs w:val="20"/>
          <w:color w:val="auto"/>
        </w:rPr>
      </w:pPr>
    </w:p>
    <w:p>
      <w:pPr>
        <w:jc w:val="both"/>
        <w:ind w:left="100" w:firstLine="741"/>
        <w:spacing w:after="0" w:line="231" w:lineRule="auto"/>
        <w:tabs>
          <w:tab w:leader="none" w:pos="1589"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Ratification and Confirmation of Loan Documents</w:t>
      </w:r>
      <w:r>
        <w:rPr>
          <w:rFonts w:ascii="Arial" w:cs="Arial" w:eastAsia="Arial" w:hAnsi="Arial"/>
          <w:sz w:val="20"/>
          <w:szCs w:val="20"/>
          <w:color w:val="auto"/>
        </w:rPr>
        <w:t>. Each of the Company and each Subsidiary Guarantor hereby consents, acknowledges and agrees to the amendments set forth herein and hereby confirms and ratifies in all respects the Loan Documents to which such Person is a party (including without limitation, with respect to each Subsidiary Guarantor, the continuation of its payment and performance obligations under the Subsidiary Guaranty and, with respect to both the Company and each Subsidiary Guarantor, the continuation and extension of the liens granted under the Collateral Documents to secure the Secured Obligations), in each case after giving effect to the amendments contemplated hereby.</w:t>
      </w:r>
    </w:p>
    <w:p>
      <w:pPr>
        <w:spacing w:after="0" w:line="183" w:lineRule="exact"/>
        <w:rPr>
          <w:rFonts w:ascii="Arial" w:cs="Arial" w:eastAsia="Arial" w:hAnsi="Arial"/>
          <w:sz w:val="20"/>
          <w:szCs w:val="20"/>
          <w:color w:val="auto"/>
        </w:rPr>
      </w:pPr>
    </w:p>
    <w:p>
      <w:pPr>
        <w:jc w:val="both"/>
        <w:ind w:left="100" w:firstLine="741"/>
        <w:spacing w:after="0" w:line="248" w:lineRule="auto"/>
        <w:tabs>
          <w:tab w:leader="none" w:pos="158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xml:space="preserve">. The Company shall pay on demand all reasonable costs and expenses of the Administrative Agent in connection with the preparation, negotiation, execution, and delivery of this Amendment and any other documents prepared in connection herewith, including, without limitation, the reasonable and documented fees and out-of-pocket expenses of counsel for the Administrative Agent, in each case, as set forth in </w:t>
      </w:r>
      <w:r>
        <w:rPr>
          <w:rFonts w:ascii="Arial" w:cs="Arial" w:eastAsia="Arial" w:hAnsi="Arial"/>
          <w:sz w:val="19"/>
          <w:szCs w:val="19"/>
          <w:u w:val="single" w:color="auto"/>
          <w:color w:val="auto"/>
        </w:rPr>
        <w:t>Section 10.04(a)</w:t>
      </w:r>
      <w:r>
        <w:rPr>
          <w:rFonts w:ascii="Arial" w:cs="Arial" w:eastAsia="Arial" w:hAnsi="Arial"/>
          <w:sz w:val="19"/>
          <w:szCs w:val="19"/>
          <w:color w:val="auto"/>
        </w:rPr>
        <w:t xml:space="preserve"> of the Credit Agreement.</w:t>
      </w:r>
    </w:p>
    <w:p>
      <w:pPr>
        <w:spacing w:after="0" w:line="176" w:lineRule="exact"/>
        <w:rPr>
          <w:rFonts w:ascii="Arial" w:cs="Arial" w:eastAsia="Arial" w:hAnsi="Arial"/>
          <w:sz w:val="19"/>
          <w:szCs w:val="19"/>
          <w:color w:val="auto"/>
        </w:rPr>
      </w:pPr>
    </w:p>
    <w:p>
      <w:pPr>
        <w:ind w:left="100" w:right="20" w:firstLine="741"/>
        <w:spacing w:after="0" w:line="246" w:lineRule="auto"/>
        <w:tabs>
          <w:tab w:leader="none" w:pos="1589"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and subsection headings in this Amendment are included herein for convenience of reference only and shall not constitute a part of this Amendment for any other purpose or be given any substantive effect.</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07" w:name="page108"/>
    <w:bookmarkEnd w:id="107"/>
    <w:p>
      <w:pPr>
        <w:jc w:val="both"/>
        <w:ind w:left="200" w:right="20" w:firstLine="746"/>
        <w:spacing w:after="0" w:line="237" w:lineRule="auto"/>
        <w:tabs>
          <w:tab w:leader="none" w:pos="1689"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Waiver of Jury Trial; Etc</w:t>
      </w:r>
      <w:r>
        <w:rPr>
          <w:rFonts w:ascii="Arial" w:cs="Arial" w:eastAsia="Arial" w:hAnsi="Arial"/>
          <w:sz w:val="20"/>
          <w:szCs w:val="20"/>
          <w:color w:val="auto"/>
        </w:rPr>
        <w:t xml:space="preserve">. This Amendment shall be governed by and construed in accordance with the laws of the State of New York, and shall be further subject to the provisions of </w:t>
      </w:r>
      <w:r>
        <w:rPr>
          <w:rFonts w:ascii="Arial" w:cs="Arial" w:eastAsia="Arial" w:hAnsi="Arial"/>
          <w:sz w:val="20"/>
          <w:szCs w:val="20"/>
          <w:u w:val="single" w:color="auto"/>
          <w:color w:val="auto"/>
        </w:rPr>
        <w:t>Sections 10.14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10.15</w:t>
      </w:r>
      <w:r>
        <w:rPr>
          <w:rFonts w:ascii="Arial" w:cs="Arial" w:eastAsia="Arial" w:hAnsi="Arial"/>
          <w:sz w:val="20"/>
          <w:szCs w:val="20"/>
          <w:color w:val="auto"/>
        </w:rPr>
        <w:t xml:space="preserve"> of the Credit Agreement.</w:t>
      </w:r>
    </w:p>
    <w:p>
      <w:pPr>
        <w:spacing w:after="0" w:line="182" w:lineRule="exact"/>
        <w:rPr>
          <w:rFonts w:ascii="Arial" w:cs="Arial" w:eastAsia="Arial" w:hAnsi="Arial"/>
          <w:sz w:val="20"/>
          <w:szCs w:val="20"/>
          <w:color w:val="auto"/>
        </w:rPr>
      </w:pPr>
    </w:p>
    <w:p>
      <w:pPr>
        <w:jc w:val="both"/>
        <w:ind w:left="200" w:firstLine="746"/>
        <w:spacing w:after="0" w:line="234" w:lineRule="auto"/>
        <w:tabs>
          <w:tab w:leader="none" w:pos="1689"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when executed and delivered shall be deemed to be an original, and all of which when taken together shall constitute one and the same agreement. Delivery of an executed counterpart of a signature page of this Amendment by facsimile or electronic transmission (including .pdf file) shall be effective as delivery of a manually executed counterpart hereof.</w:t>
      </w:r>
    </w:p>
    <w:p>
      <w:pPr>
        <w:spacing w:after="0" w:line="183" w:lineRule="exact"/>
        <w:rPr>
          <w:rFonts w:ascii="Arial" w:cs="Arial" w:eastAsia="Arial" w:hAnsi="Arial"/>
          <w:sz w:val="20"/>
          <w:szCs w:val="20"/>
          <w:color w:val="auto"/>
        </w:rPr>
      </w:pPr>
    </w:p>
    <w:p>
      <w:pPr>
        <w:jc w:val="both"/>
        <w:ind w:left="200" w:firstLine="746"/>
        <w:spacing w:after="0" w:line="229" w:lineRule="auto"/>
        <w:tabs>
          <w:tab w:leader="none" w:pos="1689"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Amendment, together with the Engagement Letter and the other Loan Documents (collectively, the “</w:t>
      </w:r>
      <w:r>
        <w:rPr>
          <w:rFonts w:ascii="Arial" w:cs="Arial" w:eastAsia="Arial" w:hAnsi="Arial"/>
          <w:sz w:val="20"/>
          <w:szCs w:val="20"/>
          <w:u w:val="single" w:color="auto"/>
          <w:color w:val="auto"/>
        </w:rPr>
        <w:t>Relevant Documents</w:t>
      </w:r>
      <w:r>
        <w:rPr>
          <w:rFonts w:ascii="Arial" w:cs="Arial" w:eastAsia="Arial" w:hAnsi="Arial"/>
          <w:sz w:val="20"/>
          <w:szCs w:val="20"/>
          <w:color w:val="auto"/>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of the Credit Agreement.</w:t>
      </w:r>
    </w:p>
    <w:p>
      <w:pPr>
        <w:spacing w:after="0" w:line="185" w:lineRule="exact"/>
        <w:rPr>
          <w:rFonts w:ascii="Arial" w:cs="Arial" w:eastAsia="Arial" w:hAnsi="Arial"/>
          <w:sz w:val="20"/>
          <w:szCs w:val="20"/>
          <w:color w:val="auto"/>
        </w:rPr>
      </w:pPr>
    </w:p>
    <w:p>
      <w:pPr>
        <w:jc w:val="both"/>
        <w:ind w:left="200" w:firstLine="745"/>
        <w:spacing w:after="0" w:line="237" w:lineRule="auto"/>
        <w:tabs>
          <w:tab w:leader="none" w:pos="1689"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Enforceability</w:t>
      </w:r>
      <w:r>
        <w:rPr>
          <w:rFonts w:ascii="Arial" w:cs="Arial" w:eastAsia="Arial" w:hAnsi="Arial"/>
          <w:sz w:val="20"/>
          <w:szCs w:val="20"/>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82" w:lineRule="exact"/>
        <w:rPr>
          <w:rFonts w:ascii="Arial" w:cs="Arial" w:eastAsia="Arial" w:hAnsi="Arial"/>
          <w:sz w:val="20"/>
          <w:szCs w:val="20"/>
          <w:color w:val="auto"/>
        </w:rPr>
      </w:pPr>
    </w:p>
    <w:p>
      <w:pPr>
        <w:ind w:left="200" w:right="20" w:firstLine="746"/>
        <w:spacing w:after="0" w:line="246" w:lineRule="auto"/>
        <w:tabs>
          <w:tab w:leader="none" w:pos="1689"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Amendment shall be binding upon and inure to the benefit of the parties hereto and their respective successors and assigns (subject to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of the Credit Agreement).</w:t>
      </w:r>
    </w:p>
    <w:p>
      <w:pPr>
        <w:spacing w:after="0" w:line="177"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[Remainder of Page Intentionally Left Blank; Signature Pages Follow]</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08" w:name="page109"/>
    <w:bookmarkEnd w:id="108"/>
    <w:p>
      <w:pPr>
        <w:ind w:left="100"/>
        <w:spacing w:after="0"/>
        <w:rPr>
          <w:sz w:val="20"/>
          <w:szCs w:val="20"/>
          <w:color w:val="auto"/>
        </w:rPr>
      </w:pPr>
      <w:r>
        <w:rPr>
          <w:rFonts w:ascii="Arial" w:cs="Arial" w:eastAsia="Arial" w:hAnsi="Arial"/>
          <w:sz w:val="20"/>
          <w:szCs w:val="20"/>
          <w:color w:val="auto"/>
        </w:rPr>
        <w:t>The following parties have caused this Amendment to be executed as of the date first written above.</w:t>
      </w:r>
    </w:p>
    <w:p>
      <w:pPr>
        <w:spacing w:after="0" w:line="183" w:lineRule="exact"/>
        <w:rPr>
          <w:sz w:val="20"/>
          <w:szCs w:val="20"/>
          <w:color w:val="auto"/>
        </w:rPr>
      </w:pPr>
    </w:p>
    <w:p>
      <w:pPr>
        <w:ind w:left="5600"/>
        <w:spacing w:after="0"/>
        <w:rPr>
          <w:sz w:val="20"/>
          <w:szCs w:val="20"/>
          <w:color w:val="auto"/>
        </w:rPr>
      </w:pPr>
      <w:r>
        <w:rPr>
          <w:rFonts w:ascii="Arial" w:cs="Arial" w:eastAsia="Arial" w:hAnsi="Arial"/>
          <w:sz w:val="20"/>
          <w:szCs w:val="20"/>
          <w:b w:val="1"/>
          <w:bCs w:val="1"/>
          <w:u w:val="single" w:color="auto"/>
          <w:color w:val="auto"/>
        </w:rPr>
        <w:t>COMPANY:</w:t>
      </w:r>
    </w:p>
    <w:p>
      <w:pPr>
        <w:spacing w:after="0" w:line="202"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CECO ENVIRONMENTAL CORP.</w:t>
      </w:r>
    </w:p>
    <w:p>
      <w:pPr>
        <w:spacing w:after="0" w:line="208" w:lineRule="exact"/>
        <w:rPr>
          <w:sz w:val="20"/>
          <w:szCs w:val="20"/>
          <w:color w:val="auto"/>
        </w:rPr>
      </w:pPr>
    </w:p>
    <w:tbl>
      <w:tblPr>
        <w:tblLayout w:type="fixed"/>
        <w:tblInd w:w="560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Matthew Eckl</w:t>
            </w:r>
          </w:p>
        </w:tc>
      </w:tr>
      <w:tr>
        <w:trPr>
          <w:trHeight w:val="186"/>
        </w:trPr>
        <w:tc>
          <w:tcPr>
            <w:tcW w:w="800" w:type="dxa"/>
            <w:vAlign w:val="bottom"/>
          </w:tcPr>
          <w:p>
            <w:pPr>
              <w:spacing w:after="0" w:line="185" w:lineRule="exact"/>
              <w:rPr>
                <w:sz w:val="20"/>
                <w:szCs w:val="20"/>
                <w:color w:val="auto"/>
              </w:rPr>
            </w:pPr>
            <w:r>
              <w:rPr>
                <w:rFonts w:ascii="Arial" w:cs="Arial" w:eastAsia="Arial" w:hAnsi="Arial"/>
                <w:sz w:val="20"/>
                <w:szCs w:val="20"/>
                <w:color w:val="auto"/>
              </w:rPr>
              <w:t>Name:</w:t>
            </w:r>
          </w:p>
        </w:tc>
        <w:tc>
          <w:tcPr>
            <w:tcW w:w="4820" w:type="dxa"/>
            <w:vAlign w:val="bottom"/>
          </w:tcPr>
          <w:p>
            <w:pPr>
              <w:ind w:left="20"/>
              <w:spacing w:after="0" w:line="185" w:lineRule="exact"/>
              <w:rPr>
                <w:sz w:val="20"/>
                <w:szCs w:val="20"/>
                <w:color w:val="auto"/>
              </w:rPr>
            </w:pPr>
            <w:r>
              <w:rPr>
                <w:rFonts w:ascii="Arial" w:cs="Arial" w:eastAsia="Arial" w:hAnsi="Arial"/>
                <w:sz w:val="20"/>
                <w:szCs w:val="20"/>
                <w:color w:val="auto"/>
              </w:rPr>
              <w:t>Matthew Eckl</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pacing w:after="0" w:line="176" w:lineRule="exact"/>
        <w:rPr>
          <w:sz w:val="20"/>
          <w:szCs w:val="20"/>
          <w:color w:val="auto"/>
        </w:rPr>
      </w:pPr>
    </w:p>
    <w:p>
      <w:pPr>
        <w:ind w:left="5600"/>
        <w:spacing w:after="0"/>
        <w:rPr>
          <w:sz w:val="20"/>
          <w:szCs w:val="20"/>
          <w:color w:val="auto"/>
        </w:rPr>
      </w:pPr>
      <w:r>
        <w:rPr>
          <w:rFonts w:ascii="Arial" w:cs="Arial" w:eastAsia="Arial" w:hAnsi="Arial"/>
          <w:sz w:val="20"/>
          <w:szCs w:val="20"/>
          <w:b w:val="1"/>
          <w:bCs w:val="1"/>
          <w:u w:val="single" w:color="auto"/>
          <w:color w:val="auto"/>
        </w:rPr>
        <w:t>SUBSIDIARY GUARANTORS:</w:t>
      </w:r>
    </w:p>
    <w:p>
      <w:pPr>
        <w:spacing w:after="0" w:line="202" w:lineRule="exact"/>
        <w:rPr>
          <w:sz w:val="20"/>
          <w:szCs w:val="20"/>
          <w:color w:val="auto"/>
        </w:rPr>
      </w:pPr>
    </w:p>
    <w:p>
      <w:pPr>
        <w:ind w:left="5600"/>
        <w:spacing w:after="0"/>
        <w:rPr>
          <w:sz w:val="20"/>
          <w:szCs w:val="20"/>
          <w:color w:val="auto"/>
        </w:rPr>
      </w:pPr>
      <w:r>
        <w:rPr>
          <w:rFonts w:ascii="Arial" w:cs="Arial" w:eastAsia="Arial" w:hAnsi="Arial"/>
          <w:sz w:val="20"/>
          <w:szCs w:val="20"/>
          <w:b w:val="1"/>
          <w:bCs w:val="1"/>
          <w:color w:val="auto"/>
        </w:rPr>
        <w:t>AARDING THERMAL ACOUSTICS USA INC.</w:t>
      </w:r>
    </w:p>
    <w:p>
      <w:pPr>
        <w:ind w:left="5600"/>
        <w:spacing w:after="0" w:line="233" w:lineRule="auto"/>
        <w:rPr>
          <w:sz w:val="20"/>
          <w:szCs w:val="20"/>
          <w:color w:val="auto"/>
        </w:rPr>
      </w:pPr>
      <w:r>
        <w:rPr>
          <w:rFonts w:ascii="Arial" w:cs="Arial" w:eastAsia="Arial" w:hAnsi="Arial"/>
          <w:sz w:val="20"/>
          <w:szCs w:val="20"/>
          <w:b w:val="1"/>
          <w:bCs w:val="1"/>
          <w:color w:val="auto"/>
        </w:rPr>
        <w:t>CECO ENVIRONMENTAL IP INC.</w:t>
      </w:r>
    </w:p>
    <w:p>
      <w:pPr>
        <w:ind w:left="5600"/>
        <w:spacing w:after="0" w:line="226" w:lineRule="auto"/>
        <w:rPr>
          <w:sz w:val="20"/>
          <w:szCs w:val="20"/>
          <w:color w:val="auto"/>
        </w:rPr>
      </w:pPr>
      <w:r>
        <w:rPr>
          <w:rFonts w:ascii="Arial" w:cs="Arial" w:eastAsia="Arial" w:hAnsi="Arial"/>
          <w:sz w:val="20"/>
          <w:szCs w:val="20"/>
          <w:b w:val="1"/>
          <w:bCs w:val="1"/>
          <w:color w:val="auto"/>
        </w:rPr>
        <w:t>CECO GROUP, INC.</w:t>
      </w:r>
    </w:p>
    <w:p>
      <w:pPr>
        <w:ind w:left="5600"/>
        <w:spacing w:after="0" w:line="225" w:lineRule="auto"/>
        <w:rPr>
          <w:sz w:val="20"/>
          <w:szCs w:val="20"/>
          <w:color w:val="auto"/>
        </w:rPr>
      </w:pPr>
      <w:r>
        <w:rPr>
          <w:rFonts w:ascii="Arial" w:cs="Arial" w:eastAsia="Arial" w:hAnsi="Arial"/>
          <w:sz w:val="20"/>
          <w:szCs w:val="20"/>
          <w:b w:val="1"/>
          <w:bCs w:val="1"/>
          <w:color w:val="auto"/>
        </w:rPr>
        <w:t>CECO INDUSTRIAL SOLUTIONS, INC.</w:t>
      </w:r>
    </w:p>
    <w:p>
      <w:pPr>
        <w:ind w:left="5600"/>
        <w:spacing w:after="0" w:line="226" w:lineRule="auto"/>
        <w:rPr>
          <w:sz w:val="20"/>
          <w:szCs w:val="20"/>
          <w:color w:val="auto"/>
        </w:rPr>
      </w:pPr>
      <w:r>
        <w:rPr>
          <w:rFonts w:ascii="Arial" w:cs="Arial" w:eastAsia="Arial" w:hAnsi="Arial"/>
          <w:sz w:val="20"/>
          <w:szCs w:val="20"/>
          <w:b w:val="1"/>
          <w:bCs w:val="1"/>
          <w:color w:val="auto"/>
        </w:rPr>
        <w:t>CECO MEXICO HOLDINGS LLC</w:t>
      </w:r>
    </w:p>
    <w:p>
      <w:pPr>
        <w:ind w:left="5600"/>
        <w:spacing w:after="0" w:line="225" w:lineRule="auto"/>
        <w:rPr>
          <w:sz w:val="20"/>
          <w:szCs w:val="20"/>
          <w:color w:val="auto"/>
        </w:rPr>
      </w:pPr>
      <w:r>
        <w:rPr>
          <w:rFonts w:ascii="Arial" w:cs="Arial" w:eastAsia="Arial" w:hAnsi="Arial"/>
          <w:sz w:val="20"/>
          <w:szCs w:val="20"/>
          <w:b w:val="1"/>
          <w:bCs w:val="1"/>
          <w:color w:val="auto"/>
        </w:rPr>
        <w:t>EMTROL LLC</w:t>
      </w:r>
    </w:p>
    <w:p>
      <w:pPr>
        <w:ind w:left="5600"/>
        <w:spacing w:after="0" w:line="225" w:lineRule="auto"/>
        <w:rPr>
          <w:sz w:val="20"/>
          <w:szCs w:val="20"/>
          <w:color w:val="auto"/>
        </w:rPr>
      </w:pPr>
      <w:r>
        <w:rPr>
          <w:rFonts w:ascii="Arial" w:cs="Arial" w:eastAsia="Arial" w:hAnsi="Arial"/>
          <w:sz w:val="20"/>
          <w:szCs w:val="20"/>
          <w:b w:val="1"/>
          <w:bCs w:val="1"/>
          <w:color w:val="auto"/>
        </w:rPr>
        <w:t>FKI, LLC</w:t>
      </w:r>
    </w:p>
    <w:p>
      <w:pPr>
        <w:ind w:left="5600"/>
        <w:spacing w:after="0" w:line="226" w:lineRule="auto"/>
        <w:rPr>
          <w:sz w:val="20"/>
          <w:szCs w:val="20"/>
          <w:color w:val="auto"/>
        </w:rPr>
      </w:pPr>
      <w:r>
        <w:rPr>
          <w:rFonts w:ascii="Arial" w:cs="Arial" w:eastAsia="Arial" w:hAnsi="Arial"/>
          <w:sz w:val="20"/>
          <w:szCs w:val="20"/>
          <w:b w:val="1"/>
          <w:bCs w:val="1"/>
          <w:color w:val="auto"/>
        </w:rPr>
        <w:t>H.M. WHITE, INC.</w:t>
      </w:r>
    </w:p>
    <w:p>
      <w:pPr>
        <w:ind w:left="5600"/>
        <w:spacing w:after="0" w:line="225" w:lineRule="auto"/>
        <w:rPr>
          <w:sz w:val="20"/>
          <w:szCs w:val="20"/>
          <w:color w:val="auto"/>
        </w:rPr>
      </w:pPr>
      <w:r>
        <w:rPr>
          <w:rFonts w:ascii="Arial" w:cs="Arial" w:eastAsia="Arial" w:hAnsi="Arial"/>
          <w:sz w:val="20"/>
          <w:szCs w:val="20"/>
          <w:b w:val="1"/>
          <w:bCs w:val="1"/>
          <w:color w:val="auto"/>
        </w:rPr>
        <w:t>MET-PRO TECHNOLOGIES LLC</w:t>
      </w:r>
    </w:p>
    <w:p>
      <w:pPr>
        <w:ind w:left="5600"/>
        <w:spacing w:after="0" w:line="226" w:lineRule="auto"/>
        <w:rPr>
          <w:sz w:val="20"/>
          <w:szCs w:val="20"/>
          <w:color w:val="auto"/>
        </w:rPr>
      </w:pPr>
      <w:r>
        <w:rPr>
          <w:rFonts w:ascii="Arial" w:cs="Arial" w:eastAsia="Arial" w:hAnsi="Arial"/>
          <w:sz w:val="20"/>
          <w:szCs w:val="20"/>
          <w:b w:val="1"/>
          <w:bCs w:val="1"/>
          <w:color w:val="auto"/>
        </w:rPr>
        <w:t>PEERLESS MFG. CO.</w:t>
      </w:r>
    </w:p>
    <w:p>
      <w:pPr>
        <w:ind w:left="5600"/>
        <w:spacing w:after="0"/>
        <w:rPr>
          <w:sz w:val="20"/>
          <w:szCs w:val="20"/>
          <w:color w:val="auto"/>
        </w:rPr>
      </w:pPr>
      <w:r>
        <w:rPr>
          <w:rFonts w:ascii="Arial" w:cs="Arial" w:eastAsia="Arial" w:hAnsi="Arial"/>
          <w:sz w:val="20"/>
          <w:szCs w:val="20"/>
          <w:b w:val="1"/>
          <w:bCs w:val="1"/>
          <w:color w:val="auto"/>
        </w:rPr>
        <w:t>THE KIRK &amp; BLUM MANUFACTURING COMPANY</w:t>
      </w:r>
    </w:p>
    <w:p>
      <w:pPr>
        <w:spacing w:after="0" w:line="200" w:lineRule="exact"/>
        <w:rPr>
          <w:sz w:val="20"/>
          <w:szCs w:val="20"/>
          <w:color w:val="auto"/>
        </w:rPr>
      </w:pPr>
    </w:p>
    <w:p>
      <w:pPr>
        <w:spacing w:after="0" w:line="202" w:lineRule="exact"/>
        <w:rPr>
          <w:sz w:val="20"/>
          <w:szCs w:val="20"/>
          <w:color w:val="auto"/>
        </w:rPr>
      </w:pPr>
    </w:p>
    <w:tbl>
      <w:tblPr>
        <w:tblLayout w:type="fixed"/>
        <w:tblInd w:w="560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Matthew Eckl</w:t>
            </w:r>
          </w:p>
        </w:tc>
      </w:tr>
      <w:tr>
        <w:trPr>
          <w:trHeight w:val="186"/>
        </w:trPr>
        <w:tc>
          <w:tcPr>
            <w:tcW w:w="800" w:type="dxa"/>
            <w:vAlign w:val="bottom"/>
          </w:tcPr>
          <w:p>
            <w:pPr>
              <w:spacing w:after="0" w:line="185" w:lineRule="exact"/>
              <w:rPr>
                <w:sz w:val="20"/>
                <w:szCs w:val="20"/>
                <w:color w:val="auto"/>
              </w:rPr>
            </w:pPr>
            <w:r>
              <w:rPr>
                <w:rFonts w:ascii="Arial" w:cs="Arial" w:eastAsia="Arial" w:hAnsi="Arial"/>
                <w:sz w:val="20"/>
                <w:szCs w:val="20"/>
                <w:color w:val="auto"/>
              </w:rPr>
              <w:t>Name:</w:t>
            </w:r>
          </w:p>
        </w:tc>
        <w:tc>
          <w:tcPr>
            <w:tcW w:w="4820" w:type="dxa"/>
            <w:vAlign w:val="bottom"/>
          </w:tcPr>
          <w:p>
            <w:pPr>
              <w:ind w:left="20"/>
              <w:spacing w:after="0" w:line="185" w:lineRule="exact"/>
              <w:rPr>
                <w:sz w:val="20"/>
                <w:szCs w:val="20"/>
                <w:color w:val="auto"/>
              </w:rPr>
            </w:pPr>
            <w:r>
              <w:rPr>
                <w:rFonts w:ascii="Arial" w:cs="Arial" w:eastAsia="Arial" w:hAnsi="Arial"/>
                <w:sz w:val="20"/>
                <w:szCs w:val="20"/>
                <w:color w:val="auto"/>
              </w:rPr>
              <w:t>Matthew Eckl</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20"/>
              <w:spacing w:after="0"/>
              <w:rPr>
                <w:sz w:val="20"/>
                <w:szCs w:val="20"/>
                <w:color w:val="auto"/>
              </w:rPr>
            </w:pPr>
            <w:r>
              <w:rPr>
                <w:rFonts w:ascii="Arial" w:cs="Arial" w:eastAsia="Arial" w:hAnsi="Arial"/>
                <w:sz w:val="20"/>
                <w:szCs w:val="20"/>
                <w:color w:val="auto"/>
              </w:rPr>
              <w:t>Chief Financial Officer and Treasurer</w:t>
            </w: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28" w:right="339" w:bottom="1440" w:gutter="0" w:footer="0" w:header="0"/>
        </w:sectPr>
      </w:pPr>
    </w:p>
    <w:bookmarkStart w:id="109" w:name="page110"/>
    <w:bookmarkEnd w:id="109"/>
    <w:p>
      <w:pPr>
        <w:ind w:left="5620"/>
        <w:spacing w:after="0"/>
        <w:rPr>
          <w:sz w:val="20"/>
          <w:szCs w:val="20"/>
          <w:color w:val="auto"/>
        </w:rPr>
      </w:pPr>
      <w:r>
        <w:rPr>
          <w:rFonts w:ascii="Arial" w:cs="Arial" w:eastAsia="Arial" w:hAnsi="Arial"/>
          <w:sz w:val="20"/>
          <w:szCs w:val="20"/>
          <w:b w:val="1"/>
          <w:bCs w:val="1"/>
          <w:u w:val="single" w:color="auto"/>
          <w:color w:val="auto"/>
        </w:rPr>
        <w:t>ADMINISTRATIVE AGENT: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Administrative Agent</w:t>
      </w:r>
    </w:p>
    <w:p>
      <w:pPr>
        <w:spacing w:after="0" w:line="245" w:lineRule="exact"/>
        <w:rPr>
          <w:sz w:val="20"/>
          <w:szCs w:val="20"/>
          <w:color w:val="auto"/>
        </w:rPr>
      </w:pPr>
    </w:p>
    <w:tbl>
      <w:tblPr>
        <w:tblLayout w:type="fixed"/>
        <w:tblInd w:w="562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47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Kyle D Harding</w:t>
            </w:r>
          </w:p>
        </w:tc>
      </w:tr>
      <w:tr>
        <w:trPr>
          <w:trHeight w:val="206"/>
        </w:trPr>
        <w:tc>
          <w:tcPr>
            <w:tcW w:w="8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4720" w:type="dxa"/>
            <w:vAlign w:val="bottom"/>
          </w:tcPr>
          <w:p>
            <w:pPr>
              <w:ind w:left="20"/>
              <w:spacing w:after="0" w:line="207" w:lineRule="exact"/>
              <w:rPr>
                <w:sz w:val="20"/>
                <w:szCs w:val="20"/>
                <w:color w:val="auto"/>
              </w:rPr>
            </w:pPr>
            <w:r>
              <w:rPr>
                <w:rFonts w:ascii="Arial" w:cs="Arial" w:eastAsia="Arial" w:hAnsi="Arial"/>
                <w:sz w:val="20"/>
                <w:szCs w:val="20"/>
                <w:color w:val="auto"/>
              </w:rPr>
              <w:t>Kyle D Harding</w:t>
            </w:r>
          </w:p>
        </w:tc>
      </w:tr>
      <w:tr>
        <w:trPr>
          <w:trHeight w:val="264"/>
        </w:trPr>
        <w:tc>
          <w:tcPr>
            <w:tcW w:w="880" w:type="dxa"/>
            <w:vAlign w:val="bottom"/>
          </w:tcPr>
          <w:p>
            <w:pPr>
              <w:spacing w:after="0"/>
              <w:rPr>
                <w:sz w:val="20"/>
                <w:szCs w:val="20"/>
                <w:color w:val="auto"/>
              </w:rPr>
            </w:pPr>
            <w:r>
              <w:rPr>
                <w:rFonts w:ascii="Arial" w:cs="Arial" w:eastAsia="Arial" w:hAnsi="Arial"/>
                <w:sz w:val="20"/>
                <w:szCs w:val="20"/>
                <w:color w:val="auto"/>
              </w:rPr>
              <w:t>Title:</w:t>
            </w:r>
          </w:p>
        </w:tc>
        <w:tc>
          <w:tcPr>
            <w:tcW w:w="472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110" w:name="page111"/>
    <w:bookmarkEnd w:id="110"/>
    <w:p>
      <w:pPr>
        <w:ind w:left="5620"/>
        <w:spacing w:after="0"/>
        <w:rPr>
          <w:sz w:val="20"/>
          <w:szCs w:val="20"/>
          <w:color w:val="auto"/>
        </w:rPr>
      </w:pPr>
      <w:r>
        <w:rPr>
          <w:rFonts w:ascii="Arial" w:cs="Arial" w:eastAsia="Arial" w:hAnsi="Arial"/>
          <w:sz w:val="20"/>
          <w:szCs w:val="20"/>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13970</wp:posOffset>
            </wp:positionV>
            <wp:extent cx="354901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Lender</w:t>
      </w: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46"/>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Gregg Bush</w:t>
            </w:r>
          </w:p>
        </w:tc>
      </w:tr>
      <w:tr>
        <w:trPr>
          <w:trHeight w:val="220"/>
        </w:trPr>
        <w:tc>
          <w:tcPr>
            <w:tcW w:w="800" w:type="dxa"/>
            <w:vAlign w:val="bottom"/>
          </w:tcPr>
          <w:p>
            <w:pPr>
              <w:spacing w:after="0" w:line="220" w:lineRule="exact"/>
              <w:rPr>
                <w:sz w:val="20"/>
                <w:szCs w:val="20"/>
                <w:color w:val="auto"/>
              </w:rPr>
            </w:pPr>
            <w:r>
              <w:rPr>
                <w:rFonts w:ascii="Arial" w:cs="Arial" w:eastAsia="Arial" w:hAnsi="Arial"/>
                <w:sz w:val="20"/>
                <w:szCs w:val="20"/>
                <w:color w:val="auto"/>
              </w:rPr>
              <w:t>Name:</w:t>
            </w:r>
          </w:p>
        </w:tc>
        <w:tc>
          <w:tcPr>
            <w:tcW w:w="4780" w:type="dxa"/>
            <w:vAlign w:val="bottom"/>
          </w:tcPr>
          <w:p>
            <w:pPr>
              <w:spacing w:after="0" w:line="220" w:lineRule="exact"/>
              <w:rPr>
                <w:sz w:val="20"/>
                <w:szCs w:val="20"/>
                <w:color w:val="auto"/>
              </w:rPr>
            </w:pPr>
            <w:r>
              <w:rPr>
                <w:rFonts w:ascii="Arial" w:cs="Arial" w:eastAsia="Arial" w:hAnsi="Arial"/>
                <w:sz w:val="20"/>
                <w:szCs w:val="20"/>
                <w:color w:val="auto"/>
              </w:rPr>
              <w:t>Gregg Bush</w:t>
            </w:r>
          </w:p>
        </w:tc>
      </w:tr>
      <w:tr>
        <w:trPr>
          <w:trHeight w:val="250"/>
        </w:trPr>
        <w:tc>
          <w:tcPr>
            <w:tcW w:w="800" w:type="dxa"/>
            <w:vAlign w:val="bottom"/>
          </w:tcPr>
          <w:p>
            <w:pPr>
              <w:spacing w:after="0"/>
              <w:rPr>
                <w:sz w:val="20"/>
                <w:szCs w:val="20"/>
                <w:color w:val="auto"/>
              </w:rPr>
            </w:pPr>
            <w:r>
              <w:rPr>
                <w:rFonts w:ascii="Arial" w:cs="Arial" w:eastAsia="Arial" w:hAnsi="Arial"/>
                <w:sz w:val="20"/>
                <w:szCs w:val="20"/>
                <w:color w:val="auto"/>
              </w:rPr>
              <w:t>Title:</w:t>
            </w:r>
          </w:p>
        </w:tc>
        <w:tc>
          <w:tcPr>
            <w:tcW w:w="478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111" w:name="page112"/>
    <w:bookmarkEnd w:id="111"/>
    <w:p>
      <w:pPr>
        <w:ind w:left="5620"/>
        <w:spacing w:after="0"/>
        <w:rPr>
          <w:sz w:val="20"/>
          <w:szCs w:val="20"/>
          <w:color w:val="auto"/>
        </w:rPr>
      </w:pPr>
      <w:r>
        <w:rPr>
          <w:rFonts w:ascii="Arial" w:cs="Arial" w:eastAsia="Arial" w:hAnsi="Arial"/>
          <w:sz w:val="20"/>
          <w:szCs w:val="20"/>
          <w:b w:val="1"/>
          <w:bCs w:val="1"/>
          <w:color w:val="auto"/>
        </w:rPr>
        <w:t>CITIZENS BANK, N.A.</w:t>
      </w:r>
      <w:r>
        <w:rPr>
          <w:rFonts w:ascii="Arial" w:cs="Arial" w:eastAsia="Arial" w:hAnsi="Arial"/>
          <w:sz w:val="17"/>
          <w:szCs w:val="17"/>
          <w:color w:val="auto"/>
        </w:rPr>
        <w:t>, as a Lender</w:t>
      </w:r>
    </w:p>
    <w:p>
      <w:pPr>
        <w:spacing w:after="0" w:line="200" w:lineRule="exact"/>
        <w:rPr>
          <w:sz w:val="20"/>
          <w:szCs w:val="20"/>
          <w:color w:val="auto"/>
        </w:rPr>
      </w:pPr>
    </w:p>
    <w:p>
      <w:pPr>
        <w:spacing w:after="0" w:line="211" w:lineRule="exact"/>
        <w:rPr>
          <w:sz w:val="20"/>
          <w:szCs w:val="20"/>
          <w:color w:val="auto"/>
        </w:rPr>
      </w:pPr>
    </w:p>
    <w:p>
      <w:pPr>
        <w:ind w:left="562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Cynthia Matje</w:t>
      </w:r>
    </w:p>
    <w:p>
      <w:pPr>
        <w:spacing w:after="0" w:line="27" w:lineRule="exact"/>
        <w:rPr>
          <w:sz w:val="20"/>
          <w:szCs w:val="20"/>
          <w:color w:val="auto"/>
        </w:rPr>
      </w:pPr>
    </w:p>
    <w:p>
      <w:pPr>
        <w:ind w:left="5620"/>
        <w:spacing w:after="0"/>
        <w:tabs>
          <w:tab w:leader="none" w:pos="65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20"/>
          <w:szCs w:val="20"/>
          <w:color w:val="auto"/>
        </w:rPr>
        <w:t>Cynthia Matje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-143510</wp:posOffset>
            </wp:positionV>
            <wp:extent cx="297434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9">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ind w:left="562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20"/>
          <w:szCs w:val="20"/>
          <w:color w:val="auto"/>
        </w:rPr>
        <w:t>Senior Vice President</w:t>
      </w:r>
    </w:p>
    <w:p>
      <w:pPr>
        <w:spacing w:after="0" w:line="270"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AMENDMENT NO. 2 TO SECOND AMENDED AND RESTATED CREDIT AGREEMENT</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00" w:right="1440" w:bottom="1440" w:gutter="0" w:footer="0" w:header="0"/>
        </w:sectPr>
      </w:pPr>
    </w:p>
    <w:bookmarkStart w:id="112" w:name="page113"/>
    <w:bookmarkEnd w:id="112"/>
    <w:p>
      <w:pPr>
        <w:ind w:left="5620"/>
        <w:spacing w:after="0"/>
        <w:rPr>
          <w:sz w:val="20"/>
          <w:szCs w:val="20"/>
          <w:color w:val="auto"/>
        </w:rPr>
      </w:pPr>
      <w:r>
        <w:rPr>
          <w:rFonts w:ascii="Arial" w:cs="Arial" w:eastAsia="Arial" w:hAnsi="Arial"/>
          <w:sz w:val="20"/>
          <w:szCs w:val="20"/>
          <w:b w:val="1"/>
          <w:bCs w:val="1"/>
          <w:color w:val="auto"/>
        </w:rPr>
        <w:t>CITIBANK, N.A.</w:t>
      </w:r>
      <w:r>
        <w:rPr>
          <w:rFonts w:ascii="Arial" w:cs="Arial" w:eastAsia="Arial" w:hAnsi="Arial"/>
          <w:sz w:val="20"/>
          <w:szCs w:val="20"/>
          <w:color w:val="auto"/>
        </w:rPr>
        <w:t>, as a Lender</w:t>
      </w:r>
    </w:p>
    <w:p>
      <w:pPr>
        <w:spacing w:after="0" w:line="200" w:lineRule="exact"/>
        <w:rPr>
          <w:sz w:val="20"/>
          <w:szCs w:val="20"/>
          <w:color w:val="auto"/>
        </w:rPr>
      </w:pPr>
    </w:p>
    <w:p>
      <w:pPr>
        <w:spacing w:after="0" w:line="211" w:lineRule="exact"/>
        <w:rPr>
          <w:sz w:val="20"/>
          <w:szCs w:val="20"/>
          <w:color w:val="auto"/>
        </w:rPr>
      </w:pPr>
    </w:p>
    <w:tbl>
      <w:tblPr>
        <w:tblLayout w:type="fixed"/>
        <w:tblInd w:w="5620" w:type="dxa"/>
        <w:tblCellMar>
          <w:top w:w="0" w:type="dxa"/>
          <w:left w:w="0" w:type="dxa"/>
          <w:bottom w:w="0" w:type="dxa"/>
          <w:right w:w="0" w:type="dxa"/>
        </w:tblCellMar>
      </w:tblPr>
      <w:tr>
        <w:trPr>
          <w:trHeight w:val="246"/>
        </w:trPr>
        <w:tc>
          <w:tcPr>
            <w:tcW w:w="90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Torres</w:t>
            </w:r>
          </w:p>
        </w:tc>
      </w:tr>
      <w:tr>
        <w:trPr>
          <w:trHeight w:val="220"/>
        </w:trPr>
        <w:tc>
          <w:tcPr>
            <w:tcW w:w="900" w:type="dxa"/>
            <w:vAlign w:val="bottom"/>
          </w:tcPr>
          <w:p>
            <w:pPr>
              <w:spacing w:after="0" w:line="220" w:lineRule="exact"/>
              <w:rPr>
                <w:sz w:val="20"/>
                <w:szCs w:val="20"/>
                <w:color w:val="auto"/>
              </w:rPr>
            </w:pPr>
            <w:r>
              <w:rPr>
                <w:rFonts w:ascii="Arial" w:cs="Arial" w:eastAsia="Arial" w:hAnsi="Arial"/>
                <w:sz w:val="20"/>
                <w:szCs w:val="20"/>
                <w:color w:val="auto"/>
              </w:rPr>
              <w:t>Name:</w:t>
            </w:r>
          </w:p>
        </w:tc>
        <w:tc>
          <w:tcPr>
            <w:tcW w:w="4680" w:type="dxa"/>
            <w:vAlign w:val="bottom"/>
          </w:tcPr>
          <w:p>
            <w:pPr>
              <w:spacing w:after="0" w:line="220" w:lineRule="exact"/>
              <w:rPr>
                <w:sz w:val="20"/>
                <w:szCs w:val="20"/>
                <w:color w:val="auto"/>
              </w:rPr>
            </w:pPr>
            <w:r>
              <w:rPr>
                <w:rFonts w:ascii="Arial" w:cs="Arial" w:eastAsia="Arial" w:hAnsi="Arial"/>
                <w:sz w:val="20"/>
                <w:szCs w:val="20"/>
                <w:color w:val="auto"/>
              </w:rPr>
              <w:t>John Torres</w:t>
            </w:r>
          </w:p>
        </w:tc>
      </w:tr>
      <w:tr>
        <w:trPr>
          <w:trHeight w:val="250"/>
        </w:trPr>
        <w:tc>
          <w:tcPr>
            <w:tcW w:w="900" w:type="dxa"/>
            <w:vAlign w:val="bottom"/>
          </w:tcPr>
          <w:p>
            <w:pPr>
              <w:spacing w:after="0"/>
              <w:rPr>
                <w:sz w:val="20"/>
                <w:szCs w:val="20"/>
                <w:color w:val="auto"/>
              </w:rPr>
            </w:pPr>
            <w:r>
              <w:rPr>
                <w:rFonts w:ascii="Arial" w:cs="Arial" w:eastAsia="Arial" w:hAnsi="Arial"/>
                <w:sz w:val="20"/>
                <w:szCs w:val="20"/>
                <w:color w:val="auto"/>
              </w:rPr>
              <w:t>Title:</w:t>
            </w:r>
          </w:p>
        </w:tc>
        <w:tc>
          <w:tcPr>
            <w:tcW w:w="468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113" w:name="page114"/>
    <w:bookmarkEnd w:id="113"/>
    <w:p>
      <w:pPr>
        <w:ind w:left="5620"/>
        <w:spacing w:after="0"/>
        <w:rPr>
          <w:sz w:val="20"/>
          <w:szCs w:val="20"/>
          <w:color w:val="auto"/>
        </w:rPr>
      </w:pPr>
      <w:r>
        <w:rPr>
          <w:rFonts w:ascii="Arial" w:cs="Arial" w:eastAsia="Arial" w:hAnsi="Arial"/>
          <w:sz w:val="20"/>
          <w:szCs w:val="20"/>
          <w:b w:val="1"/>
          <w:bCs w:val="1"/>
          <w:color w:val="auto"/>
        </w:rPr>
        <w:t>FIFTH THIRD BANK, NATIONAL</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 as a Lender</w:t>
      </w:r>
    </w:p>
    <w:p>
      <w:pPr>
        <w:spacing w:after="0" w:line="186" w:lineRule="exact"/>
        <w:rPr>
          <w:sz w:val="20"/>
          <w:szCs w:val="20"/>
          <w:color w:val="auto"/>
        </w:rPr>
      </w:pPr>
    </w:p>
    <w:tbl>
      <w:tblPr>
        <w:tblLayout w:type="fixed"/>
        <w:tblInd w:w="5620" w:type="dxa"/>
        <w:tblCellMar>
          <w:top w:w="0" w:type="dxa"/>
          <w:left w:w="0" w:type="dxa"/>
          <w:bottom w:w="0" w:type="dxa"/>
          <w:right w:w="0" w:type="dxa"/>
        </w:tblCellMar>
      </w:tblPr>
      <w:tr>
        <w:trPr>
          <w:trHeight w:val="24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John R. Gray</w:t>
            </w:r>
          </w:p>
        </w:tc>
      </w:tr>
      <w:tr>
        <w:trPr>
          <w:trHeight w:val="186"/>
        </w:trPr>
        <w:tc>
          <w:tcPr>
            <w:tcW w:w="920" w:type="dxa"/>
            <w:vAlign w:val="bottom"/>
          </w:tcPr>
          <w:p>
            <w:pPr>
              <w:spacing w:after="0" w:line="185" w:lineRule="exact"/>
              <w:rPr>
                <w:sz w:val="20"/>
                <w:szCs w:val="20"/>
                <w:color w:val="auto"/>
              </w:rPr>
            </w:pPr>
            <w:r>
              <w:rPr>
                <w:rFonts w:ascii="Arial" w:cs="Arial" w:eastAsia="Arial" w:hAnsi="Arial"/>
                <w:sz w:val="20"/>
                <w:szCs w:val="20"/>
                <w:color w:val="auto"/>
              </w:rPr>
              <w:t>Name:</w:t>
            </w:r>
          </w:p>
        </w:tc>
        <w:tc>
          <w:tcPr>
            <w:tcW w:w="4680" w:type="dxa"/>
            <w:vAlign w:val="bottom"/>
          </w:tcPr>
          <w:p>
            <w:pPr>
              <w:spacing w:after="0" w:line="185" w:lineRule="exact"/>
              <w:rPr>
                <w:sz w:val="20"/>
                <w:szCs w:val="20"/>
                <w:color w:val="auto"/>
              </w:rPr>
            </w:pPr>
            <w:r>
              <w:rPr>
                <w:rFonts w:ascii="Arial" w:cs="Arial" w:eastAsia="Arial" w:hAnsi="Arial"/>
                <w:sz w:val="20"/>
                <w:szCs w:val="20"/>
                <w:color w:val="auto"/>
              </w:rPr>
              <w:t>John R. Gray</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68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6" w:right="339" w:bottom="1440" w:gutter="0" w:footer="0" w:header="0"/>
        </w:sectPr>
      </w:pPr>
    </w:p>
    <w:bookmarkStart w:id="114" w:name="page115"/>
    <w:bookmarkEnd w:id="114"/>
    <w:p>
      <w:pPr>
        <w:ind w:left="5620"/>
        <w:spacing w:after="0"/>
        <w:rPr>
          <w:sz w:val="20"/>
          <w:szCs w:val="20"/>
          <w:color w:val="auto"/>
        </w:rPr>
      </w:pPr>
      <w:r>
        <w:rPr>
          <w:rFonts w:ascii="Arial" w:cs="Arial" w:eastAsia="Arial" w:hAnsi="Arial"/>
          <w:sz w:val="20"/>
          <w:szCs w:val="20"/>
          <w:b w:val="1"/>
          <w:bCs w:val="1"/>
          <w:color w:val="auto"/>
        </w:rPr>
        <w:t>BMO HARRIS BANK, N.A.</w:t>
      </w:r>
      <w:r>
        <w:rPr>
          <w:rFonts w:ascii="Arial" w:cs="Arial" w:eastAsia="Arial" w:hAnsi="Arial"/>
          <w:sz w:val="20"/>
          <w:szCs w:val="20"/>
          <w:color w:val="auto"/>
        </w:rPr>
        <w:t>, as a Lender</w:t>
      </w:r>
    </w:p>
    <w:p>
      <w:pPr>
        <w:spacing w:after="0" w:line="370" w:lineRule="exact"/>
        <w:rPr>
          <w:sz w:val="20"/>
          <w:szCs w:val="20"/>
          <w:color w:val="auto"/>
        </w:rPr>
      </w:pPr>
    </w:p>
    <w:tbl>
      <w:tblPr>
        <w:tblLayout w:type="fixed"/>
        <w:tblInd w:w="5620" w:type="dxa"/>
        <w:tblCellMar>
          <w:top w:w="0" w:type="dxa"/>
          <w:left w:w="0" w:type="dxa"/>
          <w:bottom w:w="0" w:type="dxa"/>
          <w:right w:w="0" w:type="dxa"/>
        </w:tblCellMar>
      </w:tblPr>
      <w:tr>
        <w:trPr>
          <w:trHeight w:val="24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James Stephens</w:t>
            </w:r>
          </w:p>
        </w:tc>
      </w:tr>
      <w:tr>
        <w:trPr>
          <w:trHeight w:val="186"/>
        </w:trPr>
        <w:tc>
          <w:tcPr>
            <w:tcW w:w="920" w:type="dxa"/>
            <w:vAlign w:val="bottom"/>
          </w:tcPr>
          <w:p>
            <w:pPr>
              <w:spacing w:after="0" w:line="185" w:lineRule="exact"/>
              <w:rPr>
                <w:sz w:val="20"/>
                <w:szCs w:val="20"/>
                <w:color w:val="auto"/>
              </w:rPr>
            </w:pPr>
            <w:r>
              <w:rPr>
                <w:rFonts w:ascii="Arial" w:cs="Arial" w:eastAsia="Arial" w:hAnsi="Arial"/>
                <w:sz w:val="20"/>
                <w:szCs w:val="20"/>
                <w:color w:val="auto"/>
              </w:rPr>
              <w:t>Name:</w:t>
            </w:r>
          </w:p>
        </w:tc>
        <w:tc>
          <w:tcPr>
            <w:tcW w:w="4680" w:type="dxa"/>
            <w:vAlign w:val="bottom"/>
          </w:tcPr>
          <w:p>
            <w:pPr>
              <w:spacing w:after="0" w:line="185" w:lineRule="exact"/>
              <w:rPr>
                <w:sz w:val="20"/>
                <w:szCs w:val="20"/>
                <w:color w:val="auto"/>
              </w:rPr>
            </w:pPr>
            <w:r>
              <w:rPr>
                <w:rFonts w:ascii="Arial" w:cs="Arial" w:eastAsia="Arial" w:hAnsi="Arial"/>
                <w:sz w:val="20"/>
                <w:szCs w:val="20"/>
                <w:color w:val="auto"/>
              </w:rPr>
              <w:t>James Stephens</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68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6" w:right="339" w:bottom="1440" w:gutter="0" w:footer="0" w:header="0"/>
        </w:sectPr>
      </w:pPr>
    </w:p>
    <w:bookmarkStart w:id="115" w:name="page116"/>
    <w:bookmarkEnd w:id="115"/>
    <w:p>
      <w:pPr>
        <w:ind w:left="5620"/>
        <w:spacing w:after="0"/>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 as a</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Lender</w:t>
      </w:r>
    </w:p>
    <w:p>
      <w:pPr>
        <w:spacing w:after="0" w:line="200" w:lineRule="exact"/>
        <w:rPr>
          <w:sz w:val="20"/>
          <w:szCs w:val="20"/>
          <w:color w:val="auto"/>
        </w:rPr>
      </w:pPr>
    </w:p>
    <w:p>
      <w:pPr>
        <w:spacing w:after="0" w:line="202" w:lineRule="exact"/>
        <w:rPr>
          <w:sz w:val="20"/>
          <w:szCs w:val="20"/>
          <w:color w:val="auto"/>
        </w:rPr>
      </w:pPr>
    </w:p>
    <w:tbl>
      <w:tblPr>
        <w:tblLayout w:type="fixed"/>
        <w:tblInd w:w="5620" w:type="dxa"/>
        <w:tblCellMar>
          <w:top w:w="0" w:type="dxa"/>
          <w:left w:w="0" w:type="dxa"/>
          <w:bottom w:w="0" w:type="dxa"/>
          <w:right w:w="0" w:type="dxa"/>
        </w:tblCellMar>
      </w:tblPr>
      <w:tr>
        <w:trPr>
          <w:trHeight w:val="24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Haddad</w:t>
            </w:r>
          </w:p>
        </w:tc>
      </w:tr>
      <w:tr>
        <w:trPr>
          <w:trHeight w:val="186"/>
        </w:trPr>
        <w:tc>
          <w:tcPr>
            <w:tcW w:w="920" w:type="dxa"/>
            <w:vAlign w:val="bottom"/>
          </w:tcPr>
          <w:p>
            <w:pPr>
              <w:spacing w:after="0" w:line="185" w:lineRule="exact"/>
              <w:rPr>
                <w:sz w:val="20"/>
                <w:szCs w:val="20"/>
                <w:color w:val="auto"/>
              </w:rPr>
            </w:pPr>
            <w:r>
              <w:rPr>
                <w:rFonts w:ascii="Arial" w:cs="Arial" w:eastAsia="Arial" w:hAnsi="Arial"/>
                <w:sz w:val="20"/>
                <w:szCs w:val="20"/>
                <w:color w:val="auto"/>
              </w:rPr>
              <w:t>Name:</w:t>
            </w:r>
          </w:p>
        </w:tc>
        <w:tc>
          <w:tcPr>
            <w:tcW w:w="4680" w:type="dxa"/>
            <w:vAlign w:val="bottom"/>
          </w:tcPr>
          <w:p>
            <w:pPr>
              <w:spacing w:after="0" w:line="185" w:lineRule="exact"/>
              <w:rPr>
                <w:sz w:val="20"/>
                <w:szCs w:val="20"/>
                <w:color w:val="auto"/>
              </w:rPr>
            </w:pPr>
            <w:r>
              <w:rPr>
                <w:rFonts w:ascii="Arial" w:cs="Arial" w:eastAsia="Arial" w:hAnsi="Arial"/>
                <w:sz w:val="20"/>
                <w:szCs w:val="20"/>
                <w:color w:val="auto"/>
              </w:rPr>
              <w:t>Mark Haddad</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68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19" w:right="339" w:bottom="1440" w:gutter="0" w:footer="0" w:header="0"/>
        </w:sectPr>
      </w:pPr>
    </w:p>
    <w:bookmarkStart w:id="116" w:name="page117"/>
    <w:bookmarkEnd w:id="116"/>
    <w:p>
      <w:pPr>
        <w:ind w:left="5620"/>
        <w:spacing w:after="0"/>
        <w:rPr>
          <w:sz w:val="20"/>
          <w:szCs w:val="20"/>
          <w:color w:val="auto"/>
        </w:rPr>
      </w:pPr>
      <w:r>
        <w:rPr>
          <w:rFonts w:ascii="Arial" w:cs="Arial" w:eastAsia="Arial" w:hAnsi="Arial"/>
          <w:sz w:val="20"/>
          <w:szCs w:val="20"/>
          <w:b w:val="1"/>
          <w:bCs w:val="1"/>
          <w:color w:val="auto"/>
        </w:rPr>
        <w:t>HSBC BANK USA, NATIONAL</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 as a Lender</w:t>
      </w:r>
    </w:p>
    <w:p>
      <w:pPr>
        <w:spacing w:after="0" w:line="348" w:lineRule="exact"/>
        <w:rPr>
          <w:sz w:val="20"/>
          <w:szCs w:val="20"/>
          <w:color w:val="auto"/>
        </w:rPr>
      </w:pPr>
    </w:p>
    <w:tbl>
      <w:tblPr>
        <w:tblLayout w:type="fixed"/>
        <w:tblInd w:w="5620" w:type="dxa"/>
        <w:tblCellMar>
          <w:top w:w="0" w:type="dxa"/>
          <w:left w:w="0" w:type="dxa"/>
          <w:bottom w:w="0" w:type="dxa"/>
          <w:right w:w="0" w:type="dxa"/>
        </w:tblCellMar>
      </w:tblPr>
      <w:tr>
        <w:trPr>
          <w:trHeight w:val="240"/>
        </w:trPr>
        <w:tc>
          <w:tcPr>
            <w:tcW w:w="920" w:type="dxa"/>
            <w:vAlign w:val="bottom"/>
          </w:tcPr>
          <w:p>
            <w:pPr>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Cynthia Nwaubani</w:t>
            </w:r>
          </w:p>
        </w:tc>
      </w:tr>
      <w:tr>
        <w:trPr>
          <w:trHeight w:val="186"/>
        </w:trPr>
        <w:tc>
          <w:tcPr>
            <w:tcW w:w="920" w:type="dxa"/>
            <w:vAlign w:val="bottom"/>
          </w:tcPr>
          <w:p>
            <w:pPr>
              <w:spacing w:after="0" w:line="185" w:lineRule="exact"/>
              <w:rPr>
                <w:sz w:val="20"/>
                <w:szCs w:val="20"/>
                <w:color w:val="auto"/>
              </w:rPr>
            </w:pPr>
            <w:r>
              <w:rPr>
                <w:rFonts w:ascii="Arial" w:cs="Arial" w:eastAsia="Arial" w:hAnsi="Arial"/>
                <w:sz w:val="20"/>
                <w:szCs w:val="20"/>
                <w:color w:val="auto"/>
              </w:rPr>
              <w:t>Name:</w:t>
            </w:r>
          </w:p>
        </w:tc>
        <w:tc>
          <w:tcPr>
            <w:tcW w:w="4680" w:type="dxa"/>
            <w:vAlign w:val="bottom"/>
          </w:tcPr>
          <w:p>
            <w:pPr>
              <w:spacing w:after="0" w:line="185" w:lineRule="exact"/>
              <w:rPr>
                <w:sz w:val="20"/>
                <w:szCs w:val="20"/>
                <w:color w:val="auto"/>
              </w:rPr>
            </w:pPr>
            <w:r>
              <w:rPr>
                <w:rFonts w:ascii="Arial" w:cs="Arial" w:eastAsia="Arial" w:hAnsi="Arial"/>
                <w:sz w:val="20"/>
                <w:szCs w:val="20"/>
                <w:color w:val="auto"/>
              </w:rPr>
              <w:t>Cynthia Nwaubani</w:t>
            </w:r>
          </w:p>
        </w:tc>
      </w:tr>
      <w:tr>
        <w:trPr>
          <w:trHeight w:val="250"/>
        </w:trPr>
        <w:tc>
          <w:tcPr>
            <w:tcW w:w="920" w:type="dxa"/>
            <w:vAlign w:val="bottom"/>
          </w:tcPr>
          <w:p>
            <w:pPr>
              <w:spacing w:after="0"/>
              <w:rPr>
                <w:sz w:val="20"/>
                <w:szCs w:val="20"/>
                <w:color w:val="auto"/>
              </w:rPr>
            </w:pPr>
            <w:r>
              <w:rPr>
                <w:rFonts w:ascii="Arial" w:cs="Arial" w:eastAsia="Arial" w:hAnsi="Arial"/>
                <w:sz w:val="20"/>
                <w:szCs w:val="20"/>
                <w:color w:val="auto"/>
              </w:rPr>
              <w:t>Title:</w:t>
            </w:r>
          </w:p>
        </w:tc>
        <w:tc>
          <w:tcPr>
            <w:tcW w:w="468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NO. 2 TO SECOND AMENDED AND RESTATED CREDIT AGREEMENT</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6" w:right="339" w:bottom="1440" w:gutter="0" w:footer="0" w:header="0"/>
        </w:sectPr>
      </w:pPr>
    </w:p>
    <w:bookmarkStart w:id="117" w:name="page118"/>
    <w:bookmarkEnd w:id="117"/>
    <w:p>
      <w:pPr>
        <w:jc w:val="center"/>
        <w:ind w:left="380"/>
        <w:spacing w:after="0"/>
        <w:rPr>
          <w:sz w:val="20"/>
          <w:szCs w:val="20"/>
          <w:color w:val="auto"/>
        </w:rPr>
      </w:pPr>
      <w:r>
        <w:rPr>
          <w:rFonts w:ascii="Arial" w:cs="Arial" w:eastAsia="Arial" w:hAnsi="Arial"/>
          <w:sz w:val="20"/>
          <w:szCs w:val="20"/>
          <w:b w:val="1"/>
          <w:bCs w:val="1"/>
          <w:u w:val="single" w:color="auto"/>
          <w:color w:val="auto"/>
        </w:rPr>
        <w:t>ANNEX A</w:t>
      </w:r>
    </w:p>
    <w:p>
      <w:pPr>
        <w:spacing w:after="0" w:line="202"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Credit Agreement</w:t>
      </w:r>
    </w:p>
    <w:p>
      <w:pPr>
        <w:spacing w:after="0" w:line="231" w:lineRule="exact"/>
        <w:rPr>
          <w:sz w:val="20"/>
          <w:szCs w:val="20"/>
          <w:color w:val="auto"/>
        </w:rPr>
      </w:pPr>
    </w:p>
    <w:p>
      <w:pPr>
        <w:jc w:val="center"/>
        <w:ind w:left="380"/>
        <w:spacing w:after="0"/>
        <w:rPr>
          <w:sz w:val="20"/>
          <w:szCs w:val="20"/>
          <w:color w:val="auto"/>
        </w:rPr>
      </w:pPr>
      <w:r>
        <w:rPr>
          <w:rFonts w:ascii="Arial" w:cs="Arial" w:eastAsia="Arial" w:hAnsi="Arial"/>
          <w:sz w:val="20"/>
          <w:szCs w:val="20"/>
          <w:i w:val="1"/>
          <w:iCs w:val="1"/>
          <w:color w:val="auto"/>
        </w:rPr>
        <w:t>[See attached.]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152288857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84" w:right="1440" w:bottom="1440" w:gutter="0" w:footer="0" w:header="0"/>
        </w:sectPr>
      </w:pPr>
    </w:p>
    <w:bookmarkStart w:id="118" w:name="page119"/>
    <w:bookmarkEnd w:id="118"/>
    <w:p>
      <w:pPr>
        <w:jc w:val="right"/>
        <w:ind w:right="60"/>
        <w:spacing w:after="0"/>
        <w:rPr>
          <w:sz w:val="20"/>
          <w:szCs w:val="20"/>
          <w:color w:val="auto"/>
        </w:rPr>
      </w:pPr>
      <w:r>
        <w:rPr>
          <w:rFonts w:ascii="Arial" w:cs="Arial" w:eastAsia="Arial" w:hAnsi="Arial"/>
          <w:sz w:val="20"/>
          <w:szCs w:val="20"/>
          <w:color w:val="auto"/>
        </w:rPr>
        <w:t>Published Deal CUSIP Number: 12514DAJ4 Published</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20"/>
          <w:szCs w:val="20"/>
          <w:color w:val="auto"/>
        </w:rPr>
        <w:t>Revolving Credit Facility CUSIPNumber: 12514DAK1 Published Term Loan Facility</w:t>
      </w:r>
    </w:p>
    <w:p>
      <w:pPr>
        <w:jc w:val="right"/>
        <w:spacing w:after="0"/>
        <w:rPr>
          <w:sz w:val="20"/>
          <w:szCs w:val="20"/>
          <w:color w:val="auto"/>
        </w:rPr>
      </w:pPr>
      <w:r>
        <w:rPr>
          <w:rFonts w:ascii="Arial" w:cs="Arial" w:eastAsia="Arial" w:hAnsi="Arial"/>
          <w:sz w:val="20"/>
          <w:szCs w:val="20"/>
          <w:color w:val="auto"/>
        </w:rPr>
        <w:t>CUSIPNumber: 12514DAL9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SECOND AMENDED AND RESTATED CREDIT AGREEMENT</w:t>
      </w:r>
    </w:p>
    <w:p>
      <w:pPr>
        <w:spacing w:after="0" w:line="297"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Dated as of June 11, 2019 among</w:t>
      </w:r>
    </w:p>
    <w:p>
      <w:pPr>
        <w:spacing w:after="0" w:line="108"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CECO ENVIRONMENTAL CORP.</w:t>
      </w:r>
    </w:p>
    <w:p>
      <w:pPr>
        <w:jc w:val="center"/>
        <w:ind w:right="-179"/>
        <w:spacing w:after="0" w:line="227" w:lineRule="auto"/>
        <w:rPr>
          <w:sz w:val="20"/>
          <w:szCs w:val="20"/>
          <w:color w:val="auto"/>
        </w:rPr>
      </w:pPr>
      <w:r>
        <w:rPr>
          <w:rFonts w:ascii="Arial" w:cs="Arial" w:eastAsia="Arial" w:hAnsi="Arial"/>
          <w:sz w:val="20"/>
          <w:szCs w:val="20"/>
          <w:color w:val="auto"/>
        </w:rPr>
        <w:t>and</w:t>
      </w:r>
    </w:p>
    <w:p>
      <w:pPr>
        <w:jc w:val="center"/>
        <w:ind w:right="-159"/>
        <w:spacing w:after="0" w:line="225" w:lineRule="auto"/>
        <w:rPr>
          <w:sz w:val="20"/>
          <w:szCs w:val="20"/>
          <w:color w:val="auto"/>
        </w:rPr>
      </w:pPr>
      <w:r>
        <w:rPr>
          <w:rFonts w:ascii="Arial" w:cs="Arial" w:eastAsia="Arial" w:hAnsi="Arial"/>
          <w:sz w:val="20"/>
          <w:szCs w:val="20"/>
          <w:color w:val="auto"/>
        </w:rPr>
        <w:t>CERTAIN SUBSIDIARIES,</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as Borrowers,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THE LENDERS PARTY HERETO, BANK OF AMERICA,</w:t>
      </w:r>
    </w:p>
    <w:p>
      <w:pPr>
        <w:spacing w:after="0" w:line="2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w:t>
      </w:r>
    </w:p>
    <w:p>
      <w:pPr>
        <w:spacing w:after="0" w:line="108"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as Administrative Agent, Swing Line Lender and</w:t>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an L/C Issuer,</w:t>
      </w:r>
    </w:p>
    <w:p>
      <w:pPr>
        <w:spacing w:after="0" w:line="186"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CITIZENS BANK, N.A.</w:t>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and CITIBANK, N.A.,</w:t>
      </w:r>
    </w:p>
    <w:p>
      <w:pPr>
        <w:ind w:left="4540"/>
        <w:spacing w:after="0"/>
        <w:rPr>
          <w:sz w:val="20"/>
          <w:szCs w:val="20"/>
          <w:color w:val="auto"/>
        </w:rPr>
      </w:pPr>
      <w:r>
        <w:rPr>
          <w:rFonts w:ascii="Arial" w:cs="Arial" w:eastAsia="Arial" w:hAnsi="Arial"/>
          <w:sz w:val="20"/>
          <w:szCs w:val="20"/>
          <w:color w:val="auto"/>
        </w:rPr>
        <w:t>as Co-Syndication Agents,</w:t>
      </w:r>
    </w:p>
    <w:p>
      <w:pPr>
        <w:spacing w:after="0" w:line="186"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FIFTH THIRD BANK, NATIONAL ASSOCIATION,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as Documentation Agent, and</w:t>
      </w:r>
    </w:p>
    <w:p>
      <w:pPr>
        <w:spacing w:after="0" w:line="108"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BOFA SECURITIES, INC.,</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as Sole Lead Arranger and Sole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676" w:right="5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51"/>
        </w:trPr>
        <w:tc>
          <w:tcPr>
            <w:tcW w:w="800" w:type="dxa"/>
            <w:vAlign w:val="bottom"/>
          </w:tcPr>
          <w:p>
            <w:pPr>
              <w:spacing w:after="0"/>
              <w:rPr>
                <w:sz w:val="21"/>
                <w:szCs w:val="21"/>
                <w:color w:val="auto"/>
              </w:rPr>
            </w:pPr>
          </w:p>
        </w:tc>
        <w:tc>
          <w:tcPr>
            <w:tcW w:w="9320" w:type="dxa"/>
            <w:vAlign w:val="bottom"/>
          </w:tcPr>
          <w:p>
            <w:pPr>
              <w:ind w:left="3800"/>
              <w:spacing w:after="0"/>
              <w:rPr>
                <w:sz w:val="20"/>
                <w:szCs w:val="20"/>
                <w:color w:val="auto"/>
              </w:rPr>
            </w:pPr>
            <w:r>
              <w:rPr>
                <w:rFonts w:ascii="Arial" w:cs="Arial" w:eastAsia="Arial" w:hAnsi="Arial"/>
                <w:sz w:val="20"/>
                <w:szCs w:val="20"/>
                <w:color w:val="auto"/>
              </w:rPr>
              <w:t>TABLE OF CONTENTS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Section</w:t>
            </w:r>
          </w:p>
        </w:tc>
        <w:tc>
          <w:tcPr>
            <w:tcW w:w="9320" w:type="dxa"/>
            <w:vAlign w:val="bottom"/>
            <w:vMerge w:val="restart"/>
          </w:tcPr>
          <w:p>
            <w:pPr>
              <w:jc w:val="center"/>
              <w:ind w:left="122"/>
              <w:spacing w:after="0"/>
              <w:rPr>
                <w:sz w:val="20"/>
                <w:szCs w:val="20"/>
                <w:color w:val="auto"/>
              </w:rPr>
            </w:pPr>
            <w:r>
              <w:rPr>
                <w:rFonts w:ascii="Arial" w:cs="Arial" w:eastAsia="Arial" w:hAnsi="Arial"/>
                <w:sz w:val="18"/>
                <w:szCs w:val="18"/>
                <w:color w:val="auto"/>
                <w:w w:val="98"/>
              </w:rPr>
              <w:t>ARTICLE I.</w:t>
            </w:r>
          </w:p>
        </w:tc>
        <w:tc>
          <w:tcPr>
            <w:tcW w:w="1120" w:type="dxa"/>
            <w:vAlign w:val="bottom"/>
            <w:tcBorders>
              <w:bottom w:val="single" w:sz="8" w:color="auto"/>
            </w:tcBorders>
          </w:tcPr>
          <w:p>
            <w:pPr>
              <w:jc w:val="right"/>
              <w:ind w:right="282"/>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8"/>
        </w:trPr>
        <w:tc>
          <w:tcPr>
            <w:tcW w:w="800" w:type="dxa"/>
            <w:vAlign w:val="bottom"/>
          </w:tcPr>
          <w:p>
            <w:pPr>
              <w:spacing w:after="0"/>
              <w:rPr>
                <w:sz w:val="14"/>
                <w:szCs w:val="14"/>
                <w:color w:val="auto"/>
              </w:rPr>
            </w:pPr>
          </w:p>
        </w:tc>
        <w:tc>
          <w:tcPr>
            <w:tcW w:w="93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0" w:type="dxa"/>
            <w:vAlign w:val="bottom"/>
          </w:tcPr>
          <w:p>
            <w:pPr>
              <w:spacing w:after="0"/>
              <w:rPr>
                <w:sz w:val="15"/>
                <w:szCs w:val="15"/>
                <w:color w:val="auto"/>
              </w:rPr>
            </w:pPr>
          </w:p>
        </w:tc>
        <w:tc>
          <w:tcPr>
            <w:tcW w:w="9320" w:type="dxa"/>
            <w:vAlign w:val="bottom"/>
          </w:tcPr>
          <w:p>
            <w:pPr>
              <w:jc w:val="center"/>
              <w:ind w:left="102"/>
              <w:spacing w:after="0" w:line="176" w:lineRule="exact"/>
              <w:rPr>
                <w:sz w:val="20"/>
                <w:szCs w:val="20"/>
                <w:color w:val="auto"/>
              </w:rPr>
            </w:pPr>
            <w:r>
              <w:rPr>
                <w:rFonts w:ascii="Arial" w:cs="Arial" w:eastAsia="Arial" w:hAnsi="Arial"/>
                <w:sz w:val="18"/>
                <w:szCs w:val="18"/>
                <w:color w:val="auto"/>
                <w:w w:val="97"/>
              </w:rPr>
              <w:t>DEFINITIONS AND ACCOUNTING TERMS</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13"/>
        </w:trPr>
        <w:tc>
          <w:tcPr>
            <w:tcW w:w="800" w:type="dxa"/>
            <w:vAlign w:val="bottom"/>
          </w:tcPr>
          <w:p>
            <w:pPr>
              <w:ind w:left="20"/>
              <w:spacing w:after="0"/>
              <w:rPr>
                <w:sz w:val="20"/>
                <w:szCs w:val="20"/>
                <w:color w:val="auto"/>
              </w:rPr>
            </w:pPr>
            <w:r>
              <w:rPr>
                <w:rFonts w:ascii="Arial" w:cs="Arial" w:eastAsia="Arial" w:hAnsi="Arial"/>
                <w:sz w:val="18"/>
                <w:szCs w:val="18"/>
                <w:color w:val="auto"/>
              </w:rPr>
              <w:t>1.1</w:t>
            </w:r>
          </w:p>
        </w:tc>
        <w:tc>
          <w:tcPr>
            <w:tcW w:w="9320" w:type="dxa"/>
            <w:vAlign w:val="bottom"/>
          </w:tcPr>
          <w:p>
            <w:pPr>
              <w:ind w:left="240"/>
              <w:spacing w:after="0" w:line="212" w:lineRule="exact"/>
              <w:rPr>
                <w:sz w:val="20"/>
                <w:szCs w:val="20"/>
                <w:color w:val="auto"/>
              </w:rPr>
            </w:pPr>
            <w:r>
              <w:rPr>
                <w:rFonts w:ascii="Arial" w:cs="Arial" w:eastAsia="Arial" w:hAnsi="Arial"/>
                <w:sz w:val="20"/>
                <w:szCs w:val="20"/>
                <w:color w:val="auto"/>
              </w:rPr>
              <w:t>Defined Terms</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1.2</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Other Interpretive Provisions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1.3</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Accounting Terms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1.4</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Rounding</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1.5</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Times of Day</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1.6</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Letter of Credit Amounts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1.7</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Adjustments for Specified Transactions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1.8</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Exchange Rates; Currency Equivalents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1.9</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Additional Alternative Currencies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40</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1.10</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Change of Currency</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18"/>
        </w:trPr>
        <w:tc>
          <w:tcPr>
            <w:tcW w:w="800" w:type="dxa"/>
            <w:vAlign w:val="bottom"/>
          </w:tcPr>
          <w:p>
            <w:pPr>
              <w:ind w:left="20"/>
              <w:spacing w:after="0"/>
              <w:rPr>
                <w:sz w:val="20"/>
                <w:szCs w:val="20"/>
                <w:color w:val="auto"/>
              </w:rPr>
            </w:pPr>
            <w:r>
              <w:rPr>
                <w:rFonts w:ascii="Arial" w:cs="Arial" w:eastAsia="Arial" w:hAnsi="Arial"/>
                <w:sz w:val="18"/>
                <w:szCs w:val="18"/>
                <w:color w:val="auto"/>
              </w:rPr>
              <w:t>1.11</w:t>
            </w:r>
          </w:p>
        </w:tc>
        <w:tc>
          <w:tcPr>
            <w:tcW w:w="9320" w:type="dxa"/>
            <w:vAlign w:val="bottom"/>
          </w:tcPr>
          <w:p>
            <w:pPr>
              <w:ind w:left="240"/>
              <w:spacing w:after="0" w:line="219" w:lineRule="exact"/>
              <w:rPr>
                <w:sz w:val="20"/>
                <w:szCs w:val="20"/>
                <w:color w:val="auto"/>
              </w:rPr>
            </w:pPr>
            <w:r>
              <w:rPr>
                <w:rFonts w:ascii="Arial" w:cs="Arial" w:eastAsia="Arial" w:hAnsi="Arial"/>
                <w:sz w:val="20"/>
                <w:szCs w:val="20"/>
                <w:color w:val="auto"/>
              </w:rPr>
              <w:t>Interest Rates</w:t>
            </w:r>
          </w:p>
        </w:tc>
        <w:tc>
          <w:tcPr>
            <w:tcW w:w="1120" w:type="dxa"/>
            <w:vAlign w:val="bottom"/>
          </w:tcPr>
          <w:p>
            <w:pPr>
              <w:jc w:val="right"/>
              <w:spacing w:after="0" w:line="219"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9320" w:type="dxa"/>
            <w:vAlign w:val="bottom"/>
          </w:tcPr>
          <w:p>
            <w:pPr>
              <w:jc w:val="center"/>
              <w:ind w:left="102"/>
              <w:spacing w:after="0" w:line="189" w:lineRule="exact"/>
              <w:rPr>
                <w:sz w:val="20"/>
                <w:szCs w:val="20"/>
                <w:color w:val="auto"/>
              </w:rPr>
            </w:pPr>
            <w:r>
              <w:rPr>
                <w:rFonts w:ascii="Arial" w:cs="Arial" w:eastAsia="Arial" w:hAnsi="Arial"/>
                <w:sz w:val="18"/>
                <w:szCs w:val="18"/>
                <w:color w:val="auto"/>
                <w:w w:val="99"/>
              </w:rPr>
              <w:t>ARTICLE II.</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9320" w:type="dxa"/>
            <w:vAlign w:val="bottom"/>
          </w:tcPr>
          <w:p>
            <w:pPr>
              <w:jc w:val="center"/>
              <w:ind w:left="102"/>
              <w:spacing w:after="0" w:line="187" w:lineRule="exact"/>
              <w:rPr>
                <w:sz w:val="20"/>
                <w:szCs w:val="20"/>
                <w:color w:val="auto"/>
              </w:rPr>
            </w:pPr>
            <w:r>
              <w:rPr>
                <w:rFonts w:ascii="Arial" w:cs="Arial" w:eastAsia="Arial" w:hAnsi="Arial"/>
                <w:sz w:val="18"/>
                <w:szCs w:val="18"/>
                <w:color w:val="auto"/>
                <w:w w:val="97"/>
              </w:rPr>
              <w:t>THE COMMITMENTS AND CREDIT EXTENSIONS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Loans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2.2</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Borrowings, Conversions and Continuations of Loans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2.3</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Letters of Credit</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2.4</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Swing Line Loans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2.5</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Prepayments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2.6</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Termination or Reduction of Revolving Credit Commitments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2.7</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Repayment of Loans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2.8</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Interest</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2.9</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Fees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2.10</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Computation of Interest and Fees; Retroactive Adjustments of Applicable Rate</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2.11</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Evidence of Debt</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2.12</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Payments Generally; Administrative Agent’s Clawback</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2.13</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Sharing of Payments by Lenders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2.14</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Designated Borrowers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2.15</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Increase Option</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2.16</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Cash Collateral</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2.17</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Defaulting Lenders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18"/>
        </w:trPr>
        <w:tc>
          <w:tcPr>
            <w:tcW w:w="800" w:type="dxa"/>
            <w:vAlign w:val="bottom"/>
          </w:tcPr>
          <w:p>
            <w:pPr>
              <w:ind w:left="20"/>
              <w:spacing w:after="0"/>
              <w:rPr>
                <w:sz w:val="20"/>
                <w:szCs w:val="20"/>
                <w:color w:val="auto"/>
              </w:rPr>
            </w:pPr>
            <w:r>
              <w:rPr>
                <w:rFonts w:ascii="Arial" w:cs="Arial" w:eastAsia="Arial" w:hAnsi="Arial"/>
                <w:sz w:val="18"/>
                <w:szCs w:val="18"/>
                <w:color w:val="auto"/>
              </w:rPr>
              <w:t>2.18</w:t>
            </w:r>
          </w:p>
        </w:tc>
        <w:tc>
          <w:tcPr>
            <w:tcW w:w="9320" w:type="dxa"/>
            <w:vAlign w:val="bottom"/>
          </w:tcPr>
          <w:p>
            <w:pPr>
              <w:ind w:left="240"/>
              <w:spacing w:after="0" w:line="219" w:lineRule="exact"/>
              <w:rPr>
                <w:sz w:val="20"/>
                <w:szCs w:val="20"/>
                <w:color w:val="auto"/>
              </w:rPr>
            </w:pPr>
            <w:r>
              <w:rPr>
                <w:rFonts w:ascii="Arial" w:cs="Arial" w:eastAsia="Arial" w:hAnsi="Arial"/>
                <w:sz w:val="20"/>
                <w:szCs w:val="20"/>
                <w:color w:val="auto"/>
              </w:rPr>
              <w:t>Designation of Unrestricted and Restricted Subsidiaries</w:t>
            </w:r>
          </w:p>
        </w:tc>
        <w:tc>
          <w:tcPr>
            <w:tcW w:w="1120" w:type="dxa"/>
            <w:vAlign w:val="bottom"/>
          </w:tcPr>
          <w:p>
            <w:pPr>
              <w:jc w:val="right"/>
              <w:spacing w:after="0" w:line="219" w:lineRule="exact"/>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9320" w:type="dxa"/>
            <w:vAlign w:val="bottom"/>
          </w:tcPr>
          <w:p>
            <w:pPr>
              <w:jc w:val="center"/>
              <w:ind w:left="122"/>
              <w:spacing w:after="0"/>
              <w:rPr>
                <w:sz w:val="20"/>
                <w:szCs w:val="20"/>
                <w:color w:val="auto"/>
              </w:rPr>
            </w:pPr>
            <w:r>
              <w:rPr>
                <w:rFonts w:ascii="Arial" w:cs="Arial" w:eastAsia="Arial" w:hAnsi="Arial"/>
                <w:sz w:val="18"/>
                <w:szCs w:val="18"/>
                <w:color w:val="auto"/>
              </w:rPr>
              <w:t>ARTICLE III.</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800" w:type="dxa"/>
            <w:vAlign w:val="bottom"/>
          </w:tcPr>
          <w:p>
            <w:pPr>
              <w:spacing w:after="0"/>
              <w:rPr>
                <w:sz w:val="23"/>
                <w:szCs w:val="23"/>
                <w:color w:val="auto"/>
              </w:rPr>
            </w:pPr>
          </w:p>
        </w:tc>
        <w:tc>
          <w:tcPr>
            <w:tcW w:w="9320" w:type="dxa"/>
            <w:vAlign w:val="bottom"/>
          </w:tcPr>
          <w:p>
            <w:pPr>
              <w:jc w:val="center"/>
              <w:ind w:left="122"/>
              <w:spacing w:after="0"/>
              <w:rPr>
                <w:sz w:val="20"/>
                <w:szCs w:val="20"/>
                <w:color w:val="auto"/>
              </w:rPr>
            </w:pPr>
            <w:r>
              <w:rPr>
                <w:rFonts w:ascii="Arial" w:cs="Arial" w:eastAsia="Arial" w:hAnsi="Arial"/>
                <w:sz w:val="18"/>
                <w:szCs w:val="18"/>
                <w:color w:val="auto"/>
                <w:w w:val="99"/>
              </w:rPr>
              <w:t>TAXES, YIELD PROTECTION AND ILLEGALITY</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3.1</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Taxes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3.2</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Illegality</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3.3</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Inability to Determine Rates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3.4</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Increased Costs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3.5</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Compensation for Losses</w:t>
            </w:r>
          </w:p>
        </w:tc>
        <w:tc>
          <w:tcPr>
            <w:tcW w:w="1120" w:type="dxa"/>
            <w:vAlign w:val="bottom"/>
          </w:tcPr>
          <w:p>
            <w:pPr>
              <w:jc w:val="right"/>
              <w:spacing w:after="0" w:line="216" w:lineRule="exact"/>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3.6</w:t>
            </w:r>
          </w:p>
        </w:tc>
        <w:tc>
          <w:tcPr>
            <w:tcW w:w="9320" w:type="dxa"/>
            <w:vAlign w:val="bottom"/>
          </w:tcPr>
          <w:p>
            <w:pPr>
              <w:ind w:left="240"/>
              <w:spacing w:after="0" w:line="216" w:lineRule="exact"/>
              <w:rPr>
                <w:sz w:val="20"/>
                <w:szCs w:val="20"/>
                <w:color w:val="auto"/>
              </w:rPr>
            </w:pPr>
            <w:r>
              <w:rPr>
                <w:rFonts w:ascii="Arial" w:cs="Arial" w:eastAsia="Arial" w:hAnsi="Arial"/>
                <w:sz w:val="20"/>
                <w:szCs w:val="20"/>
                <w:color w:val="auto"/>
              </w:rPr>
              <w:t>Mitigation Obligations; Replacement of Lenders</w:t>
            </w: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0"/>
        </w:trPr>
        <w:tc>
          <w:tcPr>
            <w:tcW w:w="800" w:type="dxa"/>
            <w:vAlign w:val="bottom"/>
          </w:tcPr>
          <w:p>
            <w:pPr>
              <w:ind w:left="20"/>
              <w:spacing w:after="0"/>
              <w:rPr>
                <w:sz w:val="20"/>
                <w:szCs w:val="20"/>
                <w:color w:val="auto"/>
              </w:rPr>
            </w:pPr>
            <w:r>
              <w:rPr>
                <w:rFonts w:ascii="Arial" w:cs="Arial" w:eastAsia="Arial" w:hAnsi="Arial"/>
                <w:sz w:val="18"/>
                <w:szCs w:val="18"/>
                <w:color w:val="auto"/>
              </w:rPr>
              <w:t>3.7</w:t>
            </w:r>
          </w:p>
        </w:tc>
        <w:tc>
          <w:tcPr>
            <w:tcW w:w="9320" w:type="dxa"/>
            <w:vAlign w:val="bottom"/>
          </w:tcPr>
          <w:p>
            <w:pPr>
              <w:ind w:left="240"/>
              <w:spacing w:after="0"/>
              <w:rPr>
                <w:sz w:val="20"/>
                <w:szCs w:val="20"/>
                <w:color w:val="auto"/>
              </w:rPr>
            </w:pPr>
            <w:r>
              <w:rPr>
                <w:rFonts w:ascii="Arial" w:cs="Arial" w:eastAsia="Arial" w:hAnsi="Arial"/>
                <w:sz w:val="20"/>
                <w:szCs w:val="20"/>
                <w:color w:val="auto"/>
              </w:rPr>
              <w:t>Survival</w:t>
            </w: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40"/>
        <w:spacing w:after="0"/>
        <w:rPr>
          <w:sz w:val="20"/>
          <w:szCs w:val="20"/>
          <w:color w:val="auto"/>
        </w:rPr>
      </w:pPr>
      <w:r>
        <w:rPr>
          <w:rFonts w:ascii="Arial" w:cs="Arial" w:eastAsia="Arial" w:hAnsi="Arial"/>
          <w:sz w:val="22"/>
          <w:szCs w:val="22"/>
          <w:color w:val="auto"/>
        </w:rPr>
        <w:t>1</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ind w:right="-79"/>
        <w:spacing w:after="0"/>
        <w:rPr>
          <w:sz w:val="20"/>
          <w:szCs w:val="20"/>
          <w:color w:val="auto"/>
        </w:rPr>
      </w:pPr>
      <w:r>
        <w:rPr>
          <w:rFonts w:ascii="Arial" w:cs="Arial" w:eastAsia="Arial" w:hAnsi="Arial"/>
          <w:sz w:val="20"/>
          <w:szCs w:val="20"/>
          <w:color w:val="auto"/>
        </w:rPr>
        <w:t>ARTICLE IV.</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CONDITIONS PRECEDENT TO CREDIT EXTENSIONS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4.1</w:t>
            </w:r>
          </w:p>
        </w:tc>
        <w:tc>
          <w:tcPr>
            <w:tcW w:w="8920" w:type="dxa"/>
            <w:vAlign w:val="bottom"/>
          </w:tcPr>
          <w:p>
            <w:pPr>
              <w:ind w:left="120"/>
              <w:spacing w:after="0"/>
              <w:rPr>
                <w:sz w:val="20"/>
                <w:szCs w:val="20"/>
                <w:color w:val="auto"/>
              </w:rPr>
            </w:pPr>
            <w:r>
              <w:rPr>
                <w:rFonts w:ascii="Arial" w:cs="Arial" w:eastAsia="Arial" w:hAnsi="Arial"/>
                <w:sz w:val="20"/>
                <w:szCs w:val="20"/>
                <w:color w:val="auto"/>
              </w:rPr>
              <w:t>Conditions of Initial Credit Extension</w:t>
            </w: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50"/>
        </w:trPr>
        <w:tc>
          <w:tcPr>
            <w:tcW w:w="440" w:type="dxa"/>
            <w:vAlign w:val="bottom"/>
          </w:tcPr>
          <w:p>
            <w:pPr>
              <w:spacing w:after="0"/>
              <w:rPr>
                <w:sz w:val="20"/>
                <w:szCs w:val="20"/>
                <w:color w:val="auto"/>
              </w:rPr>
            </w:pPr>
            <w:r>
              <w:rPr>
                <w:rFonts w:ascii="Arial" w:cs="Arial" w:eastAsia="Arial" w:hAnsi="Arial"/>
                <w:sz w:val="18"/>
                <w:szCs w:val="18"/>
                <w:color w:val="auto"/>
              </w:rPr>
              <w:t>4.2</w:t>
            </w:r>
          </w:p>
        </w:tc>
        <w:tc>
          <w:tcPr>
            <w:tcW w:w="8920" w:type="dxa"/>
            <w:vAlign w:val="bottom"/>
          </w:tcPr>
          <w:p>
            <w:pPr>
              <w:ind w:left="120"/>
              <w:spacing w:after="0"/>
              <w:rPr>
                <w:sz w:val="20"/>
                <w:szCs w:val="20"/>
                <w:color w:val="auto"/>
              </w:rPr>
            </w:pPr>
            <w:r>
              <w:rPr>
                <w:rFonts w:ascii="Arial" w:cs="Arial" w:eastAsia="Arial" w:hAnsi="Arial"/>
                <w:sz w:val="20"/>
                <w:szCs w:val="20"/>
                <w:color w:val="auto"/>
              </w:rPr>
              <w:t>Conditions to all Credit Extensions</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533"/>
        </w:trPr>
        <w:tc>
          <w:tcPr>
            <w:tcW w:w="440" w:type="dxa"/>
            <w:vAlign w:val="bottom"/>
          </w:tcPr>
          <w:p>
            <w:pPr>
              <w:spacing w:after="0"/>
              <w:rPr>
                <w:sz w:val="24"/>
                <w:szCs w:val="24"/>
                <w:color w:val="auto"/>
              </w:rPr>
            </w:pPr>
          </w:p>
        </w:tc>
        <w:tc>
          <w:tcPr>
            <w:tcW w:w="8920" w:type="dxa"/>
            <w:vAlign w:val="bottom"/>
          </w:tcPr>
          <w:p>
            <w:pPr>
              <w:ind w:left="3900"/>
              <w:spacing w:after="0"/>
              <w:rPr>
                <w:sz w:val="20"/>
                <w:szCs w:val="20"/>
                <w:color w:val="auto"/>
              </w:rPr>
            </w:pPr>
            <w:r>
              <w:rPr>
                <w:rFonts w:ascii="Arial" w:cs="Arial" w:eastAsia="Arial" w:hAnsi="Arial"/>
                <w:sz w:val="20"/>
                <w:szCs w:val="20"/>
                <w:color w:val="auto"/>
              </w:rPr>
              <w:t>ARTICLE V. REPRESENTATIONS AND</w:t>
            </w:r>
          </w:p>
        </w:tc>
        <w:tc>
          <w:tcPr>
            <w:tcW w:w="1840" w:type="dxa"/>
            <w:vAlign w:val="bottom"/>
          </w:tcPr>
          <w:p>
            <w:pPr>
              <w:spacing w:after="0"/>
              <w:rPr>
                <w:sz w:val="24"/>
                <w:szCs w:val="24"/>
                <w:color w:val="auto"/>
              </w:rPr>
            </w:pPr>
          </w:p>
        </w:tc>
      </w:tr>
      <w:tr>
        <w:trPr>
          <w:trHeight w:val="250"/>
        </w:trPr>
        <w:tc>
          <w:tcPr>
            <w:tcW w:w="440" w:type="dxa"/>
            <w:vAlign w:val="bottom"/>
          </w:tcPr>
          <w:p>
            <w:pPr>
              <w:spacing w:after="0"/>
              <w:rPr>
                <w:sz w:val="21"/>
                <w:szCs w:val="21"/>
                <w:color w:val="auto"/>
              </w:rPr>
            </w:pPr>
          </w:p>
        </w:tc>
        <w:tc>
          <w:tcPr>
            <w:tcW w:w="8920" w:type="dxa"/>
            <w:vAlign w:val="bottom"/>
          </w:tcPr>
          <w:p>
            <w:pPr>
              <w:ind w:left="2400"/>
              <w:spacing w:after="0"/>
              <w:rPr>
                <w:sz w:val="20"/>
                <w:szCs w:val="20"/>
                <w:color w:val="auto"/>
              </w:rPr>
            </w:pPr>
            <w:r>
              <w:rPr>
                <w:rFonts w:ascii="Arial" w:cs="Arial" w:eastAsia="Arial" w:hAnsi="Arial"/>
                <w:sz w:val="20"/>
                <w:szCs w:val="20"/>
                <w:color w:val="auto"/>
              </w:rPr>
              <w:t>WARRANTIES</w:t>
            </w:r>
          </w:p>
        </w:tc>
        <w:tc>
          <w:tcPr>
            <w:tcW w:w="1840" w:type="dxa"/>
            <w:vAlign w:val="bottom"/>
          </w:tcPr>
          <w:p>
            <w:pPr>
              <w:spacing w:after="0"/>
              <w:rPr>
                <w:sz w:val="21"/>
                <w:szCs w:val="21"/>
                <w:color w:val="auto"/>
              </w:rPr>
            </w:pPr>
          </w:p>
        </w:tc>
      </w:tr>
      <w:tr>
        <w:trPr>
          <w:trHeight w:val="384"/>
        </w:trPr>
        <w:tc>
          <w:tcPr>
            <w:tcW w:w="440" w:type="dxa"/>
            <w:vAlign w:val="bottom"/>
          </w:tcPr>
          <w:p>
            <w:pPr>
              <w:spacing w:after="0"/>
              <w:rPr>
                <w:sz w:val="20"/>
                <w:szCs w:val="20"/>
                <w:color w:val="auto"/>
              </w:rPr>
            </w:pPr>
            <w:r>
              <w:rPr>
                <w:rFonts w:ascii="Arial" w:cs="Arial" w:eastAsia="Arial" w:hAnsi="Arial"/>
                <w:sz w:val="18"/>
                <w:szCs w:val="18"/>
                <w:color w:val="auto"/>
              </w:rPr>
              <w:t>5.1</w:t>
            </w:r>
          </w:p>
        </w:tc>
        <w:tc>
          <w:tcPr>
            <w:tcW w:w="8920" w:type="dxa"/>
            <w:vAlign w:val="bottom"/>
          </w:tcPr>
          <w:p>
            <w:pPr>
              <w:ind w:left="120"/>
              <w:spacing w:after="0"/>
              <w:rPr>
                <w:sz w:val="20"/>
                <w:szCs w:val="20"/>
                <w:color w:val="auto"/>
              </w:rPr>
            </w:pPr>
            <w:r>
              <w:rPr>
                <w:rFonts w:ascii="Arial" w:cs="Arial" w:eastAsia="Arial" w:hAnsi="Arial"/>
                <w:sz w:val="20"/>
                <w:szCs w:val="20"/>
                <w:color w:val="auto"/>
              </w:rPr>
              <w:t>Existence, Qualification and Power</w:t>
            </w:r>
          </w:p>
        </w:tc>
        <w:tc>
          <w:tcPr>
            <w:tcW w:w="18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Authorization; No Contravention</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5.3</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Governmental Authorization; Other Consents</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5.4</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Binding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5.5</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Financial Statements; No Material Adverse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5.6</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Litigation</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5.7</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No Default</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5.8</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Ownership of Property; Liens</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5.9</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Environmental Compliance</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5.10</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Insurance</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5.11</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Taxes</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5.12</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ERISA Compliance</w:t>
            </w:r>
          </w:p>
        </w:tc>
        <w:tc>
          <w:tcPr>
            <w:tcW w:w="1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5.13</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Subsidiaries; Equity Investments; Loan Parties</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5.14</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Margin Regulations; Investment Company Act</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5.15</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Disclosure</w:t>
            </w:r>
          </w:p>
        </w:tc>
        <w:tc>
          <w:tcPr>
            <w:tcW w:w="1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5.16</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Compliance with Laws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5.17</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Intellectual Property; Licenses, Etc</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5.18</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OFAC</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5.19</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Solvency</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5.20</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[Reserved.]</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5.21</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Labor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5.22</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Collateral Documents</w:t>
            </w:r>
          </w:p>
        </w:tc>
        <w:tc>
          <w:tcPr>
            <w:tcW w:w="1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5.23</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Representations as to Foreign Obligors</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5.24</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Anti-Corruption Laws; Sanctions; Use of Proceeds</w:t>
            </w:r>
          </w:p>
        </w:tc>
        <w:tc>
          <w:tcPr>
            <w:tcW w:w="1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5.25</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Affected Financial Institution</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5.26</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Borrower ERISA Status</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5.27</w:t>
            </w:r>
          </w:p>
        </w:tc>
        <w:tc>
          <w:tcPr>
            <w:tcW w:w="8920" w:type="dxa"/>
            <w:vAlign w:val="bottom"/>
          </w:tcPr>
          <w:p>
            <w:pPr>
              <w:ind w:left="120"/>
              <w:spacing w:after="0" w:line="216" w:lineRule="exact"/>
              <w:rPr>
                <w:sz w:val="20"/>
                <w:szCs w:val="20"/>
                <w:color w:val="auto"/>
              </w:rPr>
            </w:pPr>
            <w:r>
              <w:rPr>
                <w:rFonts w:ascii="Arial" w:cs="Arial" w:eastAsia="Arial" w:hAnsi="Arial"/>
                <w:sz w:val="20"/>
                <w:szCs w:val="20"/>
                <w:color w:val="auto"/>
              </w:rPr>
              <w:t>Beneficial Ownership Certification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50"/>
        </w:trPr>
        <w:tc>
          <w:tcPr>
            <w:tcW w:w="440" w:type="dxa"/>
            <w:vAlign w:val="bottom"/>
          </w:tcPr>
          <w:p>
            <w:pPr>
              <w:spacing w:after="0"/>
              <w:rPr>
                <w:sz w:val="20"/>
                <w:szCs w:val="20"/>
                <w:color w:val="auto"/>
              </w:rPr>
            </w:pPr>
            <w:r>
              <w:rPr>
                <w:rFonts w:ascii="Arial" w:cs="Arial" w:eastAsia="Arial" w:hAnsi="Arial"/>
                <w:sz w:val="18"/>
                <w:szCs w:val="18"/>
                <w:color w:val="auto"/>
              </w:rPr>
              <w:t>5.28</w:t>
            </w:r>
          </w:p>
        </w:tc>
        <w:tc>
          <w:tcPr>
            <w:tcW w:w="8920" w:type="dxa"/>
            <w:vAlign w:val="bottom"/>
          </w:tcPr>
          <w:p>
            <w:pPr>
              <w:ind w:left="120"/>
              <w:spacing w:after="0"/>
              <w:rPr>
                <w:sz w:val="20"/>
                <w:szCs w:val="20"/>
                <w:color w:val="auto"/>
              </w:rPr>
            </w:pPr>
            <w:r>
              <w:rPr>
                <w:rFonts w:ascii="Arial" w:cs="Arial" w:eastAsia="Arial" w:hAnsi="Arial"/>
                <w:sz w:val="20"/>
                <w:szCs w:val="20"/>
                <w:color w:val="auto"/>
              </w:rPr>
              <w:t>Covered Entity</w:t>
            </w:r>
          </w:p>
        </w:tc>
        <w:tc>
          <w:tcPr>
            <w:tcW w:w="1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62"/>
        </w:trPr>
        <w:tc>
          <w:tcPr>
            <w:tcW w:w="440" w:type="dxa"/>
            <w:vAlign w:val="bottom"/>
          </w:tcPr>
          <w:p>
            <w:pPr>
              <w:ind w:left="20"/>
              <w:spacing w:after="0"/>
              <w:rPr>
                <w:sz w:val="20"/>
                <w:szCs w:val="20"/>
                <w:color w:val="auto"/>
              </w:rPr>
            </w:pPr>
            <w:r>
              <w:rPr>
                <w:rFonts w:ascii="Arial" w:cs="Arial" w:eastAsia="Arial" w:hAnsi="Arial"/>
                <w:sz w:val="22"/>
                <w:szCs w:val="22"/>
                <w:color w:val="auto"/>
              </w:rPr>
              <w:t>2</w:t>
            </w:r>
          </w:p>
        </w:tc>
        <w:tc>
          <w:tcPr>
            <w:tcW w:w="89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940" w:type="dxa"/>
            <w:vAlign w:val="bottom"/>
          </w:tcPr>
          <w:p>
            <w:pPr>
              <w:jc w:val="right"/>
              <w:ind w:right="4329"/>
              <w:spacing w:after="0"/>
              <w:rPr>
                <w:sz w:val="20"/>
                <w:szCs w:val="20"/>
                <w:color w:val="auto"/>
              </w:rPr>
            </w:pPr>
            <w:r>
              <w:rPr>
                <w:rFonts w:ascii="Arial" w:cs="Arial" w:eastAsia="Arial" w:hAnsi="Arial"/>
                <w:sz w:val="20"/>
                <w:szCs w:val="20"/>
                <w:color w:val="auto"/>
              </w:rPr>
              <w:t>ARTICLE VI. AFFIRMATIVE</w:t>
            </w:r>
          </w:p>
        </w:tc>
      </w:tr>
      <w:tr>
        <w:trPr>
          <w:trHeight w:val="250"/>
        </w:trPr>
        <w:tc>
          <w:tcPr>
            <w:tcW w:w="44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7940" w:type="dxa"/>
            <w:vAlign w:val="bottom"/>
          </w:tcPr>
          <w:p>
            <w:pPr>
              <w:jc w:val="right"/>
              <w:ind w:right="6429"/>
              <w:spacing w:after="0"/>
              <w:rPr>
                <w:sz w:val="20"/>
                <w:szCs w:val="20"/>
                <w:color w:val="auto"/>
              </w:rPr>
            </w:pPr>
            <w:r>
              <w:rPr>
                <w:rFonts w:ascii="Arial" w:cs="Arial" w:eastAsia="Arial" w:hAnsi="Arial"/>
                <w:sz w:val="20"/>
                <w:szCs w:val="20"/>
                <w:color w:val="auto"/>
              </w:rPr>
              <w:t>COVENANTS</w:t>
            </w:r>
          </w:p>
        </w:tc>
      </w:tr>
      <w:tr>
        <w:trPr>
          <w:trHeight w:val="384"/>
        </w:trPr>
        <w:tc>
          <w:tcPr>
            <w:tcW w:w="440" w:type="dxa"/>
            <w:vAlign w:val="bottom"/>
          </w:tcPr>
          <w:p>
            <w:pPr>
              <w:spacing w:after="0"/>
              <w:rPr>
                <w:sz w:val="20"/>
                <w:szCs w:val="20"/>
                <w:color w:val="auto"/>
              </w:rPr>
            </w:pPr>
            <w:r>
              <w:rPr>
                <w:rFonts w:ascii="Arial" w:cs="Arial" w:eastAsia="Arial" w:hAnsi="Arial"/>
                <w:sz w:val="18"/>
                <w:szCs w:val="18"/>
                <w:color w:val="auto"/>
              </w:rPr>
              <w:t>6.1</w:t>
            </w:r>
          </w:p>
        </w:tc>
        <w:tc>
          <w:tcPr>
            <w:tcW w:w="2820" w:type="dxa"/>
            <w:vAlign w:val="bottom"/>
          </w:tcPr>
          <w:p>
            <w:pPr>
              <w:ind w:left="120"/>
              <w:spacing w:after="0"/>
              <w:rPr>
                <w:sz w:val="20"/>
                <w:szCs w:val="20"/>
                <w:color w:val="auto"/>
              </w:rPr>
            </w:pPr>
            <w:r>
              <w:rPr>
                <w:rFonts w:ascii="Arial" w:cs="Arial" w:eastAsia="Arial" w:hAnsi="Arial"/>
                <w:sz w:val="20"/>
                <w:szCs w:val="20"/>
                <w:color w:val="auto"/>
              </w:rPr>
              <w:t>Financial Statements</w:t>
            </w:r>
          </w:p>
        </w:tc>
        <w:tc>
          <w:tcPr>
            <w:tcW w:w="7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6.2</w:t>
            </w:r>
          </w:p>
        </w:tc>
        <w:tc>
          <w:tcPr>
            <w:tcW w:w="2820" w:type="dxa"/>
            <w:vAlign w:val="bottom"/>
          </w:tcPr>
          <w:p>
            <w:pPr>
              <w:ind w:left="120"/>
              <w:spacing w:after="0" w:line="216" w:lineRule="exact"/>
              <w:rPr>
                <w:sz w:val="20"/>
                <w:szCs w:val="20"/>
                <w:color w:val="auto"/>
              </w:rPr>
            </w:pPr>
            <w:r>
              <w:rPr>
                <w:rFonts w:ascii="Arial" w:cs="Arial" w:eastAsia="Arial" w:hAnsi="Arial"/>
                <w:sz w:val="20"/>
                <w:szCs w:val="20"/>
                <w:color w:val="auto"/>
              </w:rPr>
              <w:t>Certificates; Other Information</w:t>
            </w:r>
          </w:p>
        </w:tc>
        <w:tc>
          <w:tcPr>
            <w:tcW w:w="79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6.3</w:t>
            </w:r>
          </w:p>
        </w:tc>
        <w:tc>
          <w:tcPr>
            <w:tcW w:w="2820" w:type="dxa"/>
            <w:vAlign w:val="bottom"/>
          </w:tcPr>
          <w:p>
            <w:pPr>
              <w:ind w:left="120"/>
              <w:spacing w:after="0" w:line="216" w:lineRule="exact"/>
              <w:rPr>
                <w:sz w:val="20"/>
                <w:szCs w:val="20"/>
                <w:color w:val="auto"/>
              </w:rPr>
            </w:pPr>
            <w:r>
              <w:rPr>
                <w:rFonts w:ascii="Arial" w:cs="Arial" w:eastAsia="Arial" w:hAnsi="Arial"/>
                <w:sz w:val="20"/>
                <w:szCs w:val="20"/>
                <w:color w:val="auto"/>
              </w:rPr>
              <w:t>Notices</w:t>
            </w:r>
          </w:p>
        </w:tc>
        <w:tc>
          <w:tcPr>
            <w:tcW w:w="7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6.4</w:t>
            </w:r>
          </w:p>
        </w:tc>
        <w:tc>
          <w:tcPr>
            <w:tcW w:w="2820" w:type="dxa"/>
            <w:vAlign w:val="bottom"/>
          </w:tcPr>
          <w:p>
            <w:pPr>
              <w:ind w:left="120"/>
              <w:spacing w:after="0" w:line="216" w:lineRule="exact"/>
              <w:rPr>
                <w:sz w:val="20"/>
                <w:szCs w:val="20"/>
                <w:color w:val="auto"/>
              </w:rPr>
            </w:pPr>
            <w:r>
              <w:rPr>
                <w:rFonts w:ascii="Arial" w:cs="Arial" w:eastAsia="Arial" w:hAnsi="Arial"/>
                <w:sz w:val="20"/>
                <w:szCs w:val="20"/>
                <w:color w:val="auto"/>
              </w:rPr>
              <w:t>Payment of Obligations</w:t>
            </w:r>
          </w:p>
        </w:tc>
        <w:tc>
          <w:tcPr>
            <w:tcW w:w="7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6.5</w:t>
            </w:r>
          </w:p>
        </w:tc>
        <w:tc>
          <w:tcPr>
            <w:tcW w:w="2820" w:type="dxa"/>
            <w:vAlign w:val="bottom"/>
          </w:tcPr>
          <w:p>
            <w:pPr>
              <w:ind w:left="120"/>
              <w:spacing w:after="0" w:line="216" w:lineRule="exact"/>
              <w:rPr>
                <w:sz w:val="20"/>
                <w:szCs w:val="20"/>
                <w:color w:val="auto"/>
              </w:rPr>
            </w:pPr>
            <w:r>
              <w:rPr>
                <w:rFonts w:ascii="Arial" w:cs="Arial" w:eastAsia="Arial" w:hAnsi="Arial"/>
                <w:sz w:val="20"/>
                <w:szCs w:val="20"/>
                <w:color w:val="auto"/>
              </w:rPr>
              <w:t>Preservation of Existence, Etc</w:t>
            </w:r>
          </w:p>
        </w:tc>
        <w:tc>
          <w:tcPr>
            <w:tcW w:w="79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6.6</w:t>
            </w:r>
          </w:p>
        </w:tc>
        <w:tc>
          <w:tcPr>
            <w:tcW w:w="2820" w:type="dxa"/>
            <w:vAlign w:val="bottom"/>
          </w:tcPr>
          <w:p>
            <w:pPr>
              <w:ind w:left="120"/>
              <w:spacing w:after="0" w:line="216" w:lineRule="exact"/>
              <w:rPr>
                <w:sz w:val="20"/>
                <w:szCs w:val="20"/>
                <w:color w:val="auto"/>
              </w:rPr>
            </w:pPr>
            <w:r>
              <w:rPr>
                <w:rFonts w:ascii="Arial" w:cs="Arial" w:eastAsia="Arial" w:hAnsi="Arial"/>
                <w:sz w:val="20"/>
                <w:szCs w:val="20"/>
                <w:color w:val="auto"/>
              </w:rPr>
              <w:t>Maintenance of Properties</w:t>
            </w:r>
          </w:p>
        </w:tc>
        <w:tc>
          <w:tcPr>
            <w:tcW w:w="7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6.7</w:t>
            </w:r>
          </w:p>
        </w:tc>
        <w:tc>
          <w:tcPr>
            <w:tcW w:w="2820" w:type="dxa"/>
            <w:vAlign w:val="bottom"/>
          </w:tcPr>
          <w:p>
            <w:pPr>
              <w:ind w:left="120"/>
              <w:spacing w:after="0" w:line="216" w:lineRule="exact"/>
              <w:rPr>
                <w:sz w:val="20"/>
                <w:szCs w:val="20"/>
                <w:color w:val="auto"/>
              </w:rPr>
            </w:pPr>
            <w:r>
              <w:rPr>
                <w:rFonts w:ascii="Arial" w:cs="Arial" w:eastAsia="Arial" w:hAnsi="Arial"/>
                <w:sz w:val="20"/>
                <w:szCs w:val="20"/>
                <w:color w:val="auto"/>
              </w:rPr>
              <w:t>Maintenance of Insurance</w:t>
            </w:r>
          </w:p>
        </w:tc>
        <w:tc>
          <w:tcPr>
            <w:tcW w:w="7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6.8</w:t>
            </w:r>
          </w:p>
        </w:tc>
        <w:tc>
          <w:tcPr>
            <w:tcW w:w="2820" w:type="dxa"/>
            <w:vAlign w:val="bottom"/>
          </w:tcPr>
          <w:p>
            <w:pPr>
              <w:ind w:left="120"/>
              <w:spacing w:after="0" w:line="216" w:lineRule="exact"/>
              <w:rPr>
                <w:sz w:val="20"/>
                <w:szCs w:val="20"/>
                <w:color w:val="auto"/>
              </w:rPr>
            </w:pPr>
            <w:r>
              <w:rPr>
                <w:rFonts w:ascii="Arial" w:cs="Arial" w:eastAsia="Arial" w:hAnsi="Arial"/>
                <w:sz w:val="20"/>
                <w:szCs w:val="20"/>
                <w:color w:val="auto"/>
              </w:rPr>
              <w:t>Compliance with Laws</w:t>
            </w:r>
          </w:p>
        </w:tc>
        <w:tc>
          <w:tcPr>
            <w:tcW w:w="7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6.9</w:t>
            </w:r>
          </w:p>
        </w:tc>
        <w:tc>
          <w:tcPr>
            <w:tcW w:w="2820" w:type="dxa"/>
            <w:vAlign w:val="bottom"/>
          </w:tcPr>
          <w:p>
            <w:pPr>
              <w:ind w:left="120"/>
              <w:spacing w:after="0" w:line="216" w:lineRule="exact"/>
              <w:rPr>
                <w:sz w:val="20"/>
                <w:szCs w:val="20"/>
                <w:color w:val="auto"/>
              </w:rPr>
            </w:pPr>
            <w:r>
              <w:rPr>
                <w:rFonts w:ascii="Arial" w:cs="Arial" w:eastAsia="Arial" w:hAnsi="Arial"/>
                <w:sz w:val="20"/>
                <w:szCs w:val="20"/>
                <w:color w:val="auto"/>
              </w:rPr>
              <w:t>Books and Records</w:t>
            </w:r>
          </w:p>
        </w:tc>
        <w:tc>
          <w:tcPr>
            <w:tcW w:w="7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50"/>
        </w:trPr>
        <w:tc>
          <w:tcPr>
            <w:tcW w:w="440" w:type="dxa"/>
            <w:vAlign w:val="bottom"/>
          </w:tcPr>
          <w:p>
            <w:pPr>
              <w:spacing w:after="0"/>
              <w:rPr>
                <w:sz w:val="20"/>
                <w:szCs w:val="20"/>
                <w:color w:val="auto"/>
              </w:rPr>
            </w:pPr>
            <w:r>
              <w:rPr>
                <w:rFonts w:ascii="Arial" w:cs="Arial" w:eastAsia="Arial" w:hAnsi="Arial"/>
                <w:sz w:val="18"/>
                <w:szCs w:val="18"/>
                <w:color w:val="auto"/>
              </w:rPr>
              <w:t>6.10</w:t>
            </w:r>
          </w:p>
        </w:tc>
        <w:tc>
          <w:tcPr>
            <w:tcW w:w="2820" w:type="dxa"/>
            <w:vAlign w:val="bottom"/>
          </w:tcPr>
          <w:p>
            <w:pPr>
              <w:ind w:left="120"/>
              <w:spacing w:after="0"/>
              <w:rPr>
                <w:sz w:val="20"/>
                <w:szCs w:val="20"/>
                <w:color w:val="auto"/>
              </w:rPr>
            </w:pPr>
            <w:r>
              <w:rPr>
                <w:rFonts w:ascii="Arial" w:cs="Arial" w:eastAsia="Arial" w:hAnsi="Arial"/>
                <w:sz w:val="20"/>
                <w:szCs w:val="20"/>
                <w:color w:val="auto"/>
              </w:rPr>
              <w:t>Inspection Rights</w:t>
            </w:r>
          </w:p>
        </w:tc>
        <w:tc>
          <w:tcPr>
            <w:tcW w:w="794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33" w:right="35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6.11</w:t>
            </w:r>
          </w:p>
        </w:tc>
        <w:tc>
          <w:tcPr>
            <w:tcW w:w="8720" w:type="dxa"/>
            <w:vAlign w:val="bottom"/>
          </w:tcPr>
          <w:p>
            <w:pPr>
              <w:ind w:left="120"/>
              <w:spacing w:after="0"/>
              <w:rPr>
                <w:sz w:val="20"/>
                <w:szCs w:val="20"/>
                <w:color w:val="auto"/>
              </w:rPr>
            </w:pPr>
            <w:r>
              <w:rPr>
                <w:rFonts w:ascii="Arial" w:cs="Arial" w:eastAsia="Arial" w:hAnsi="Arial"/>
                <w:sz w:val="20"/>
                <w:szCs w:val="20"/>
                <w:color w:val="auto"/>
              </w:rPr>
              <w:t>Use of Proceeds</w:t>
            </w:r>
          </w:p>
        </w:tc>
        <w:tc>
          <w:tcPr>
            <w:tcW w:w="20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6.12</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Additional Subsidiaries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6.13</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Compliance with Environmental Laws</w:t>
            </w:r>
          </w:p>
        </w:tc>
        <w:tc>
          <w:tcPr>
            <w:tcW w:w="2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6.14</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Further Assurances</w:t>
            </w:r>
          </w:p>
        </w:tc>
        <w:tc>
          <w:tcPr>
            <w:tcW w:w="2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6.15</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Approvals and Authorizations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50"/>
        </w:trPr>
        <w:tc>
          <w:tcPr>
            <w:tcW w:w="440" w:type="dxa"/>
            <w:vAlign w:val="bottom"/>
          </w:tcPr>
          <w:p>
            <w:pPr>
              <w:spacing w:after="0"/>
              <w:rPr>
                <w:sz w:val="20"/>
                <w:szCs w:val="20"/>
                <w:color w:val="auto"/>
              </w:rPr>
            </w:pPr>
            <w:r>
              <w:rPr>
                <w:rFonts w:ascii="Arial" w:cs="Arial" w:eastAsia="Arial" w:hAnsi="Arial"/>
                <w:sz w:val="18"/>
                <w:szCs w:val="18"/>
                <w:color w:val="auto"/>
              </w:rPr>
              <w:t>6.16</w:t>
            </w:r>
          </w:p>
        </w:tc>
        <w:tc>
          <w:tcPr>
            <w:tcW w:w="8720" w:type="dxa"/>
            <w:vAlign w:val="bottom"/>
          </w:tcPr>
          <w:p>
            <w:pPr>
              <w:ind w:left="120"/>
              <w:spacing w:after="0"/>
              <w:rPr>
                <w:sz w:val="20"/>
                <w:szCs w:val="20"/>
                <w:color w:val="auto"/>
              </w:rPr>
            </w:pPr>
            <w:r>
              <w:rPr>
                <w:rFonts w:ascii="Arial" w:cs="Arial" w:eastAsia="Arial" w:hAnsi="Arial"/>
                <w:sz w:val="20"/>
                <w:szCs w:val="20"/>
                <w:color w:val="auto"/>
              </w:rPr>
              <w:t>Anti-Corruption Laws; Sanctions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567"/>
        </w:trPr>
        <w:tc>
          <w:tcPr>
            <w:tcW w:w="440" w:type="dxa"/>
            <w:vAlign w:val="bottom"/>
          </w:tcPr>
          <w:p>
            <w:pPr>
              <w:spacing w:after="0"/>
              <w:rPr>
                <w:sz w:val="24"/>
                <w:szCs w:val="24"/>
                <w:color w:val="auto"/>
              </w:rPr>
            </w:pPr>
          </w:p>
        </w:tc>
        <w:tc>
          <w:tcPr>
            <w:tcW w:w="8720" w:type="dxa"/>
            <w:vAlign w:val="bottom"/>
          </w:tcPr>
          <w:p>
            <w:pPr>
              <w:jc w:val="center"/>
              <w:ind w:left="1581"/>
              <w:spacing w:after="0"/>
              <w:rPr>
                <w:sz w:val="20"/>
                <w:szCs w:val="20"/>
                <w:color w:val="auto"/>
              </w:rPr>
            </w:pPr>
            <w:r>
              <w:rPr>
                <w:rFonts w:ascii="Arial" w:cs="Arial" w:eastAsia="Arial" w:hAnsi="Arial"/>
                <w:sz w:val="20"/>
                <w:szCs w:val="20"/>
                <w:color w:val="auto"/>
                <w:w w:val="97"/>
              </w:rPr>
              <w:t>ARTICLE VII. NEGATIVE COVENANTS</w:t>
            </w:r>
          </w:p>
        </w:tc>
        <w:tc>
          <w:tcPr>
            <w:tcW w:w="2040" w:type="dxa"/>
            <w:vAlign w:val="bottom"/>
          </w:tcPr>
          <w:p>
            <w:pPr>
              <w:spacing w:after="0"/>
              <w:rPr>
                <w:sz w:val="24"/>
                <w:szCs w:val="24"/>
                <w:color w:val="auto"/>
              </w:rPr>
            </w:pPr>
          </w:p>
        </w:tc>
      </w:tr>
      <w:tr>
        <w:trPr>
          <w:trHeight w:val="411"/>
        </w:trPr>
        <w:tc>
          <w:tcPr>
            <w:tcW w:w="440" w:type="dxa"/>
            <w:vAlign w:val="bottom"/>
          </w:tcPr>
          <w:p>
            <w:pPr>
              <w:spacing w:after="0"/>
              <w:rPr>
                <w:sz w:val="20"/>
                <w:szCs w:val="20"/>
                <w:color w:val="auto"/>
              </w:rPr>
            </w:pPr>
            <w:r>
              <w:rPr>
                <w:rFonts w:ascii="Arial" w:cs="Arial" w:eastAsia="Arial" w:hAnsi="Arial"/>
                <w:sz w:val="18"/>
                <w:szCs w:val="18"/>
                <w:color w:val="auto"/>
              </w:rPr>
              <w:t>7.1</w:t>
            </w:r>
          </w:p>
        </w:tc>
        <w:tc>
          <w:tcPr>
            <w:tcW w:w="8720" w:type="dxa"/>
            <w:vAlign w:val="bottom"/>
          </w:tcPr>
          <w:p>
            <w:pPr>
              <w:ind w:left="120"/>
              <w:spacing w:after="0"/>
              <w:rPr>
                <w:sz w:val="20"/>
                <w:szCs w:val="20"/>
                <w:color w:val="auto"/>
              </w:rPr>
            </w:pPr>
            <w:r>
              <w:rPr>
                <w:rFonts w:ascii="Arial" w:cs="Arial" w:eastAsia="Arial" w:hAnsi="Arial"/>
                <w:sz w:val="20"/>
                <w:szCs w:val="20"/>
                <w:color w:val="auto"/>
              </w:rPr>
              <w:t>Liens</w:t>
            </w:r>
          </w:p>
        </w:tc>
        <w:tc>
          <w:tcPr>
            <w:tcW w:w="20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7.2</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Investments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7.3</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Indebtedness</w:t>
            </w:r>
          </w:p>
        </w:tc>
        <w:tc>
          <w:tcPr>
            <w:tcW w:w="20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7.4</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Fundamental Changes</w:t>
            </w:r>
          </w:p>
        </w:tc>
        <w:tc>
          <w:tcPr>
            <w:tcW w:w="20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7.5</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Dispositions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7.6</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Restricted Payments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7.7</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Change in Nature of Business</w:t>
            </w:r>
          </w:p>
        </w:tc>
        <w:tc>
          <w:tcPr>
            <w:tcW w:w="2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7.8</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Transactions with Affiliates</w:t>
            </w:r>
          </w:p>
        </w:tc>
        <w:tc>
          <w:tcPr>
            <w:tcW w:w="2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7.9</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Burdensome Agreements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7.10</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Use of Proceeds</w:t>
            </w:r>
          </w:p>
        </w:tc>
        <w:tc>
          <w:tcPr>
            <w:tcW w:w="2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7.11</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Financial Covenants</w:t>
            </w:r>
          </w:p>
        </w:tc>
        <w:tc>
          <w:tcPr>
            <w:tcW w:w="2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7.12</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Amendment or Modification of Organization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7.13</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Accounting Changes</w:t>
            </w:r>
          </w:p>
        </w:tc>
        <w:tc>
          <w:tcPr>
            <w:tcW w:w="2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50"/>
        </w:trPr>
        <w:tc>
          <w:tcPr>
            <w:tcW w:w="440" w:type="dxa"/>
            <w:vAlign w:val="bottom"/>
          </w:tcPr>
          <w:p>
            <w:pPr>
              <w:spacing w:after="0"/>
              <w:rPr>
                <w:sz w:val="20"/>
                <w:szCs w:val="20"/>
                <w:color w:val="auto"/>
              </w:rPr>
            </w:pPr>
            <w:r>
              <w:rPr>
                <w:rFonts w:ascii="Arial" w:cs="Arial" w:eastAsia="Arial" w:hAnsi="Arial"/>
                <w:sz w:val="18"/>
                <w:szCs w:val="18"/>
                <w:color w:val="auto"/>
              </w:rPr>
              <w:t>7.14</w:t>
            </w:r>
          </w:p>
        </w:tc>
        <w:tc>
          <w:tcPr>
            <w:tcW w:w="8720" w:type="dxa"/>
            <w:vAlign w:val="bottom"/>
          </w:tcPr>
          <w:p>
            <w:pPr>
              <w:ind w:left="120"/>
              <w:spacing w:after="0"/>
              <w:rPr>
                <w:sz w:val="20"/>
                <w:szCs w:val="20"/>
                <w:color w:val="auto"/>
              </w:rPr>
            </w:pPr>
            <w:r>
              <w:rPr>
                <w:rFonts w:ascii="Arial" w:cs="Arial" w:eastAsia="Arial" w:hAnsi="Arial"/>
                <w:sz w:val="20"/>
                <w:szCs w:val="20"/>
                <w:color w:val="auto"/>
              </w:rPr>
              <w:t>Post-Closing 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560"/>
        </w:trPr>
        <w:tc>
          <w:tcPr>
            <w:tcW w:w="440" w:type="dxa"/>
            <w:vAlign w:val="bottom"/>
          </w:tcPr>
          <w:p>
            <w:pPr>
              <w:spacing w:after="0"/>
              <w:rPr>
                <w:sz w:val="24"/>
                <w:szCs w:val="24"/>
                <w:color w:val="auto"/>
              </w:rPr>
            </w:pPr>
          </w:p>
        </w:tc>
        <w:tc>
          <w:tcPr>
            <w:tcW w:w="8720" w:type="dxa"/>
            <w:vAlign w:val="bottom"/>
          </w:tcPr>
          <w:p>
            <w:pPr>
              <w:jc w:val="center"/>
              <w:ind w:left="1581"/>
              <w:spacing w:after="0"/>
              <w:rPr>
                <w:sz w:val="20"/>
                <w:szCs w:val="20"/>
                <w:color w:val="auto"/>
              </w:rPr>
            </w:pPr>
            <w:r>
              <w:rPr>
                <w:rFonts w:ascii="Arial" w:cs="Arial" w:eastAsia="Arial" w:hAnsi="Arial"/>
                <w:sz w:val="20"/>
                <w:szCs w:val="20"/>
                <w:color w:val="auto"/>
              </w:rPr>
              <w:t>ARTICLE VIII.</w:t>
            </w:r>
          </w:p>
        </w:tc>
        <w:tc>
          <w:tcPr>
            <w:tcW w:w="2040" w:type="dxa"/>
            <w:vAlign w:val="bottom"/>
          </w:tcPr>
          <w:p>
            <w:pPr>
              <w:spacing w:after="0"/>
              <w:rPr>
                <w:sz w:val="24"/>
                <w:szCs w:val="24"/>
                <w:color w:val="auto"/>
              </w:rPr>
            </w:pPr>
          </w:p>
        </w:tc>
      </w:tr>
      <w:tr>
        <w:trPr>
          <w:trHeight w:val="250"/>
        </w:trPr>
        <w:tc>
          <w:tcPr>
            <w:tcW w:w="440" w:type="dxa"/>
            <w:vAlign w:val="bottom"/>
          </w:tcPr>
          <w:p>
            <w:pPr>
              <w:spacing w:after="0"/>
              <w:rPr>
                <w:sz w:val="21"/>
                <w:szCs w:val="21"/>
                <w:color w:val="auto"/>
              </w:rPr>
            </w:pPr>
          </w:p>
        </w:tc>
        <w:tc>
          <w:tcPr>
            <w:tcW w:w="8720" w:type="dxa"/>
            <w:vAlign w:val="bottom"/>
          </w:tcPr>
          <w:p>
            <w:pPr>
              <w:jc w:val="center"/>
              <w:ind w:left="1581"/>
              <w:spacing w:after="0"/>
              <w:rPr>
                <w:sz w:val="20"/>
                <w:szCs w:val="20"/>
                <w:color w:val="auto"/>
              </w:rPr>
            </w:pPr>
            <w:r>
              <w:rPr>
                <w:rFonts w:ascii="Arial" w:cs="Arial" w:eastAsia="Arial" w:hAnsi="Arial"/>
                <w:sz w:val="20"/>
                <w:szCs w:val="20"/>
                <w:color w:val="auto"/>
                <w:w w:val="94"/>
              </w:rPr>
              <w:t>EVENTS OF DEFAULT AND REMEDIES</w:t>
            </w:r>
          </w:p>
        </w:tc>
        <w:tc>
          <w:tcPr>
            <w:tcW w:w="2040" w:type="dxa"/>
            <w:vAlign w:val="bottom"/>
          </w:tcPr>
          <w:p>
            <w:pPr>
              <w:spacing w:after="0"/>
              <w:rPr>
                <w:sz w:val="21"/>
                <w:szCs w:val="21"/>
                <w:color w:val="auto"/>
              </w:rPr>
            </w:pPr>
          </w:p>
        </w:tc>
      </w:tr>
      <w:tr>
        <w:trPr>
          <w:trHeight w:val="384"/>
        </w:trPr>
        <w:tc>
          <w:tcPr>
            <w:tcW w:w="440" w:type="dxa"/>
            <w:vAlign w:val="bottom"/>
          </w:tcPr>
          <w:p>
            <w:pPr>
              <w:spacing w:after="0"/>
              <w:rPr>
                <w:sz w:val="20"/>
                <w:szCs w:val="20"/>
                <w:color w:val="auto"/>
              </w:rPr>
            </w:pPr>
            <w:r>
              <w:rPr>
                <w:rFonts w:ascii="Arial" w:cs="Arial" w:eastAsia="Arial" w:hAnsi="Arial"/>
                <w:sz w:val="18"/>
                <w:szCs w:val="18"/>
                <w:color w:val="auto"/>
              </w:rPr>
              <w:t>8.1</w:t>
            </w:r>
          </w:p>
        </w:tc>
        <w:tc>
          <w:tcPr>
            <w:tcW w:w="8720" w:type="dxa"/>
            <w:vAlign w:val="bottom"/>
          </w:tcPr>
          <w:p>
            <w:pPr>
              <w:ind w:left="120"/>
              <w:spacing w:after="0"/>
              <w:rPr>
                <w:sz w:val="20"/>
                <w:szCs w:val="20"/>
                <w:color w:val="auto"/>
              </w:rPr>
            </w:pPr>
            <w:r>
              <w:rPr>
                <w:rFonts w:ascii="Arial" w:cs="Arial" w:eastAsia="Arial" w:hAnsi="Arial"/>
                <w:sz w:val="20"/>
                <w:szCs w:val="20"/>
                <w:color w:val="auto"/>
              </w:rPr>
              <w:t>Events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8.2</w:t>
            </w:r>
          </w:p>
        </w:tc>
        <w:tc>
          <w:tcPr>
            <w:tcW w:w="8720" w:type="dxa"/>
            <w:vAlign w:val="bottom"/>
          </w:tcPr>
          <w:p>
            <w:pPr>
              <w:ind w:left="120"/>
              <w:spacing w:after="0" w:line="216" w:lineRule="exact"/>
              <w:rPr>
                <w:sz w:val="20"/>
                <w:szCs w:val="20"/>
                <w:color w:val="auto"/>
              </w:rPr>
            </w:pPr>
            <w:r>
              <w:rPr>
                <w:rFonts w:ascii="Arial" w:cs="Arial" w:eastAsia="Arial" w:hAnsi="Arial"/>
                <w:sz w:val="20"/>
                <w:szCs w:val="20"/>
                <w:color w:val="auto"/>
              </w:rPr>
              <w:t>Remedies Upon Event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440" w:type="dxa"/>
            <w:vAlign w:val="bottom"/>
          </w:tcPr>
          <w:p>
            <w:pPr>
              <w:spacing w:after="0"/>
              <w:rPr>
                <w:sz w:val="20"/>
                <w:szCs w:val="20"/>
                <w:color w:val="auto"/>
              </w:rPr>
            </w:pPr>
            <w:r>
              <w:rPr>
                <w:rFonts w:ascii="Arial" w:cs="Arial" w:eastAsia="Arial" w:hAnsi="Arial"/>
                <w:sz w:val="18"/>
                <w:szCs w:val="18"/>
                <w:color w:val="auto"/>
              </w:rPr>
              <w:t>8.3</w:t>
            </w:r>
          </w:p>
        </w:tc>
        <w:tc>
          <w:tcPr>
            <w:tcW w:w="8720" w:type="dxa"/>
            <w:vAlign w:val="bottom"/>
          </w:tcPr>
          <w:p>
            <w:pPr>
              <w:ind w:left="120"/>
              <w:spacing w:after="0"/>
              <w:rPr>
                <w:sz w:val="20"/>
                <w:szCs w:val="20"/>
                <w:color w:val="auto"/>
              </w:rPr>
            </w:pPr>
            <w:r>
              <w:rPr>
                <w:rFonts w:ascii="Arial" w:cs="Arial" w:eastAsia="Arial" w:hAnsi="Arial"/>
                <w:sz w:val="20"/>
                <w:szCs w:val="20"/>
                <w:color w:val="auto"/>
              </w:rPr>
              <w:t>Application of Funds</w:t>
            </w:r>
          </w:p>
        </w:tc>
        <w:tc>
          <w:tcPr>
            <w:tcW w:w="20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48"/>
        </w:trPr>
        <w:tc>
          <w:tcPr>
            <w:tcW w:w="440" w:type="dxa"/>
            <w:vAlign w:val="bottom"/>
          </w:tcPr>
          <w:p>
            <w:pPr>
              <w:ind w:left="20"/>
              <w:spacing w:after="0"/>
              <w:rPr>
                <w:sz w:val="20"/>
                <w:szCs w:val="20"/>
                <w:color w:val="auto"/>
              </w:rPr>
            </w:pPr>
            <w:r>
              <w:rPr>
                <w:rFonts w:ascii="Arial" w:cs="Arial" w:eastAsia="Arial" w:hAnsi="Arial"/>
                <w:sz w:val="22"/>
                <w:szCs w:val="22"/>
                <w:color w:val="auto"/>
              </w:rPr>
              <w:t>4</w:t>
            </w:r>
          </w:p>
        </w:tc>
        <w:tc>
          <w:tcPr>
            <w:tcW w:w="87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11" w:right="35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50"/>
        </w:trPr>
        <w:tc>
          <w:tcPr>
            <w:tcW w:w="440" w:type="dxa"/>
            <w:vAlign w:val="bottom"/>
          </w:tcPr>
          <w:p>
            <w:pPr>
              <w:spacing w:after="0"/>
              <w:rPr>
                <w:sz w:val="21"/>
                <w:szCs w:val="21"/>
                <w:color w:val="auto"/>
              </w:rPr>
            </w:pPr>
          </w:p>
        </w:tc>
        <w:tc>
          <w:tcPr>
            <w:tcW w:w="8740" w:type="dxa"/>
            <w:vAlign w:val="bottom"/>
          </w:tcPr>
          <w:p>
            <w:pPr>
              <w:ind w:left="3420"/>
              <w:spacing w:after="0"/>
              <w:rPr>
                <w:sz w:val="20"/>
                <w:szCs w:val="20"/>
                <w:color w:val="auto"/>
              </w:rPr>
            </w:pPr>
            <w:r>
              <w:rPr>
                <w:rFonts w:ascii="Arial" w:cs="Arial" w:eastAsia="Arial" w:hAnsi="Arial"/>
                <w:sz w:val="20"/>
                <w:szCs w:val="20"/>
                <w:color w:val="auto"/>
              </w:rPr>
              <w:t>ARTICLE IX. ADMINISTRATIVE AGENT</w:t>
            </w:r>
          </w:p>
        </w:tc>
        <w:tc>
          <w:tcPr>
            <w:tcW w:w="2020" w:type="dxa"/>
            <w:vAlign w:val="bottom"/>
          </w:tcPr>
          <w:p>
            <w:pPr>
              <w:spacing w:after="0"/>
              <w:rPr>
                <w:sz w:val="21"/>
                <w:szCs w:val="21"/>
                <w:color w:val="auto"/>
              </w:rPr>
            </w:pPr>
          </w:p>
        </w:tc>
      </w:tr>
      <w:tr>
        <w:trPr>
          <w:trHeight w:val="384"/>
        </w:trPr>
        <w:tc>
          <w:tcPr>
            <w:tcW w:w="440" w:type="dxa"/>
            <w:vAlign w:val="bottom"/>
          </w:tcPr>
          <w:p>
            <w:pPr>
              <w:spacing w:after="0"/>
              <w:rPr>
                <w:sz w:val="20"/>
                <w:szCs w:val="20"/>
                <w:color w:val="auto"/>
              </w:rPr>
            </w:pPr>
            <w:r>
              <w:rPr>
                <w:rFonts w:ascii="Arial" w:cs="Arial" w:eastAsia="Arial" w:hAnsi="Arial"/>
                <w:sz w:val="18"/>
                <w:szCs w:val="18"/>
                <w:color w:val="auto"/>
              </w:rPr>
              <w:t>9.1</w:t>
            </w:r>
          </w:p>
        </w:tc>
        <w:tc>
          <w:tcPr>
            <w:tcW w:w="8740" w:type="dxa"/>
            <w:vAlign w:val="bottom"/>
          </w:tcPr>
          <w:p>
            <w:pPr>
              <w:ind w:left="120"/>
              <w:spacing w:after="0"/>
              <w:rPr>
                <w:sz w:val="20"/>
                <w:szCs w:val="20"/>
                <w:color w:val="auto"/>
              </w:rPr>
            </w:pPr>
            <w:r>
              <w:rPr>
                <w:rFonts w:ascii="Arial" w:cs="Arial" w:eastAsia="Arial" w:hAnsi="Arial"/>
                <w:sz w:val="20"/>
                <w:szCs w:val="20"/>
                <w:color w:val="auto"/>
              </w:rPr>
              <w:t>Appointment and Authority</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9.2</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Rights as a Lender</w:t>
            </w:r>
          </w:p>
        </w:tc>
        <w:tc>
          <w:tcPr>
            <w:tcW w:w="20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9.3</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Exculpatory Provisions</w:t>
            </w:r>
          </w:p>
        </w:tc>
        <w:tc>
          <w:tcPr>
            <w:tcW w:w="20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9.4</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Reliance by Administrative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9.5</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Delegation of Duties</w:t>
            </w:r>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9.6</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Resignation of Administrative Agent</w:t>
            </w:r>
          </w:p>
        </w:tc>
        <w:tc>
          <w:tcPr>
            <w:tcW w:w="20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9.7</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Non-Reliance on Administrative Agent, Arranger and Other Lenders</w:t>
            </w:r>
          </w:p>
        </w:tc>
        <w:tc>
          <w:tcPr>
            <w:tcW w:w="20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9.8</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No Other Duties, Etc</w:t>
            </w:r>
          </w:p>
        </w:tc>
        <w:tc>
          <w:tcPr>
            <w:tcW w:w="2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9.9</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Administrative Agent May File Proofs of Claim; Credit Bidding</w:t>
            </w:r>
          </w:p>
        </w:tc>
        <w:tc>
          <w:tcPr>
            <w:tcW w:w="2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8"/>
        </w:trPr>
        <w:tc>
          <w:tcPr>
            <w:tcW w:w="440" w:type="dxa"/>
            <w:vAlign w:val="bottom"/>
          </w:tcPr>
          <w:p>
            <w:pPr>
              <w:spacing w:after="0"/>
              <w:rPr>
                <w:sz w:val="20"/>
                <w:szCs w:val="20"/>
                <w:color w:val="auto"/>
              </w:rPr>
            </w:pPr>
            <w:r>
              <w:rPr>
                <w:rFonts w:ascii="Arial" w:cs="Arial" w:eastAsia="Arial" w:hAnsi="Arial"/>
                <w:sz w:val="18"/>
                <w:szCs w:val="18"/>
                <w:color w:val="auto"/>
              </w:rPr>
              <w:t>9.10</w:t>
            </w:r>
          </w:p>
        </w:tc>
        <w:tc>
          <w:tcPr>
            <w:tcW w:w="8740" w:type="dxa"/>
            <w:vAlign w:val="bottom"/>
          </w:tcPr>
          <w:p>
            <w:pPr>
              <w:ind w:left="120"/>
              <w:spacing w:after="0" w:line="219" w:lineRule="exact"/>
              <w:rPr>
                <w:sz w:val="20"/>
                <w:szCs w:val="20"/>
                <w:color w:val="auto"/>
              </w:rPr>
            </w:pPr>
            <w:r>
              <w:rPr>
                <w:rFonts w:ascii="Arial" w:cs="Arial" w:eastAsia="Arial" w:hAnsi="Arial"/>
                <w:sz w:val="20"/>
                <w:szCs w:val="20"/>
                <w:color w:val="auto"/>
              </w:rPr>
              <w:t>Collateral and Guaranty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187"/>
        </w:trPr>
        <w:tc>
          <w:tcPr>
            <w:tcW w:w="440" w:type="dxa"/>
            <w:vAlign w:val="bottom"/>
          </w:tcPr>
          <w:p>
            <w:pPr>
              <w:spacing w:after="0" w:line="187" w:lineRule="exact"/>
              <w:rPr>
                <w:sz w:val="20"/>
                <w:szCs w:val="20"/>
                <w:color w:val="auto"/>
              </w:rPr>
            </w:pPr>
            <w:r>
              <w:rPr>
                <w:rFonts w:ascii="Arial" w:cs="Arial" w:eastAsia="Arial" w:hAnsi="Arial"/>
                <w:sz w:val="18"/>
                <w:szCs w:val="18"/>
                <w:color w:val="auto"/>
              </w:rPr>
              <w:t>9.11</w:t>
            </w:r>
          </w:p>
        </w:tc>
        <w:tc>
          <w:tcPr>
            <w:tcW w:w="8740" w:type="dxa"/>
            <w:vAlign w:val="bottom"/>
          </w:tcPr>
          <w:p>
            <w:pPr>
              <w:ind w:left="120"/>
              <w:spacing w:after="0" w:line="187" w:lineRule="exact"/>
              <w:rPr>
                <w:sz w:val="20"/>
                <w:szCs w:val="20"/>
                <w:color w:val="auto"/>
              </w:rPr>
            </w:pPr>
            <w:r>
              <w:rPr>
                <w:rFonts w:ascii="Arial" w:cs="Arial" w:eastAsia="Arial" w:hAnsi="Arial"/>
                <w:sz w:val="18"/>
                <w:szCs w:val="18"/>
                <w:color w:val="auto"/>
              </w:rPr>
              <w:t>Permitted Standalone Letters of Credit</w:t>
            </w:r>
          </w:p>
        </w:tc>
        <w:tc>
          <w:tcPr>
            <w:tcW w:w="2020" w:type="dxa"/>
            <w:vAlign w:val="bottom"/>
          </w:tcPr>
          <w:p>
            <w:pPr>
              <w:jc w:val="right"/>
              <w:spacing w:after="0" w:line="187" w:lineRule="exact"/>
              <w:rPr>
                <w:sz w:val="20"/>
                <w:szCs w:val="20"/>
                <w:color w:val="auto"/>
              </w:rPr>
            </w:pPr>
            <w:r>
              <w:rPr>
                <w:rFonts w:ascii="Arial" w:cs="Arial" w:eastAsia="Arial" w:hAnsi="Arial"/>
                <w:sz w:val="18"/>
                <w:szCs w:val="18"/>
                <w:color w:val="auto"/>
              </w:rPr>
              <w:t>119</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9.12</w:t>
            </w:r>
          </w:p>
        </w:tc>
        <w:tc>
          <w:tcPr>
            <w:tcW w:w="8740" w:type="dxa"/>
            <w:vAlign w:val="bottom"/>
          </w:tcPr>
          <w:p>
            <w:pPr>
              <w:ind w:left="120"/>
              <w:spacing w:after="0" w:line="216" w:lineRule="exact"/>
              <w:rPr>
                <w:sz w:val="20"/>
                <w:szCs w:val="20"/>
                <w:color w:val="auto"/>
              </w:rPr>
            </w:pPr>
            <w:r>
              <w:rPr>
                <w:rFonts w:ascii="Arial" w:cs="Arial" w:eastAsia="Arial" w:hAnsi="Arial"/>
                <w:sz w:val="20"/>
                <w:szCs w:val="20"/>
                <w:color w:val="auto"/>
              </w:rPr>
              <w:t>Certain ERISA Matters</w:t>
            </w:r>
          </w:p>
        </w:tc>
        <w:tc>
          <w:tcPr>
            <w:tcW w:w="20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50"/>
        </w:trPr>
        <w:tc>
          <w:tcPr>
            <w:tcW w:w="440" w:type="dxa"/>
            <w:vAlign w:val="bottom"/>
          </w:tcPr>
          <w:p>
            <w:pPr>
              <w:spacing w:after="0"/>
              <w:rPr>
                <w:sz w:val="20"/>
                <w:szCs w:val="20"/>
                <w:color w:val="auto"/>
              </w:rPr>
            </w:pPr>
            <w:r>
              <w:rPr>
                <w:rFonts w:ascii="Arial" w:cs="Arial" w:eastAsia="Arial" w:hAnsi="Arial"/>
                <w:sz w:val="18"/>
                <w:szCs w:val="18"/>
                <w:color w:val="auto"/>
              </w:rPr>
              <w:t>9.13</w:t>
            </w:r>
          </w:p>
        </w:tc>
        <w:tc>
          <w:tcPr>
            <w:tcW w:w="8740" w:type="dxa"/>
            <w:vAlign w:val="bottom"/>
          </w:tcPr>
          <w:p>
            <w:pPr>
              <w:ind w:left="120"/>
              <w:spacing w:after="0"/>
              <w:rPr>
                <w:sz w:val="20"/>
                <w:szCs w:val="20"/>
                <w:color w:val="auto"/>
              </w:rPr>
            </w:pPr>
            <w:r>
              <w:rPr>
                <w:rFonts w:ascii="Arial" w:cs="Arial" w:eastAsia="Arial" w:hAnsi="Arial"/>
                <w:sz w:val="20"/>
                <w:szCs w:val="20"/>
                <w:color w:val="auto"/>
              </w:rPr>
              <w:t>Recovery of Erroneous Payments</w:t>
            </w:r>
          </w:p>
        </w:tc>
        <w:tc>
          <w:tcPr>
            <w:tcW w:w="202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22"/>
          <w:szCs w:val="22"/>
          <w:color w:val="auto"/>
        </w:rPr>
        <w:t>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44" w:right="359" w:bottom="1440" w:gutter="0" w:footer="0" w:header="0"/>
        </w:sectPr>
      </w:pPr>
    </w:p>
    <w:bookmarkStart w:id="124" w:name="page125"/>
    <w:bookmarkEnd w:id="124"/>
    <w:tbl>
      <w:tblPr>
        <w:tblLayout w:type="fixed"/>
        <w:tblInd w:w="60" w:type="dxa"/>
        <w:tblCellMar>
          <w:top w:w="0" w:type="dxa"/>
          <w:left w:w="0" w:type="dxa"/>
          <w:bottom w:w="0" w:type="dxa"/>
          <w:right w:w="0" w:type="dxa"/>
        </w:tblCellMar>
      </w:tblPr>
      <w:tr>
        <w:trPr>
          <w:trHeight w:val="250"/>
        </w:trPr>
        <w:tc>
          <w:tcPr>
            <w:tcW w:w="640" w:type="dxa"/>
            <w:vAlign w:val="bottom"/>
          </w:tcPr>
          <w:p>
            <w:pPr>
              <w:spacing w:after="0"/>
              <w:rPr>
                <w:sz w:val="21"/>
                <w:szCs w:val="21"/>
                <w:color w:val="auto"/>
              </w:rPr>
            </w:pPr>
          </w:p>
        </w:tc>
        <w:tc>
          <w:tcPr>
            <w:tcW w:w="8240" w:type="dxa"/>
            <w:vAlign w:val="bottom"/>
          </w:tcPr>
          <w:p>
            <w:pPr>
              <w:ind w:left="3560"/>
              <w:spacing w:after="0"/>
              <w:rPr>
                <w:sz w:val="20"/>
                <w:szCs w:val="20"/>
                <w:color w:val="auto"/>
              </w:rPr>
            </w:pPr>
            <w:r>
              <w:rPr>
                <w:rFonts w:ascii="Arial" w:cs="Arial" w:eastAsia="Arial" w:hAnsi="Arial"/>
                <w:sz w:val="20"/>
                <w:szCs w:val="20"/>
                <w:color w:val="auto"/>
              </w:rPr>
              <w:t>ARTICLE X. MISCELLANEOUS</w:t>
            </w:r>
          </w:p>
        </w:tc>
        <w:tc>
          <w:tcPr>
            <w:tcW w:w="2200" w:type="dxa"/>
            <w:vAlign w:val="bottom"/>
          </w:tcPr>
          <w:p>
            <w:pPr>
              <w:spacing w:after="0"/>
              <w:rPr>
                <w:sz w:val="21"/>
                <w:szCs w:val="21"/>
                <w:color w:val="auto"/>
              </w:rPr>
            </w:pPr>
          </w:p>
        </w:tc>
      </w:tr>
      <w:tr>
        <w:trPr>
          <w:trHeight w:val="39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8240" w:type="dxa"/>
            <w:vAlign w:val="bottom"/>
          </w:tcPr>
          <w:p>
            <w:pPr>
              <w:ind w:left="220"/>
              <w:spacing w:after="0"/>
              <w:rPr>
                <w:sz w:val="20"/>
                <w:szCs w:val="20"/>
                <w:color w:val="auto"/>
              </w:rPr>
            </w:pPr>
            <w:r>
              <w:rPr>
                <w:rFonts w:ascii="Arial" w:cs="Arial" w:eastAsia="Arial" w:hAnsi="Arial"/>
                <w:sz w:val="20"/>
                <w:szCs w:val="20"/>
                <w:color w:val="auto"/>
              </w:rPr>
              <w:t>Amendments, Etc</w:t>
            </w:r>
          </w:p>
        </w:tc>
        <w:tc>
          <w:tcPr>
            <w:tcW w:w="2200" w:type="dxa"/>
            <w:vAlign w:val="bottom"/>
          </w:tcPr>
          <w:p>
            <w:pPr>
              <w:jc w:val="right"/>
              <w:spacing w:after="0"/>
              <w:rPr>
                <w:sz w:val="20"/>
                <w:szCs w:val="20"/>
                <w:color w:val="auto"/>
              </w:rPr>
            </w:pPr>
            <w:r>
              <w:rPr>
                <w:rFonts w:ascii="Arial" w:cs="Arial" w:eastAsia="Arial" w:hAnsi="Arial"/>
                <w:sz w:val="20"/>
                <w:szCs w:val="20"/>
                <w:color w:val="auto"/>
              </w:rPr>
              <w:t>121</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8240" w:type="dxa"/>
            <w:vAlign w:val="bottom"/>
          </w:tcPr>
          <w:p>
            <w:pPr>
              <w:ind w:left="220"/>
              <w:spacing w:after="0"/>
              <w:rPr>
                <w:sz w:val="20"/>
                <w:szCs w:val="20"/>
                <w:color w:val="auto"/>
              </w:rPr>
            </w:pPr>
            <w:r>
              <w:rPr>
                <w:rFonts w:ascii="Arial" w:cs="Arial" w:eastAsia="Arial" w:hAnsi="Arial"/>
                <w:sz w:val="20"/>
                <w:szCs w:val="20"/>
                <w:color w:val="auto"/>
              </w:rPr>
              <w:t>Notices; Effectiveness; Electronic Communication</w:t>
            </w:r>
          </w:p>
        </w:tc>
        <w:tc>
          <w:tcPr>
            <w:tcW w:w="2200" w:type="dxa"/>
            <w:vAlign w:val="bottom"/>
          </w:tcPr>
          <w:p>
            <w:pPr>
              <w:jc w:val="right"/>
              <w:spacing w:after="0"/>
              <w:rPr>
                <w:sz w:val="20"/>
                <w:szCs w:val="20"/>
                <w:color w:val="auto"/>
              </w:rPr>
            </w:pPr>
            <w:r>
              <w:rPr>
                <w:rFonts w:ascii="Arial" w:cs="Arial" w:eastAsia="Arial" w:hAnsi="Arial"/>
                <w:sz w:val="20"/>
                <w:szCs w:val="20"/>
                <w:color w:val="auto"/>
              </w:rPr>
              <w:t>123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No Waiver; Cumulative Remedies; Enforcement</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Expenses; Indemnity; Damage Waiver</w:t>
            </w:r>
          </w:p>
        </w:tc>
        <w:tc>
          <w:tcPr>
            <w:tcW w:w="22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Payments Set Aside</w:t>
            </w:r>
          </w:p>
        </w:tc>
        <w:tc>
          <w:tcPr>
            <w:tcW w:w="22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Successors and Assigns</w:t>
            </w:r>
          </w:p>
        </w:tc>
        <w:tc>
          <w:tcPr>
            <w:tcW w:w="22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Treatment of Certain Information; Confidentiality</w:t>
            </w:r>
          </w:p>
        </w:tc>
        <w:tc>
          <w:tcPr>
            <w:tcW w:w="22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Right of Setoff</w:t>
            </w:r>
          </w:p>
        </w:tc>
        <w:tc>
          <w:tcPr>
            <w:tcW w:w="2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Interest Rate Limitation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Integration; Effectiveness</w:t>
            </w:r>
          </w:p>
        </w:tc>
        <w:tc>
          <w:tcPr>
            <w:tcW w:w="2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Survival of Representations and Warranties</w:t>
            </w:r>
          </w:p>
        </w:tc>
        <w:tc>
          <w:tcPr>
            <w:tcW w:w="2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Severability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Replacement of Lenders</w:t>
            </w:r>
          </w:p>
        </w:tc>
        <w:tc>
          <w:tcPr>
            <w:tcW w:w="2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Governing Law; Jurisdiction; Etc</w:t>
            </w:r>
          </w:p>
        </w:tc>
        <w:tc>
          <w:tcPr>
            <w:tcW w:w="220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10.15</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Waiver of Jury Trial</w:t>
            </w:r>
          </w:p>
        </w:tc>
        <w:tc>
          <w:tcPr>
            <w:tcW w:w="22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10.16</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No Advisory or Fiduciary Responsibility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10.17</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Electronic Execution; Electronic Records; Counterparts</w:t>
            </w:r>
          </w:p>
        </w:tc>
        <w:tc>
          <w:tcPr>
            <w:tcW w:w="22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10.18</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USA PATRIOT Act</w:t>
            </w:r>
          </w:p>
        </w:tc>
        <w:tc>
          <w:tcPr>
            <w:tcW w:w="22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10.19</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Keepwell</w:t>
            </w:r>
          </w:p>
        </w:tc>
        <w:tc>
          <w:tcPr>
            <w:tcW w:w="22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10.20</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Judgment Currency</w:t>
            </w:r>
          </w:p>
        </w:tc>
        <w:tc>
          <w:tcPr>
            <w:tcW w:w="22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10.21</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Amendment and Restatement; No Novation</w:t>
            </w:r>
          </w:p>
        </w:tc>
        <w:tc>
          <w:tcPr>
            <w:tcW w:w="22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10.22</w:t>
            </w:r>
          </w:p>
        </w:tc>
        <w:tc>
          <w:tcPr>
            <w:tcW w:w="8240" w:type="dxa"/>
            <w:vAlign w:val="bottom"/>
          </w:tcPr>
          <w:p>
            <w:pPr>
              <w:ind w:left="220"/>
              <w:spacing w:after="0" w:line="216" w:lineRule="exact"/>
              <w:rPr>
                <w:sz w:val="20"/>
                <w:szCs w:val="20"/>
                <w:color w:val="auto"/>
              </w:rPr>
            </w:pPr>
            <w:r>
              <w:rPr>
                <w:rFonts w:ascii="Arial" w:cs="Arial" w:eastAsia="Arial" w:hAnsi="Arial"/>
                <w:sz w:val="20"/>
                <w:szCs w:val="20"/>
                <w:color w:val="auto"/>
              </w:rPr>
              <w:t>Acknowledgment and Consent to Bail-In of Affected Financial Institutions</w:t>
            </w:r>
          </w:p>
        </w:tc>
        <w:tc>
          <w:tcPr>
            <w:tcW w:w="22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50"/>
        </w:trPr>
        <w:tc>
          <w:tcPr>
            <w:tcW w:w="640" w:type="dxa"/>
            <w:vAlign w:val="bottom"/>
          </w:tcPr>
          <w:p>
            <w:pPr>
              <w:spacing w:after="0"/>
              <w:rPr>
                <w:sz w:val="20"/>
                <w:szCs w:val="20"/>
                <w:color w:val="auto"/>
              </w:rPr>
            </w:pPr>
            <w:r>
              <w:rPr>
                <w:rFonts w:ascii="Arial" w:cs="Arial" w:eastAsia="Arial" w:hAnsi="Arial"/>
                <w:sz w:val="18"/>
                <w:szCs w:val="18"/>
                <w:color w:val="auto"/>
              </w:rPr>
              <w:t>10.23</w:t>
            </w:r>
          </w:p>
        </w:tc>
        <w:tc>
          <w:tcPr>
            <w:tcW w:w="8240" w:type="dxa"/>
            <w:vAlign w:val="bottom"/>
          </w:tcPr>
          <w:p>
            <w:pPr>
              <w:ind w:left="220"/>
              <w:spacing w:after="0"/>
              <w:rPr>
                <w:sz w:val="20"/>
                <w:szCs w:val="20"/>
                <w:color w:val="auto"/>
              </w:rPr>
            </w:pPr>
            <w:r>
              <w:rPr>
                <w:rFonts w:ascii="Arial" w:cs="Arial" w:eastAsia="Arial" w:hAnsi="Arial"/>
                <w:sz w:val="20"/>
                <w:szCs w:val="20"/>
                <w:color w:val="auto"/>
              </w:rPr>
              <w:t>Acknowledgement Regarding Any Supported QFCs</w:t>
            </w:r>
          </w:p>
        </w:tc>
        <w:tc>
          <w:tcPr>
            <w:tcW w:w="220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22"/>
          <w:szCs w:val="22"/>
          <w:color w:val="auto"/>
        </w:rPr>
        <w:t>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190" w:right="4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11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3"/>
              </w:rPr>
              <w:t>SCHEDULES</w:t>
            </w:r>
          </w:p>
        </w:tc>
        <w:tc>
          <w:tcPr>
            <w:tcW w:w="4880" w:type="dxa"/>
            <w:vAlign w:val="bottom"/>
          </w:tcPr>
          <w:p>
            <w:pPr>
              <w:spacing w:after="0"/>
              <w:rPr>
                <w:sz w:val="19"/>
                <w:szCs w:val="19"/>
                <w:color w:val="auto"/>
              </w:rPr>
            </w:pPr>
          </w:p>
        </w:tc>
      </w:tr>
      <w:tr>
        <w:trPr>
          <w:trHeight w:val="409"/>
        </w:trPr>
        <w:tc>
          <w:tcPr>
            <w:tcW w:w="1160" w:type="dxa"/>
            <w:vAlign w:val="bottom"/>
          </w:tcPr>
          <w:p>
            <w:pPr>
              <w:ind w:left="120"/>
              <w:spacing w:after="0"/>
              <w:rPr>
                <w:sz w:val="20"/>
                <w:szCs w:val="20"/>
                <w:color w:val="auto"/>
              </w:rPr>
            </w:pPr>
            <w:r>
              <w:rPr>
                <w:rFonts w:ascii="Arial" w:cs="Arial" w:eastAsia="Arial" w:hAnsi="Arial"/>
                <w:sz w:val="20"/>
                <w:szCs w:val="20"/>
                <w:color w:val="auto"/>
              </w:rPr>
              <w:t>1.01A</w:t>
            </w:r>
          </w:p>
        </w:tc>
        <w:tc>
          <w:tcPr>
            <w:tcW w:w="4880" w:type="dxa"/>
            <w:vAlign w:val="bottom"/>
          </w:tcPr>
          <w:p>
            <w:pPr>
              <w:spacing w:after="0"/>
              <w:rPr>
                <w:sz w:val="20"/>
                <w:szCs w:val="20"/>
                <w:color w:val="auto"/>
              </w:rPr>
            </w:pPr>
            <w:r>
              <w:rPr>
                <w:rFonts w:ascii="Arial" w:cs="Arial" w:eastAsia="Arial" w:hAnsi="Arial"/>
                <w:sz w:val="20"/>
                <w:szCs w:val="20"/>
                <w:color w:val="auto"/>
              </w:rPr>
              <w:t>Specified Existing Capital Leases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1.01B</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Existing Letters of Credit</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2.01</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Commitments and Applicable Percentages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2.01LC</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L/C Commitments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2.07(a)</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Term Loan Facility Amortization Schedule</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2.18</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Unrestricted Subsidiaries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5.12(d)</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Pension Plans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5.13</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Subsidiaries; Equity Investments; Loan Parties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5.21</w:t>
            </w:r>
          </w:p>
        </w:tc>
        <w:tc>
          <w:tcPr>
            <w:tcW w:w="4880" w:type="dxa"/>
            <w:vAlign w:val="bottom"/>
          </w:tcPr>
          <w:p>
            <w:pPr>
              <w:spacing w:after="0" w:line="216" w:lineRule="exact"/>
              <w:rPr>
                <w:sz w:val="20"/>
                <w:szCs w:val="20"/>
                <w:color w:val="auto"/>
              </w:rPr>
            </w:pPr>
            <w:r>
              <w:rPr>
                <w:rFonts w:ascii="Arial" w:cs="Arial" w:eastAsia="Arial" w:hAnsi="Arial"/>
                <w:sz w:val="20"/>
                <w:szCs w:val="20"/>
                <w:color w:val="auto"/>
                <w:w w:val="92"/>
              </w:rPr>
              <w:t>Collective Bargaining Agreements and Multiemployer Plans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1.1</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Existing Liens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1.2</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Existing Investments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1.3</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Existing Indebtedness</w:t>
            </w:r>
          </w:p>
        </w:tc>
      </w:tr>
      <w:tr>
        <w:trPr>
          <w:trHeight w:val="216"/>
        </w:trPr>
        <w:tc>
          <w:tcPr>
            <w:tcW w:w="1160" w:type="dxa"/>
            <w:vAlign w:val="bottom"/>
          </w:tcPr>
          <w:p>
            <w:pPr>
              <w:ind w:left="120"/>
              <w:spacing w:after="0" w:line="216" w:lineRule="exact"/>
              <w:rPr>
                <w:sz w:val="20"/>
                <w:szCs w:val="20"/>
                <w:color w:val="auto"/>
              </w:rPr>
            </w:pPr>
            <w:r>
              <w:rPr>
                <w:rFonts w:ascii="Arial" w:cs="Arial" w:eastAsia="Arial" w:hAnsi="Arial"/>
                <w:sz w:val="20"/>
                <w:szCs w:val="20"/>
                <w:color w:val="auto"/>
              </w:rPr>
              <w:t>7.14</w:t>
            </w:r>
          </w:p>
        </w:tc>
        <w:tc>
          <w:tcPr>
            <w:tcW w:w="4880" w:type="dxa"/>
            <w:vAlign w:val="bottom"/>
          </w:tcPr>
          <w:p>
            <w:pPr>
              <w:spacing w:after="0" w:line="216" w:lineRule="exact"/>
              <w:rPr>
                <w:sz w:val="20"/>
                <w:szCs w:val="20"/>
                <w:color w:val="auto"/>
              </w:rPr>
            </w:pPr>
            <w:r>
              <w:rPr>
                <w:rFonts w:ascii="Arial" w:cs="Arial" w:eastAsia="Arial" w:hAnsi="Arial"/>
                <w:sz w:val="20"/>
                <w:szCs w:val="20"/>
                <w:color w:val="auto"/>
              </w:rPr>
              <w:t>Post-Closing Actions</w:t>
            </w:r>
          </w:p>
        </w:tc>
      </w:tr>
      <w:tr>
        <w:trPr>
          <w:trHeight w:val="264"/>
        </w:trPr>
        <w:tc>
          <w:tcPr>
            <w:tcW w:w="1160" w:type="dxa"/>
            <w:vAlign w:val="bottom"/>
          </w:tcPr>
          <w:p>
            <w:pPr>
              <w:ind w:left="20"/>
              <w:spacing w:after="0"/>
              <w:rPr>
                <w:sz w:val="20"/>
                <w:szCs w:val="20"/>
                <w:color w:val="auto"/>
              </w:rPr>
            </w:pPr>
            <w:r>
              <w:rPr>
                <w:rFonts w:ascii="Arial" w:cs="Arial" w:eastAsia="Arial" w:hAnsi="Arial"/>
                <w:sz w:val="20"/>
                <w:szCs w:val="20"/>
                <w:color w:val="auto"/>
              </w:rPr>
              <w:t>10.02</w:t>
            </w:r>
          </w:p>
        </w:tc>
        <w:tc>
          <w:tcPr>
            <w:tcW w:w="4880" w:type="dxa"/>
            <w:vAlign w:val="bottom"/>
          </w:tcPr>
          <w:p>
            <w:pPr>
              <w:spacing w:after="0"/>
              <w:rPr>
                <w:sz w:val="20"/>
                <w:szCs w:val="20"/>
                <w:color w:val="auto"/>
              </w:rPr>
            </w:pPr>
            <w:r>
              <w:rPr>
                <w:rFonts w:ascii="Arial" w:cs="Arial" w:eastAsia="Arial" w:hAnsi="Arial"/>
                <w:sz w:val="20"/>
                <w:szCs w:val="20"/>
                <w:color w:val="auto"/>
                <w:w w:val="91"/>
              </w:rPr>
              <w:t>Administrative Agent’s Office; Certain Addresses for Notices</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EXHIBITS</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Form of</w:t>
      </w:r>
    </w:p>
    <w:p>
      <w:pPr>
        <w:ind w:left="1160" w:hanging="1139"/>
        <w:spacing w:after="0" w:line="227" w:lineRule="auto"/>
        <w:tabs>
          <w:tab w:leader="none" w:pos="11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Loan Notice</w:t>
      </w:r>
    </w:p>
    <w:p>
      <w:pPr>
        <w:ind w:left="1160" w:hanging="1139"/>
        <w:spacing w:after="0" w:line="225" w:lineRule="auto"/>
        <w:tabs>
          <w:tab w:leader="none" w:pos="11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Swing Line Loan Notice</w:t>
      </w:r>
    </w:p>
    <w:tbl>
      <w:tblPr>
        <w:tblLayout w:type="fixed"/>
        <w:tblInd w:w="20" w:type="dxa"/>
        <w:tblCellMar>
          <w:top w:w="0" w:type="dxa"/>
          <w:left w:w="0" w:type="dxa"/>
          <w:bottom w:w="0" w:type="dxa"/>
          <w:right w:w="0" w:type="dxa"/>
        </w:tblCellMar>
      </w:tblPr>
      <w:tr>
        <w:trPr>
          <w:trHeight w:val="201"/>
        </w:trPr>
        <w:tc>
          <w:tcPr>
            <w:tcW w:w="720" w:type="dxa"/>
            <w:vAlign w:val="bottom"/>
          </w:tcPr>
          <w:p>
            <w:pPr>
              <w:spacing w:after="0" w:line="201" w:lineRule="exact"/>
              <w:rPr>
                <w:sz w:val="20"/>
                <w:szCs w:val="20"/>
                <w:color w:val="auto"/>
              </w:rPr>
            </w:pPr>
            <w:r>
              <w:rPr>
                <w:rFonts w:ascii="Arial" w:cs="Arial" w:eastAsia="Arial" w:hAnsi="Arial"/>
                <w:sz w:val="20"/>
                <w:szCs w:val="20"/>
                <w:color w:val="auto"/>
              </w:rPr>
              <w:t>D-1</w:t>
            </w:r>
          </w:p>
        </w:tc>
        <w:tc>
          <w:tcPr>
            <w:tcW w:w="2220" w:type="dxa"/>
            <w:vAlign w:val="bottom"/>
          </w:tcPr>
          <w:p>
            <w:pPr>
              <w:ind w:left="420"/>
              <w:spacing w:after="0" w:line="201" w:lineRule="exact"/>
              <w:rPr>
                <w:sz w:val="20"/>
                <w:szCs w:val="20"/>
                <w:color w:val="auto"/>
              </w:rPr>
            </w:pPr>
            <w:r>
              <w:rPr>
                <w:rFonts w:ascii="Arial" w:cs="Arial" w:eastAsia="Arial" w:hAnsi="Arial"/>
                <w:sz w:val="20"/>
                <w:szCs w:val="20"/>
                <w:color w:val="auto"/>
                <w:w w:val="91"/>
              </w:rPr>
              <w:t>Revolving Credit Note</w:t>
            </w:r>
          </w:p>
        </w:tc>
      </w:tr>
      <w:tr>
        <w:trPr>
          <w:trHeight w:val="232"/>
        </w:trPr>
        <w:tc>
          <w:tcPr>
            <w:tcW w:w="720" w:type="dxa"/>
            <w:vAlign w:val="bottom"/>
          </w:tcPr>
          <w:p>
            <w:pPr>
              <w:spacing w:after="0"/>
              <w:rPr>
                <w:sz w:val="20"/>
                <w:szCs w:val="20"/>
                <w:color w:val="auto"/>
              </w:rPr>
            </w:pPr>
            <w:r>
              <w:rPr>
                <w:rFonts w:ascii="Arial" w:cs="Arial" w:eastAsia="Arial" w:hAnsi="Arial"/>
                <w:sz w:val="20"/>
                <w:szCs w:val="20"/>
                <w:color w:val="auto"/>
              </w:rPr>
              <w:t>D-2</w:t>
            </w:r>
          </w:p>
        </w:tc>
        <w:tc>
          <w:tcPr>
            <w:tcW w:w="2220" w:type="dxa"/>
            <w:vAlign w:val="bottom"/>
          </w:tcPr>
          <w:p>
            <w:pPr>
              <w:ind w:left="420"/>
              <w:spacing w:after="0"/>
              <w:rPr>
                <w:sz w:val="20"/>
                <w:szCs w:val="20"/>
                <w:color w:val="auto"/>
              </w:rPr>
            </w:pPr>
            <w:r>
              <w:rPr>
                <w:rFonts w:ascii="Arial" w:cs="Arial" w:eastAsia="Arial" w:hAnsi="Arial"/>
                <w:sz w:val="20"/>
                <w:szCs w:val="20"/>
                <w:color w:val="auto"/>
              </w:rPr>
              <w:t>Term Loan Note</w:t>
            </w:r>
          </w:p>
        </w:tc>
      </w:tr>
    </w:tbl>
    <w:p>
      <w:pPr>
        <w:ind w:left="1160" w:hanging="1139"/>
        <w:spacing w:after="0" w:line="225" w:lineRule="auto"/>
        <w:tabs>
          <w:tab w:leader="none" w:pos="11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Compliance Certificate</w:t>
      </w:r>
    </w:p>
    <w:p>
      <w:pPr>
        <w:ind w:left="1160" w:hanging="1139"/>
        <w:spacing w:after="0" w:line="225" w:lineRule="auto"/>
        <w:tabs>
          <w:tab w:leader="none" w:pos="11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Assignment and Assumption</w:t>
      </w:r>
    </w:p>
    <w:p>
      <w:pPr>
        <w:ind w:left="1160" w:hanging="1139"/>
        <w:spacing w:after="0" w:line="226" w:lineRule="auto"/>
        <w:tabs>
          <w:tab w:leader="none" w:pos="11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U.S. Tax Compliance Certificates</w:t>
      </w:r>
    </w:p>
    <w:p>
      <w:pPr>
        <w:ind w:left="1160" w:hanging="1139"/>
        <w:spacing w:after="0" w:line="225" w:lineRule="auto"/>
        <w:tabs>
          <w:tab w:leader="none" w:pos="11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Letters of Credit Report</w:t>
      </w:r>
    </w:p>
    <w:p>
      <w:pPr>
        <w:spacing w:after="0" w:line="1" w:lineRule="exact"/>
        <w:rPr>
          <w:sz w:val="20"/>
          <w:szCs w:val="20"/>
          <w:color w:val="auto"/>
        </w:rPr>
      </w:pPr>
    </w:p>
    <w:p>
      <w:pPr>
        <w:ind w:left="1160" w:hanging="1139"/>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Designated Borrower Request and Assumption Agreement</w:t>
      </w:r>
    </w:p>
    <w:p>
      <w:pPr>
        <w:spacing w:after="0" w:line="9" w:lineRule="exact"/>
        <w:rPr>
          <w:rFonts w:ascii="Arial" w:cs="Arial" w:eastAsia="Arial" w:hAnsi="Arial"/>
          <w:sz w:val="18"/>
          <w:szCs w:val="18"/>
          <w:color w:val="auto"/>
        </w:rPr>
      </w:pPr>
    </w:p>
    <w:p>
      <w:pPr>
        <w:ind w:left="1160" w:hanging="1139"/>
        <w:spacing w:after="0" w:line="225" w:lineRule="auto"/>
        <w:tabs>
          <w:tab w:leader="none" w:pos="1160" w:val="left"/>
        </w:tabs>
        <w:numPr>
          <w:ilvl w:val="0"/>
          <w:numId w:val="75"/>
        </w:numPr>
        <w:rPr>
          <w:rFonts w:ascii="Arial" w:cs="Arial" w:eastAsia="Arial" w:hAnsi="Arial"/>
          <w:sz w:val="20"/>
          <w:szCs w:val="20"/>
          <w:color w:val="auto"/>
        </w:rPr>
      </w:pPr>
      <w:r>
        <w:rPr>
          <w:rFonts w:ascii="Arial" w:cs="Arial" w:eastAsia="Arial" w:hAnsi="Arial"/>
          <w:sz w:val="20"/>
          <w:szCs w:val="20"/>
          <w:color w:val="auto"/>
        </w:rPr>
        <w:t>Designated Borrower Notice</w:t>
      </w:r>
    </w:p>
    <w:p>
      <w:pPr>
        <w:ind w:left="1160" w:hanging="1139"/>
        <w:spacing w:after="0"/>
        <w:tabs>
          <w:tab w:leader="none" w:pos="11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Notice of Loan Prepayment</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22"/>
          <w:szCs w:val="22"/>
          <w:color w:val="auto"/>
        </w:rPr>
        <w:t>7</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 w:right="1440" w:bottom="1440" w:gutter="0" w:footer="0" w:header="0"/>
        </w:sectPr>
      </w:pPr>
    </w:p>
    <w:bookmarkStart w:id="126" w:name="page127"/>
    <w:bookmarkEnd w:id="126"/>
    <w:p>
      <w:pPr>
        <w:ind w:left="2900"/>
        <w:spacing w:after="0"/>
        <w:rPr>
          <w:sz w:val="20"/>
          <w:szCs w:val="20"/>
          <w:color w:val="auto"/>
        </w:rPr>
      </w:pPr>
      <w:r>
        <w:rPr>
          <w:rFonts w:ascii="Arial" w:cs="Arial" w:eastAsia="Arial" w:hAnsi="Arial"/>
          <w:sz w:val="20"/>
          <w:szCs w:val="20"/>
          <w:color w:val="auto"/>
        </w:rPr>
        <w:t>SECOND AMENDED AND RESTATED CREDIT AGREEMENT</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This SECOND AMENDED AND RESTATED 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w:t>
      </w:r>
    </w:p>
    <w:p>
      <w:pPr>
        <w:spacing w:after="0" w:line="2" w:lineRule="exact"/>
        <w:rPr>
          <w:sz w:val="20"/>
          <w:szCs w:val="20"/>
          <w:color w:val="auto"/>
        </w:rPr>
      </w:pPr>
    </w:p>
    <w:p>
      <w:pPr>
        <w:jc w:val="both"/>
        <w:ind w:left="100"/>
        <w:spacing w:after="0" w:line="229" w:lineRule="auto"/>
        <w:rPr>
          <w:sz w:val="20"/>
          <w:szCs w:val="20"/>
          <w:color w:val="auto"/>
        </w:rPr>
      </w:pPr>
      <w:r>
        <w:rPr>
          <w:rFonts w:ascii="Arial" w:cs="Arial" w:eastAsia="Arial" w:hAnsi="Arial"/>
          <w:sz w:val="20"/>
          <w:szCs w:val="20"/>
          <w:color w:val="auto"/>
        </w:rPr>
        <w:t>entered into as of June 11, 2019, among CECO ENVIRONMENTAL CORP.,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certain Restricted Subsidiaries of the Company party hereto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(each a “</w:t>
      </w:r>
      <w:r>
        <w:rPr>
          <w:rFonts w:ascii="Arial" w:cs="Arial" w:eastAsia="Arial" w:hAnsi="Arial"/>
          <w:sz w:val="20"/>
          <w:szCs w:val="20"/>
          <w:u w:val="single" w:color="auto"/>
          <w:color w:val="auto"/>
        </w:rPr>
        <w:t>Designated Borrower</w:t>
      </w:r>
      <w:r>
        <w:rPr>
          <w:rFonts w:ascii="Arial" w:cs="Arial" w:eastAsia="Arial" w:hAnsi="Arial"/>
          <w:sz w:val="20"/>
          <w:szCs w:val="20"/>
          <w:color w:val="auto"/>
        </w:rPr>
        <w:t>” and, together with the Company,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a “</w:t>
      </w:r>
      <w:r>
        <w:rPr>
          <w:rFonts w:ascii="Arial" w:cs="Arial" w:eastAsia="Arial" w:hAnsi="Arial"/>
          <w:sz w:val="20"/>
          <w:szCs w:val="20"/>
          <w:u w:val="single" w:color="auto"/>
          <w:color w:val="auto"/>
        </w:rPr>
        <w:t>Borrower</w:t>
      </w:r>
      <w:r>
        <w:rPr>
          <w:rFonts w:ascii="Arial" w:cs="Arial" w:eastAsia="Arial" w:hAnsi="Arial"/>
          <w:sz w:val="20"/>
          <w:szCs w:val="20"/>
          <w:color w:val="auto"/>
        </w:rPr>
        <w:t>”), each lender from time to time party hereto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 and individually, a “</w:t>
      </w:r>
      <w:r>
        <w:rPr>
          <w:rFonts w:ascii="Arial" w:cs="Arial" w:eastAsia="Arial" w:hAnsi="Arial"/>
          <w:sz w:val="20"/>
          <w:szCs w:val="20"/>
          <w:u w:val="single" w:color="auto"/>
          <w:color w:val="auto"/>
        </w:rPr>
        <w:t>Lender</w:t>
      </w:r>
      <w:r>
        <w:rPr>
          <w:rFonts w:ascii="Arial" w:cs="Arial" w:eastAsia="Arial" w:hAnsi="Arial"/>
          <w:sz w:val="20"/>
          <w:szCs w:val="20"/>
          <w:color w:val="auto"/>
        </w:rPr>
        <w:t>”), BANK OF AMERICA, N.A., as Administrative Agent, Swing Line Lender and an L/C Issuer, and each other L/C Issuer from time to time party hereto.</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RECITALS:</w:t>
      </w:r>
    </w:p>
    <w:p>
      <w:pPr>
        <w:spacing w:after="0" w:line="202" w:lineRule="exact"/>
        <w:rPr>
          <w:sz w:val="20"/>
          <w:szCs w:val="20"/>
          <w:color w:val="auto"/>
        </w:rPr>
      </w:pPr>
    </w:p>
    <w:p>
      <w:pPr>
        <w:jc w:val="both"/>
        <w:ind w:left="100" w:right="20" w:firstLine="741"/>
        <w:spacing w:after="0" w:line="237" w:lineRule="auto"/>
        <w:tabs>
          <w:tab w:leader="none" w:pos="1589"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Borrowers, the lenders party thereto and the Administrative Agent have entered into that certain Amended and Restated Credit Agreement, dated as of September 3, 2015 (as amended, restated, supplemented or otherwise modified prior to the date hereof,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left="100" w:firstLine="741"/>
        <w:spacing w:after="0" w:line="237" w:lineRule="auto"/>
        <w:tabs>
          <w:tab w:leader="none" w:pos="1589"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Borrowers have requested, and subject to the terms and conditions set forth in this Agreement, the Administrative Agent and the Lenders have agreed to amend and restate the Existing Credit Agreement and extend certain credit facilities to the Borrowers.</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I.</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DEFINITIONS AND ACCOUNTING TERMS</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1.01 Defined Terms. As used in this Agreement, the following terms shall have the meanings set forth below:</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Aarding B.V.</w:t>
      </w:r>
      <w:r>
        <w:rPr>
          <w:rFonts w:ascii="Arial" w:cs="Arial" w:eastAsia="Arial" w:hAnsi="Arial"/>
          <w:sz w:val="20"/>
          <w:szCs w:val="20"/>
          <w:color w:val="auto"/>
        </w:rPr>
        <w:t>” means Aarding Thermal Acoustics B.V., a private limited company incorporated in the Netherlands.</w:t>
      </w:r>
    </w:p>
    <w:p>
      <w:pPr>
        <w:spacing w:after="0" w:line="202" w:lineRule="exact"/>
        <w:rPr>
          <w:sz w:val="20"/>
          <w:szCs w:val="20"/>
          <w:color w:val="auto"/>
        </w:rPr>
      </w:pPr>
    </w:p>
    <w:p>
      <w:pPr>
        <w:jc w:val="both"/>
        <w:ind w:left="100" w:firstLine="747"/>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means, by any Person, the acquisition by such Person, in a single transaction or in a series of related transactions, of (a) 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10.18</w:t>
      </w:r>
      <w:r>
        <w:rPr>
          <w:rFonts w:ascii="Arial" w:cs="Arial" w:eastAsia="Arial" w:hAnsi="Arial"/>
          <w:sz w:val="20"/>
          <w:szCs w:val="20"/>
          <w:color w:val="auto"/>
        </w:rPr>
        <w:t>.</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Commitment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Commitments Amendment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2.15(d)</w:t>
      </w:r>
      <w:r>
        <w:rPr>
          <w:rFonts w:ascii="Arial" w:cs="Arial" w:eastAsia="Arial" w:hAnsi="Arial"/>
          <w:sz w:val="20"/>
          <w:szCs w:val="20"/>
          <w:color w:val="auto"/>
        </w:rPr>
        <w:t>.</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Commitments 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2.15(e)</w:t>
      </w:r>
      <w:r>
        <w:rPr>
          <w:rFonts w:ascii="Arial" w:cs="Arial" w:eastAsia="Arial" w:hAnsi="Arial"/>
          <w:sz w:val="20"/>
          <w:szCs w:val="20"/>
          <w:color w:val="auto"/>
        </w:rPr>
        <w:t>.</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Commitments Limit</w:t>
      </w:r>
      <w:r>
        <w:rPr>
          <w:rFonts w:ascii="Arial" w:cs="Arial" w:eastAsia="Arial" w:hAnsi="Arial"/>
          <w:sz w:val="18"/>
          <w:szCs w:val="18"/>
          <w:color w:val="auto"/>
        </w:rPr>
        <w:t>” means, as of any date of determination, an amount equal to the greater of (a) $75,000,000 and</w:t>
      </w:r>
    </w:p>
    <w:p>
      <w:pPr>
        <w:spacing w:after="0" w:line="25" w:lineRule="exact"/>
        <w:rPr>
          <w:sz w:val="20"/>
          <w:szCs w:val="20"/>
          <w:color w:val="auto"/>
        </w:rPr>
      </w:pPr>
    </w:p>
    <w:p>
      <w:pPr>
        <w:ind w:left="100" w:right="20" w:hanging="9"/>
        <w:spacing w:after="0" w:line="234" w:lineRule="auto"/>
        <w:tabs>
          <w:tab w:leader="none" w:pos="396"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amount of additional Consolidated Funded Indebtedness that would cause the Consolidated Net Leverage Ratio to equal 3.00 to 1.00 (calculated as of the last day of the most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27" w:name="page128"/>
    <w:bookmarkEnd w:id="127"/>
    <w:p>
      <w:pPr>
        <w:jc w:val="both"/>
        <w:ind w:left="100"/>
        <w:spacing w:after="0" w:line="231" w:lineRule="auto"/>
        <w:rPr>
          <w:sz w:val="20"/>
          <w:szCs w:val="20"/>
          <w:color w:val="auto"/>
        </w:rPr>
      </w:pPr>
      <w:r>
        <w:rPr>
          <w:rFonts w:ascii="Arial" w:cs="Arial" w:eastAsia="Arial" w:hAnsi="Arial"/>
          <w:sz w:val="20"/>
          <w:szCs w:val="20"/>
          <w:color w:val="auto"/>
        </w:rPr>
        <w:t xml:space="preserve">recently ended fiscal quarter for which financial information is available, but giving pro forma effect to such Additional Commitment Amendment, the Indebtedness to be incurred in connection therewith (assuming, in the case of any increase in the Aggregate Revolving Credit Commitments, that such Additional Commitments and all other Revolving Credit Commitments are fully drawn) and, if applicable, the Permitted Acquisition consummated in connection therewith (calculated in accordance with </w:t>
      </w:r>
      <w:r>
        <w:rPr>
          <w:rFonts w:ascii="Arial" w:cs="Arial" w:eastAsia="Arial" w:hAnsi="Arial"/>
          <w:sz w:val="20"/>
          <w:szCs w:val="20"/>
          <w:u w:val="single" w:color="auto"/>
          <w:color w:val="auto"/>
        </w:rPr>
        <w:t>Section 1.07</w:t>
      </w:r>
      <w:r>
        <w:rPr>
          <w:rFonts w:ascii="Arial" w:cs="Arial" w:eastAsia="Arial" w:hAnsi="Arial"/>
          <w:sz w:val="20"/>
          <w:szCs w:val="20"/>
          <w:color w:val="auto"/>
        </w:rPr>
        <w:t>) and, without duplication, assuming that all other Additional Loans outstanding on such date of determination were outstanding as of the last day of such fiscal quarter).</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Lenders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2.15(c)</w:t>
      </w:r>
      <w:r>
        <w:rPr>
          <w:rFonts w:ascii="Arial" w:cs="Arial" w:eastAsia="Arial" w:hAnsi="Arial"/>
          <w:sz w:val="20"/>
          <w:szCs w:val="20"/>
          <w:color w:val="auto"/>
        </w:rPr>
        <w:t>.</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Term Loans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162"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in its capacity as administrative agent under any of the Loan Documents, or any successor administrative agent.</w:t>
      </w:r>
    </w:p>
    <w:p>
      <w:pPr>
        <w:spacing w:after="0" w:line="136" w:lineRule="exact"/>
        <w:rPr>
          <w:sz w:val="20"/>
          <w:szCs w:val="20"/>
          <w:color w:val="auto"/>
        </w:rPr>
      </w:pPr>
    </w:p>
    <w:p>
      <w:pPr>
        <w:jc w:val="both"/>
        <w:ind w:left="100" w:firstLine="747"/>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xml:space="preserve">” means, with respect to any currency, the Administrative Agent’s address and, as appropriate, account as set forth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with respect to such currency, or such other address or account with respect to such currency as the Administrative Agent hereafter may designate by written notice to the Company and the Lenders.</w:t>
      </w:r>
    </w:p>
    <w:p>
      <w:pPr>
        <w:spacing w:after="0" w:line="143"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substantially the form provided by the Administrative Agent or any other form approved by the Administrative Agent.</w:t>
      </w:r>
    </w:p>
    <w:p>
      <w:pPr>
        <w:spacing w:after="0" w:line="13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62"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55" w:lineRule="exact"/>
        <w:rPr>
          <w:sz w:val="20"/>
          <w:szCs w:val="20"/>
          <w:color w:val="auto"/>
        </w:rPr>
      </w:pPr>
    </w:p>
    <w:p>
      <w:pPr>
        <w:ind w:left="840"/>
        <w:spacing w:after="0"/>
        <w:tabs>
          <w:tab w:leader="none" w:pos="2000" w:val="left"/>
          <w:tab w:leader="none" w:pos="3600" w:val="left"/>
          <w:tab w:leader="none" w:pos="4380" w:val="left"/>
          <w:tab w:leader="none" w:pos="4780" w:val="left"/>
          <w:tab w:leader="none" w:pos="6360" w:val="left"/>
          <w:tab w:leader="none" w:pos="6760" w:val="left"/>
          <w:tab w:leader="none" w:pos="7160"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w:t>
      </w:r>
      <w:r>
        <w:rPr>
          <w:sz w:val="20"/>
          <w:szCs w:val="20"/>
          <w:color w:val="auto"/>
        </w:rPr>
        <w:tab/>
      </w:r>
      <w:r>
        <w:rPr>
          <w:rFonts w:ascii="Arial" w:cs="Arial" w:eastAsia="Arial" w:hAnsi="Arial"/>
          <w:sz w:val="20"/>
          <w:szCs w:val="20"/>
          <w:u w:val="single" w:color="auto"/>
          <w:color w:val="auto"/>
        </w:rPr>
        <w:t>Commitments</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means</w:t>
        <w:tab/>
        <w:t>the</w:t>
        <w:tab/>
        <w:t>Commitments of</w:t>
        <w:tab/>
        <w:t>all</w:t>
        <w:tab/>
        <w:t>the</w:t>
      </w:r>
      <w:r>
        <w:rPr>
          <w:sz w:val="20"/>
          <w:szCs w:val="20"/>
          <w:color w:val="auto"/>
        </w:rPr>
        <w:tab/>
      </w:r>
      <w:r>
        <w:rPr>
          <w:rFonts w:ascii="Arial" w:cs="Arial" w:eastAsia="Arial" w:hAnsi="Arial"/>
          <w:sz w:val="18"/>
          <w:szCs w:val="18"/>
          <w:color w:val="auto"/>
        </w:rPr>
        <w:t>Lenders. “</w:t>
      </w:r>
      <w:r>
        <w:rPr>
          <w:rFonts w:ascii="Arial" w:cs="Arial" w:eastAsia="Arial" w:hAnsi="Arial"/>
          <w:sz w:val="18"/>
          <w:szCs w:val="18"/>
          <w:u w:val="single" w:color="auto"/>
          <w:color w:val="auto"/>
        </w:rPr>
        <w:t>Aggregate Revolving Credit</w:t>
      </w:r>
    </w:p>
    <w:p>
      <w:pPr>
        <w:spacing w:after="0" w:line="175"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Commitments</w:t>
      </w:r>
      <w:r>
        <w:rPr>
          <w:rFonts w:ascii="Arial" w:cs="Arial" w:eastAsia="Arial" w:hAnsi="Arial"/>
          <w:sz w:val="20"/>
          <w:szCs w:val="20"/>
          <w:color w:val="auto"/>
        </w:rPr>
        <w:t>” means the Revolving Credit Commitments of all</w:t>
      </w:r>
    </w:p>
    <w:p>
      <w:pPr>
        <w:spacing w:after="0" w:line="9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Revolving Credit Lenders.</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Currency</w:t>
      </w:r>
      <w:r>
        <w:rPr>
          <w:rFonts w:ascii="Arial" w:cs="Arial" w:eastAsia="Arial" w:hAnsi="Arial"/>
          <w:sz w:val="20"/>
          <w:szCs w:val="20"/>
          <w:color w:val="auto"/>
        </w:rPr>
        <w:t>” means Dollars or any Alternative Currency, as applicable.</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175" w:lineRule="exact"/>
        <w:rPr>
          <w:sz w:val="20"/>
          <w:szCs w:val="20"/>
          <w:color w:val="auto"/>
        </w:rPr>
      </w:pPr>
    </w:p>
    <w:p>
      <w:pPr>
        <w:jc w:val="both"/>
        <w:ind w:left="100" w:right="20" w:firstLine="747"/>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(a) with respect to Revolving Credit Loans, (i) Euro, Sterling and Canadian Dollars and (ii) each other currency (other than Dollars) that is approved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xml:space="preserve"> with respect to Revolving Credit Loans and (b) with respect to Letters of Credit issued by any L/C Issuer pursuant to the Revolving Credit Facility, (i) Euro, Sterling, Canadian Dollars and Rupees and</w:t>
      </w:r>
    </w:p>
    <w:p>
      <w:pPr>
        <w:spacing w:after="0" w:line="2" w:lineRule="exact"/>
        <w:rPr>
          <w:sz w:val="20"/>
          <w:szCs w:val="20"/>
          <w:color w:val="auto"/>
        </w:rPr>
      </w:pPr>
    </w:p>
    <w:p>
      <w:pPr>
        <w:ind w:left="100" w:right="340"/>
        <w:spacing w:after="0" w:line="234" w:lineRule="auto"/>
        <w:rPr>
          <w:sz w:val="20"/>
          <w:szCs w:val="20"/>
          <w:color w:val="auto"/>
        </w:rPr>
      </w:pPr>
      <w:r>
        <w:rPr>
          <w:rFonts w:ascii="Arial" w:cs="Arial" w:eastAsia="Arial" w:hAnsi="Arial"/>
          <w:sz w:val="20"/>
          <w:szCs w:val="20"/>
          <w:color w:val="auto"/>
        </w:rPr>
        <w:t xml:space="preserve">(ii)each other currency (other than Dollars) that is approved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xml:space="preserve"> with respect to Letters of Credit issued by such L/C Issuer.</w:t>
      </w:r>
    </w:p>
    <w:p>
      <w:pPr>
        <w:spacing w:after="0" w:line="14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Daily Rate</w:t>
      </w:r>
      <w:r>
        <w:rPr>
          <w:rFonts w:ascii="Arial" w:cs="Arial" w:eastAsia="Arial" w:hAnsi="Arial"/>
          <w:sz w:val="20"/>
          <w:szCs w:val="20"/>
          <w:color w:val="auto"/>
        </w:rPr>
        <w:t>” means, for any day, with respect to any Credit Extension:</w:t>
      </w:r>
    </w:p>
    <w:p>
      <w:pPr>
        <w:spacing w:after="0" w:line="202" w:lineRule="exact"/>
        <w:rPr>
          <w:sz w:val="20"/>
          <w:szCs w:val="20"/>
          <w:color w:val="auto"/>
        </w:rPr>
      </w:pPr>
    </w:p>
    <w:p>
      <w:pPr>
        <w:ind w:left="100" w:right="460" w:firstLine="741"/>
        <w:spacing w:after="0" w:line="246" w:lineRule="auto"/>
        <w:tabs>
          <w:tab w:leader="none" w:pos="1578" w:val="left"/>
        </w:tabs>
        <w:numPr>
          <w:ilvl w:val="0"/>
          <w:numId w:val="79"/>
        </w:numPr>
        <w:rPr>
          <w:rFonts w:ascii="Arial" w:cs="Arial" w:eastAsia="Arial" w:hAnsi="Arial"/>
          <w:sz w:val="20"/>
          <w:szCs w:val="20"/>
          <w:color w:val="auto"/>
        </w:rPr>
      </w:pPr>
      <w:r>
        <w:rPr>
          <w:rFonts w:ascii="Arial" w:cs="Arial" w:eastAsia="Arial" w:hAnsi="Arial"/>
          <w:sz w:val="20"/>
          <w:szCs w:val="20"/>
          <w:color w:val="auto"/>
        </w:rPr>
        <w:t>denominated in Sterling, the rate per annum equal to SONIA determined pursuant to the definition thereof plus the SONIA Adjustment; and</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28" w:name="page129"/>
    <w:bookmarkEnd w:id="128"/>
    <w:p>
      <w:pPr>
        <w:jc w:val="both"/>
        <w:ind w:left="100" w:firstLine="741"/>
        <w:spacing w:after="0" w:line="234" w:lineRule="auto"/>
        <w:tabs>
          <w:tab w:leader="none" w:pos="1589"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Arial" w:cs="Arial" w:eastAsia="Arial" w:hAnsi="Arial"/>
          <w:sz w:val="20"/>
          <w:szCs w:val="20"/>
          <w:u w:val="single" w:color="auto"/>
          <w:color w:val="auto"/>
        </w:rPr>
        <w:t>Section 1.09(a)</w:t>
      </w:r>
      <w:r>
        <w:rPr>
          <w:rFonts w:ascii="Arial" w:cs="Arial" w:eastAsia="Arial" w:hAnsi="Arial"/>
          <w:sz w:val="20"/>
          <w:szCs w:val="20"/>
          <w:color w:val="auto"/>
        </w:rPr>
        <w:t xml:space="preserve"> plus the adjustment (if any) determined by the Administrative Agent and the relevant Lenders pursuant to </w:t>
      </w:r>
      <w:r>
        <w:rPr>
          <w:rFonts w:ascii="Arial" w:cs="Arial" w:eastAsia="Arial" w:hAnsi="Arial"/>
          <w:sz w:val="20"/>
          <w:szCs w:val="20"/>
          <w:u w:val="single" w:color="auto"/>
          <w:color w:val="auto"/>
        </w:rPr>
        <w:t>Section 1.09(c)</w:t>
      </w:r>
      <w:r>
        <w:rPr>
          <w:rFonts w:ascii="Arial" w:cs="Arial" w:eastAsia="Arial" w:hAnsi="Arial"/>
          <w:sz w:val="20"/>
          <w:szCs w:val="20"/>
          <w:color w:val="auto"/>
        </w:rPr>
        <w:t>;</w:t>
      </w:r>
    </w:p>
    <w:p>
      <w:pPr>
        <w:spacing w:after="0" w:line="170"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96" w:lineRule="exact"/>
        <w:rPr>
          <w:sz w:val="20"/>
          <w:szCs w:val="20"/>
          <w:color w:val="auto"/>
        </w:rPr>
      </w:pPr>
    </w:p>
    <w:p>
      <w:pPr>
        <w:jc w:val="both"/>
        <w:ind w:left="100" w:right="20" w:firstLine="747"/>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Daily Rate Loan</w:t>
      </w:r>
      <w:r>
        <w:rPr>
          <w:rFonts w:ascii="Arial" w:cs="Arial" w:eastAsia="Arial" w:hAnsi="Arial"/>
          <w:sz w:val="18"/>
          <w:szCs w:val="18"/>
          <w:color w:val="auto"/>
        </w:rPr>
        <w:t>” means a Revolving Credit Loan that bears interest at a rate based on the definition of “Alternative Currency Daily Rate.” All Alternative Currency Daily Rate Loans must be denominated in an Alternative Currency.</w:t>
      </w:r>
    </w:p>
    <w:p>
      <w:pPr>
        <w:spacing w:after="0" w:line="131" w:lineRule="exact"/>
        <w:rPr>
          <w:sz w:val="20"/>
          <w:szCs w:val="20"/>
          <w:color w:val="auto"/>
        </w:rPr>
      </w:pPr>
    </w:p>
    <w:p>
      <w:pPr>
        <w:jc w:val="both"/>
        <w:ind w:left="100" w:firstLine="74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Equivalent</w:t>
      </w:r>
      <w:r>
        <w:rPr>
          <w:rFonts w:ascii="Arial" w:cs="Arial" w:eastAsia="Arial" w:hAnsi="Arial"/>
          <w:sz w:val="18"/>
          <w:szCs w:val="18"/>
          <w:color w:val="auto"/>
        </w:rPr>
        <w:t xml:space="preserve">” means, at any time, with respect to any amount denominated in Dollars, the equivalent amount thereof in the applicable Alternative Currency as determined by the Administrative Agent or the applicable L/C Issuer,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no such rate is available, the “Alternative Currency Equivalent” shall be determined by the Administrative Agent or the applicable L/C Issuer, as the case may be, using any reasonable method of determination its deems appropriate in its sole discretion (and such determination shall be conclusive absent manifesterror).</w:t>
      </w:r>
    </w:p>
    <w:p>
      <w:pPr>
        <w:spacing w:after="0" w:line="170"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Loan</w:t>
      </w:r>
      <w:r>
        <w:rPr>
          <w:rFonts w:ascii="Arial" w:cs="Arial" w:eastAsia="Arial" w:hAnsi="Arial"/>
          <w:sz w:val="20"/>
          <w:szCs w:val="20"/>
          <w:color w:val="auto"/>
        </w:rPr>
        <w:t>” means an Alternative Currency Daily Rate Loan or an Alternative Currency Term Rate Loan, as applicable.</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means an amount equal to the lesser of (a) the Aggregate Revolving Credit Commitments and</w:t>
      </w:r>
    </w:p>
    <w:p>
      <w:pPr>
        <w:spacing w:after="0" w:line="25" w:lineRule="exact"/>
        <w:rPr>
          <w:sz w:val="20"/>
          <w:szCs w:val="20"/>
          <w:color w:val="auto"/>
        </w:rPr>
      </w:pPr>
    </w:p>
    <w:p>
      <w:pPr>
        <w:ind w:left="840" w:right="480" w:hanging="749"/>
        <w:spacing w:after="0" w:line="499" w:lineRule="auto"/>
        <w:tabs>
          <w:tab w:leader="none" w:pos="3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$50,000,000. The Alternative Currency Sublimit is part of, and not in addition to, the Aggregate Revolving Credit Commitments. “</w:t>
      </w:r>
      <w:r>
        <w:rPr>
          <w:rFonts w:ascii="Arial" w:cs="Arial" w:eastAsia="Arial" w:hAnsi="Arial"/>
          <w:sz w:val="18"/>
          <w:szCs w:val="18"/>
          <w:u w:val="single" w:color="auto"/>
          <w:color w:val="auto"/>
        </w:rPr>
        <w:t>Alternative Currency Term Rate</w:t>
      </w:r>
      <w:r>
        <w:rPr>
          <w:rFonts w:ascii="Arial" w:cs="Arial" w:eastAsia="Arial" w:hAnsi="Arial"/>
          <w:sz w:val="18"/>
          <w:szCs w:val="18"/>
          <w:color w:val="auto"/>
        </w:rPr>
        <w:t>” means, for any Interest Period, with respect to any Credit Extension:</w:t>
      </w:r>
    </w:p>
    <w:p>
      <w:pPr>
        <w:jc w:val="both"/>
        <w:ind w:left="840" w:firstLine="750"/>
        <w:spacing w:after="0" w:line="234" w:lineRule="auto"/>
        <w:tabs>
          <w:tab w:leader="none" w:pos="2329" w:val="left"/>
        </w:tabs>
        <w:numPr>
          <w:ilvl w:val="1"/>
          <w:numId w:val="81"/>
        </w:numPr>
        <w:rPr>
          <w:rFonts w:ascii="Arial" w:cs="Arial" w:eastAsia="Arial" w:hAnsi="Arial"/>
          <w:sz w:val="20"/>
          <w:szCs w:val="20"/>
          <w:color w:val="auto"/>
        </w:rPr>
      </w:pPr>
      <w:r>
        <w:rPr>
          <w:rFonts w:ascii="Arial" w:cs="Arial" w:eastAsia="Arial" w:hAnsi="Arial"/>
          <w:sz w:val="20"/>
          <w:szCs w:val="20"/>
          <w:color w:val="auto"/>
        </w:rPr>
        <w:t>denominated in Euros, the rate per annum equal to the Euro Interbank Offered Rate (“</w:t>
      </w:r>
      <w:r>
        <w:rPr>
          <w:rFonts w:ascii="Arial" w:cs="Arial" w:eastAsia="Arial" w:hAnsi="Arial"/>
          <w:sz w:val="20"/>
          <w:szCs w:val="20"/>
          <w:u w:val="single" w:color="auto"/>
          <w:color w:val="auto"/>
        </w:rPr>
        <w:t>EURIBOR</w:t>
      </w:r>
      <w:r>
        <w:rPr>
          <w:rFonts w:ascii="Arial" w:cs="Arial" w:eastAsia="Arial" w:hAnsi="Arial"/>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96" w:lineRule="exact"/>
        <w:rPr>
          <w:rFonts w:ascii="Arial" w:cs="Arial" w:eastAsia="Arial" w:hAnsi="Arial"/>
          <w:sz w:val="20"/>
          <w:szCs w:val="20"/>
          <w:color w:val="auto"/>
        </w:rPr>
      </w:pPr>
    </w:p>
    <w:p>
      <w:pPr>
        <w:jc w:val="both"/>
        <w:ind w:left="840" w:firstLine="749"/>
        <w:spacing w:after="0" w:line="234" w:lineRule="auto"/>
        <w:tabs>
          <w:tab w:leader="none" w:pos="2329" w:val="left"/>
        </w:tabs>
        <w:numPr>
          <w:ilvl w:val="1"/>
          <w:numId w:val="81"/>
        </w:numPr>
        <w:rPr>
          <w:rFonts w:ascii="Arial" w:cs="Arial" w:eastAsia="Arial" w:hAnsi="Arial"/>
          <w:sz w:val="20"/>
          <w:szCs w:val="20"/>
          <w:color w:val="auto"/>
        </w:rPr>
      </w:pPr>
      <w:r>
        <w:rPr>
          <w:rFonts w:ascii="Arial" w:cs="Arial" w:eastAsia="Arial" w:hAnsi="Arial"/>
          <w:sz w:val="20"/>
          <w:szCs w:val="20"/>
          <w:color w:val="auto"/>
        </w:rPr>
        <w:t>denominated in Canadian Dollars, the rate per annum equal to the Canadian Dollar Offered Rate (“</w:t>
      </w:r>
      <w:r>
        <w:rPr>
          <w:rFonts w:ascii="Arial" w:cs="Arial" w:eastAsia="Arial" w:hAnsi="Arial"/>
          <w:sz w:val="20"/>
          <w:szCs w:val="20"/>
          <w:u w:val="single" w:color="auto"/>
          <w:color w:val="auto"/>
        </w:rPr>
        <w:t>CDOR</w:t>
      </w:r>
      <w:r>
        <w:rPr>
          <w:rFonts w:ascii="Arial" w:cs="Arial" w:eastAsia="Arial" w:hAnsi="Arial"/>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Arial" w:cs="Arial" w:eastAsia="Arial" w:hAnsi="Arial"/>
          <w:sz w:val="20"/>
          <w:szCs w:val="20"/>
          <w:u w:val="single" w:color="auto"/>
          <w:color w:val="auto"/>
        </w:rPr>
        <w:t>CDOR Rate</w:t>
      </w:r>
      <w:r>
        <w:rPr>
          <w:rFonts w:ascii="Arial" w:cs="Arial" w:eastAsia="Arial" w:hAnsi="Arial"/>
          <w:sz w:val="20"/>
          <w:szCs w:val="20"/>
          <w:color w:val="auto"/>
        </w:rPr>
        <w:t>”) on the Rate Determination Date with a term equivalent to such Interest Period; or</w:t>
      </w:r>
    </w:p>
    <w:p>
      <w:pPr>
        <w:spacing w:after="0" w:line="183" w:lineRule="exact"/>
        <w:rPr>
          <w:rFonts w:ascii="Arial" w:cs="Arial" w:eastAsia="Arial" w:hAnsi="Arial"/>
          <w:sz w:val="20"/>
          <w:szCs w:val="20"/>
          <w:color w:val="auto"/>
        </w:rPr>
      </w:pPr>
    </w:p>
    <w:p>
      <w:pPr>
        <w:jc w:val="both"/>
        <w:ind w:left="840" w:firstLine="749"/>
        <w:spacing w:after="0" w:line="267" w:lineRule="auto"/>
        <w:tabs>
          <w:tab w:leader="none" w:pos="2329"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Arial" w:cs="Arial" w:eastAsia="Arial" w:hAnsi="Arial"/>
          <w:sz w:val="18"/>
          <w:szCs w:val="18"/>
          <w:u w:val="single" w:color="auto"/>
          <w:color w:val="auto"/>
        </w:rPr>
        <w:t>Section 1.09(a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adjustment (if any) determined by the Administrative Agent and the relevant Lenders pursuant to </w:t>
      </w:r>
      <w:r>
        <w:rPr>
          <w:rFonts w:ascii="Arial" w:cs="Arial" w:eastAsia="Arial" w:hAnsi="Arial"/>
          <w:sz w:val="18"/>
          <w:szCs w:val="18"/>
          <w:u w:val="single" w:color="auto"/>
          <w:color w:val="auto"/>
        </w:rPr>
        <w:t>Section 1.09(c)</w:t>
      </w:r>
      <w:r>
        <w:rPr>
          <w:rFonts w:ascii="Arial" w:cs="Arial" w:eastAsia="Arial" w:hAnsi="Arial"/>
          <w:sz w:val="18"/>
          <w:szCs w:val="18"/>
          <w:color w:val="auto"/>
        </w:rPr>
        <w:t>;</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29" w:name="page130"/>
    <w:bookmarkEnd w:id="129"/>
    <w:p>
      <w:pPr>
        <w:ind w:left="100" w:right="860"/>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any Alternative Currency Term Rate shall be less than zero, such rate shall be deemed zero for purposes of this Agreement.</w:t>
      </w:r>
    </w:p>
    <w:p>
      <w:pPr>
        <w:spacing w:after="0" w:line="177" w:lineRule="exact"/>
        <w:rPr>
          <w:sz w:val="20"/>
          <w:szCs w:val="20"/>
          <w:color w:val="auto"/>
        </w:rPr>
      </w:pPr>
    </w:p>
    <w:p>
      <w:pPr>
        <w:ind w:left="100" w:firstLine="747"/>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Term Rate Loan</w:t>
      </w:r>
      <w:r>
        <w:rPr>
          <w:rFonts w:ascii="Arial" w:cs="Arial" w:eastAsia="Arial" w:hAnsi="Arial"/>
          <w:sz w:val="18"/>
          <w:szCs w:val="18"/>
          <w:color w:val="auto"/>
        </w:rPr>
        <w:t>” means a Revolving Credit Loan that bears interest at a rate based on the definition of “Alternative Currency Term Rate.” All Alternative Currency Term Rate Loans must be denominated in an Alternative Currency.</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2 Effective Date</w:t>
      </w:r>
      <w:r>
        <w:rPr>
          <w:rFonts w:ascii="Arial" w:cs="Arial" w:eastAsia="Arial" w:hAnsi="Arial"/>
          <w:sz w:val="20"/>
          <w:szCs w:val="20"/>
          <w:color w:val="auto"/>
        </w:rPr>
        <w:t>” means December 17, 2021.</w:t>
      </w:r>
    </w:p>
    <w:p>
      <w:pPr>
        <w:spacing w:after="0" w:line="202" w:lineRule="exact"/>
        <w:rPr>
          <w:sz w:val="20"/>
          <w:szCs w:val="20"/>
          <w:color w:val="auto"/>
        </w:rPr>
      </w:pPr>
    </w:p>
    <w:p>
      <w:pPr>
        <w:ind w:left="100" w:right="20" w:firstLine="747"/>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Authority</w:t>
      </w:r>
      <w:r>
        <w:rPr>
          <w:rFonts w:ascii="Arial" w:cs="Arial" w:eastAsia="Arial" w:hAnsi="Arial"/>
          <w:sz w:val="20"/>
          <w:szCs w:val="20"/>
          <w:color w:val="auto"/>
        </w:rPr>
        <w:t>” means (a) with respect to SOFR, the SOFR Administrator or any Governmental Authority having jurisdiction over the Administrative Agent or the SOFR Administrator and</w:t>
      </w:r>
    </w:p>
    <w:p>
      <w:pPr>
        <w:spacing w:after="0" w:line="1" w:lineRule="exact"/>
        <w:rPr>
          <w:sz w:val="20"/>
          <w:szCs w:val="20"/>
          <w:color w:val="auto"/>
        </w:rPr>
      </w:pPr>
    </w:p>
    <w:p>
      <w:pPr>
        <w:ind w:left="100" w:hanging="9"/>
        <w:spacing w:after="0" w:line="234" w:lineRule="auto"/>
        <w:tabs>
          <w:tab w:leader="none" w:pos="406" w:val="left"/>
        </w:tabs>
        <w:numPr>
          <w:ilvl w:val="0"/>
          <w:numId w:val="82"/>
        </w:numPr>
        <w:rPr>
          <w:rFonts w:ascii="Arial" w:cs="Arial" w:eastAsia="Arial" w:hAnsi="Arial"/>
          <w:sz w:val="20"/>
          <w:szCs w:val="20"/>
          <w:color w:val="auto"/>
        </w:rPr>
      </w:pPr>
      <w:r>
        <w:rPr>
          <w:rFonts w:ascii="Arial" w:cs="Arial" w:eastAsia="Arial" w:hAnsi="Arial"/>
          <w:sz w:val="20"/>
          <w:szCs w:val="20"/>
          <w:color w:val="auto"/>
        </w:rPr>
        <w:t>with respect to any Alternative Currency, the applicable administrator for the Relevant Rate for such Alternative Currency or any Governmental Authority having jurisdiction over the Administrative Agent or such administrator.</w:t>
      </w:r>
    </w:p>
    <w:p>
      <w:pPr>
        <w:spacing w:after="0" w:line="184" w:lineRule="exact"/>
        <w:rPr>
          <w:sz w:val="20"/>
          <w:szCs w:val="20"/>
          <w:color w:val="auto"/>
        </w:rPr>
      </w:pPr>
    </w:p>
    <w:p>
      <w:pPr>
        <w:jc w:val="both"/>
        <w:ind w:left="100" w:firstLine="74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(a) in respect of the Term Loan Facility, with respect to any Term Loan Lender at any time, the percentage (carried out to the ninth decimal place) of the Term Loan Facility represented by (i) on or prior to the funding of its Term Loan on the Closing Date, the sum of such Lender’s Term Loan Commitment at such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principal amount of such Term Loan Lender’s Term Loan outstanding at such time and (ii) thereafter, the aggregate principal amount of such Term Loan Lender’s Term Loans outstanding at such time and (b) in respect of the Revolving Credit Facility, with respect to any Revolving Credit Lender at any time, the percentage (carried out to the ninth decimal place) of the Aggregate Revolving Credit Commitments represented by such Revolving Credit Lender’s Revolving Credit Commitment at such time, subject to adjustment as provided in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If the commitment of each Revolving Credit Lender to make Revolving Credit Loans and the obligation of each L/C Issuer to make L/C Credit Extensions have been terminated, or if the Aggregate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and to any Lender’s status as a Defaulting Lender at the time of determination. On and after the Amendment No. 2 Effective Date, the initial Applicable Percentage of each Lender in respect of each Facility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33"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means the following percentages per annum, based upon the Consolidated Net Leverage Ratio as set forth in the most recent Compliance Certificate received by the Administrative Agent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153035</wp:posOffset>
            </wp:positionV>
            <wp:extent cx="702310" cy="13455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8">
                      <a:extLst>
                        <a:ext uri="{28A0092B-C50C-407E-A947-70E740481C1C}"/>
                      </a:extLst>
                    </a:blip>
                    <a:srcRect/>
                    <a:stretch>
                      <a:fillRect/>
                    </a:stretch>
                  </pic:blipFill>
                  <pic:spPr bwMode="auto">
                    <a:xfrm>
                      <a:off x="0" y="0"/>
                      <a:ext cx="702310" cy="1345565"/>
                    </a:xfrm>
                    <a:prstGeom prst="rect">
                      <a:avLst/>
                    </a:prstGeom>
                    <a:noFill/>
                  </pic:spPr>
                </pic:pic>
              </a:graphicData>
            </a:graphic>
          </wp:anchor>
        </w:drawing>
      </w:r>
    </w:p>
    <w:p>
      <w:pPr>
        <w:spacing w:after="0" w:line="221" w:lineRule="exact"/>
        <w:rPr>
          <w:sz w:val="20"/>
          <w:szCs w:val="20"/>
          <w:color w:val="auto"/>
        </w:rPr>
      </w:pPr>
    </w:p>
    <w:tbl>
      <w:tblPr>
        <w:tblLayout w:type="fixed"/>
        <w:tblInd w:w="390" w:type="dxa"/>
        <w:tblCellMar>
          <w:top w:w="0" w:type="dxa"/>
          <w:left w:w="0" w:type="dxa"/>
          <w:bottom w:w="0" w:type="dxa"/>
          <w:right w:w="0" w:type="dxa"/>
        </w:tblCellMar>
      </w:tblPr>
      <w:tr>
        <w:trPr>
          <w:trHeight w:val="213"/>
        </w:trPr>
        <w:tc>
          <w:tcPr>
            <w:tcW w:w="1080" w:type="dxa"/>
            <w:vAlign w:val="bottom"/>
          </w:tcPr>
          <w:p>
            <w:pPr>
              <w:spacing w:after="0"/>
              <w:rPr>
                <w:sz w:val="18"/>
                <w:szCs w:val="18"/>
                <w:color w:val="auto"/>
              </w:rPr>
            </w:pPr>
          </w:p>
        </w:tc>
        <w:tc>
          <w:tcPr>
            <w:tcW w:w="336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2480" w:type="dxa"/>
            <w:vAlign w:val="bottom"/>
            <w:tcBorders>
              <w:top w:val="single" w:sz="8" w:color="auto"/>
              <w:right w:val="single" w:sz="8" w:color="auto"/>
            </w:tcBorders>
          </w:tcPr>
          <w:p>
            <w:pPr>
              <w:jc w:val="center"/>
              <w:ind w:right="1"/>
              <w:spacing w:after="0" w:line="212" w:lineRule="exact"/>
              <w:rPr>
                <w:sz w:val="20"/>
                <w:szCs w:val="20"/>
                <w:color w:val="auto"/>
              </w:rPr>
            </w:pPr>
            <w:r>
              <w:rPr>
                <w:rFonts w:ascii="Arial" w:cs="Arial" w:eastAsia="Arial" w:hAnsi="Arial"/>
                <w:sz w:val="20"/>
                <w:szCs w:val="20"/>
                <w:color w:val="auto"/>
                <w:w w:val="90"/>
              </w:rPr>
              <w:t>Term SOFRLoans, Daily</w:t>
            </w:r>
          </w:p>
        </w:tc>
        <w:tc>
          <w:tcPr>
            <w:tcW w:w="1920" w:type="dxa"/>
            <w:vAlign w:val="bottom"/>
            <w:tcBorders>
              <w:top w:val="single" w:sz="8" w:color="auto"/>
              <w:right w:val="single" w:sz="8" w:color="auto"/>
            </w:tcBorders>
          </w:tcPr>
          <w:p>
            <w:pPr>
              <w:spacing w:after="0"/>
              <w:rPr>
                <w:sz w:val="18"/>
                <w:szCs w:val="18"/>
                <w:color w:val="auto"/>
              </w:rPr>
            </w:pPr>
          </w:p>
        </w:tc>
      </w:tr>
      <w:tr>
        <w:trPr>
          <w:trHeight w:val="203"/>
        </w:trPr>
        <w:tc>
          <w:tcPr>
            <w:tcW w:w="1080" w:type="dxa"/>
            <w:vAlign w:val="bottom"/>
          </w:tcPr>
          <w:p>
            <w:pPr>
              <w:spacing w:after="0"/>
              <w:rPr>
                <w:sz w:val="17"/>
                <w:szCs w:val="17"/>
                <w:color w:val="auto"/>
              </w:rPr>
            </w:pPr>
          </w:p>
        </w:tc>
        <w:tc>
          <w:tcPr>
            <w:tcW w:w="33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ind w:right="1"/>
              <w:spacing w:after="0" w:line="203" w:lineRule="exact"/>
              <w:rPr>
                <w:sz w:val="20"/>
                <w:szCs w:val="20"/>
                <w:color w:val="auto"/>
              </w:rPr>
            </w:pPr>
            <w:r>
              <w:rPr>
                <w:rFonts w:ascii="Arial" w:cs="Arial" w:eastAsia="Arial" w:hAnsi="Arial"/>
                <w:sz w:val="20"/>
                <w:szCs w:val="20"/>
                <w:color w:val="auto"/>
                <w:w w:val="91"/>
              </w:rPr>
              <w:t>SOFRLoans, Alternative</w:t>
            </w:r>
          </w:p>
        </w:tc>
        <w:tc>
          <w:tcPr>
            <w:tcW w:w="1920" w:type="dxa"/>
            <w:vAlign w:val="bottom"/>
            <w:tcBorders>
              <w:right w:val="single" w:sz="8" w:color="auto"/>
            </w:tcBorders>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33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0"/>
              </w:rPr>
              <w:t>Currency Daily Rate Loans,</w:t>
            </w:r>
          </w:p>
        </w:tc>
        <w:tc>
          <w:tcPr>
            <w:tcW w:w="1920" w:type="dxa"/>
            <w:vAlign w:val="bottom"/>
            <w:tcBorders>
              <w:right w:val="single" w:sz="8" w:color="auto"/>
            </w:tcBorders>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33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ind w:right="1"/>
              <w:spacing w:after="0" w:line="203" w:lineRule="exact"/>
              <w:rPr>
                <w:sz w:val="20"/>
                <w:szCs w:val="20"/>
                <w:color w:val="auto"/>
              </w:rPr>
            </w:pPr>
            <w:r>
              <w:rPr>
                <w:rFonts w:ascii="Arial" w:cs="Arial" w:eastAsia="Arial" w:hAnsi="Arial"/>
                <w:sz w:val="20"/>
                <w:szCs w:val="20"/>
                <w:color w:val="auto"/>
                <w:w w:val="91"/>
              </w:rPr>
              <w:t>Alternative Currency Term</w:t>
            </w:r>
          </w:p>
        </w:tc>
        <w:tc>
          <w:tcPr>
            <w:tcW w:w="1920" w:type="dxa"/>
            <w:vAlign w:val="bottom"/>
            <w:tcBorders>
              <w:right w:val="single" w:sz="8" w:color="auto"/>
            </w:tcBorders>
          </w:tcPr>
          <w:p>
            <w:pPr>
              <w:spacing w:after="0"/>
              <w:rPr>
                <w:sz w:val="17"/>
                <w:szCs w:val="17"/>
                <w:color w:val="auto"/>
              </w:rPr>
            </w:pPr>
          </w:p>
        </w:tc>
      </w:tr>
      <w:tr>
        <w:trPr>
          <w:trHeight w:val="203"/>
        </w:trPr>
        <w:tc>
          <w:tcPr>
            <w:tcW w:w="1080" w:type="dxa"/>
            <w:vAlign w:val="bottom"/>
          </w:tcPr>
          <w:p>
            <w:pPr>
              <w:spacing w:after="0"/>
              <w:rPr>
                <w:sz w:val="17"/>
                <w:szCs w:val="17"/>
                <w:color w:val="auto"/>
              </w:rPr>
            </w:pPr>
          </w:p>
        </w:tc>
        <w:tc>
          <w:tcPr>
            <w:tcW w:w="336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2480" w:type="dxa"/>
            <w:vAlign w:val="bottom"/>
            <w:tcBorders>
              <w:right w:val="single" w:sz="8" w:color="auto"/>
            </w:tcBorders>
          </w:tcPr>
          <w:p>
            <w:pPr>
              <w:jc w:val="center"/>
              <w:ind w:right="1"/>
              <w:spacing w:after="0" w:line="203" w:lineRule="exact"/>
              <w:rPr>
                <w:sz w:val="20"/>
                <w:szCs w:val="20"/>
                <w:color w:val="auto"/>
              </w:rPr>
            </w:pPr>
            <w:r>
              <w:rPr>
                <w:rFonts w:ascii="Arial" w:cs="Arial" w:eastAsia="Arial" w:hAnsi="Arial"/>
                <w:sz w:val="20"/>
                <w:szCs w:val="20"/>
                <w:color w:val="auto"/>
                <w:w w:val="89"/>
              </w:rPr>
              <w:t>Rate Loans and Letter of</w:t>
            </w:r>
          </w:p>
        </w:tc>
        <w:tc>
          <w:tcPr>
            <w:tcW w:w="1920" w:type="dxa"/>
            <w:vAlign w:val="bottom"/>
            <w:tcBorders>
              <w:right w:val="single" w:sz="8" w:color="auto"/>
            </w:tcBorders>
          </w:tcPr>
          <w:p>
            <w:pPr>
              <w:spacing w:after="0"/>
              <w:rPr>
                <w:sz w:val="17"/>
                <w:szCs w:val="17"/>
                <w:color w:val="auto"/>
              </w:rPr>
            </w:pPr>
          </w:p>
        </w:tc>
      </w:tr>
      <w:tr>
        <w:trPr>
          <w:trHeight w:val="250"/>
        </w:trPr>
        <w:tc>
          <w:tcPr>
            <w:tcW w:w="1080" w:type="dxa"/>
            <w:vAlign w:val="bottom"/>
          </w:tcPr>
          <w:p>
            <w:pPr>
              <w:spacing w:after="0"/>
              <w:rPr>
                <w:sz w:val="21"/>
                <w:szCs w:val="21"/>
                <w:color w:val="auto"/>
              </w:rPr>
            </w:pPr>
          </w:p>
        </w:tc>
        <w:tc>
          <w:tcPr>
            <w:tcW w:w="33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CreditFee</w:t>
            </w:r>
          </w:p>
        </w:tc>
        <w:tc>
          <w:tcPr>
            <w:tcW w:w="1920" w:type="dxa"/>
            <w:vAlign w:val="bottom"/>
            <w:tcBorders>
              <w:right w:val="single" w:sz="8" w:color="auto"/>
            </w:tcBorders>
          </w:tcPr>
          <w:p>
            <w:pPr>
              <w:spacing w:after="0"/>
              <w:rPr>
                <w:sz w:val="21"/>
                <w:szCs w:val="21"/>
                <w:color w:val="auto"/>
              </w:rPr>
            </w:pPr>
          </w:p>
        </w:tc>
      </w:tr>
      <w:tr>
        <w:trPr>
          <w:trHeight w:val="344"/>
        </w:trPr>
        <w:tc>
          <w:tcPr>
            <w:tcW w:w="1080" w:type="dxa"/>
            <w:vAlign w:val="bottom"/>
          </w:tcPr>
          <w:p>
            <w:pPr>
              <w:jc w:val="center"/>
              <w:ind w:right="161"/>
              <w:spacing w:after="0"/>
              <w:rPr>
                <w:sz w:val="20"/>
                <w:szCs w:val="20"/>
                <w:color w:val="auto"/>
              </w:rPr>
            </w:pPr>
            <w:r>
              <w:rPr>
                <w:rFonts w:ascii="Arial" w:cs="Arial" w:eastAsia="Arial" w:hAnsi="Arial"/>
                <w:sz w:val="20"/>
                <w:szCs w:val="20"/>
                <w:color w:val="auto"/>
                <w:w w:val="94"/>
              </w:rPr>
              <w:t>Pricing</w:t>
            </w:r>
          </w:p>
        </w:tc>
        <w:tc>
          <w:tcPr>
            <w:tcW w:w="3360" w:type="dxa"/>
            <w:vAlign w:val="bottom"/>
            <w:tcBorders>
              <w:right w:val="single" w:sz="8" w:color="auto"/>
            </w:tcBorders>
          </w:tcPr>
          <w:p>
            <w:pPr>
              <w:ind w:left="540"/>
              <w:spacing w:after="0"/>
              <w:rPr>
                <w:sz w:val="20"/>
                <w:szCs w:val="20"/>
                <w:color w:val="auto"/>
              </w:rPr>
            </w:pPr>
            <w:r>
              <w:rPr>
                <w:rFonts w:ascii="Arial" w:cs="Arial" w:eastAsia="Arial" w:hAnsi="Arial"/>
                <w:sz w:val="20"/>
                <w:szCs w:val="20"/>
                <w:color w:val="auto"/>
                <w:w w:val="94"/>
              </w:rPr>
              <w:t>Consolidated Net Leverage Ratio</w:t>
            </w:r>
          </w:p>
        </w:tc>
        <w:tc>
          <w:tcPr>
            <w:tcW w:w="1720" w:type="dxa"/>
            <w:vAlign w:val="bottom"/>
            <w:tcBorders>
              <w:right w:val="single" w:sz="8" w:color="auto"/>
            </w:tcBorders>
          </w:tcPr>
          <w:p>
            <w:pPr>
              <w:jc w:val="right"/>
              <w:ind w:right="141"/>
              <w:spacing w:after="0"/>
              <w:rPr>
                <w:sz w:val="20"/>
                <w:szCs w:val="20"/>
                <w:color w:val="auto"/>
              </w:rPr>
            </w:pPr>
            <w:r>
              <w:rPr>
                <w:rFonts w:ascii="Arial" w:cs="Arial" w:eastAsia="Arial" w:hAnsi="Arial"/>
                <w:sz w:val="20"/>
                <w:szCs w:val="20"/>
                <w:color w:val="auto"/>
                <w:w w:val="95"/>
              </w:rPr>
              <w:t>Commitment Fee</w:t>
            </w:r>
          </w:p>
        </w:tc>
        <w:tc>
          <w:tcPr>
            <w:tcW w:w="248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jc w:val="right"/>
              <w:ind w:right="501"/>
              <w:spacing w:after="0"/>
              <w:rPr>
                <w:sz w:val="20"/>
                <w:szCs w:val="20"/>
                <w:color w:val="auto"/>
              </w:rPr>
            </w:pPr>
            <w:r>
              <w:rPr>
                <w:rFonts w:ascii="Arial" w:cs="Arial" w:eastAsia="Arial" w:hAnsi="Arial"/>
                <w:sz w:val="20"/>
                <w:szCs w:val="20"/>
                <w:color w:val="auto"/>
              </w:rPr>
              <w:t>Base Rate</w:t>
            </w:r>
          </w:p>
        </w:tc>
      </w:tr>
      <w:tr>
        <w:trPr>
          <w:trHeight w:val="250"/>
        </w:trPr>
        <w:tc>
          <w:tcPr>
            <w:tcW w:w="1080" w:type="dxa"/>
            <w:vAlign w:val="bottom"/>
          </w:tcPr>
          <w:p>
            <w:pPr>
              <w:jc w:val="center"/>
              <w:ind w:right="141"/>
              <w:spacing w:after="0"/>
              <w:rPr>
                <w:sz w:val="20"/>
                <w:szCs w:val="20"/>
                <w:color w:val="auto"/>
              </w:rPr>
            </w:pPr>
            <w:r>
              <w:rPr>
                <w:rFonts w:ascii="Arial" w:cs="Arial" w:eastAsia="Arial" w:hAnsi="Arial"/>
                <w:sz w:val="20"/>
                <w:szCs w:val="20"/>
                <w:color w:val="auto"/>
                <w:w w:val="91"/>
              </w:rPr>
              <w:t>Level</w:t>
            </w:r>
          </w:p>
        </w:tc>
        <w:tc>
          <w:tcPr>
            <w:tcW w:w="33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jc w:val="right"/>
              <w:ind w:right="1081"/>
              <w:spacing w:after="0"/>
              <w:rPr>
                <w:sz w:val="20"/>
                <w:szCs w:val="20"/>
                <w:color w:val="auto"/>
              </w:rPr>
            </w:pPr>
            <w:r>
              <w:rPr>
                <w:rFonts w:ascii="Arial" w:cs="Arial" w:eastAsia="Arial" w:hAnsi="Arial"/>
                <w:sz w:val="20"/>
                <w:szCs w:val="20"/>
                <w:color w:val="auto"/>
              </w:rPr>
              <w:t>Loans</w:t>
            </w:r>
          </w:p>
        </w:tc>
      </w:tr>
      <w:tr>
        <w:trPr>
          <w:trHeight w:val="192"/>
        </w:trPr>
        <w:tc>
          <w:tcPr>
            <w:tcW w:w="1080" w:type="dxa"/>
            <w:vAlign w:val="bottom"/>
          </w:tcPr>
          <w:p>
            <w:pPr>
              <w:spacing w:after="0"/>
              <w:rPr>
                <w:sz w:val="16"/>
                <w:szCs w:val="16"/>
                <w:color w:val="auto"/>
              </w:rPr>
            </w:pPr>
          </w:p>
        </w:tc>
        <w:tc>
          <w:tcPr>
            <w:tcW w:w="33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r>
      <w:tr>
        <w:trPr>
          <w:trHeight w:val="277"/>
        </w:trPr>
        <w:tc>
          <w:tcPr>
            <w:tcW w:w="108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20"/>
                <w:szCs w:val="20"/>
                <w:color w:val="auto"/>
              </w:rPr>
              <w:t>I</w:t>
            </w:r>
          </w:p>
        </w:tc>
        <w:tc>
          <w:tcPr>
            <w:tcW w:w="336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20"/>
                <w:szCs w:val="20"/>
                <w:color w:val="auto"/>
              </w:rPr>
              <w:t>Less than 1.50 to 1.00</w:t>
            </w:r>
          </w:p>
        </w:tc>
        <w:tc>
          <w:tcPr>
            <w:tcW w:w="1720" w:type="dxa"/>
            <w:vAlign w:val="bottom"/>
            <w:tcBorders>
              <w:top w:val="single" w:sz="8" w:color="auto"/>
              <w:bottom w:val="single" w:sz="8" w:color="auto"/>
              <w:right w:val="single" w:sz="8" w:color="auto"/>
            </w:tcBorders>
          </w:tcPr>
          <w:p>
            <w:pPr>
              <w:jc w:val="right"/>
              <w:ind w:right="721"/>
              <w:spacing w:after="0"/>
              <w:rPr>
                <w:sz w:val="20"/>
                <w:szCs w:val="20"/>
                <w:color w:val="auto"/>
              </w:rPr>
            </w:pPr>
            <w:r>
              <w:rPr>
                <w:rFonts w:ascii="Arial" w:cs="Arial" w:eastAsia="Arial" w:hAnsi="Arial"/>
                <w:sz w:val="20"/>
                <w:szCs w:val="20"/>
                <w:color w:val="auto"/>
              </w:rPr>
              <w:t>0.20%</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1.75%</w:t>
            </w:r>
          </w:p>
        </w:tc>
        <w:tc>
          <w:tcPr>
            <w:tcW w:w="1920" w:type="dxa"/>
            <w:vAlign w:val="bottom"/>
            <w:tcBorders>
              <w:top w:val="single" w:sz="8" w:color="auto"/>
              <w:bottom w:val="single" w:sz="8" w:color="auto"/>
              <w:right w:val="single" w:sz="8" w:color="auto"/>
            </w:tcBorders>
          </w:tcPr>
          <w:p>
            <w:pPr>
              <w:jc w:val="right"/>
              <w:ind w:right="841"/>
              <w:spacing w:after="0"/>
              <w:rPr>
                <w:sz w:val="20"/>
                <w:szCs w:val="20"/>
                <w:color w:val="auto"/>
              </w:rPr>
            </w:pPr>
            <w:r>
              <w:rPr>
                <w:rFonts w:ascii="Arial" w:cs="Arial" w:eastAsia="Arial" w:hAnsi="Arial"/>
                <w:sz w:val="20"/>
                <w:szCs w:val="20"/>
                <w:color w:val="auto"/>
              </w:rPr>
              <w:t>0.75%</w:t>
            </w:r>
          </w:p>
        </w:tc>
      </w:tr>
    </w:tbl>
    <w:p>
      <w:pPr>
        <w:spacing w:after="0" w:line="2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30" w:name="page131"/>
    <w:bookmarkEnd w:id="130"/>
    <w:tbl>
      <w:tblPr>
        <w:tblLayout w:type="fixed"/>
        <w:tblInd w:w="390" w:type="dxa"/>
        <w:tblCellMar>
          <w:top w:w="0" w:type="dxa"/>
          <w:left w:w="0" w:type="dxa"/>
          <w:bottom w:w="0" w:type="dxa"/>
          <w:right w:w="0" w:type="dxa"/>
        </w:tblCellMar>
      </w:tblPr>
      <w:tr>
        <w:trPr>
          <w:trHeight w:val="240"/>
        </w:trPr>
        <w:tc>
          <w:tcPr>
            <w:tcW w:w="1080" w:type="dxa"/>
            <w:vAlign w:val="bottom"/>
          </w:tcPr>
          <w:p>
            <w:pPr>
              <w:jc w:val="center"/>
              <w:spacing w:after="0"/>
              <w:rPr>
                <w:sz w:val="20"/>
                <w:szCs w:val="20"/>
                <w:color w:val="auto"/>
              </w:rPr>
            </w:pPr>
            <w:r>
              <w:rPr>
                <w:rFonts w:ascii="Arial" w:cs="Arial" w:eastAsia="Arial" w:hAnsi="Arial"/>
                <w:sz w:val="20"/>
                <w:szCs w:val="20"/>
                <w:color w:val="auto"/>
              </w:rPr>
              <w:t>II</w:t>
            </w:r>
          </w:p>
        </w:tc>
        <w:tc>
          <w:tcPr>
            <w:tcW w:w="3360" w:type="dxa"/>
            <w:vAlign w:val="bottom"/>
            <w:tcBorders>
              <w:top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88"/>
              </w:rPr>
              <w:t>Greater than or equal to 1.50 to 1.00</w:t>
            </w:r>
          </w:p>
        </w:tc>
        <w:tc>
          <w:tcPr>
            <w:tcW w:w="1720" w:type="dxa"/>
            <w:vAlign w:val="bottom"/>
            <w:tcBorders>
              <w:top w:val="single" w:sz="8" w:color="auto"/>
              <w:right w:val="single" w:sz="8" w:color="auto"/>
            </w:tcBorders>
          </w:tcPr>
          <w:p>
            <w:pPr>
              <w:jc w:val="right"/>
              <w:ind w:right="521"/>
              <w:spacing w:after="0"/>
              <w:rPr>
                <w:sz w:val="20"/>
                <w:szCs w:val="20"/>
                <w:color w:val="auto"/>
              </w:rPr>
            </w:pPr>
            <w:r>
              <w:rPr>
                <w:rFonts w:ascii="Arial" w:cs="Arial" w:eastAsia="Arial" w:hAnsi="Arial"/>
                <w:sz w:val="20"/>
                <w:szCs w:val="20"/>
                <w:color w:val="auto"/>
              </w:rPr>
              <w:t>0.25%</w:t>
            </w:r>
          </w:p>
        </w:tc>
        <w:tc>
          <w:tcPr>
            <w:tcW w:w="2480" w:type="dxa"/>
            <w:vAlign w:val="bottom"/>
            <w:tcBorders>
              <w:top w:val="single" w:sz="8" w:color="auto"/>
              <w:right w:val="single" w:sz="8" w:color="auto"/>
            </w:tcBorders>
          </w:tcPr>
          <w:p>
            <w:pPr>
              <w:jc w:val="right"/>
              <w:ind w:right="901"/>
              <w:spacing w:after="0"/>
              <w:rPr>
                <w:sz w:val="20"/>
                <w:szCs w:val="20"/>
                <w:color w:val="auto"/>
              </w:rPr>
            </w:pPr>
            <w:r>
              <w:rPr>
                <w:rFonts w:ascii="Arial" w:cs="Arial" w:eastAsia="Arial" w:hAnsi="Arial"/>
                <w:sz w:val="20"/>
                <w:szCs w:val="20"/>
                <w:color w:val="auto"/>
              </w:rPr>
              <w:t>2.00%</w:t>
            </w:r>
          </w:p>
        </w:tc>
        <w:tc>
          <w:tcPr>
            <w:tcW w:w="1920" w:type="dxa"/>
            <w:vAlign w:val="bottom"/>
            <w:tcBorders>
              <w:top w:val="single" w:sz="8" w:color="auto"/>
              <w:right w:val="single" w:sz="8" w:color="auto"/>
            </w:tcBorders>
          </w:tcPr>
          <w:p>
            <w:pPr>
              <w:jc w:val="right"/>
              <w:ind w:right="621"/>
              <w:spacing w:after="0"/>
              <w:rPr>
                <w:sz w:val="20"/>
                <w:szCs w:val="20"/>
                <w:color w:val="auto"/>
              </w:rPr>
            </w:pPr>
            <w:r>
              <w:rPr>
                <w:rFonts w:ascii="Arial" w:cs="Arial" w:eastAsia="Arial" w:hAnsi="Arial"/>
                <w:sz w:val="20"/>
                <w:szCs w:val="20"/>
                <w:color w:val="auto"/>
              </w:rPr>
              <w:t>1.00%</w:t>
            </w:r>
          </w:p>
        </w:tc>
      </w:tr>
      <w:tr>
        <w:trPr>
          <w:trHeight w:val="250"/>
        </w:trPr>
        <w:tc>
          <w:tcPr>
            <w:tcW w:w="1080" w:type="dxa"/>
            <w:vAlign w:val="bottom"/>
          </w:tcPr>
          <w:p>
            <w:pPr>
              <w:spacing w:after="0"/>
              <w:rPr>
                <w:sz w:val="21"/>
                <w:szCs w:val="21"/>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but less than 2.00 to 1.00</w:t>
            </w:r>
          </w:p>
        </w:tc>
        <w:tc>
          <w:tcPr>
            <w:tcW w:w="172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r>
      <w:tr>
        <w:trPr>
          <w:trHeight w:val="239"/>
        </w:trPr>
        <w:tc>
          <w:tcPr>
            <w:tcW w:w="1080" w:type="dxa"/>
            <w:vAlign w:val="bottom"/>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r>
      <w:tr>
        <w:trPr>
          <w:trHeight w:val="206"/>
        </w:trPr>
        <w:tc>
          <w:tcPr>
            <w:tcW w:w="108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III</w:t>
            </w:r>
          </w:p>
        </w:tc>
        <w:tc>
          <w:tcPr>
            <w:tcW w:w="3360" w:type="dxa"/>
            <w:vAlign w:val="bottom"/>
            <w:tcBorders>
              <w:right w:val="single" w:sz="8" w:color="auto"/>
            </w:tcBorders>
          </w:tcPr>
          <w:p>
            <w:pPr>
              <w:jc w:val="center"/>
              <w:ind w:right="1"/>
              <w:spacing w:after="0" w:line="207" w:lineRule="exact"/>
              <w:rPr>
                <w:sz w:val="20"/>
                <w:szCs w:val="20"/>
                <w:color w:val="auto"/>
              </w:rPr>
            </w:pPr>
            <w:r>
              <w:rPr>
                <w:rFonts w:ascii="Arial" w:cs="Arial" w:eastAsia="Arial" w:hAnsi="Arial"/>
                <w:sz w:val="20"/>
                <w:szCs w:val="20"/>
                <w:color w:val="auto"/>
                <w:w w:val="88"/>
              </w:rPr>
              <w:t>Greater than or equal to 2.00 to 1.00</w:t>
            </w:r>
          </w:p>
        </w:tc>
        <w:tc>
          <w:tcPr>
            <w:tcW w:w="1720" w:type="dxa"/>
            <w:vAlign w:val="bottom"/>
            <w:tcBorders>
              <w:right w:val="single" w:sz="8" w:color="auto"/>
            </w:tcBorders>
          </w:tcPr>
          <w:p>
            <w:pPr>
              <w:jc w:val="right"/>
              <w:ind w:right="521"/>
              <w:spacing w:after="0" w:line="207" w:lineRule="exact"/>
              <w:rPr>
                <w:sz w:val="20"/>
                <w:szCs w:val="20"/>
                <w:color w:val="auto"/>
              </w:rPr>
            </w:pPr>
            <w:r>
              <w:rPr>
                <w:rFonts w:ascii="Arial" w:cs="Arial" w:eastAsia="Arial" w:hAnsi="Arial"/>
                <w:sz w:val="20"/>
                <w:szCs w:val="20"/>
                <w:color w:val="auto"/>
              </w:rPr>
              <w:t>0.30%</w:t>
            </w:r>
          </w:p>
        </w:tc>
        <w:tc>
          <w:tcPr>
            <w:tcW w:w="2480" w:type="dxa"/>
            <w:vAlign w:val="bottom"/>
            <w:tcBorders>
              <w:right w:val="single" w:sz="8" w:color="auto"/>
            </w:tcBorders>
          </w:tcPr>
          <w:p>
            <w:pPr>
              <w:jc w:val="right"/>
              <w:ind w:right="901"/>
              <w:spacing w:after="0" w:line="207" w:lineRule="exact"/>
              <w:rPr>
                <w:sz w:val="20"/>
                <w:szCs w:val="20"/>
                <w:color w:val="auto"/>
              </w:rPr>
            </w:pPr>
            <w:r>
              <w:rPr>
                <w:rFonts w:ascii="Arial" w:cs="Arial" w:eastAsia="Arial" w:hAnsi="Arial"/>
                <w:sz w:val="20"/>
                <w:szCs w:val="20"/>
                <w:color w:val="auto"/>
              </w:rPr>
              <w:t>2.25%</w:t>
            </w:r>
          </w:p>
        </w:tc>
        <w:tc>
          <w:tcPr>
            <w:tcW w:w="1920" w:type="dxa"/>
            <w:vAlign w:val="bottom"/>
            <w:tcBorders>
              <w:right w:val="single" w:sz="8" w:color="auto"/>
            </w:tcBorders>
          </w:tcPr>
          <w:p>
            <w:pPr>
              <w:jc w:val="right"/>
              <w:ind w:right="621"/>
              <w:spacing w:after="0" w:line="207" w:lineRule="exact"/>
              <w:rPr>
                <w:sz w:val="20"/>
                <w:szCs w:val="20"/>
                <w:color w:val="auto"/>
              </w:rPr>
            </w:pPr>
            <w:r>
              <w:rPr>
                <w:rFonts w:ascii="Arial" w:cs="Arial" w:eastAsia="Arial" w:hAnsi="Arial"/>
                <w:sz w:val="20"/>
                <w:szCs w:val="20"/>
                <w:color w:val="auto"/>
              </w:rPr>
              <w:t>1.25%</w:t>
            </w: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but less than 2.50 to 1.00</w:t>
            </w:r>
          </w:p>
        </w:tc>
        <w:tc>
          <w:tcPr>
            <w:tcW w:w="172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r>
      <w:tr>
        <w:trPr>
          <w:trHeight w:val="266"/>
        </w:trPr>
        <w:tc>
          <w:tcPr>
            <w:tcW w:w="1080" w:type="dxa"/>
            <w:vAlign w:val="bottom"/>
            <w:tcBorders>
              <w:left w:val="single" w:sz="8" w:color="auto"/>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206"/>
        </w:trPr>
        <w:tc>
          <w:tcPr>
            <w:tcW w:w="1080" w:type="dxa"/>
            <w:vAlign w:val="bottom"/>
            <w:tcBorders>
              <w:left w:val="single" w:sz="8" w:color="auto"/>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IV</w:t>
            </w:r>
          </w:p>
        </w:tc>
        <w:tc>
          <w:tcPr>
            <w:tcW w:w="3360" w:type="dxa"/>
            <w:vAlign w:val="bottom"/>
            <w:tcBorders>
              <w:right w:val="single" w:sz="8" w:color="auto"/>
            </w:tcBorders>
          </w:tcPr>
          <w:p>
            <w:pPr>
              <w:jc w:val="center"/>
              <w:ind w:right="1"/>
              <w:spacing w:after="0" w:line="207" w:lineRule="exact"/>
              <w:rPr>
                <w:sz w:val="20"/>
                <w:szCs w:val="20"/>
                <w:color w:val="auto"/>
              </w:rPr>
            </w:pPr>
            <w:r>
              <w:rPr>
                <w:rFonts w:ascii="Arial" w:cs="Arial" w:eastAsia="Arial" w:hAnsi="Arial"/>
                <w:sz w:val="20"/>
                <w:szCs w:val="20"/>
                <w:color w:val="auto"/>
                <w:w w:val="88"/>
              </w:rPr>
              <w:t>Greater than or equal to 2.50 to 1.00</w:t>
            </w:r>
          </w:p>
        </w:tc>
        <w:tc>
          <w:tcPr>
            <w:tcW w:w="1720" w:type="dxa"/>
            <w:vAlign w:val="bottom"/>
            <w:tcBorders>
              <w:right w:val="single" w:sz="8" w:color="auto"/>
            </w:tcBorders>
          </w:tcPr>
          <w:p>
            <w:pPr>
              <w:jc w:val="right"/>
              <w:ind w:right="521"/>
              <w:spacing w:after="0" w:line="207" w:lineRule="exact"/>
              <w:rPr>
                <w:sz w:val="20"/>
                <w:szCs w:val="20"/>
                <w:color w:val="auto"/>
              </w:rPr>
            </w:pPr>
            <w:r>
              <w:rPr>
                <w:rFonts w:ascii="Arial" w:cs="Arial" w:eastAsia="Arial" w:hAnsi="Arial"/>
                <w:sz w:val="20"/>
                <w:szCs w:val="20"/>
                <w:color w:val="auto"/>
              </w:rPr>
              <w:t>0.35%</w:t>
            </w:r>
          </w:p>
        </w:tc>
        <w:tc>
          <w:tcPr>
            <w:tcW w:w="2480" w:type="dxa"/>
            <w:vAlign w:val="bottom"/>
            <w:tcBorders>
              <w:right w:val="single" w:sz="8" w:color="auto"/>
            </w:tcBorders>
          </w:tcPr>
          <w:p>
            <w:pPr>
              <w:jc w:val="right"/>
              <w:ind w:right="901"/>
              <w:spacing w:after="0" w:line="207" w:lineRule="exact"/>
              <w:rPr>
                <w:sz w:val="20"/>
                <w:szCs w:val="20"/>
                <w:color w:val="auto"/>
              </w:rPr>
            </w:pPr>
            <w:r>
              <w:rPr>
                <w:rFonts w:ascii="Arial" w:cs="Arial" w:eastAsia="Arial" w:hAnsi="Arial"/>
                <w:sz w:val="20"/>
                <w:szCs w:val="20"/>
                <w:color w:val="auto"/>
              </w:rPr>
              <w:t>2.50%</w:t>
            </w:r>
          </w:p>
        </w:tc>
        <w:tc>
          <w:tcPr>
            <w:tcW w:w="1920" w:type="dxa"/>
            <w:vAlign w:val="bottom"/>
            <w:tcBorders>
              <w:right w:val="single" w:sz="8" w:color="auto"/>
            </w:tcBorders>
          </w:tcPr>
          <w:p>
            <w:pPr>
              <w:jc w:val="right"/>
              <w:ind w:right="621"/>
              <w:spacing w:after="0" w:line="207" w:lineRule="exact"/>
              <w:rPr>
                <w:sz w:val="20"/>
                <w:szCs w:val="20"/>
                <w:color w:val="auto"/>
              </w:rPr>
            </w:pPr>
            <w:r>
              <w:rPr>
                <w:rFonts w:ascii="Arial" w:cs="Arial" w:eastAsia="Arial" w:hAnsi="Arial"/>
                <w:sz w:val="20"/>
                <w:szCs w:val="20"/>
                <w:color w:val="auto"/>
              </w:rPr>
              <w:t>1.50%</w:t>
            </w:r>
          </w:p>
        </w:tc>
      </w:tr>
      <w:tr>
        <w:trPr>
          <w:trHeight w:val="250"/>
        </w:trPr>
        <w:tc>
          <w:tcPr>
            <w:tcW w:w="1080" w:type="dxa"/>
            <w:vAlign w:val="bottom"/>
            <w:tcBorders>
              <w:left w:val="single" w:sz="8" w:color="auto"/>
              <w:right w:val="single" w:sz="8" w:color="auto"/>
            </w:tcBorders>
          </w:tcPr>
          <w:p>
            <w:pPr>
              <w:spacing w:after="0"/>
              <w:rPr>
                <w:sz w:val="21"/>
                <w:szCs w:val="21"/>
                <w:color w:val="auto"/>
              </w:rPr>
            </w:pPr>
          </w:p>
        </w:tc>
        <w:tc>
          <w:tcPr>
            <w:tcW w:w="3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but less than 3.00 to 1.00</w:t>
            </w:r>
          </w:p>
        </w:tc>
        <w:tc>
          <w:tcPr>
            <w:tcW w:w="1720" w:type="dxa"/>
            <w:vAlign w:val="bottom"/>
            <w:tcBorders>
              <w:right w:val="single" w:sz="8" w:color="auto"/>
            </w:tcBorders>
          </w:tcPr>
          <w:p>
            <w:pPr>
              <w:spacing w:after="0"/>
              <w:rPr>
                <w:sz w:val="21"/>
                <w:szCs w:val="21"/>
                <w:color w:val="auto"/>
              </w:rPr>
            </w:pPr>
          </w:p>
        </w:tc>
        <w:tc>
          <w:tcPr>
            <w:tcW w:w="24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spacing w:after="0"/>
              <w:rPr>
                <w:sz w:val="21"/>
                <w:szCs w:val="21"/>
                <w:color w:val="auto"/>
              </w:rPr>
            </w:pPr>
          </w:p>
        </w:tc>
      </w:tr>
      <w:tr>
        <w:trPr>
          <w:trHeight w:val="266"/>
        </w:trPr>
        <w:tc>
          <w:tcPr>
            <w:tcW w:w="1080" w:type="dxa"/>
            <w:vAlign w:val="bottom"/>
            <w:tcBorders>
              <w:left w:val="single" w:sz="8" w:color="auto"/>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2480" w:type="dxa"/>
            <w:vAlign w:val="bottom"/>
            <w:tcBorders>
              <w:bottom w:val="single" w:sz="8" w:color="auto"/>
              <w:right w:val="single" w:sz="8" w:color="auto"/>
            </w:tcBorders>
          </w:tcPr>
          <w:p>
            <w:pPr>
              <w:spacing w:after="0"/>
              <w:rPr>
                <w:sz w:val="23"/>
                <w:szCs w:val="23"/>
                <w:color w:val="auto"/>
              </w:rPr>
            </w:pPr>
          </w:p>
        </w:tc>
        <w:tc>
          <w:tcPr>
            <w:tcW w:w="1920" w:type="dxa"/>
            <w:vAlign w:val="bottom"/>
            <w:tcBorders>
              <w:bottom w:val="single" w:sz="8" w:color="auto"/>
              <w:right w:val="single" w:sz="8" w:color="auto"/>
            </w:tcBorders>
          </w:tcPr>
          <w:p>
            <w:pPr>
              <w:spacing w:after="0"/>
              <w:rPr>
                <w:sz w:val="23"/>
                <w:szCs w:val="23"/>
                <w:color w:val="auto"/>
              </w:rPr>
            </w:pPr>
          </w:p>
        </w:tc>
      </w:tr>
      <w:tr>
        <w:trPr>
          <w:trHeight w:val="254"/>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V</w:t>
            </w:r>
          </w:p>
        </w:tc>
        <w:tc>
          <w:tcPr>
            <w:tcW w:w="336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w w:val="98"/>
              </w:rPr>
              <w:t>Greater than or equal to 3.00 to 1.00</w:t>
            </w:r>
          </w:p>
        </w:tc>
        <w:tc>
          <w:tcPr>
            <w:tcW w:w="1720" w:type="dxa"/>
            <w:vAlign w:val="bottom"/>
            <w:tcBorders>
              <w:right w:val="single" w:sz="8" w:color="auto"/>
            </w:tcBorders>
          </w:tcPr>
          <w:p>
            <w:pPr>
              <w:jc w:val="right"/>
              <w:ind w:right="521"/>
              <w:spacing w:after="0"/>
              <w:rPr>
                <w:sz w:val="20"/>
                <w:szCs w:val="20"/>
                <w:color w:val="auto"/>
              </w:rPr>
            </w:pPr>
            <w:r>
              <w:rPr>
                <w:rFonts w:ascii="Arial" w:cs="Arial" w:eastAsia="Arial" w:hAnsi="Arial"/>
                <w:sz w:val="20"/>
                <w:szCs w:val="20"/>
                <w:color w:val="auto"/>
              </w:rPr>
              <w:t>0.40%</w:t>
            </w:r>
          </w:p>
        </w:tc>
        <w:tc>
          <w:tcPr>
            <w:tcW w:w="2480" w:type="dxa"/>
            <w:vAlign w:val="bottom"/>
            <w:tcBorders>
              <w:right w:val="single" w:sz="8" w:color="auto"/>
            </w:tcBorders>
          </w:tcPr>
          <w:p>
            <w:pPr>
              <w:jc w:val="right"/>
              <w:ind w:right="901"/>
              <w:spacing w:after="0"/>
              <w:rPr>
                <w:sz w:val="20"/>
                <w:szCs w:val="20"/>
                <w:color w:val="auto"/>
              </w:rPr>
            </w:pPr>
            <w:r>
              <w:rPr>
                <w:rFonts w:ascii="Arial" w:cs="Arial" w:eastAsia="Arial" w:hAnsi="Arial"/>
                <w:sz w:val="20"/>
                <w:szCs w:val="20"/>
                <w:color w:val="auto"/>
              </w:rPr>
              <w:t>2.75%</w:t>
            </w:r>
          </w:p>
        </w:tc>
        <w:tc>
          <w:tcPr>
            <w:tcW w:w="1920" w:type="dxa"/>
            <w:vAlign w:val="bottom"/>
            <w:tcBorders>
              <w:right w:val="single" w:sz="8" w:color="auto"/>
            </w:tcBorders>
          </w:tcPr>
          <w:p>
            <w:pPr>
              <w:jc w:val="right"/>
              <w:ind w:right="621"/>
              <w:spacing w:after="0"/>
              <w:rPr>
                <w:sz w:val="20"/>
                <w:szCs w:val="20"/>
                <w:color w:val="auto"/>
              </w:rPr>
            </w:pPr>
            <w:r>
              <w:rPr>
                <w:rFonts w:ascii="Arial" w:cs="Arial" w:eastAsia="Arial" w:hAnsi="Arial"/>
                <w:sz w:val="20"/>
                <w:szCs w:val="20"/>
                <w:color w:val="auto"/>
              </w:rPr>
              <w:t>1.75%</w:t>
            </w:r>
          </w:p>
        </w:tc>
      </w:tr>
      <w:tr>
        <w:trPr>
          <w:trHeight w:val="233"/>
        </w:trPr>
        <w:tc>
          <w:tcPr>
            <w:tcW w:w="1080" w:type="dxa"/>
            <w:vAlign w:val="bottom"/>
            <w:tcBorders>
              <w:left w:val="single" w:sz="8" w:color="auto"/>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248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r>
    </w:tbl>
    <w:p>
      <w:pPr>
        <w:spacing w:after="0" w:line="1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443865</wp:posOffset>
            </wp:positionH>
            <wp:positionV relativeFrom="page">
              <wp:posOffset>88900</wp:posOffset>
            </wp:positionV>
            <wp:extent cx="702310" cy="4838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0">
                      <a:extLst>
                        <a:ext uri="{28A0092B-C50C-407E-A947-70E740481C1C}"/>
                      </a:extLst>
                    </a:blip>
                    <a:srcRect/>
                    <a:stretch>
                      <a:fillRect/>
                    </a:stretch>
                  </pic:blipFill>
                  <pic:spPr bwMode="auto">
                    <a:xfrm>
                      <a:off x="0" y="0"/>
                      <a:ext cx="702310" cy="483870"/>
                    </a:xfrm>
                    <a:prstGeom prst="rect">
                      <a:avLst/>
                    </a:prstGeom>
                    <a:noFill/>
                  </pic:spPr>
                </pic:pic>
              </a:graphicData>
            </a:graphic>
          </wp:anchor>
        </w:drawing>
      </w:r>
    </w:p>
    <w:p>
      <w:pPr>
        <w:jc w:val="both"/>
        <w:ind w:left="100" w:firstLine="747"/>
        <w:spacing w:after="0" w:line="241" w:lineRule="auto"/>
        <w:rPr>
          <w:sz w:val="20"/>
          <w:szCs w:val="20"/>
          <w:color w:val="auto"/>
        </w:rPr>
      </w:pPr>
      <w:r>
        <w:rPr>
          <w:rFonts w:ascii="Arial" w:cs="Arial" w:eastAsia="Arial" w:hAnsi="Arial"/>
          <w:sz w:val="19"/>
          <w:szCs w:val="19"/>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Compliance Certificate is not delivered when due in accordance with such Section, then, upon the request of the Required Term Loan Lenders (in the case of the Term Loan Facility) or the Required Revolving Credit Lenders (in the case of the Revolving Credit Facility), as the case may be, Pricing Level V shall apply in respect of the Term Loan Facility and the Revolving Credit Facility, as applicable, in each case as of the first Business Day after the date on which such Compliance Certificate was required to have been delivered until the first Business Day after such Compliance Certificate is delivered. The Applicable Rate in effect from the Amendment No. 2 Effective Date until the first Business Day following the delivery of the Compliance Certificate for the fiscal quarter ending December 31, 2021, shall be determined based upon Pricing Level III.</w:t>
      </w:r>
    </w:p>
    <w:p>
      <w:pPr>
        <w:spacing w:after="0" w:line="185"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 xml:space="preserve">Notwithstanding anything to the contrary contained in this definition, the determination of the Applicable Rate for any period shall be subject to the provisions of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177"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Revolving Credit Percentage</w:t>
      </w:r>
      <w:r>
        <w:rPr>
          <w:rFonts w:ascii="Arial" w:cs="Arial" w:eastAsia="Arial" w:hAnsi="Arial"/>
          <w:sz w:val="20"/>
          <w:szCs w:val="20"/>
          <w:color w:val="auto"/>
        </w:rPr>
        <w:t>” means with respect to any Revolving Credit Lender at any time, such Revolving Credit Lender’s Applicable Percentage in respect of the Revolving Credit Facility at such time.</w:t>
      </w:r>
    </w:p>
    <w:p>
      <w:pPr>
        <w:spacing w:after="0" w:line="190" w:lineRule="exact"/>
        <w:rPr>
          <w:sz w:val="20"/>
          <w:szCs w:val="20"/>
          <w:color w:val="auto"/>
        </w:rPr>
      </w:pPr>
    </w:p>
    <w:p>
      <w:pPr>
        <w:jc w:val="both"/>
        <w:ind w:left="100" w:right="20" w:firstLine="747"/>
        <w:spacing w:after="0" w:line="32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Time</w:t>
      </w:r>
      <w:r>
        <w:rPr>
          <w:rFonts w:ascii="Arial" w:cs="Arial" w:eastAsia="Arial" w:hAnsi="Arial"/>
          <w:sz w:val="16"/>
          <w:szCs w:val="16"/>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Applicant Borrower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02" w:lineRule="exact"/>
        <w:rPr>
          <w:sz w:val="20"/>
          <w:szCs w:val="20"/>
          <w:color w:val="auto"/>
        </w:rPr>
      </w:pPr>
    </w:p>
    <w:p>
      <w:pPr>
        <w:ind w:left="100" w:right="2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BofA Securities, Inc., in its capacity as sole lead arranger and sole bookrunner.</w:t>
      </w:r>
    </w:p>
    <w:p>
      <w:pPr>
        <w:spacing w:after="0" w:line="202"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any other form (including electronic documentation generated by MarkitClear or other electronic platform) approved by the Administrative Agent.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0" w:right="459" w:bottom="1440" w:gutter="0" w:footer="0" w:header="0"/>
        </w:sectPr>
      </w:pPr>
    </w:p>
    <w:bookmarkStart w:id="131" w:name="page132"/>
    <w:bookmarkEnd w:id="131"/>
    <w:p>
      <w:pPr>
        <w:jc w:val="both"/>
        <w:ind w:left="100" w:firstLine="74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59"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the Company and its Subsidiaries for the fiscal year ended December 31, 2018, and the related consolidated statements of income or operations, shareholders’ equity and cash flows for such fiscal year of the Company and its Subsidiaries, including the notes thereto.</w:t>
      </w:r>
    </w:p>
    <w:p>
      <w:pPr>
        <w:spacing w:after="0" w:line="196"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the period from and including the Closing Date to the earliest of (a) the Maturity Date, (b) the date of termination of the Aggregate Revolving Credit Commitments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(c) the date of termination of the commitment of each Revolving Credit Lender to make Revolving Credit Loans and of the obligation of each L/C Issuer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70" w:lineRule="exact"/>
        <w:rPr>
          <w:sz w:val="20"/>
          <w:szCs w:val="20"/>
          <w:color w:val="auto"/>
        </w:rPr>
      </w:pPr>
    </w:p>
    <w:p>
      <w:pPr>
        <w:jc w:val="both"/>
        <w:ind w:left="100" w:right="2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63" w:lineRule="exact"/>
        <w:rPr>
          <w:sz w:val="20"/>
          <w:szCs w:val="20"/>
          <w:color w:val="auto"/>
        </w:rPr>
      </w:pPr>
    </w:p>
    <w:p>
      <w:pPr>
        <w:jc w:val="both"/>
        <w:ind w:left="100" w:firstLine="747"/>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means for any day a fluctuating rate of interest per annum equal to the highest of</w:t>
      </w:r>
    </w:p>
    <w:p>
      <w:pPr>
        <w:spacing w:after="0" w:line="2" w:lineRule="exact"/>
        <w:rPr>
          <w:sz w:val="20"/>
          <w:szCs w:val="20"/>
          <w:color w:val="auto"/>
        </w:rPr>
      </w:pPr>
    </w:p>
    <w:p>
      <w:pPr>
        <w:jc w:val="both"/>
        <w:ind w:left="100"/>
        <w:spacing w:after="0" w:line="255" w:lineRule="auto"/>
        <w:rPr>
          <w:sz w:val="20"/>
          <w:szCs w:val="20"/>
          <w:color w:val="auto"/>
        </w:rPr>
      </w:pPr>
      <w:r>
        <w:rPr>
          <w:rFonts w:ascii="Arial" w:cs="Arial" w:eastAsia="Arial" w:hAnsi="Arial"/>
          <w:sz w:val="18"/>
          <w:szCs w:val="18"/>
          <w:color w:val="auto"/>
        </w:rPr>
        <w:t xml:space="preserve">(a)the Federal Funds Rate plus 1/2 of 1%, (b) the rate of interest in effect for such day as publicly announced from time to time by Bank of America as its “prime rate,” (c) Daily Simple SOFR for such date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hereof, then the Base Rate shall be the greater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shall be determined without reference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are only available to U.S.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Borrowers and shall be denominated in Dollars.</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Revolving Credit Loan</w:t>
      </w:r>
      <w:r>
        <w:rPr>
          <w:rFonts w:ascii="Arial" w:cs="Arial" w:eastAsia="Arial" w:hAnsi="Arial"/>
          <w:sz w:val="20"/>
          <w:szCs w:val="20"/>
          <w:color w:val="auto"/>
        </w:rPr>
        <w:t>” means a Revolving Credit Loan that is a Base Rate Loan.</w:t>
      </w:r>
    </w:p>
    <w:p>
      <w:pPr>
        <w:spacing w:after="0" w:line="189" w:lineRule="exact"/>
        <w:rPr>
          <w:sz w:val="20"/>
          <w:szCs w:val="20"/>
          <w:color w:val="auto"/>
        </w:rPr>
      </w:pPr>
    </w:p>
    <w:p>
      <w:pPr>
        <w:ind w:left="100" w:right="78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32" w:name="page133"/>
    <w:bookmarkEnd w:id="132"/>
    <w:p>
      <w:pPr>
        <w:jc w:val="both"/>
        <w:ind w:left="100" w:firstLine="74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and “</w:t>
      </w:r>
      <w:r>
        <w:rPr>
          <w:rFonts w:ascii="Arial" w:cs="Arial" w:eastAsia="Arial" w:hAnsi="Arial"/>
          <w:sz w:val="20"/>
          <w:szCs w:val="20"/>
          <w:u w:val="single" w:color="auto"/>
          <w:color w:val="auto"/>
        </w:rPr>
        <w:t>Borrowers</w:t>
      </w:r>
      <w:r>
        <w:rPr>
          <w:rFonts w:ascii="Arial" w:cs="Arial" w:eastAsia="Arial" w:hAnsi="Arial"/>
          <w:sz w:val="20"/>
          <w:szCs w:val="20"/>
          <w:color w:val="auto"/>
        </w:rPr>
        <w:t>” each has the meaning specified in the introductory paragraph hereto.</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2" w:lineRule="exact"/>
        <w:rPr>
          <w:sz w:val="20"/>
          <w:szCs w:val="20"/>
          <w:color w:val="auto"/>
        </w:rPr>
      </w:pPr>
    </w:p>
    <w:p>
      <w:pPr>
        <w:ind w:left="100" w:right="76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Revolving Credit Borrowing, a Swing Line Borrowing or a Term Loan Borrowing, as the context may require.</w:t>
      </w:r>
    </w:p>
    <w:p>
      <w:pPr>
        <w:spacing w:after="0" w:line="163" w:lineRule="exact"/>
        <w:rPr>
          <w:sz w:val="20"/>
          <w:szCs w:val="20"/>
          <w:color w:val="auto"/>
        </w:rPr>
      </w:pPr>
    </w:p>
    <w:p>
      <w:pPr>
        <w:ind w:left="100" w:right="2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153" w:lineRule="exact"/>
        <w:rPr>
          <w:sz w:val="20"/>
          <w:szCs w:val="20"/>
          <w:color w:val="auto"/>
        </w:rPr>
      </w:pPr>
    </w:p>
    <w:p>
      <w:pPr>
        <w:jc w:val="both"/>
        <w:ind w:left="840" w:firstLine="749"/>
        <w:spacing w:after="0" w:line="234" w:lineRule="auto"/>
        <w:tabs>
          <w:tab w:leader="none" w:pos="2327" w:val="left"/>
        </w:tabs>
        <w:numPr>
          <w:ilvl w:val="0"/>
          <w:numId w:val="83"/>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83" w:lineRule="exact"/>
        <w:rPr>
          <w:rFonts w:ascii="Arial" w:cs="Arial" w:eastAsia="Arial" w:hAnsi="Arial"/>
          <w:sz w:val="20"/>
          <w:szCs w:val="20"/>
          <w:color w:val="auto"/>
        </w:rPr>
      </w:pPr>
    </w:p>
    <w:p>
      <w:pPr>
        <w:jc w:val="both"/>
        <w:ind w:left="840" w:firstLine="750"/>
        <w:spacing w:after="0" w:line="237" w:lineRule="auto"/>
        <w:tabs>
          <w:tab w:leader="none" w:pos="2328" w:val="left"/>
        </w:tabs>
        <w:numPr>
          <w:ilvl w:val="0"/>
          <w:numId w:val="83"/>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196" w:lineRule="exact"/>
        <w:rPr>
          <w:rFonts w:ascii="Arial" w:cs="Arial" w:eastAsia="Arial" w:hAnsi="Arial"/>
          <w:sz w:val="20"/>
          <w:szCs w:val="20"/>
          <w:color w:val="auto"/>
        </w:rPr>
      </w:pPr>
    </w:p>
    <w:p>
      <w:pPr>
        <w:jc w:val="both"/>
        <w:ind w:left="840" w:firstLine="749"/>
        <w:spacing w:after="0" w:line="232" w:lineRule="auto"/>
        <w:tabs>
          <w:tab w:leader="none" w:pos="2327" w:val="left"/>
        </w:tabs>
        <w:numPr>
          <w:ilvl w:val="0"/>
          <w:numId w:val="83"/>
        </w:numPr>
        <w:rPr>
          <w:rFonts w:ascii="Arial" w:cs="Arial" w:eastAsia="Arial" w:hAnsi="Arial"/>
          <w:sz w:val="20"/>
          <w:szCs w:val="20"/>
          <w:color w:val="auto"/>
        </w:rPr>
      </w:pPr>
      <w:r>
        <w:rPr>
          <w:rFonts w:ascii="Arial" w:cs="Arial" w:eastAsia="Arial" w:hAnsi="Arial"/>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w:t>
      </w:r>
      <w:r>
        <w:rPr>
          <w:rFonts w:ascii="Arial" w:cs="Arial" w:eastAsia="Arial" w:hAnsi="Arial"/>
          <w:sz w:val="20"/>
          <w:szCs w:val="20"/>
          <w:color w:val="auto"/>
        </w:rPr>
        <w:t>” and “</w:t>
      </w:r>
      <w:r>
        <w:rPr>
          <w:rFonts w:ascii="Arial" w:cs="Arial" w:eastAsia="Arial" w:hAnsi="Arial"/>
          <w:sz w:val="20"/>
          <w:szCs w:val="20"/>
          <w:u w:val="single" w:color="auto"/>
          <w:color w:val="auto"/>
        </w:rPr>
        <w:t>C$</w:t>
      </w:r>
      <w:r>
        <w:rPr>
          <w:rFonts w:ascii="Arial" w:cs="Arial" w:eastAsia="Arial" w:hAnsi="Arial"/>
          <w:sz w:val="20"/>
          <w:szCs w:val="20"/>
          <w:color w:val="auto"/>
        </w:rPr>
        <w:t>” mean the lawful currency of Canada.</w:t>
      </w:r>
    </w:p>
    <w:p>
      <w:pPr>
        <w:spacing w:after="0" w:line="202"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Expenditures</w:t>
      </w:r>
      <w:r>
        <w:rPr>
          <w:rFonts w:ascii="Arial" w:cs="Arial" w:eastAsia="Arial" w:hAnsi="Arial"/>
          <w:sz w:val="20"/>
          <w:szCs w:val="20"/>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83"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 L/C Issuers, the Revolving Credit Lenders or PSLOC Banks, as collateral for L/C Obligations, Secured Permitted Standalone Letters of Credit or obligations of the Revolving Credit Lenders to fund participations in respect of L/C Obligations, cash or deposit account balances or, if the Administrative Agent and the L/C Issuers shall agree in their sole discretion, other credit support, in each case pursuant to documentation in form and substance reasonably satisfactory to (a) the Administrative Agent and (b) the L/C Issuers. “Cash Collateral” shall have a meaning correlative to the foregoing and shall include the proceeds of such cash collateral and other credit support.</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means any of the following types of Investments: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90" w:right="479" w:bottom="1440" w:gutter="0" w:footer="0" w:header="0"/>
        </w:sectPr>
      </w:pPr>
    </w:p>
    <w:bookmarkStart w:id="133" w:name="page134"/>
    <w:bookmarkEnd w:id="133"/>
    <w:p>
      <w:pPr>
        <w:jc w:val="both"/>
        <w:ind w:left="100" w:right="20" w:firstLine="741"/>
        <w:spacing w:after="0" w:line="237" w:lineRule="auto"/>
        <w:tabs>
          <w:tab w:leader="none" w:pos="1586"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readily marketable obligations issued or directly and fully guaranteed or insured by the United States or any agency or instrumentality thereof having maturities of not more than 360 days from the date of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full faith and credit of the United States is pledged in support thereof;</w:t>
      </w:r>
    </w:p>
    <w:p>
      <w:pPr>
        <w:spacing w:after="0" w:line="182" w:lineRule="exact"/>
        <w:rPr>
          <w:rFonts w:ascii="Arial" w:cs="Arial" w:eastAsia="Arial" w:hAnsi="Arial"/>
          <w:sz w:val="20"/>
          <w:szCs w:val="20"/>
          <w:color w:val="auto"/>
        </w:rPr>
      </w:pPr>
    </w:p>
    <w:p>
      <w:pPr>
        <w:jc w:val="both"/>
        <w:ind w:left="100" w:firstLine="741"/>
        <w:spacing w:after="0" w:line="255" w:lineRule="auto"/>
        <w:tabs>
          <w:tab w:leader="none" w:pos="1587"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w:t>
      </w:r>
    </w:p>
    <w:p>
      <w:pPr>
        <w:ind w:left="100"/>
        <w:spacing w:after="0"/>
        <w:tabs>
          <w:tab w:leader="none" w:pos="5780" w:val="left"/>
        </w:tabs>
        <w:rPr>
          <w:sz w:val="20"/>
          <w:szCs w:val="20"/>
          <w:color w:val="auto"/>
        </w:rPr>
      </w:pPr>
      <w:r>
        <w:rPr>
          <w:rFonts w:ascii="Arial" w:cs="Arial" w:eastAsia="Arial" w:hAnsi="Arial"/>
          <w:sz w:val="20"/>
          <w:szCs w:val="20"/>
          <w:color w:val="auto"/>
        </w:rPr>
        <w:t>this definition and (iii) has combined capital and surplus of at</w:t>
      </w:r>
      <w:r>
        <w:rPr>
          <w:sz w:val="20"/>
          <w:szCs w:val="20"/>
          <w:color w:val="auto"/>
        </w:rPr>
        <w:tab/>
      </w:r>
      <w:r>
        <w:rPr>
          <w:rFonts w:ascii="Arial" w:cs="Arial" w:eastAsia="Arial" w:hAnsi="Arial"/>
          <w:sz w:val="16"/>
          <w:szCs w:val="16"/>
          <w:color w:val="auto"/>
        </w:rPr>
        <w:t>least</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$1,000,000,000, in each case with maturities of not more than 90 days from the date of acquisition thereof;</w:t>
      </w:r>
    </w:p>
    <w:p>
      <w:pPr>
        <w:spacing w:after="0" w:line="200" w:lineRule="exact"/>
        <w:rPr>
          <w:sz w:val="20"/>
          <w:szCs w:val="20"/>
          <w:color w:val="auto"/>
        </w:rPr>
      </w:pPr>
    </w:p>
    <w:p>
      <w:pPr>
        <w:jc w:val="both"/>
        <w:ind w:left="100" w:firstLine="741"/>
        <w:spacing w:after="0" w:line="237" w:lineRule="auto"/>
        <w:tabs>
          <w:tab w:leader="none" w:pos="1587" w:val="left"/>
        </w:tabs>
        <w:numPr>
          <w:ilvl w:val="0"/>
          <w:numId w:val="85"/>
        </w:numPr>
        <w:rPr>
          <w:rFonts w:ascii="Arial" w:cs="Arial" w:eastAsia="Arial" w:hAnsi="Arial"/>
          <w:sz w:val="20"/>
          <w:szCs w:val="20"/>
          <w:color w:val="auto"/>
        </w:rPr>
      </w:pPr>
      <w:r>
        <w:rPr>
          <w:rFonts w:ascii="Arial" w:cs="Arial" w:eastAsia="Arial" w:hAnsi="Arial"/>
          <w:sz w:val="20"/>
          <w:szCs w:val="20"/>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180 days from the date of acquisition thereof; and</w:t>
      </w:r>
    </w:p>
    <w:p>
      <w:pPr>
        <w:spacing w:after="0" w:line="182" w:lineRule="exact"/>
        <w:rPr>
          <w:rFonts w:ascii="Arial" w:cs="Arial" w:eastAsia="Arial" w:hAnsi="Arial"/>
          <w:sz w:val="20"/>
          <w:szCs w:val="20"/>
          <w:color w:val="auto"/>
        </w:rPr>
      </w:pPr>
    </w:p>
    <w:p>
      <w:pPr>
        <w:jc w:val="both"/>
        <w:ind w:left="100" w:firstLine="741"/>
        <w:spacing w:after="0" w:line="248" w:lineRule="auto"/>
        <w:tabs>
          <w:tab w:leader="none" w:pos="1586"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definition.</w:t>
      </w:r>
    </w:p>
    <w:p>
      <w:pPr>
        <w:spacing w:after="0" w:line="177" w:lineRule="exact"/>
        <w:rPr>
          <w:sz w:val="20"/>
          <w:szCs w:val="20"/>
          <w:color w:val="auto"/>
        </w:rPr>
      </w:pPr>
    </w:p>
    <w:p>
      <w:pPr>
        <w:jc w:val="both"/>
        <w:ind w:left="100" w:firstLine="74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 (including any Treasury Management Agreement).</w:t>
      </w:r>
    </w:p>
    <w:p>
      <w:pPr>
        <w:spacing w:after="0" w:line="159" w:lineRule="exact"/>
        <w:rPr>
          <w:sz w:val="20"/>
          <w:szCs w:val="20"/>
          <w:color w:val="auto"/>
        </w:rPr>
      </w:pPr>
    </w:p>
    <w:p>
      <w:pPr>
        <w:jc w:val="both"/>
        <w:ind w:left="100" w:firstLine="74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in its capacity as a party to a Cash Management Agreement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 (even if such Person ceases to be a Lender or such Person’s Affiliate ceased to be a Lender).</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CECO B.V.</w:t>
      </w:r>
      <w:r>
        <w:rPr>
          <w:rFonts w:ascii="Arial" w:cs="Arial" w:eastAsia="Arial" w:hAnsi="Arial"/>
          <w:sz w:val="19"/>
          <w:szCs w:val="19"/>
          <w:color w:val="auto"/>
        </w:rPr>
        <w:t>” means CECO Environmental Netherlands B.V., a private limited company incorporated in the Netherlands.</w:t>
      </w:r>
    </w:p>
    <w:p>
      <w:pPr>
        <w:spacing w:after="0" w:line="214" w:lineRule="exact"/>
        <w:rPr>
          <w:sz w:val="20"/>
          <w:szCs w:val="20"/>
          <w:color w:val="auto"/>
        </w:rPr>
      </w:pPr>
    </w:p>
    <w:p>
      <w:pPr>
        <w:jc w:val="both"/>
        <w:ind w:left="100" w:firstLine="74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Amendment No. 2 Effective Date, of any of the following: (a) the adoption, phase-in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90" w:right="499" w:bottom="1440" w:gutter="0" w:footer="0" w:header="0"/>
        </w:sectPr>
      </w:pPr>
    </w:p>
    <w:bookmarkStart w:id="134" w:name="page135"/>
    <w:bookmarkEnd w:id="134"/>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189" w:lineRule="exact"/>
        <w:rPr>
          <w:sz w:val="20"/>
          <w:szCs w:val="20"/>
          <w:color w:val="auto"/>
        </w:rPr>
      </w:pPr>
    </w:p>
    <w:p>
      <w:pPr>
        <w:jc w:val="both"/>
        <w:ind w:left="840" w:firstLine="750"/>
        <w:spacing w:after="0" w:line="229" w:lineRule="auto"/>
        <w:tabs>
          <w:tab w:leader="none" w:pos="2329"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20"/>
          <w:szCs w:val="20"/>
          <w:u w:val="single" w:color="auto"/>
          <w:color w:val="auto"/>
        </w:rPr>
        <w:t>option right</w:t>
      </w:r>
      <w:r>
        <w:rPr>
          <w:rFonts w:ascii="Arial" w:cs="Arial" w:eastAsia="Arial" w:hAnsi="Arial"/>
          <w:sz w:val="20"/>
          <w:szCs w:val="20"/>
          <w:color w:val="auto"/>
        </w:rPr>
        <w:t>”)),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198" w:lineRule="exact"/>
        <w:rPr>
          <w:rFonts w:ascii="Arial" w:cs="Arial" w:eastAsia="Arial" w:hAnsi="Arial"/>
          <w:sz w:val="20"/>
          <w:szCs w:val="20"/>
          <w:color w:val="auto"/>
        </w:rPr>
      </w:pPr>
    </w:p>
    <w:p>
      <w:pPr>
        <w:jc w:val="both"/>
        <w:ind w:left="840" w:firstLine="749"/>
        <w:spacing w:after="0" w:line="243" w:lineRule="auto"/>
        <w:tabs>
          <w:tab w:leader="none" w:pos="2329" w:val="left"/>
        </w:tabs>
        <w:numPr>
          <w:ilvl w:val="0"/>
          <w:numId w:val="86"/>
        </w:numPr>
        <w:rPr>
          <w:rFonts w:ascii="Arial" w:cs="Arial" w:eastAsia="Arial" w:hAnsi="Arial"/>
          <w:sz w:val="19"/>
          <w:szCs w:val="19"/>
          <w:color w:val="auto"/>
        </w:rPr>
      </w:pPr>
      <w:r>
        <w:rPr>
          <w:rFonts w:ascii="Arial" w:cs="Arial" w:eastAsia="Arial" w:hAnsi="Arial"/>
          <w:sz w:val="19"/>
          <w:szCs w:val="19"/>
          <w:color w:val="auto"/>
        </w:rPr>
        <w:t xml:space="preserve">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constituting at the time of such election or nomination at least a majority of that board or equivalent governing body.</w:t>
      </w:r>
    </w:p>
    <w:p>
      <w:pPr>
        <w:spacing w:after="0" w:line="179" w:lineRule="exact"/>
        <w:rPr>
          <w:sz w:val="20"/>
          <w:szCs w:val="20"/>
          <w:color w:val="auto"/>
        </w:rPr>
      </w:pPr>
    </w:p>
    <w:p>
      <w:pPr>
        <w:ind w:left="100" w:right="6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means the first date all the conditions precedent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CME</w:t>
      </w:r>
      <w:r>
        <w:rPr>
          <w:rFonts w:ascii="Arial" w:cs="Arial" w:eastAsia="Arial" w:hAnsi="Arial"/>
          <w:sz w:val="20"/>
          <w:szCs w:val="20"/>
          <w:color w:val="auto"/>
        </w:rPr>
        <w:t>” means CME Group Benchmark Administration Limited.</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189" w:lineRule="exact"/>
        <w:rPr>
          <w:sz w:val="20"/>
          <w:szCs w:val="20"/>
          <w:color w:val="auto"/>
        </w:rPr>
      </w:pPr>
    </w:p>
    <w:p>
      <w:pPr>
        <w:jc w:val="both"/>
        <w:ind w:left="10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all of the property that is or is intended under the terms of the Collateral Documents to be subject to Liens in favor of the Administrative Agent for the benefit of the Secured Parties, including all of the “Collateral” referred to therein.</w:t>
      </w:r>
    </w:p>
    <w:p>
      <w:pPr>
        <w:spacing w:after="0" w:line="139"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collectively, each Security Agreement, each Security Joinder Agreement, each Pledge Agreement, each Pledge Joinder Agreement, each Pledge Agreement Supplement and each of the other security agreements, pledge agreements, collateral assignments or other similar agreements, instruments or documents that creates or purports to create a Lien in favor of the Administrative Agent for the benefit of the Secured Parties.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Term Loan Commitment or a Revolving Credit Commitment, as the context may require.</w:t>
      </w:r>
    </w:p>
    <w:p>
      <w:pPr>
        <w:spacing w:after="0" w:line="216"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90"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w:t>
      </w:r>
      <w:r>
        <w:rPr>
          <w:rFonts w:ascii="Arial" w:cs="Arial" w:eastAsia="Arial" w:hAnsi="Arial"/>
          <w:sz w:val="20"/>
          <w:szCs w:val="20"/>
          <w:color w:val="auto"/>
        </w:rPr>
        <w:t>” means this Agreement, any Loan Document and any document, amendment, approval, consent, information, notice, certificate, request, statement, disclosure or authorization related to any Loan Document.</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specified in the introductory paragraph hereto.</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35" w:name="page136"/>
    <w:bookmarkEnd w:id="135"/>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Guaranty</w:t>
      </w:r>
      <w:r>
        <w:rPr>
          <w:rFonts w:ascii="Arial" w:cs="Arial" w:eastAsia="Arial" w:hAnsi="Arial"/>
          <w:sz w:val="20"/>
          <w:szCs w:val="20"/>
          <w:color w:val="auto"/>
        </w:rPr>
        <w:t>” means the Amended and Restated Company Guaranty Agreement dated as of the Closing Date, made by the Company in favor of the Administrative Agent for the benefit of the Secured Parties.</w:t>
      </w:r>
    </w:p>
    <w:p>
      <w:pPr>
        <w:spacing w:after="0" w:line="177" w:lineRule="exact"/>
        <w:rPr>
          <w:sz w:val="20"/>
          <w:szCs w:val="20"/>
          <w:color w:val="auto"/>
        </w:rPr>
      </w:pPr>
    </w:p>
    <w:p>
      <w:pPr>
        <w:jc w:val="both"/>
        <w:ind w:left="100" w:firstLine="747"/>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Competitor</w:t>
      </w:r>
      <w:r>
        <w:rPr>
          <w:rFonts w:ascii="Arial" w:cs="Arial" w:eastAsia="Arial" w:hAnsi="Arial"/>
          <w:sz w:val="19"/>
          <w:szCs w:val="19"/>
          <w:color w:val="auto"/>
        </w:rPr>
        <w:t>” means (a) any Person (a “</w:t>
      </w:r>
      <w:r>
        <w:rPr>
          <w:rFonts w:ascii="Arial" w:cs="Arial" w:eastAsia="Arial" w:hAnsi="Arial"/>
          <w:sz w:val="19"/>
          <w:szCs w:val="19"/>
          <w:u w:val="single" w:color="auto"/>
          <w:color w:val="auto"/>
        </w:rPr>
        <w:t>Direct Competitor</w:t>
      </w:r>
      <w:r>
        <w:rPr>
          <w:rFonts w:ascii="Arial" w:cs="Arial" w:eastAsia="Arial" w:hAnsi="Arial"/>
          <w:sz w:val="19"/>
          <w:szCs w:val="19"/>
          <w:color w:val="auto"/>
        </w:rPr>
        <w:t>”) that is a bona fide direct competitor of the Company or any of its Subsidiaries in the same industry or a substantially similar industry which offers a substantially similar product or service as the Company or any of its Subsidiaries, and (b) any Person whose primary business is owning a Direct Competitor.</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02" w:lineRule="exact"/>
        <w:rPr>
          <w:sz w:val="20"/>
          <w:szCs w:val="20"/>
          <w:color w:val="auto"/>
        </w:rPr>
      </w:pPr>
    </w:p>
    <w:p>
      <w:pPr>
        <w:jc w:val="both"/>
        <w:ind w:left="100" w:firstLine="74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Changes</w:t>
      </w:r>
      <w:r>
        <w:rPr>
          <w:rFonts w:ascii="Arial" w:cs="Arial" w:eastAsia="Arial" w:hAnsi="Arial"/>
          <w:sz w:val="18"/>
          <w:szCs w:val="18"/>
          <w:color w:val="auto"/>
        </w:rPr>
        <w:t>” means, with respect to the use, administration of or any conventions associated with SOFR, SONIA or any proposed Successor Rate for an Agreed Currency, Daily Simple SOFR or Term SOFR, as applicable, any conforming changes to the definitions of “Base Rate”, “SOFR”, “SONIA”, “Daily Simple SOFR”, “Term SOFR”, “Interest Period”, timing and frequency of determining rates and making payments of interest and other technical, administrative or operational matters (including, for the avoidance of doubt, the definition of “Business Day”,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73"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90"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xml:space="preserve">” means, for any period, for the Company and its Restricted Subsidiaries on a consolidated basis, subject to </w:t>
      </w:r>
      <w:r>
        <w:rPr>
          <w:rFonts w:ascii="Arial" w:cs="Arial" w:eastAsia="Arial" w:hAnsi="Arial"/>
          <w:sz w:val="20"/>
          <w:szCs w:val="20"/>
          <w:u w:val="single" w:color="auto"/>
          <w:color w:val="auto"/>
        </w:rPr>
        <w:t>Section 1.07</w:t>
      </w:r>
      <w:r>
        <w:rPr>
          <w:rFonts w:ascii="Arial" w:cs="Arial" w:eastAsia="Arial" w:hAnsi="Arial"/>
          <w:sz w:val="20"/>
          <w:szCs w:val="20"/>
          <w:color w:val="auto"/>
        </w:rPr>
        <w:t>, an amount equal to:</w:t>
      </w:r>
    </w:p>
    <w:p>
      <w:pPr>
        <w:spacing w:after="0" w:line="271" w:lineRule="exact"/>
        <w:rPr>
          <w:sz w:val="20"/>
          <w:szCs w:val="20"/>
          <w:color w:val="auto"/>
        </w:rPr>
      </w:pPr>
    </w:p>
    <w:p>
      <w:pPr>
        <w:ind w:left="1580"/>
        <w:spacing w:after="0"/>
        <w:rPr>
          <w:sz w:val="20"/>
          <w:szCs w:val="20"/>
          <w:color w:val="auto"/>
        </w:rPr>
      </w:pPr>
      <w:r>
        <w:rPr>
          <w:rFonts w:ascii="Arial" w:cs="Arial" w:eastAsia="Arial" w:hAnsi="Arial"/>
          <w:sz w:val="20"/>
          <w:szCs w:val="20"/>
          <w:color w:val="auto"/>
        </w:rPr>
        <w:t xml:space="preserve">(a)Consolidated Net Income for such period, </w:t>
      </w:r>
      <w:r>
        <w:rPr>
          <w:rFonts w:ascii="Arial" w:cs="Arial" w:eastAsia="Arial" w:hAnsi="Arial"/>
          <w:sz w:val="20"/>
          <w:szCs w:val="20"/>
          <w:u w:val="single" w:color="auto"/>
          <w:color w:val="auto"/>
        </w:rPr>
        <w:t>plus</w:t>
      </w:r>
    </w:p>
    <w:p>
      <w:pPr>
        <w:spacing w:after="0" w:line="108" w:lineRule="exact"/>
        <w:rPr>
          <w:sz w:val="20"/>
          <w:szCs w:val="20"/>
          <w:color w:val="auto"/>
        </w:rPr>
      </w:pPr>
    </w:p>
    <w:p>
      <w:pPr>
        <w:ind w:left="2320" w:hanging="731"/>
        <w:spacing w:after="0"/>
        <w:tabs>
          <w:tab w:leader="none" w:pos="23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following to the extent deducted in calculating such Consolidated Net Income (without duplication):</w:t>
      </w:r>
    </w:p>
    <w:p>
      <w:pPr>
        <w:spacing w:after="0" w:line="227" w:lineRule="exact"/>
        <w:rPr>
          <w:rFonts w:ascii="Arial" w:cs="Arial" w:eastAsia="Arial" w:hAnsi="Arial"/>
          <w:sz w:val="19"/>
          <w:szCs w:val="19"/>
          <w:color w:val="auto"/>
        </w:rPr>
      </w:pPr>
    </w:p>
    <w:p>
      <w:pPr>
        <w:ind w:left="3080" w:hanging="742"/>
        <w:spacing w:after="0"/>
        <w:tabs>
          <w:tab w:leader="none" w:pos="3080" w:val="left"/>
        </w:tabs>
        <w:numPr>
          <w:ilvl w:val="1"/>
          <w:numId w:val="87"/>
        </w:numPr>
        <w:rPr>
          <w:rFonts w:ascii="Arial" w:cs="Arial" w:eastAsia="Arial" w:hAnsi="Arial"/>
          <w:sz w:val="20"/>
          <w:szCs w:val="20"/>
          <w:color w:val="auto"/>
        </w:rPr>
      </w:pPr>
      <w:r>
        <w:rPr>
          <w:rFonts w:ascii="Arial" w:cs="Arial" w:eastAsia="Arial" w:hAnsi="Arial"/>
          <w:sz w:val="20"/>
          <w:szCs w:val="20"/>
          <w:color w:val="auto"/>
        </w:rPr>
        <w:t>Consolidated Interest Charges for such period,</w:t>
      </w:r>
    </w:p>
    <w:p>
      <w:pPr>
        <w:spacing w:after="0" w:line="215" w:lineRule="exact"/>
        <w:rPr>
          <w:rFonts w:ascii="Arial" w:cs="Arial" w:eastAsia="Arial" w:hAnsi="Arial"/>
          <w:sz w:val="20"/>
          <w:szCs w:val="20"/>
          <w:color w:val="auto"/>
        </w:rPr>
      </w:pPr>
    </w:p>
    <w:p>
      <w:pPr>
        <w:ind w:left="1580" w:firstLine="758"/>
        <w:spacing w:after="0" w:line="246" w:lineRule="auto"/>
        <w:tabs>
          <w:tab w:leader="none" w:pos="3067"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provision for Federal, state, local and foreign income taxes by the Company and its Restricted Subsidiaries for such period,</w:t>
      </w:r>
    </w:p>
    <w:p>
      <w:pPr>
        <w:spacing w:after="0" w:line="176" w:lineRule="exact"/>
        <w:rPr>
          <w:rFonts w:ascii="Arial" w:cs="Arial" w:eastAsia="Arial" w:hAnsi="Arial"/>
          <w:sz w:val="20"/>
          <w:szCs w:val="20"/>
          <w:color w:val="auto"/>
        </w:rPr>
      </w:pPr>
    </w:p>
    <w:p>
      <w:pPr>
        <w:ind w:left="3080" w:hanging="742"/>
        <w:spacing w:after="0"/>
        <w:tabs>
          <w:tab w:leader="none" w:pos="3080" w:val="left"/>
        </w:tabs>
        <w:numPr>
          <w:ilvl w:val="1"/>
          <w:numId w:val="87"/>
        </w:numPr>
        <w:rPr>
          <w:rFonts w:ascii="Arial" w:cs="Arial" w:eastAsia="Arial" w:hAnsi="Arial"/>
          <w:sz w:val="20"/>
          <w:szCs w:val="20"/>
          <w:color w:val="auto"/>
        </w:rPr>
      </w:pPr>
      <w:r>
        <w:rPr>
          <w:rFonts w:ascii="Arial" w:cs="Arial" w:eastAsia="Arial" w:hAnsi="Arial"/>
          <w:sz w:val="20"/>
          <w:szCs w:val="20"/>
          <w:color w:val="auto"/>
        </w:rPr>
        <w:t>depreciation and amortization expense for such period,</w:t>
      </w:r>
    </w:p>
    <w:p>
      <w:pPr>
        <w:spacing w:after="0" w:line="188" w:lineRule="exact"/>
        <w:rPr>
          <w:rFonts w:ascii="Arial" w:cs="Arial" w:eastAsia="Arial" w:hAnsi="Arial"/>
          <w:sz w:val="20"/>
          <w:szCs w:val="20"/>
          <w:color w:val="auto"/>
        </w:rPr>
      </w:pPr>
    </w:p>
    <w:p>
      <w:pPr>
        <w:ind w:left="1580" w:firstLine="758"/>
        <w:spacing w:after="0" w:line="246" w:lineRule="auto"/>
        <w:tabs>
          <w:tab w:leader="none" w:pos="3068" w:val="left"/>
        </w:tabs>
        <w:numPr>
          <w:ilvl w:val="1"/>
          <w:numId w:val="87"/>
        </w:numPr>
        <w:rPr>
          <w:rFonts w:ascii="Arial" w:cs="Arial" w:eastAsia="Arial" w:hAnsi="Arial"/>
          <w:sz w:val="20"/>
          <w:szCs w:val="20"/>
          <w:color w:val="auto"/>
        </w:rPr>
      </w:pPr>
      <w:r>
        <w:rPr>
          <w:rFonts w:ascii="Arial" w:cs="Arial" w:eastAsia="Arial" w:hAnsi="Arial"/>
          <w:sz w:val="20"/>
          <w:szCs w:val="20"/>
          <w:color w:val="auto"/>
        </w:rPr>
        <w:t>any “earn-out” or deferred purchase price and similar expenses in connection with Investments permitted hereby that reduced Consolidated Net Income for such period,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36" w:name="page137"/>
    <w:bookmarkEnd w:id="136"/>
    <w:p>
      <w:pPr>
        <w:jc w:val="both"/>
        <w:ind w:left="1580" w:firstLine="758"/>
        <w:spacing w:after="0" w:line="244" w:lineRule="auto"/>
        <w:tabs>
          <w:tab w:leader="none" w:pos="3069"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non-recurring cash expenses (including, without limitation, as part of a restructuring, business optimization, consolidation, relocation or integration);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permitted to be added back pursuant to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with respect to any particular period of four consecutive fiscal quarters shall not exceed the greater of (A) $5,000,000 or (B) 10% of Consolidated EBITDA for such period (calculated without giving effect to this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1.07(b)</w:t>
      </w:r>
      <w:r>
        <w:rPr>
          <w:rFonts w:ascii="Arial" w:cs="Arial" w:eastAsia="Arial" w:hAnsi="Arial"/>
          <w:sz w:val="19"/>
          <w:szCs w:val="19"/>
          <w:color w:val="auto"/>
        </w:rPr>
        <w:t xml:space="preserve"> or the last paragraph of this definition which deems Consolidated EBITDA to be a certain amount for certain fiscal quarters),</w:t>
      </w:r>
    </w:p>
    <w:p>
      <w:pPr>
        <w:spacing w:after="0" w:line="165" w:lineRule="exact"/>
        <w:rPr>
          <w:rFonts w:ascii="Arial" w:cs="Arial" w:eastAsia="Arial" w:hAnsi="Arial"/>
          <w:sz w:val="19"/>
          <w:szCs w:val="19"/>
          <w:color w:val="auto"/>
        </w:rPr>
      </w:pPr>
    </w:p>
    <w:p>
      <w:pPr>
        <w:jc w:val="both"/>
        <w:ind w:left="1580" w:firstLine="758"/>
        <w:spacing w:after="0" w:line="237" w:lineRule="auto"/>
        <w:tabs>
          <w:tab w:leader="none" w:pos="3068"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expenses associated with foreign exchange remeasurements;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permitted to be added back pursuant to this </w:t>
      </w:r>
      <w:r>
        <w:rPr>
          <w:rFonts w:ascii="Arial" w:cs="Arial" w:eastAsia="Arial" w:hAnsi="Arial"/>
          <w:sz w:val="20"/>
          <w:szCs w:val="20"/>
          <w:u w:val="single" w:color="auto"/>
          <w:color w:val="auto"/>
        </w:rPr>
        <w:t>clause (vi)</w:t>
      </w:r>
      <w:r>
        <w:rPr>
          <w:rFonts w:ascii="Arial" w:cs="Arial" w:eastAsia="Arial" w:hAnsi="Arial"/>
          <w:sz w:val="20"/>
          <w:szCs w:val="20"/>
          <w:color w:val="auto"/>
        </w:rPr>
        <w:t xml:space="preserve"> with respect to any particular period of four consecutive fiscal quarters shall not exceed $1,000,000,</w:t>
      </w:r>
    </w:p>
    <w:p>
      <w:pPr>
        <w:spacing w:after="0" w:line="182" w:lineRule="exact"/>
        <w:rPr>
          <w:rFonts w:ascii="Arial" w:cs="Arial" w:eastAsia="Arial" w:hAnsi="Arial"/>
          <w:sz w:val="20"/>
          <w:szCs w:val="20"/>
          <w:color w:val="auto"/>
        </w:rPr>
      </w:pPr>
    </w:p>
    <w:p>
      <w:pPr>
        <w:jc w:val="both"/>
        <w:ind w:left="1580" w:firstLine="758"/>
        <w:spacing w:after="0" w:line="275" w:lineRule="auto"/>
        <w:tabs>
          <w:tab w:leader="none" w:pos="3068"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items reducing Consolidated Net Income that do not constitute a cash charge or cash expense in such period or in any future period, including, without limitation, goodwill impairment charges, stock compensation or other stock related charges (excluding amortization of a prepaid cash item that was paid in a prior period),</w:t>
      </w:r>
    </w:p>
    <w:p>
      <w:pPr>
        <w:spacing w:after="0" w:line="152" w:lineRule="exact"/>
        <w:rPr>
          <w:rFonts w:ascii="Arial" w:cs="Arial" w:eastAsia="Arial" w:hAnsi="Arial"/>
          <w:sz w:val="18"/>
          <w:szCs w:val="18"/>
          <w:color w:val="auto"/>
        </w:rPr>
      </w:pPr>
    </w:p>
    <w:p>
      <w:pPr>
        <w:ind w:left="1580" w:firstLine="758"/>
        <w:spacing w:after="0" w:line="246" w:lineRule="auto"/>
        <w:tabs>
          <w:tab w:leader="none" w:pos="3068" w:val="left"/>
        </w:tabs>
        <w:numPr>
          <w:ilvl w:val="0"/>
          <w:numId w:val="88"/>
        </w:numPr>
        <w:rPr>
          <w:rFonts w:ascii="Arial" w:cs="Arial" w:eastAsia="Arial" w:hAnsi="Arial"/>
          <w:sz w:val="20"/>
          <w:szCs w:val="20"/>
          <w:color w:val="auto"/>
        </w:rPr>
      </w:pPr>
      <w:r>
        <w:rPr>
          <w:rFonts w:ascii="Arial" w:cs="Arial" w:eastAsia="Arial" w:hAnsi="Arial"/>
          <w:sz w:val="20"/>
          <w:szCs w:val="20"/>
          <w:color w:val="auto"/>
        </w:rPr>
        <w:t>fees, costs and expenses incurred in connection with this Agreement and the transactions contemplated hereby,</w:t>
      </w:r>
    </w:p>
    <w:p>
      <w:pPr>
        <w:spacing w:after="0" w:line="190" w:lineRule="exact"/>
        <w:rPr>
          <w:rFonts w:ascii="Arial" w:cs="Arial" w:eastAsia="Arial" w:hAnsi="Arial"/>
          <w:sz w:val="20"/>
          <w:szCs w:val="20"/>
          <w:color w:val="auto"/>
        </w:rPr>
      </w:pPr>
    </w:p>
    <w:p>
      <w:pPr>
        <w:jc w:val="both"/>
        <w:ind w:left="1580" w:firstLine="758"/>
        <w:spacing w:after="0" w:line="234" w:lineRule="auto"/>
        <w:tabs>
          <w:tab w:leader="none" w:pos="3068" w:val="left"/>
        </w:tabs>
        <w:numPr>
          <w:ilvl w:val="0"/>
          <w:numId w:val="88"/>
        </w:numPr>
        <w:rPr>
          <w:rFonts w:ascii="Arial" w:cs="Arial" w:eastAsia="Arial" w:hAnsi="Arial"/>
          <w:sz w:val="20"/>
          <w:szCs w:val="20"/>
          <w:color w:val="auto"/>
        </w:rPr>
      </w:pPr>
      <w:r>
        <w:rPr>
          <w:rFonts w:ascii="Arial" w:cs="Arial" w:eastAsia="Arial" w:hAnsi="Arial"/>
          <w:sz w:val="20"/>
          <w:szCs w:val="20"/>
          <w:color w:val="auto"/>
        </w:rPr>
        <w:t>non-recurring charges, costs and expenses incurred in connection with proposed or closed Dispositions, Acquisitions or Investments (including, without limitation, legal costs and accounting fees), incurrence of Indebtedness or issuance of Equity Interests (in each case, whether or not consummated), including amendments thereof, and</w:t>
      </w:r>
    </w:p>
    <w:p>
      <w:pPr>
        <w:spacing w:after="0" w:line="183" w:lineRule="exact"/>
        <w:rPr>
          <w:rFonts w:ascii="Arial" w:cs="Arial" w:eastAsia="Arial" w:hAnsi="Arial"/>
          <w:sz w:val="20"/>
          <w:szCs w:val="20"/>
          <w:color w:val="auto"/>
        </w:rPr>
      </w:pPr>
    </w:p>
    <w:p>
      <w:pPr>
        <w:jc w:val="both"/>
        <w:ind w:left="1580" w:firstLine="758"/>
        <w:spacing w:after="0" w:line="237" w:lineRule="auto"/>
        <w:tabs>
          <w:tab w:leader="none" w:pos="3068" w:val="left"/>
        </w:tabs>
        <w:numPr>
          <w:ilvl w:val="0"/>
          <w:numId w:val="88"/>
        </w:numPr>
        <w:rPr>
          <w:rFonts w:ascii="Arial" w:cs="Arial" w:eastAsia="Arial" w:hAnsi="Arial"/>
          <w:sz w:val="20"/>
          <w:szCs w:val="20"/>
          <w:color w:val="auto"/>
        </w:rPr>
      </w:pPr>
      <w:r>
        <w:rPr>
          <w:rFonts w:ascii="Arial" w:cs="Arial" w:eastAsia="Arial" w:hAnsi="Arial"/>
          <w:sz w:val="20"/>
          <w:szCs w:val="20"/>
          <w:color w:val="auto"/>
        </w:rPr>
        <w:t>deferred financing costs written off and premiums paid in connection with the any early extinguishment or conversion of Indebtedness, Swap Contracts or other derivative instruments (including deferred financing expenses written off and premiums paid),</w:t>
      </w:r>
    </w:p>
    <w:p>
      <w:pPr>
        <w:spacing w:after="0" w:line="183" w:lineRule="exact"/>
        <w:rPr>
          <w:sz w:val="20"/>
          <w:szCs w:val="20"/>
          <w:color w:val="auto"/>
        </w:rPr>
      </w:pPr>
    </w:p>
    <w:p>
      <w:pPr>
        <w:ind w:left="1580"/>
        <w:spacing w:after="0"/>
        <w:rPr>
          <w:sz w:val="20"/>
          <w:szCs w:val="20"/>
          <w:color w:val="auto"/>
        </w:rPr>
      </w:pPr>
      <w:r>
        <w:rPr>
          <w:rFonts w:ascii="Arial" w:cs="Arial" w:eastAsia="Arial" w:hAnsi="Arial"/>
          <w:sz w:val="20"/>
          <w:szCs w:val="20"/>
          <w:u w:val="single" w:color="auto"/>
          <w:color w:val="auto"/>
        </w:rPr>
        <w:t>minus</w:t>
      </w:r>
    </w:p>
    <w:p>
      <w:pPr>
        <w:spacing w:after="0" w:line="189" w:lineRule="exact"/>
        <w:rPr>
          <w:sz w:val="20"/>
          <w:szCs w:val="20"/>
          <w:color w:val="auto"/>
        </w:rPr>
      </w:pPr>
    </w:p>
    <w:p>
      <w:pPr>
        <w:ind w:left="2340" w:hanging="751"/>
        <w:spacing w:after="0"/>
        <w:tabs>
          <w:tab w:leader="none" w:pos="23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following to the extent included in calculating such Consolidated Net Income:</w:t>
      </w:r>
    </w:p>
    <w:p>
      <w:pPr>
        <w:spacing w:after="0" w:line="215" w:lineRule="exact"/>
        <w:rPr>
          <w:rFonts w:ascii="Arial" w:cs="Arial" w:eastAsia="Arial" w:hAnsi="Arial"/>
          <w:sz w:val="20"/>
          <w:szCs w:val="20"/>
          <w:color w:val="auto"/>
        </w:rPr>
      </w:pPr>
    </w:p>
    <w:p>
      <w:pPr>
        <w:ind w:left="3080" w:hanging="742"/>
        <w:spacing w:after="0"/>
        <w:tabs>
          <w:tab w:leader="none" w:pos="30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Federal, state, local and foreign income tax credits of the Company and its Restricted Subsidiaries</w:t>
      </w:r>
    </w:p>
    <w:p>
      <w:pPr>
        <w:spacing w:after="0" w:line="25"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20"/>
          <w:szCs w:val="20"/>
          <w:color w:val="auto"/>
        </w:rPr>
        <w:t>for such period,</w:t>
      </w:r>
    </w:p>
    <w:p>
      <w:pPr>
        <w:spacing w:after="0" w:line="186" w:lineRule="exact"/>
        <w:rPr>
          <w:rFonts w:ascii="Arial" w:cs="Arial" w:eastAsia="Arial" w:hAnsi="Arial"/>
          <w:sz w:val="18"/>
          <w:szCs w:val="18"/>
          <w:color w:val="auto"/>
        </w:rPr>
      </w:pPr>
    </w:p>
    <w:p>
      <w:pPr>
        <w:ind w:left="3080" w:hanging="742"/>
        <w:spacing w:after="0"/>
        <w:tabs>
          <w:tab w:leader="none" w:pos="3080" w:val="left"/>
        </w:tabs>
        <w:numPr>
          <w:ilvl w:val="1"/>
          <w:numId w:val="89"/>
        </w:numPr>
        <w:rPr>
          <w:rFonts w:ascii="Arial" w:cs="Arial" w:eastAsia="Arial" w:hAnsi="Arial"/>
          <w:sz w:val="20"/>
          <w:szCs w:val="20"/>
          <w:color w:val="auto"/>
        </w:rPr>
      </w:pPr>
      <w:r>
        <w:rPr>
          <w:rFonts w:ascii="Arial" w:cs="Arial" w:eastAsia="Arial" w:hAnsi="Arial"/>
          <w:sz w:val="20"/>
          <w:szCs w:val="20"/>
          <w:color w:val="auto"/>
        </w:rPr>
        <w:t>any gain or benefit associated with foreign exchange remeasurements, and</w:t>
      </w:r>
    </w:p>
    <w:p>
      <w:pPr>
        <w:spacing w:after="0" w:line="188" w:lineRule="exact"/>
        <w:rPr>
          <w:rFonts w:ascii="Arial" w:cs="Arial" w:eastAsia="Arial" w:hAnsi="Arial"/>
          <w:sz w:val="20"/>
          <w:szCs w:val="20"/>
          <w:color w:val="auto"/>
        </w:rPr>
      </w:pPr>
    </w:p>
    <w:p>
      <w:pPr>
        <w:ind w:left="3080" w:hanging="742"/>
        <w:spacing w:after="0"/>
        <w:tabs>
          <w:tab w:leader="none" w:pos="3080" w:val="left"/>
        </w:tabs>
        <w:numPr>
          <w:ilvl w:val="1"/>
          <w:numId w:val="89"/>
        </w:numPr>
        <w:rPr>
          <w:rFonts w:ascii="Arial" w:cs="Arial" w:eastAsia="Arial" w:hAnsi="Arial"/>
          <w:sz w:val="20"/>
          <w:szCs w:val="20"/>
          <w:color w:val="auto"/>
        </w:rPr>
      </w:pPr>
      <w:r>
        <w:rPr>
          <w:rFonts w:ascii="Arial" w:cs="Arial" w:eastAsia="Arial" w:hAnsi="Arial"/>
          <w:sz w:val="20"/>
          <w:szCs w:val="20"/>
          <w:color w:val="auto"/>
        </w:rPr>
        <w:t>all non-cash items increasing Consolidated Net Income for such period.</w:t>
      </w:r>
    </w:p>
    <w:p>
      <w:pPr>
        <w:spacing w:after="0" w:line="216" w:lineRule="exact"/>
        <w:rPr>
          <w:sz w:val="20"/>
          <w:szCs w:val="20"/>
          <w:color w:val="auto"/>
        </w:rPr>
      </w:pPr>
    </w:p>
    <w:p>
      <w:pPr>
        <w:jc w:val="both"/>
        <w:ind w:left="100"/>
        <w:spacing w:after="0" w:line="241" w:lineRule="auto"/>
        <w:rPr>
          <w:sz w:val="20"/>
          <w:szCs w:val="20"/>
          <w:color w:val="auto"/>
        </w:rPr>
      </w:pPr>
      <w:r>
        <w:rPr>
          <w:rFonts w:ascii="Arial" w:cs="Arial" w:eastAsia="Arial" w:hAnsi="Arial"/>
          <w:sz w:val="19"/>
          <w:szCs w:val="19"/>
          <w:color w:val="auto"/>
        </w:rPr>
        <w:t xml:space="preserve">Notwithstanding the foregoing, solely for purposes of determining compliance with the maintenance financial covenants pursuant to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and not for any other purpose (including, without limitation, any incurrence tests or determining the Applicable Rate), for each four-quarter period ending next following the consummation of the General Rubber Joint Venture Investment, Consolidated EBITDA shall be increased by an amount equal to (a) $3,500,000, in the case of the first such four-quarter period, (b)</w:t>
      </w:r>
    </w:p>
    <w:p>
      <w:pPr>
        <w:spacing w:after="0" w:line="2" w:lineRule="exact"/>
        <w:rPr>
          <w:sz w:val="20"/>
          <w:szCs w:val="20"/>
          <w:color w:val="auto"/>
        </w:rPr>
      </w:pPr>
    </w:p>
    <w:p>
      <w:pPr>
        <w:jc w:val="both"/>
        <w:ind w:left="100"/>
        <w:spacing w:after="0" w:line="230" w:lineRule="auto"/>
        <w:rPr>
          <w:sz w:val="20"/>
          <w:szCs w:val="20"/>
          <w:color w:val="auto"/>
        </w:rPr>
      </w:pPr>
      <w:r>
        <w:rPr>
          <w:rFonts w:ascii="Arial" w:cs="Arial" w:eastAsia="Arial" w:hAnsi="Arial"/>
          <w:sz w:val="20"/>
          <w:szCs w:val="20"/>
          <w:color w:val="auto"/>
        </w:rPr>
        <w:t>$2,625,000, in the case of the second such four-quarter period, (c) $1,750,000, in the case of the third such four-quarter period and (d) $875,000, in the fourth such four-quarter period, in each case net of any cash dividends or distributions received by the Company or any of its Restricted Subsidiaries on account of the General Rubber Joint Venture Investment and only to the extent that the Administrative Agent has</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37" w:name="page138"/>
    <w:bookmarkEnd w:id="137"/>
    <w:p>
      <w:pPr>
        <w:jc w:val="both"/>
        <w:ind w:left="100"/>
        <w:spacing w:after="0" w:line="232" w:lineRule="auto"/>
        <w:rPr>
          <w:sz w:val="20"/>
          <w:szCs w:val="20"/>
          <w:color w:val="auto"/>
        </w:rPr>
      </w:pPr>
      <w:r>
        <w:rPr>
          <w:rFonts w:ascii="Arial" w:cs="Arial" w:eastAsia="Arial" w:hAnsi="Arial"/>
          <w:sz w:val="20"/>
          <w:szCs w:val="20"/>
          <w:color w:val="auto"/>
        </w:rPr>
        <w:t>completed a reasonably satisfactory review of the final quality of earnings report with respect to the Person contemplated to be acquired with the proceeds of the General Rubber Joint Venture Investment and the results of the relevant joint venture are not otherwise included in the results of the Company and its Restricted Subsidiaries (e.g. the joint venture entity is a Restricted Subsidiary); it being agreed and acknowledged that the form and scope of the draft quality of earnings report shared with the Administrative Agent on December 6, 2021 is reasonably satisfactory to the Administrative Agent.</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means, as of any date of determination, the ratio of</w:t>
      </w:r>
    </w:p>
    <w:p>
      <w:pPr>
        <w:spacing w:after="0" w:line="2" w:lineRule="exact"/>
        <w:rPr>
          <w:sz w:val="20"/>
          <w:szCs w:val="20"/>
          <w:color w:val="auto"/>
        </w:rPr>
      </w:pPr>
    </w:p>
    <w:p>
      <w:pPr>
        <w:jc w:val="both"/>
        <w:ind w:left="100" w:hanging="9"/>
        <w:spacing w:after="0"/>
        <w:tabs>
          <w:tab w:leader="none" w:pos="422"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remainder of (i) Consolidated EBITDA for the period of the four fiscal quarters most recently ended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Capital Expenditures during such period (excluding (A) Capital Expenditures constituting payments in respect of capital leases and Capital Expenditures financed by Indebtedness permitted hereunder, (B) amounts expended as consideration for Acquisitions permitted hereunder to the extent such amounts would otherwise be included as Capital Expenditures and (C) Capital Expenditures paid for with proceeds of casualty insurance as evidenced in writing and submitted to the Administrative Agent together with any Compliance Certificate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Federal, state, localand foreign income taxes paid by the Company and its Restricted Subsidiaries during such period to (b) Consolidated Fixed Charges for such period.</w:t>
      </w:r>
    </w:p>
    <w:p>
      <w:pPr>
        <w:spacing w:after="0" w:line="196" w:lineRule="exact"/>
        <w:rPr>
          <w:sz w:val="20"/>
          <w:szCs w:val="20"/>
          <w:color w:val="auto"/>
        </w:rPr>
      </w:pPr>
    </w:p>
    <w:p>
      <w:pPr>
        <w:jc w:val="both"/>
        <w:ind w:left="100" w:firstLine="74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Charges</w:t>
      </w:r>
      <w:r>
        <w:rPr>
          <w:rFonts w:ascii="Arial" w:cs="Arial" w:eastAsia="Arial" w:hAnsi="Arial"/>
          <w:sz w:val="18"/>
          <w:szCs w:val="18"/>
          <w:color w:val="auto"/>
        </w:rPr>
        <w:t xml:space="preserve">” means, for any period, for the Company and its Restricted Subsidiaries on a consolidated basis, the sum of (a) Consolidated Interest Charges paid in cash during such period, (b) scheduled principal payments of Consolidated Funded Indebtedness during such period (it being acknowledged and agreed that, solely for purposes of calculating the foregoing, (i) scheduled principal payments of Consolidated Funded Indebtedness (other than in respect of the Term Loans) shall be those originally scheduled either at the time of incurrence of such Consolidated Funded Indebtedness or as subsequently modified by an agreement expressly modifying such originally scheduled principal payments (without giving effect to any reduction in such originally scheduled principal payments as a result of the application of any principal prepayments) and (ii) scheduled principal payments of the Term Loans shall be those set forth on </w:t>
      </w:r>
      <w:r>
        <w:rPr>
          <w:rFonts w:ascii="Arial" w:cs="Arial" w:eastAsia="Arial" w:hAnsi="Arial"/>
          <w:sz w:val="18"/>
          <w:szCs w:val="18"/>
          <w:u w:val="single" w:color="auto"/>
          <w:color w:val="auto"/>
        </w:rPr>
        <w:t>Schedule 2.07(a)</w:t>
      </w:r>
      <w:r>
        <w:rPr>
          <w:rFonts w:ascii="Arial" w:cs="Arial" w:eastAsia="Arial" w:hAnsi="Arial"/>
          <w:sz w:val="18"/>
          <w:szCs w:val="18"/>
          <w:color w:val="auto"/>
        </w:rPr>
        <w:t xml:space="preserve"> as of the Amendment No. 2 Effective Date, except that, to the extent any prepayment of the Term Loans is made after the Amendment No. 2 Effective Date, such scheduled principal payments shall be reduced by an amount equal to the lesser of (A) the actual reduction to such scheduled principal payments from such prepayment and (B) the amount by which such scheduled principal payment would have been reduced if the prepayment had been applied on a pro rata basis to all remaining scheduled principal payments (including the final payment due at maturity) of the Term Loans (regardless of the actual application of such prepayment), (c) dividends and distributions paid in cash by the Company to its shareholders or cash redemptions by the Company of its Equity Interests during such period and (d) any “earn-out” or deferred purchase price and similar payments in connection with Investments that are paid in cash during such period.</w:t>
      </w:r>
    </w:p>
    <w:p>
      <w:pPr>
        <w:spacing w:after="0" w:line="170" w:lineRule="exact"/>
        <w:rPr>
          <w:sz w:val="20"/>
          <w:szCs w:val="20"/>
          <w:color w:val="auto"/>
        </w:rPr>
      </w:pPr>
    </w:p>
    <w:p>
      <w:pPr>
        <w:ind w:left="100" w:firstLine="74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Funded Indebtedness</w:t>
      </w:r>
      <w:r>
        <w:rPr>
          <w:rFonts w:ascii="Arial" w:cs="Arial" w:eastAsia="Arial" w:hAnsi="Arial"/>
          <w:sz w:val="19"/>
          <w:szCs w:val="19"/>
          <w:color w:val="auto"/>
        </w:rPr>
        <w:t>” means, as of any date of determination, for the Company and its Restricted Subsidiaries on a consolidated basis, and without duplication,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(excluding from such calculation direct obligations with respect to (i) undrawn performance standby letters of credit, (ii) undrawn performance-based bankers’ acceptances and undrawn performance- based bank guarantees, (iii) performance-based surety bonds on which no claims have been asserted and (iv)undrawn letters of credit, undrawn bankers’ acceptances and undrawn bank guarantees securing customer contracts, but in all cases including (x) any payment and reimbursement obligations due in respect of the foregoing, and (y) all obligations with respect to financial standby letters of credit, bankers’ acceptances and bank guarantees or bonds providing assurance with respect to financial obligations), (d)</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38" w:name="page139"/>
    <w:bookmarkEnd w:id="138"/>
    <w:p>
      <w:pPr>
        <w:jc w:val="both"/>
        <w:ind w:left="100"/>
        <w:spacing w:after="0" w:line="284" w:lineRule="auto"/>
        <w:rPr>
          <w:sz w:val="20"/>
          <w:szCs w:val="20"/>
          <w:color w:val="auto"/>
        </w:rPr>
      </w:pPr>
      <w:r>
        <w:rPr>
          <w:rFonts w:ascii="Arial" w:cs="Arial" w:eastAsia="Arial" w:hAnsi="Arial"/>
          <w:sz w:val="16"/>
          <w:szCs w:val="16"/>
          <w:color w:val="auto"/>
        </w:rPr>
        <w:t xml:space="preserve">all obligations in respect of the deferred purchase price of property or services (other than (x) trade accounts payable in the ordinary course of business and (y) “earnout” and similar payments in connection with Acquisitions permitted hereby), (e) Attributable Indebtedness in respect of capital leases and Synthetic Lease Obligations (for the purpose of calculating the Consolidated Net Leverage Ratio only, excluding (i) the Specified Existing Capital Leases and (ii) any Attributable Indebtedness from capital leases arising from any sale-leaseback transaction permitted hereunder the Net Cash Proceeds of which are used substantially contemporaneously with the receipt thereof to prepay Term Loans hereunder pursuant to </w:t>
      </w:r>
      <w:r>
        <w:rPr>
          <w:rFonts w:ascii="Arial" w:cs="Arial" w:eastAsia="Arial" w:hAnsi="Arial"/>
          <w:sz w:val="16"/>
          <w:szCs w:val="16"/>
          <w:u w:val="single" w:color="auto"/>
          <w:color w:val="auto"/>
        </w:rPr>
        <w:t>Section 2.05(b)(i)</w:t>
      </w:r>
      <w:r>
        <w:rPr>
          <w:rFonts w:ascii="Arial" w:cs="Arial" w:eastAsia="Arial" w:hAnsi="Arial"/>
          <w:sz w:val="16"/>
          <w:szCs w:val="16"/>
          <w:color w:val="auto"/>
        </w:rPr>
        <w:t>), (f) without duplication, all Guarantees with respect to outstanding Indebtedness of the types specified in clauses (a) through (e) above of Persons other than the Company or any Restricted Subsidiary, and</w:t>
      </w:r>
    </w:p>
    <w:p>
      <w:pPr>
        <w:spacing w:after="0" w:line="4" w:lineRule="exact"/>
        <w:rPr>
          <w:sz w:val="20"/>
          <w:szCs w:val="20"/>
          <w:color w:val="auto"/>
        </w:rPr>
      </w:pPr>
    </w:p>
    <w:p>
      <w:pPr>
        <w:jc w:val="both"/>
        <w:ind w:left="100" w:hanging="9"/>
        <w:spacing w:after="0" w:line="256" w:lineRule="auto"/>
        <w:tabs>
          <w:tab w:leader="none" w:pos="3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(it being understood that any Indebtedness owed by the Company to any Restricted Subsidiary, by any Restricted Subsidiary to the Company or by any Restricted Subsidiary to another Restricted Subsidiary will be netted out for purposes of calculating Consolidated Funded Indebtedness to the extent such netting would be made when making calculations on “a consolidated basis” in accordance with GAAP).</w:t>
      </w:r>
    </w:p>
    <w:p>
      <w:pPr>
        <w:spacing w:after="0" w:line="171" w:lineRule="exact"/>
        <w:rPr>
          <w:sz w:val="20"/>
          <w:szCs w:val="20"/>
          <w:color w:val="auto"/>
        </w:rPr>
      </w:pPr>
    </w:p>
    <w:p>
      <w:pPr>
        <w:jc w:val="both"/>
        <w:ind w:left="100" w:firstLine="747"/>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Charges</w:t>
      </w:r>
      <w:r>
        <w:rPr>
          <w:rFonts w:ascii="Arial" w:cs="Arial" w:eastAsia="Arial" w:hAnsi="Arial"/>
          <w:sz w:val="20"/>
          <w:szCs w:val="20"/>
          <w:color w:val="auto"/>
        </w:rPr>
        <w:t xml:space="preserve">” means, for any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GAAP, and (b) the portion of rent expense of the Company and its Restricted Subsidiaries with respect to such period under capital leases (subject to </w:t>
      </w:r>
      <w:r>
        <w:rPr>
          <w:rFonts w:ascii="Arial" w:cs="Arial" w:eastAsia="Arial" w:hAnsi="Arial"/>
          <w:sz w:val="20"/>
          <w:szCs w:val="20"/>
          <w:u w:val="single" w:color="auto"/>
          <w:color w:val="auto"/>
        </w:rPr>
        <w:t>Section 1.03(b)</w:t>
      </w:r>
      <w:r>
        <w:rPr>
          <w:rFonts w:ascii="Arial" w:cs="Arial" w:eastAsia="Arial" w:hAnsi="Arial"/>
          <w:sz w:val="20"/>
          <w:szCs w:val="20"/>
          <w:color w:val="auto"/>
        </w:rPr>
        <w:t>) that is treated as interest in accordance with GAAP.</w:t>
      </w:r>
    </w:p>
    <w:p>
      <w:pPr>
        <w:spacing w:after="0" w:line="184" w:lineRule="exact"/>
        <w:rPr>
          <w:sz w:val="20"/>
          <w:szCs w:val="20"/>
          <w:color w:val="auto"/>
        </w:rPr>
      </w:pPr>
    </w:p>
    <w:p>
      <w:pPr>
        <w:jc w:val="both"/>
        <w:ind w:left="100" w:firstLine="74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for the Company and its Restricted Subsidiaries on a consolidated basis, subject to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the net income (or loss) of the Company and its Restricted Subsidiaries for such period determined on a consolidated basis in accordance with GAAP, but excluding therefrom (to the extent otherwise included therein) (a) any extraordinary gains or losses, (b) any gains attributable to a sale of assets (other than inventory sold in the ordinary course of business) and the write- up of assets, (c) any equity interest of the Company or any Restricted Subsidiary of the Company in the unremitted earnings of any Person that is not a Restricted Subsidiary, (d) the net income of any Restricted Subsidiary to the extent that the declaration or payment of dividends or similar distributions by such Restricted Subsidiary of such income is not permitted by operation of the terms of its Organization Documents or any agreement, instrument or Law applicable to such Restricted Subsidiary, except that the Company’s equity in any net loss of any such Restricted Subsidiary shall be included in determining Consolidated Net Income and (e) any income (or loss) of any Person accrued prior to the date it becomes a Restricted Subsidiary or is merged into or consolidated with the Company or any Restricted Subsidiary or the date that such Person’s assets are acquired by the Company or any Restricted Subsidiary;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to the extent not already included therein, Consolidated Net Income for any period shall be increased by the amount of cash dividends or other distributions actually paid to the Company or any Restricted Subsidiary by any Person that is not a Restricted Subsidiary during such period in respect of the income earned by such Person in such period or in any prior period (to the extent not previously included in Consolidated Net Income) (and in the case of a dividend or other distribution to a Restricted Subsidiary, such Restricted Subsidiary is not precluded from further distributing such amount to the Company as described in the foregoing </w:t>
      </w:r>
      <w:r>
        <w:rPr>
          <w:rFonts w:ascii="Arial" w:cs="Arial" w:eastAsia="Arial" w:hAnsi="Arial"/>
          <w:sz w:val="18"/>
          <w:szCs w:val="18"/>
          <w:u w:val="single" w:color="auto"/>
          <w:color w:val="auto"/>
        </w:rPr>
        <w:t>clause (d)</w:t>
      </w:r>
      <w:r>
        <w:rPr>
          <w:rFonts w:ascii="Arial" w:cs="Arial" w:eastAsia="Arial" w:hAnsi="Arial"/>
          <w:sz w:val="18"/>
          <w:szCs w:val="18"/>
          <w:color w:val="auto"/>
        </w:rPr>
        <w:t>).</w:t>
      </w:r>
    </w:p>
    <w:p>
      <w:pPr>
        <w:spacing w:after="0" w:line="167" w:lineRule="exact"/>
        <w:rPr>
          <w:sz w:val="20"/>
          <w:szCs w:val="20"/>
          <w:color w:val="auto"/>
        </w:rPr>
      </w:pPr>
    </w:p>
    <w:p>
      <w:pPr>
        <w:ind w:left="100" w:right="4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Leverage Ratio</w:t>
      </w:r>
      <w:r>
        <w:rPr>
          <w:rFonts w:ascii="Arial" w:cs="Arial" w:eastAsia="Arial" w:hAnsi="Arial"/>
          <w:sz w:val="20"/>
          <w:szCs w:val="20"/>
          <w:color w:val="auto"/>
        </w:rPr>
        <w:t xml:space="preserve">” means, as of any date of determination, the ratio of (a) the difference of (i) Consolidated Funded Indebtedness as of such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100% of unrestricted cash or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90" w:right="479" w:bottom="1440" w:gutter="0" w:footer="0" w:header="0"/>
        </w:sectPr>
      </w:pPr>
    </w:p>
    <w:bookmarkStart w:id="139" w:name="page140"/>
    <w:bookmarkEnd w:id="139"/>
    <w:p>
      <w:pPr>
        <w:ind w:left="100" w:right="580"/>
        <w:spacing w:after="0" w:line="246" w:lineRule="auto"/>
        <w:rPr>
          <w:sz w:val="20"/>
          <w:szCs w:val="20"/>
          <w:color w:val="auto"/>
        </w:rPr>
      </w:pPr>
      <w:r>
        <w:rPr>
          <w:rFonts w:ascii="Arial" w:cs="Arial" w:eastAsia="Arial" w:hAnsi="Arial"/>
          <w:sz w:val="20"/>
          <w:szCs w:val="20"/>
          <w:color w:val="auto"/>
        </w:rPr>
        <w:t>Cash Equivalents of the Loan Parties maintained in the United States or Canada with a Lender to (b) Consolidated EBITDA for the period of the four fiscal quarters most recently ended.</w:t>
      </w:r>
    </w:p>
    <w:p>
      <w:pPr>
        <w:spacing w:after="0" w:line="177"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as of any date of determination, the net book value of all assets of the Company and its Subsidiaries on such date determined on a consolidated basis in accordance with GAAP.</w:t>
      </w:r>
    </w:p>
    <w:p>
      <w:pPr>
        <w:spacing w:after="0" w:line="190"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189"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w:t>
      </w:r>
      <w:r>
        <w:rPr>
          <w:rFonts w:ascii="Arial" w:cs="Arial" w:eastAsia="Arial" w:hAnsi="Arial"/>
          <w:sz w:val="20"/>
          <w:szCs w:val="20"/>
          <w:color w:val="auto"/>
        </w:rPr>
        <w:t xml:space="preserve">” means the rate per annum equal to SOFR determined for any day pursuant to the definition thereof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Daily Simple SOFR Adjustment. Any change in Daily Simple SOFR shall be effective from and including the date of such change without further notice. If the rate as sodetermined would be less than zero, such rate shall be deemed to be zero for purposes of this Agreement.</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 Adjustment</w:t>
      </w:r>
      <w:r>
        <w:rPr>
          <w:rFonts w:ascii="Arial" w:cs="Arial" w:eastAsia="Arial" w:hAnsi="Arial"/>
          <w:sz w:val="20"/>
          <w:szCs w:val="20"/>
          <w:color w:val="auto"/>
        </w:rPr>
        <w:t>” means, with respect to Daily Simple SOFR, 0.11448% (11.448 basis points).</w:t>
      </w:r>
    </w:p>
    <w:p>
      <w:pPr>
        <w:spacing w:after="0" w:line="216"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Daily Simple SOFR Loan</w:t>
      </w:r>
      <w:r>
        <w:rPr>
          <w:rFonts w:ascii="Arial" w:cs="Arial" w:eastAsia="Arial" w:hAnsi="Arial"/>
          <w:sz w:val="20"/>
          <w:szCs w:val="20"/>
          <w:color w:val="auto"/>
        </w:rPr>
        <w:t>” means a Loan that bears interest at a rate based on Daily SOFR (other than pursuant to clause (c) of the definition of Base Rate).</w:t>
      </w:r>
    </w:p>
    <w:p>
      <w:pPr>
        <w:spacing w:after="0" w:line="177"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96" w:lineRule="exact"/>
        <w:rPr>
          <w:sz w:val="20"/>
          <w:szCs w:val="20"/>
          <w:color w:val="auto"/>
        </w:rPr>
      </w:pPr>
    </w:p>
    <w:p>
      <w:pPr>
        <w:jc w:val="both"/>
        <w:ind w:left="100" w:right="2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50"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 when used with respect to Obligations other than Letter of Credit Fees, an interest rate equal to (i)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 the Applicable Rate, if any, applicable to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(iii)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a Term SOFR Loan or an Alternative Currency Loan, the Default Rate shall be an interest rate equal to the interest rate (including any Applicable Rate) otherwise applicable to such Loan plus 2% per annum, and (b) when used with respect to Letter of Credit Fees, a rate equal to the Applicable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w:t>
      </w:r>
    </w:p>
    <w:p>
      <w:pPr>
        <w:spacing w:after="0" w:line="184" w:lineRule="exact"/>
        <w:rPr>
          <w:sz w:val="20"/>
          <w:szCs w:val="20"/>
          <w:color w:val="auto"/>
        </w:rPr>
      </w:pPr>
    </w:p>
    <w:p>
      <w:pPr>
        <w:jc w:val="both"/>
        <w:ind w:left="100" w:firstLine="74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the case of any Revolving Credit Lender, in respect of its participation in Letters of Credit or Swing Line Loans) within two Business Days of the date when due, (b) has notified the Company, the Administrative</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14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90" w:right="499" w:bottom="1440" w:gutter="0" w:footer="0" w:header="0"/>
        </w:sectPr>
      </w:pPr>
    </w:p>
    <w:bookmarkStart w:id="140" w:name="page141"/>
    <w:bookmarkEnd w:id="140"/>
    <w:p>
      <w:pPr>
        <w:jc w:val="both"/>
        <w:ind w:left="100"/>
        <w:spacing w:after="0" w:line="253" w:lineRule="auto"/>
        <w:rPr>
          <w:sz w:val="20"/>
          <w:szCs w:val="20"/>
          <w:color w:val="auto"/>
        </w:rPr>
      </w:pPr>
      <w:r>
        <w:rPr>
          <w:rFonts w:ascii="Arial" w:cs="Arial" w:eastAsia="Arial" w:hAnsi="Arial"/>
          <w:sz w:val="18"/>
          <w:szCs w:val="18"/>
          <w:color w:val="auto"/>
        </w:rPr>
        <w:t>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2.17(b)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w:t>
      </w:r>
      <w:r>
        <w:rPr>
          <w:rFonts w:ascii="Arial" w:cs="Arial" w:eastAsia="Arial" w:hAnsi="Arial"/>
          <w:sz w:val="20"/>
          <w:szCs w:val="20"/>
          <w:color w:val="auto"/>
        </w:rPr>
        <w:t>” means any limited liability company organized or formed under the laws of the State of Delaware.</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Divided LLC</w:t>
      </w:r>
      <w:r>
        <w:rPr>
          <w:rFonts w:ascii="Arial" w:cs="Arial" w:eastAsia="Arial" w:hAnsi="Arial"/>
          <w:sz w:val="18"/>
          <w:szCs w:val="18"/>
          <w:color w:val="auto"/>
        </w:rPr>
        <w:t>” means any Delaware LLC which has been formed upon consummation of a Delaware LLC Division.</w:t>
      </w:r>
    </w:p>
    <w:p>
      <w:pPr>
        <w:spacing w:after="0" w:line="225" w:lineRule="exact"/>
        <w:rPr>
          <w:sz w:val="20"/>
          <w:szCs w:val="20"/>
          <w:color w:val="auto"/>
        </w:rPr>
      </w:pPr>
    </w:p>
    <w:p>
      <w:pPr>
        <w:ind w:left="100" w:right="5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Delaware LLC Division</w:t>
      </w:r>
      <w:r>
        <w:rPr>
          <w:rFonts w:ascii="Arial" w:cs="Arial" w:eastAsia="Arial" w:hAnsi="Arial"/>
          <w:sz w:val="20"/>
          <w:szCs w:val="20"/>
          <w:color w:val="auto"/>
        </w:rPr>
        <w:t>” means the statutory division of any Delaware LLC into two or more Delaware LLCs pursuant to Section 18-217 of the Delaware Limited Liability Company Act.</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w:t>
      </w:r>
      <w:r>
        <w:rPr>
          <w:rFonts w:ascii="Arial" w:cs="Arial" w:eastAsia="Arial" w:hAnsi="Arial"/>
          <w:sz w:val="20"/>
          <w:szCs w:val="20"/>
          <w:color w:val="auto"/>
        </w:rPr>
        <w:t>” has the meaning specified in the introductory paragraph hereto.</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Borrower Request and Assumption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2.14</w:t>
      </w:r>
      <w:r>
        <w:rPr>
          <w:rFonts w:ascii="Arial" w:cs="Arial" w:eastAsia="Arial" w:hAnsi="Arial"/>
          <w:sz w:val="20"/>
          <w:szCs w:val="20"/>
          <w:color w:val="auto"/>
        </w:rPr>
        <w:t>.</w:t>
      </w:r>
    </w:p>
    <w:p>
      <w:pPr>
        <w:spacing w:after="0" w:line="186"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Non-U.S. Borrower Sublimit</w:t>
      </w:r>
      <w:r>
        <w:rPr>
          <w:rFonts w:ascii="Arial" w:cs="Arial" w:eastAsia="Arial" w:hAnsi="Arial"/>
          <w:sz w:val="20"/>
          <w:szCs w:val="20"/>
          <w:color w:val="auto"/>
        </w:rPr>
        <w:t>” means an amount equal to the lesser of (a) the Aggregate Revolving Credit Commitments and (b) $50,000,000. The Designated Non-U.S. Borrower Sublimit is part of, and not in addition to, the Aggregate Revolving Credit Commitments.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Sanction.</w:t>
      </w:r>
    </w:p>
    <w:p>
      <w:pPr>
        <w:spacing w:after="0" w:line="200"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(including any sale and leaseback transaction) of any property by any Person, including any sale, assignment, transfer</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15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41" w:name="page142"/>
    <w:bookmarkEnd w:id="141"/>
    <w:p>
      <w:pPr>
        <w:jc w:val="both"/>
        <w:ind w:left="100" w:right="80"/>
        <w:spacing w:after="0" w:line="246" w:lineRule="auto"/>
        <w:rPr>
          <w:sz w:val="20"/>
          <w:szCs w:val="20"/>
          <w:color w:val="auto"/>
        </w:rPr>
      </w:pPr>
      <w:r>
        <w:rPr>
          <w:rFonts w:ascii="Arial" w:cs="Arial" w:eastAsia="Arial" w:hAnsi="Arial"/>
          <w:sz w:val="20"/>
          <w:szCs w:val="20"/>
          <w:color w:val="auto"/>
        </w:rPr>
        <w:t>or other disposal, with or without recourse, of any notes or accounts receivable or any rights and claims associated therewith and including any disposition of property to a Delaware Divided LLC pursuant to a Delaware LLC Division.</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189" w:lineRule="exact"/>
        <w:rPr>
          <w:sz w:val="20"/>
          <w:szCs w:val="20"/>
          <w:color w:val="auto"/>
        </w:rPr>
      </w:pPr>
    </w:p>
    <w:p>
      <w:pPr>
        <w:jc w:val="both"/>
        <w:ind w:left="100" w:right="60" w:firstLine="74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L/C Issuer,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L/C Issuer, as applicable using any method of determination it deems appropriate in its sole discretion) and (c) if such amount is denominated in any other currency, the equivalent of such amount in Dollars as determined by the Administrative Agent or the applicable L/C Issuer, as applicable, using any method of determination it deems appropriate in its sole discretion. Any determination by the Administrative Agent or the applicable L/C Issuer pursuant to </w:t>
      </w:r>
      <w:r>
        <w:rPr>
          <w:rFonts w:ascii="Arial" w:cs="Arial" w:eastAsia="Arial" w:hAnsi="Arial"/>
          <w:sz w:val="19"/>
          <w:szCs w:val="19"/>
          <w:u w:val="single" w:color="auto"/>
          <w:color w:val="auto"/>
        </w:rPr>
        <w:t>clauses (b</w:t>
      </w:r>
      <w:r>
        <w:rPr>
          <w:rFonts w:ascii="Arial" w:cs="Arial" w:eastAsia="Arial" w:hAnsi="Arial"/>
          <w:sz w:val="19"/>
          <w:szCs w:val="19"/>
          <w:color w:val="auto"/>
        </w:rPr>
        <w:t>) or (</w:t>
      </w:r>
      <w:r>
        <w:rPr>
          <w:rFonts w:ascii="Arial" w:cs="Arial" w:eastAsia="Arial" w:hAnsi="Arial"/>
          <w:sz w:val="19"/>
          <w:szCs w:val="19"/>
          <w:u w:val="single" w:color="auto"/>
          <w:color w:val="auto"/>
        </w:rPr>
        <w:t>c</w:t>
      </w:r>
      <w:r>
        <w:rPr>
          <w:rFonts w:ascii="Arial" w:cs="Arial" w:eastAsia="Arial" w:hAnsi="Arial"/>
          <w:sz w:val="19"/>
          <w:szCs w:val="19"/>
          <w:color w:val="auto"/>
        </w:rPr>
        <w:t>) above shall be conclusive absent manifest error.</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jc w:val="both"/>
        <w:ind w:left="100" w:right="60" w:firstLine="74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2"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0" w:lineRule="exact"/>
        <w:rPr>
          <w:sz w:val="20"/>
          <w:szCs w:val="20"/>
          <w:color w:val="auto"/>
        </w:rPr>
      </w:pPr>
    </w:p>
    <w:p>
      <w:pPr>
        <w:jc w:val="both"/>
        <w:ind w:left="100" w:right="80" w:firstLine="747"/>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Copy</w:t>
      </w:r>
      <w:r>
        <w:rPr>
          <w:rFonts w:ascii="Arial" w:cs="Arial" w:eastAsia="Arial" w:hAnsi="Arial"/>
          <w:sz w:val="20"/>
          <w:szCs w:val="20"/>
          <w:color w:val="auto"/>
        </w:rPr>
        <w:t xml:space="preserve">” shall have the meaning specified in </w:t>
      </w:r>
      <w:r>
        <w:rPr>
          <w:rFonts w:ascii="Arial" w:cs="Arial" w:eastAsia="Arial" w:hAnsi="Arial"/>
          <w:sz w:val="20"/>
          <w:szCs w:val="20"/>
          <w:u w:val="single" w:color="auto"/>
          <w:color w:val="auto"/>
        </w:rPr>
        <w:t>Section 10.17</w:t>
      </w:r>
      <w:r>
        <w:rPr>
          <w:rFonts w:ascii="Arial" w:cs="Arial" w:eastAsia="Arial" w:hAnsi="Arial"/>
          <w:sz w:val="20"/>
          <w:szCs w:val="20"/>
          <w:color w:val="auto"/>
        </w:rPr>
        <w:t>.</w:t>
      </w:r>
    </w:p>
    <w:p>
      <w:pPr>
        <w:spacing w:after="0" w:line="189" w:lineRule="exact"/>
        <w:rPr>
          <w:sz w:val="20"/>
          <w:szCs w:val="20"/>
          <w:color w:val="auto"/>
        </w:rPr>
      </w:pPr>
    </w:p>
    <w:p>
      <w:pPr>
        <w:ind w:left="100" w:right="11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and “</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shall have the meanings assigned to them, respectively, by 15 USC §7006, as it may be amended from time to time.</w:t>
      </w:r>
    </w:p>
    <w:p>
      <w:pPr>
        <w:spacing w:after="0" w:line="190" w:lineRule="exact"/>
        <w:rPr>
          <w:sz w:val="20"/>
          <w:szCs w:val="20"/>
          <w:color w:val="auto"/>
        </w:rPr>
      </w:pPr>
    </w:p>
    <w:p>
      <w:pPr>
        <w:ind w:left="10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10.06(b)(iii)</w:t>
      </w:r>
      <w:r>
        <w:rPr>
          <w:rFonts w:ascii="Arial" w:cs="Arial" w:eastAsia="Arial" w:hAnsi="Arial"/>
          <w:sz w:val="20"/>
          <w:szCs w:val="20"/>
          <w:color w:val="auto"/>
        </w:rPr>
        <w:t>).</w:t>
      </w:r>
    </w:p>
    <w:p>
      <w:pPr>
        <w:spacing w:after="0" w:line="163" w:lineRule="exact"/>
        <w:rPr>
          <w:sz w:val="20"/>
          <w:szCs w:val="20"/>
          <w:color w:val="auto"/>
        </w:rPr>
      </w:pPr>
    </w:p>
    <w:p>
      <w:pPr>
        <w:jc w:val="both"/>
        <w:ind w:left="100" w:right="80" w:firstLine="747"/>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Currency</w:t>
      </w:r>
      <w:r>
        <w:rPr>
          <w:rFonts w:ascii="Arial" w:cs="Arial" w:eastAsia="Arial" w:hAnsi="Arial"/>
          <w:sz w:val="19"/>
          <w:szCs w:val="19"/>
          <w:color w:val="auto"/>
        </w:rPr>
        <w:t>”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42" w:name="page143"/>
    <w:bookmarkEnd w:id="142"/>
    <w:p>
      <w:pPr>
        <w:jc w:val="both"/>
        <w:ind w:left="100"/>
        <w:spacing w:after="0" w:line="257" w:lineRule="auto"/>
        <w:rPr>
          <w:sz w:val="20"/>
          <w:szCs w:val="20"/>
          <w:color w:val="auto"/>
        </w:rPr>
      </w:pPr>
      <w:r>
        <w:rPr>
          <w:rFonts w:ascii="Arial" w:cs="Arial" w:eastAsia="Arial" w:hAnsi="Arial"/>
          <w:sz w:val="18"/>
          <w:szCs w:val="18"/>
          <w:color w:val="auto"/>
        </w:rPr>
        <w:t xml:space="preserve">Administrative Agent (in the case of any Revolving Credit Loans to be denominated in an Alternative Currency) or the applicable L/C Issuer (in the case of any Letter of Credit to be denominated in an Alternative Currency), (a) such currency no longer being readily available, freely transferable and convertible into Dollars, (b) a Dollar Equivalent being no longer readily calculable with respect to such currency or (c) providing such currency being impracticable for the Lenders (each of </w:t>
      </w:r>
      <w:r>
        <w:rPr>
          <w:rFonts w:ascii="Arial" w:cs="Arial" w:eastAsia="Arial" w:hAnsi="Arial"/>
          <w:sz w:val="18"/>
          <w:szCs w:val="18"/>
          <w:u w:val="single" w:color="auto"/>
          <w:color w:val="auto"/>
        </w:rPr>
        <w:t>clauses (a</w:t>
      </w:r>
      <w:r>
        <w:rPr>
          <w:rFonts w:ascii="Arial" w:cs="Arial" w:eastAsia="Arial" w:hAnsi="Arial"/>
          <w:sz w:val="18"/>
          <w:szCs w:val="18"/>
          <w:color w:val="auto"/>
        </w:rPr>
        <w:t>), (</w:t>
      </w:r>
      <w:r>
        <w:rPr>
          <w:rFonts w:ascii="Arial" w:cs="Arial" w:eastAsia="Arial" w:hAnsi="Arial"/>
          <w:sz w:val="18"/>
          <w:szCs w:val="18"/>
          <w:u w:val="single" w:color="auto"/>
          <w:color w:val="auto"/>
        </w:rPr>
        <w:t>b</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a “</w:t>
      </w:r>
      <w:r>
        <w:rPr>
          <w:rFonts w:ascii="Arial" w:cs="Arial" w:eastAsia="Arial" w:hAnsi="Arial"/>
          <w:sz w:val="18"/>
          <w:szCs w:val="18"/>
          <w:u w:val="single" w:color="auto"/>
          <w:color w:val="auto"/>
        </w:rPr>
        <w:t>Disqualifying Event</w:t>
      </w:r>
      <w:r>
        <w:rPr>
          <w:rFonts w:ascii="Arial" w:cs="Arial" w:eastAsia="Arial" w:hAnsi="Arial"/>
          <w:sz w:val="18"/>
          <w:szCs w:val="18"/>
          <w:color w:val="auto"/>
        </w:rPr>
        <w:t>”), then the Administrative Agent shall promptly notify the Lenders and the Company,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71"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97" w:lineRule="exact"/>
        <w:rPr>
          <w:sz w:val="20"/>
          <w:szCs w:val="20"/>
          <w:color w:val="auto"/>
        </w:rPr>
      </w:pPr>
    </w:p>
    <w:p>
      <w:pPr>
        <w:jc w:val="both"/>
        <w:ind w:left="100" w:firstLine="747"/>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theforegoing.</w:t>
      </w:r>
    </w:p>
    <w:p>
      <w:pPr>
        <w:spacing w:after="0" w:line="17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approval, identification number, license or other authorization required under any Environmental Law.</w:t>
      </w:r>
    </w:p>
    <w:p>
      <w:pPr>
        <w:spacing w:after="0" w:line="163" w:lineRule="exact"/>
        <w:rPr>
          <w:sz w:val="20"/>
          <w:szCs w:val="20"/>
          <w:color w:val="auto"/>
        </w:rPr>
      </w:pPr>
    </w:p>
    <w:p>
      <w:pPr>
        <w:jc w:val="both"/>
        <w:ind w:left="100" w:firstLine="747"/>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Interests</w:t>
      </w:r>
      <w:r>
        <w:rPr>
          <w:rFonts w:ascii="Arial" w:cs="Arial" w:eastAsia="Arial" w:hAnsi="Arial"/>
          <w:sz w:val="19"/>
          <w:szCs w:val="19"/>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02"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83" w:lineRule="exact"/>
        <w:rPr>
          <w:sz w:val="20"/>
          <w:szCs w:val="20"/>
          <w:color w:val="auto"/>
        </w:rPr>
      </w:pPr>
    </w:p>
    <w:p>
      <w:pPr>
        <w:jc w:val="both"/>
        <w:ind w:left="100" w:firstLine="74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w:t>
      </w:r>
    </w:p>
    <w:p>
      <w:pPr>
        <w:spacing w:after="0" w:line="2" w:lineRule="exact"/>
        <w:rPr>
          <w:sz w:val="20"/>
          <w:szCs w:val="20"/>
          <w:color w:val="auto"/>
        </w:rPr>
      </w:pPr>
    </w:p>
    <w:p>
      <w:pPr>
        <w:ind w:left="100" w:right="20" w:hanging="9"/>
        <w:spacing w:after="0" w:line="234" w:lineRule="auto"/>
        <w:tabs>
          <w:tab w:leader="none" w:pos="421" w:val="left"/>
        </w:tabs>
        <w:numPr>
          <w:ilvl w:val="0"/>
          <w:numId w:val="92"/>
        </w:numPr>
        <w:rPr>
          <w:rFonts w:ascii="Arial" w:cs="Arial" w:eastAsia="Arial" w:hAnsi="Arial"/>
          <w:sz w:val="20"/>
          <w:szCs w:val="20"/>
          <w:color w:val="auto"/>
        </w:rPr>
      </w:pPr>
      <w:r>
        <w:rPr>
          <w:rFonts w:ascii="Arial" w:cs="Arial" w:eastAsia="Arial" w:hAnsi="Arial"/>
          <w:sz w:val="20"/>
          <w:szCs w:val="20"/>
          <w:color w:val="auto"/>
        </w:rPr>
        <w:t>a complete or partial withdrawal by the Company or any ERISA Affiliate from a Multiemployer Plan or notification that a Multiemployer Plan is in reorganization; (d) the filing of a notice of intent to terminate,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17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43" w:name="page144"/>
    <w:bookmarkEnd w:id="143"/>
    <w:p>
      <w:pPr>
        <w:jc w:val="both"/>
        <w:ind w:left="100"/>
        <w:spacing w:after="0" w:line="244" w:lineRule="auto"/>
        <w:rPr>
          <w:sz w:val="20"/>
          <w:szCs w:val="20"/>
          <w:color w:val="auto"/>
        </w:rPr>
      </w:pPr>
      <w:r>
        <w:rPr>
          <w:rFonts w:ascii="Arial" w:cs="Arial" w:eastAsia="Arial" w:hAnsi="Arial"/>
          <w:sz w:val="19"/>
          <w:szCs w:val="19"/>
          <w:color w:val="auto"/>
        </w:rPr>
        <w:t>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79" w:lineRule="exact"/>
        <w:rPr>
          <w:sz w:val="20"/>
          <w:szCs w:val="20"/>
          <w:color w:val="auto"/>
        </w:rPr>
      </w:pPr>
    </w:p>
    <w:p>
      <w:pPr>
        <w:ind w:left="100" w:right="3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single currency of the Participating Member States.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189" w:lineRule="exact"/>
        <w:rPr>
          <w:sz w:val="20"/>
          <w:szCs w:val="20"/>
          <w:color w:val="auto"/>
        </w:rPr>
      </w:pPr>
    </w:p>
    <w:p>
      <w:pPr>
        <w:jc w:val="both"/>
        <w:ind w:left="100" w:firstLine="74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xml:space="preserve">” means, with respect to any Subsidiary Guarantor, any Swap Obligation if, and to the extent that, all or a portion of the Guarantee of such Subsidiary Guarantor of, or the grant by such Subsidiary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Subsidiary Guarantor’s failure for any reason to constitute an “eligible contract participant” as defined in the Commodity Exchange Act (determined after giving effect to </w:t>
      </w:r>
      <w:r>
        <w:rPr>
          <w:rFonts w:ascii="Arial" w:cs="Arial" w:eastAsia="Arial" w:hAnsi="Arial"/>
          <w:sz w:val="19"/>
          <w:szCs w:val="19"/>
          <w:u w:val="single" w:color="auto"/>
          <w:color w:val="auto"/>
        </w:rPr>
        <w:t>Section 10.19</w:t>
      </w:r>
      <w:r>
        <w:rPr>
          <w:rFonts w:ascii="Arial" w:cs="Arial" w:eastAsia="Arial" w:hAnsi="Arial"/>
          <w:sz w:val="19"/>
          <w:szCs w:val="19"/>
          <w:color w:val="auto"/>
        </w:rPr>
        <w:t xml:space="preserve"> and any other “keepwell, support or other agreement” for the benefit of such Subsidiary Guarantor and any and all guarantees of such Subsidiary Guarantor’s Swap Obligations by other Loan Parties) at the time the Guarantee of such Subsidiary Guarantor, or a grant by such Subsidiary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202" w:lineRule="exact"/>
        <w:rPr>
          <w:sz w:val="20"/>
          <w:szCs w:val="20"/>
          <w:color w:val="auto"/>
        </w:rPr>
      </w:pPr>
    </w:p>
    <w:p>
      <w:pPr>
        <w:jc w:val="both"/>
        <w:ind w:left="100" w:firstLine="74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spacing w:after="0" w:line="3" w:lineRule="exact"/>
        <w:rPr>
          <w:sz w:val="20"/>
          <w:szCs w:val="20"/>
          <w:color w:val="auto"/>
        </w:rPr>
      </w:pPr>
    </w:p>
    <w:p>
      <w:pPr>
        <w:jc w:val="both"/>
        <w:ind w:left="100" w:hanging="9"/>
        <w:spacing w:after="0" w:line="241" w:lineRule="auto"/>
        <w:tabs>
          <w:tab w:leader="none" w:pos="350"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such Lender acquires such interest in the Loan or Commitment (other than pursuant to an assignment request by the Company under </w:t>
      </w:r>
      <w:r>
        <w:rPr>
          <w:rFonts w:ascii="Arial" w:cs="Arial" w:eastAsia="Arial" w:hAnsi="Arial"/>
          <w:sz w:val="19"/>
          <w:szCs w:val="19"/>
          <w:u w:val="single" w:color="auto"/>
          <w:color w:val="auto"/>
        </w:rPr>
        <w:t>Section 10.13</w:t>
      </w:r>
      <w:r>
        <w:rPr>
          <w:rFonts w:ascii="Arial" w:cs="Arial" w:eastAsia="Arial" w:hAnsi="Arial"/>
          <w:sz w:val="19"/>
          <w:szCs w:val="19"/>
          <w:color w:val="auto"/>
        </w:rPr>
        <w:t xml:space="preserve">) or (ii) such Lender changes its Lending Office, except in each case to the extent that, pursuant to </w:t>
      </w:r>
      <w:r>
        <w:rPr>
          <w:rFonts w:ascii="Arial" w:cs="Arial" w:eastAsia="Arial" w:hAnsi="Arial"/>
          <w:sz w:val="19"/>
          <w:szCs w:val="19"/>
          <w:u w:val="single" w:color="auto"/>
          <w:color w:val="auto"/>
        </w:rPr>
        <w:t>Section 3.01(a)(ii)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(a)(iii)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and (d) any Taxes imposed pursuant to FATCA.</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 xml:space="preserve">” is defined in </w:t>
      </w:r>
      <w:r>
        <w:rPr>
          <w:rFonts w:ascii="Arial" w:cs="Arial" w:eastAsia="Arial" w:hAnsi="Arial"/>
          <w:sz w:val="20"/>
          <w:szCs w:val="20"/>
          <w:u w:val="single" w:color="auto"/>
          <w:color w:val="auto"/>
        </w:rPr>
        <w:t>Recital A</w:t>
      </w:r>
      <w:r>
        <w:rPr>
          <w:rFonts w:ascii="Arial" w:cs="Arial" w:eastAsia="Arial" w:hAnsi="Arial"/>
          <w:sz w:val="20"/>
          <w:szCs w:val="20"/>
          <w:color w:val="auto"/>
        </w:rPr>
        <w:t>.</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those letters of credit described on </w:t>
      </w:r>
      <w:r>
        <w:rPr>
          <w:rFonts w:ascii="Arial" w:cs="Arial" w:eastAsia="Arial" w:hAnsi="Arial"/>
          <w:sz w:val="20"/>
          <w:szCs w:val="20"/>
          <w:u w:val="single" w:color="auto"/>
          <w:color w:val="auto"/>
        </w:rPr>
        <w:t>Schedule 1.01B</w:t>
      </w:r>
      <w:r>
        <w:rPr>
          <w:rFonts w:ascii="Arial" w:cs="Arial" w:eastAsia="Arial" w:hAnsi="Arial"/>
          <w:sz w:val="20"/>
          <w:szCs w:val="20"/>
          <w:color w:val="auto"/>
        </w:rPr>
        <w:t>.</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44" w:name="page145"/>
    <w:bookmarkEnd w:id="144"/>
    <w:p>
      <w:pPr>
        <w:ind w:left="100"/>
        <w:spacing w:after="0"/>
        <w:rPr>
          <w:sz w:val="20"/>
          <w:szCs w:val="20"/>
          <w:color w:val="auto"/>
        </w:rPr>
      </w:pPr>
      <w:r>
        <w:rPr>
          <w:rFonts w:ascii="Arial" w:cs="Arial" w:eastAsia="Arial" w:hAnsi="Arial"/>
          <w:sz w:val="16"/>
          <w:szCs w:val="16"/>
          <w:color w:val="auto"/>
        </w:rPr>
        <w:t>require.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19</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06" w:right="1440" w:bottom="1440" w:gutter="0" w:footer="0" w:header="0"/>
        </w:sectPr>
      </w:pPr>
    </w:p>
    <w:bookmarkStart w:id="145" w:name="page146"/>
    <w:bookmarkEnd w:id="145"/>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Facility</w:t>
      </w:r>
      <w:r>
        <w:rPr>
          <w:rFonts w:ascii="Arial" w:cs="Arial" w:eastAsia="Arial" w:hAnsi="Arial"/>
          <w:sz w:val="19"/>
          <w:szCs w:val="19"/>
          <w:color w:val="auto"/>
        </w:rPr>
        <w:t>” means the Term Loan Facility or the Revolving Credit Facility, as the context may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Termination Date</w:t>
      </w:r>
      <w:r>
        <w:rPr>
          <w:rFonts w:ascii="Arial" w:cs="Arial" w:eastAsia="Arial" w:hAnsi="Arial"/>
          <w:sz w:val="18"/>
          <w:szCs w:val="18"/>
          <w:color w:val="auto"/>
        </w:rPr>
        <w:t>” means the date as of which all of the following shall have occurred:</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90" w:right="1440" w:bottom="1440" w:gutter="0" w:footer="0" w:header="0"/>
        </w:sectPr>
      </w:pPr>
    </w:p>
    <w:bookmarkStart w:id="146" w:name="page147"/>
    <w:bookmarkEnd w:id="146"/>
    <w:p>
      <w:pPr>
        <w:jc w:val="both"/>
        <w:ind w:left="100"/>
        <w:spacing w:after="0" w:line="230" w:lineRule="auto"/>
        <w:rPr>
          <w:sz w:val="20"/>
          <w:szCs w:val="20"/>
          <w:color w:val="auto"/>
        </w:rPr>
      </w:pPr>
      <w:r>
        <w:rPr>
          <w:rFonts w:ascii="Arial" w:cs="Arial" w:eastAsia="Arial" w:hAnsi="Arial"/>
          <w:sz w:val="20"/>
          <w:szCs w:val="20"/>
          <w:color w:val="auto"/>
        </w:rPr>
        <w:t>(a)the Aggregate Commitments have terminated, (b) all Obligations have been paid in full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(c) all Letters of Credit and Secured Permitted Standalone Letters of Credit have terminated or expired (other than Letters of Credit or Secured Permitted Standalone Letters of Credit as to which other arrangements with respect thereto reasonably satisfactory to the Administrative Agent and the L/C Issuers or the applicable PSLOC Bank, as applicable, shall have been made).</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Board.</w:t>
      </w:r>
    </w:p>
    <w:p>
      <w:pPr>
        <w:spacing w:after="0" w:line="173"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applicable intergovernmental agreements with respect to the foregoing.</w:t>
      </w:r>
    </w:p>
    <w:p>
      <w:pPr>
        <w:spacing w:after="0" w:line="197"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Rate as so determined would be less than zero, such rate shall be deemed to be zero for purposes of this Agreement.</w:t>
      </w:r>
    </w:p>
    <w:p>
      <w:pPr>
        <w:spacing w:after="0" w:line="176"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means (a) the letter agreement dated as of November 18, 2021, between the Company and the Arranger, as amended, and (b) the letter agreement dated as of the Amendment No. 2 Effective Date, between the Company and Bank of America, as amended.</w:t>
      </w:r>
    </w:p>
    <w:p>
      <w:pPr>
        <w:spacing w:after="0" w:line="196"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Obligor</w:t>
      </w:r>
      <w:r>
        <w:rPr>
          <w:rFonts w:ascii="Arial" w:cs="Arial" w:eastAsia="Arial" w:hAnsi="Arial"/>
          <w:sz w:val="20"/>
          <w:szCs w:val="20"/>
          <w:color w:val="auto"/>
        </w:rPr>
        <w:t>” means a Loan Party that is a Foreign Subsidiary.</w:t>
      </w:r>
    </w:p>
    <w:p>
      <w:pPr>
        <w:spacing w:after="0" w:line="216" w:lineRule="exact"/>
        <w:rPr>
          <w:sz w:val="20"/>
          <w:szCs w:val="20"/>
          <w:color w:val="auto"/>
        </w:rPr>
      </w:pPr>
    </w:p>
    <w:p>
      <w:pPr>
        <w:jc w:val="both"/>
        <w:ind w:left="100" w:firstLine="74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xml:space="preserve">” means (a) any Subsidiary that is not a Domestic Subsidiary, (b) any Domestic Subsidiary all or substantially all of the assets of which consist of equity or debt of one or more Subsidiaries of the type described in the preceding </w:t>
      </w:r>
      <w:r>
        <w:rPr>
          <w:rFonts w:ascii="Arial" w:cs="Arial" w:eastAsia="Arial" w:hAnsi="Arial"/>
          <w:sz w:val="18"/>
          <w:szCs w:val="18"/>
          <w:u w:val="single" w:color="auto"/>
          <w:color w:val="auto"/>
        </w:rPr>
        <w:t>clause</w:t>
      </w:r>
    </w:p>
    <w:p>
      <w:pPr>
        <w:spacing w:after="0" w:line="1" w:lineRule="exact"/>
        <w:rPr>
          <w:sz w:val="20"/>
          <w:szCs w:val="20"/>
          <w:color w:val="auto"/>
        </w:rPr>
      </w:pPr>
    </w:p>
    <w:p>
      <w:pPr>
        <w:jc w:val="right"/>
        <w:ind w:left="840" w:right="3040" w:hanging="749"/>
        <w:spacing w:after="0" w:line="535" w:lineRule="auto"/>
        <w:tabs>
          <w:tab w:leader="none" w:pos="360" w:val="left"/>
        </w:tabs>
        <w:numPr>
          <w:ilvl w:val="0"/>
          <w:numId w:val="94"/>
        </w:numPr>
        <w:rPr>
          <w:rFonts w:ascii="Arial" w:cs="Arial" w:eastAsia="Arial" w:hAnsi="Arial"/>
          <w:sz w:val="16"/>
          <w:szCs w:val="16"/>
          <w:u w:val="single" w:color="auto"/>
          <w:color w:val="auto"/>
        </w:rPr>
      </w:pPr>
      <w:r>
        <w:rPr>
          <w:rFonts w:ascii="Arial" w:cs="Arial" w:eastAsia="Arial" w:hAnsi="Arial"/>
          <w:sz w:val="16"/>
          <w:szCs w:val="16"/>
          <w:color w:val="auto"/>
        </w:rPr>
        <w:t xml:space="preserve">and (c) any Subsidiary of any Subsidiary of the type described in the preceding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w:t>
      </w:r>
      <w:r>
        <w:rPr>
          <w:rFonts w:ascii="Arial" w:cs="Arial" w:eastAsia="Arial" w:hAnsi="Arial"/>
          <w:sz w:val="16"/>
          <w:szCs w:val="16"/>
          <w:u w:val="single" w:color="auto"/>
          <w:color w:val="auto"/>
        </w:rPr>
        <w:t>FRB</w:t>
      </w:r>
      <w:r>
        <w:rPr>
          <w:rFonts w:ascii="Arial" w:cs="Arial" w:eastAsia="Arial" w:hAnsi="Arial"/>
          <w:sz w:val="16"/>
          <w:szCs w:val="16"/>
          <w:color w:val="auto"/>
        </w:rPr>
        <w:t>” means the Board of Governors of the Federal Reserve System of the United States.</w:t>
      </w:r>
    </w:p>
    <w:p>
      <w:pPr>
        <w:spacing w:after="0" w:line="1" w:lineRule="exact"/>
        <w:rPr>
          <w:sz w:val="20"/>
          <w:szCs w:val="20"/>
          <w:color w:val="auto"/>
        </w:rPr>
      </w:pPr>
    </w:p>
    <w:p>
      <w:pPr>
        <w:jc w:val="both"/>
        <w:ind w:left="100" w:right="20" w:firstLine="74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that is a Revolving Credit Lender, (a) with respect to any L/C Issuer, such Defaulting Lender’s Applicable Percentage of the outstanding L/C Obligations on account of Letters of Credit issued by such L/C Issuer other than L/C Obligations as to which such Defaulting Lender’s participation obligation has been reallocated to other</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21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1" w:right="459" w:bottom="1440" w:gutter="0" w:footer="0" w:header="0"/>
        </w:sectPr>
      </w:pPr>
    </w:p>
    <w:bookmarkStart w:id="147" w:name="page148"/>
    <w:bookmarkEnd w:id="147"/>
    <w:p>
      <w:pPr>
        <w:jc w:val="both"/>
        <w:ind w:left="160"/>
        <w:spacing w:after="0" w:line="275" w:lineRule="auto"/>
        <w:rPr>
          <w:sz w:val="20"/>
          <w:szCs w:val="20"/>
          <w:color w:val="auto"/>
        </w:rPr>
      </w:pPr>
      <w:r>
        <w:rPr>
          <w:rFonts w:ascii="Arial" w:cs="Arial" w:eastAsia="Arial" w:hAnsi="Arial"/>
          <w:sz w:val="18"/>
          <w:szCs w:val="18"/>
          <w:color w:val="auto"/>
        </w:rPr>
        <w:t>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in accordance with the terms hereof.</w:t>
      </w:r>
    </w:p>
    <w:p>
      <w:pPr>
        <w:spacing w:after="0" w:line="152" w:lineRule="exact"/>
        <w:rPr>
          <w:sz w:val="20"/>
          <w:szCs w:val="20"/>
          <w:color w:val="auto"/>
        </w:rPr>
      </w:pPr>
    </w:p>
    <w:p>
      <w:pPr>
        <w:jc w:val="both"/>
        <w:ind w:left="16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90" w:lineRule="exact"/>
        <w:rPr>
          <w:sz w:val="20"/>
          <w:szCs w:val="20"/>
          <w:color w:val="auto"/>
        </w:rPr>
      </w:pPr>
    </w:p>
    <w:p>
      <w:pPr>
        <w:jc w:val="right"/>
        <w:ind w:left="100"/>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77" w:lineRule="exact"/>
        <w:rPr>
          <w:sz w:val="20"/>
          <w:szCs w:val="20"/>
          <w:color w:val="auto"/>
        </w:rPr>
      </w:pPr>
    </w:p>
    <w:p>
      <w:pPr>
        <w:jc w:val="both"/>
        <w:ind w:left="160" w:firstLine="747"/>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General Rubber Joint Venture Investment</w:t>
      </w:r>
      <w:r>
        <w:rPr>
          <w:rFonts w:ascii="Arial" w:cs="Arial" w:eastAsia="Arial" w:hAnsi="Arial"/>
          <w:sz w:val="20"/>
          <w:szCs w:val="20"/>
          <w:color w:val="auto"/>
        </w:rPr>
        <w:t>” means a one-time loan made by a Loan Party to EFM Equipment Company, LLC, a Delaware limited liability company (“</w:t>
      </w:r>
      <w:r>
        <w:rPr>
          <w:rFonts w:ascii="Arial" w:cs="Arial" w:eastAsia="Arial" w:hAnsi="Arial"/>
          <w:sz w:val="20"/>
          <w:szCs w:val="20"/>
          <w:u w:val="single" w:color="auto"/>
          <w:color w:val="auto"/>
        </w:rPr>
        <w:t>EFM</w:t>
      </w:r>
      <w:r>
        <w:rPr>
          <w:rFonts w:ascii="Arial" w:cs="Arial" w:eastAsia="Arial" w:hAnsi="Arial"/>
          <w:sz w:val="20"/>
          <w:szCs w:val="20"/>
          <w:color w:val="auto"/>
        </w:rPr>
        <w:t>”), the proceeds of which shall be used, substantially concurrently with the making of such loan, in connection with the Acquisition by EFM of General Rubber Corporation, so long as the aggregate principal amount of such loan does not exceed</w:t>
      </w:r>
    </w:p>
    <w:p>
      <w:pPr>
        <w:spacing w:after="0" w:line="2" w:lineRule="exact"/>
        <w:rPr>
          <w:sz w:val="20"/>
          <w:szCs w:val="20"/>
          <w:color w:val="auto"/>
        </w:rPr>
      </w:pPr>
    </w:p>
    <w:p>
      <w:pPr>
        <w:jc w:val="both"/>
        <w:ind w:left="160"/>
        <w:spacing w:after="0" w:line="266" w:lineRule="auto"/>
        <w:rPr>
          <w:sz w:val="20"/>
          <w:szCs w:val="20"/>
          <w:color w:val="auto"/>
        </w:rPr>
      </w:pPr>
      <w:r>
        <w:rPr>
          <w:rFonts w:ascii="Arial" w:cs="Arial" w:eastAsia="Arial" w:hAnsi="Arial"/>
          <w:sz w:val="18"/>
          <w:szCs w:val="18"/>
          <w:color w:val="auto"/>
        </w:rPr>
        <w:t>$20,000,000, the making of such loan and consummation of such acquisition each occur on or prior to June 30, 2022 (or such later date as the Administrative Agent may agree) and such loan is evidenced by a note in form and substance reasonably satisfactory to the Administrative Agent and pledged and delivered to the Administrative Agent pursuant to the Collateral Documents.</w:t>
      </w:r>
    </w:p>
    <w:p>
      <w:pPr>
        <w:spacing w:after="0" w:line="146" w:lineRule="exact"/>
        <w:rPr>
          <w:sz w:val="20"/>
          <w:szCs w:val="20"/>
          <w:color w:val="auto"/>
        </w:rPr>
      </w:pPr>
    </w:p>
    <w:p>
      <w:pPr>
        <w:jc w:val="both"/>
        <w:ind w:left="16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98" w:lineRule="exact"/>
        <w:rPr>
          <w:sz w:val="20"/>
          <w:szCs w:val="20"/>
          <w:color w:val="auto"/>
        </w:rPr>
      </w:pPr>
    </w:p>
    <w:p>
      <w:pPr>
        <w:jc w:val="both"/>
        <w:ind w:left="160" w:firstLine="747"/>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4" w:lineRule="exact"/>
        <w:rPr>
          <w:sz w:val="20"/>
          <w:szCs w:val="20"/>
          <w:color w:val="auto"/>
        </w:rPr>
      </w:pPr>
    </w:p>
    <w:p>
      <w:pPr>
        <w:jc w:val="both"/>
        <w:ind w:left="160" w:hanging="6"/>
        <w:spacing w:after="0" w:line="228" w:lineRule="auto"/>
        <w:tabs>
          <w:tab w:leader="none" w:pos="474"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22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48" w:name="page149"/>
    <w:bookmarkEnd w:id="148"/>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Guaranties</w:t>
      </w:r>
      <w:r>
        <w:rPr>
          <w:rFonts w:ascii="Arial" w:cs="Arial" w:eastAsia="Arial" w:hAnsi="Arial"/>
          <w:sz w:val="20"/>
          <w:szCs w:val="20"/>
          <w:color w:val="auto"/>
        </w:rPr>
        <w:t>” means, collectively, the Company Guaranty and the Subsidiary Guaranties.</w:t>
      </w:r>
    </w:p>
    <w:p>
      <w:pPr>
        <w:spacing w:after="0" w:line="189" w:lineRule="exact"/>
        <w:rPr>
          <w:sz w:val="20"/>
          <w:szCs w:val="20"/>
          <w:color w:val="auto"/>
        </w:rPr>
      </w:pPr>
    </w:p>
    <w:p>
      <w:pPr>
        <w:jc w:val="both"/>
        <w:ind w:left="100" w:right="20" w:firstLine="74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66"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Bank</w:t>
      </w:r>
      <w:r>
        <w:rPr>
          <w:rFonts w:ascii="Arial" w:cs="Arial" w:eastAsia="Arial" w:hAnsi="Arial"/>
          <w:sz w:val="20"/>
          <w:szCs w:val="20"/>
          <w:color w:val="auto"/>
        </w:rPr>
        <w:t xml:space="preserve">” means any Person that, (a) at the time it enters into a Swap Contract not prohibited under </w:t>
      </w:r>
      <w:r>
        <w:rPr>
          <w:rFonts w:ascii="Arial" w:cs="Arial" w:eastAsia="Arial" w:hAnsi="Arial"/>
          <w:sz w:val="20"/>
          <w:szCs w:val="20"/>
          <w:u w:val="single" w:color="auto"/>
          <w:color w:val="auto"/>
        </w:rPr>
        <w:t>Article VII</w:t>
      </w:r>
      <w:r>
        <w:rPr>
          <w:rFonts w:ascii="Arial" w:cs="Arial" w:eastAsia="Arial" w:hAnsi="Arial"/>
          <w:sz w:val="20"/>
          <w:szCs w:val="20"/>
          <w:color w:val="auto"/>
        </w:rPr>
        <w:t>, is a Lender or an Affiliate of a Lender, or (b) at the time it (or its Affiliate) becomes a Lender, is party to a Swap Contract, in each case, in its capacity as a party to such Swap Contract.</w:t>
      </w:r>
    </w:p>
    <w:p>
      <w:pPr>
        <w:spacing w:after="0" w:line="183"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90" w:lineRule="exact"/>
        <w:rPr>
          <w:sz w:val="20"/>
          <w:szCs w:val="20"/>
          <w:color w:val="auto"/>
        </w:rPr>
      </w:pPr>
    </w:p>
    <w:p>
      <w:pPr>
        <w:ind w:left="840" w:firstLine="749"/>
        <w:spacing w:after="0" w:line="246" w:lineRule="auto"/>
        <w:tabs>
          <w:tab w:leader="none" w:pos="2328" w:val="left"/>
        </w:tabs>
        <w:numPr>
          <w:ilvl w:val="0"/>
          <w:numId w:val="96"/>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ind w:left="840" w:right="20" w:firstLine="750"/>
        <w:spacing w:after="0" w:line="246" w:lineRule="auto"/>
        <w:tabs>
          <w:tab w:leader="none" w:pos="2328" w:val="left"/>
        </w:tabs>
        <w:numPr>
          <w:ilvl w:val="0"/>
          <w:numId w:val="96"/>
        </w:numPr>
        <w:rPr>
          <w:rFonts w:ascii="Arial" w:cs="Arial" w:eastAsia="Arial" w:hAnsi="Arial"/>
          <w:sz w:val="20"/>
          <w:szCs w:val="20"/>
          <w:color w:val="auto"/>
        </w:rPr>
      </w:pPr>
      <w:r>
        <w:rPr>
          <w:rFonts w:ascii="Arial" w:cs="Arial" w:eastAsia="Arial" w:hAnsi="Arial"/>
          <w:sz w:val="20"/>
          <w:szCs w:val="20"/>
          <w:color w:val="auto"/>
        </w:rPr>
        <w:t>all direct or contingent obligations of such Person arising under letters of credit (including standby and commercial), bankers’ acceptances, bank guaranties, surety bonds and similar instruments;</w:t>
      </w:r>
    </w:p>
    <w:p>
      <w:pPr>
        <w:spacing w:after="0" w:line="163" w:lineRule="exact"/>
        <w:rPr>
          <w:rFonts w:ascii="Arial" w:cs="Arial" w:eastAsia="Arial" w:hAnsi="Arial"/>
          <w:sz w:val="20"/>
          <w:szCs w:val="20"/>
          <w:color w:val="auto"/>
        </w:rPr>
      </w:pPr>
    </w:p>
    <w:p>
      <w:pPr>
        <w:ind w:left="2340" w:hanging="751"/>
        <w:spacing w:after="0"/>
        <w:tabs>
          <w:tab w:leader="none" w:pos="23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02" w:lineRule="exact"/>
        <w:rPr>
          <w:rFonts w:ascii="Arial" w:cs="Arial" w:eastAsia="Arial" w:hAnsi="Arial"/>
          <w:sz w:val="20"/>
          <w:szCs w:val="20"/>
          <w:color w:val="auto"/>
        </w:rPr>
      </w:pPr>
    </w:p>
    <w:p>
      <w:pPr>
        <w:jc w:val="both"/>
        <w:ind w:left="840" w:right="20" w:firstLine="750"/>
        <w:spacing w:after="0" w:line="248" w:lineRule="auto"/>
        <w:tabs>
          <w:tab w:leader="none" w:pos="2328" w:val="left"/>
        </w:tabs>
        <w:numPr>
          <w:ilvl w:val="0"/>
          <w:numId w:val="96"/>
        </w:numPr>
        <w:rPr>
          <w:rFonts w:ascii="Arial" w:cs="Arial" w:eastAsia="Arial" w:hAnsi="Arial"/>
          <w:sz w:val="19"/>
          <w:szCs w:val="19"/>
          <w:color w:val="auto"/>
        </w:rPr>
      </w:pPr>
      <w:r>
        <w:rPr>
          <w:rFonts w:ascii="Arial" w:cs="Arial" w:eastAsia="Arial" w:hAnsi="Arial"/>
          <w:sz w:val="19"/>
          <w:szCs w:val="19"/>
          <w:color w:val="auto"/>
        </w:rPr>
        <w:t>all obligations of such Person to pay the deferred purchase price of property or services (other than trade accounts payable in the ordinary course of business that are (i) not past due for more than 90 days after the date on which such trade account payable was created or (ii) being contested in good faith by appropriate proceedings diligently conducted and adequate reserves in accordance with GAAP are being maintained by the applicable Person);</w:t>
      </w:r>
    </w:p>
    <w:p>
      <w:pPr>
        <w:spacing w:after="0" w:line="190" w:lineRule="exact"/>
        <w:rPr>
          <w:rFonts w:ascii="Arial" w:cs="Arial" w:eastAsia="Arial" w:hAnsi="Arial"/>
          <w:sz w:val="19"/>
          <w:szCs w:val="19"/>
          <w:color w:val="auto"/>
        </w:rPr>
      </w:pPr>
    </w:p>
    <w:p>
      <w:pPr>
        <w:jc w:val="both"/>
        <w:ind w:left="840" w:firstLine="749"/>
        <w:spacing w:after="0" w:line="237" w:lineRule="auto"/>
        <w:tabs>
          <w:tab w:leader="none" w:pos="2329" w:val="left"/>
        </w:tabs>
        <w:numPr>
          <w:ilvl w:val="0"/>
          <w:numId w:val="96"/>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2" w:lineRule="exact"/>
        <w:rPr>
          <w:rFonts w:ascii="Arial" w:cs="Arial" w:eastAsia="Arial" w:hAnsi="Arial"/>
          <w:sz w:val="20"/>
          <w:szCs w:val="20"/>
          <w:color w:val="auto"/>
        </w:rPr>
      </w:pPr>
    </w:p>
    <w:p>
      <w:pPr>
        <w:ind w:left="2340" w:hanging="751"/>
        <w:spacing w:after="0"/>
        <w:tabs>
          <w:tab w:leader="none" w:pos="23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capital leases and Synthetic Lease Obligations;</w:t>
      </w:r>
    </w:p>
    <w:p>
      <w:pPr>
        <w:spacing w:after="0" w:line="215" w:lineRule="exact"/>
        <w:rPr>
          <w:rFonts w:ascii="Arial" w:cs="Arial" w:eastAsia="Arial" w:hAnsi="Arial"/>
          <w:sz w:val="20"/>
          <w:szCs w:val="20"/>
          <w:color w:val="auto"/>
        </w:rPr>
      </w:pPr>
    </w:p>
    <w:p>
      <w:pPr>
        <w:jc w:val="both"/>
        <w:ind w:left="840" w:firstLine="749"/>
        <w:spacing w:after="0" w:line="237" w:lineRule="auto"/>
        <w:tabs>
          <w:tab w:leader="none" w:pos="2329"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and unpaid dividends; and</w:t>
      </w:r>
    </w:p>
    <w:p>
      <w:pPr>
        <w:spacing w:after="0" w:line="169" w:lineRule="exact"/>
        <w:rPr>
          <w:rFonts w:ascii="Arial" w:cs="Arial" w:eastAsia="Arial" w:hAnsi="Arial"/>
          <w:sz w:val="20"/>
          <w:szCs w:val="20"/>
          <w:color w:val="auto"/>
        </w:rPr>
      </w:pPr>
    </w:p>
    <w:p>
      <w:pPr>
        <w:ind w:left="2340" w:hanging="751"/>
        <w:spacing w:after="0"/>
        <w:tabs>
          <w:tab w:leader="none" w:pos="23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02" w:lineRule="exact"/>
        <w:rPr>
          <w:sz w:val="20"/>
          <w:szCs w:val="20"/>
          <w:color w:val="auto"/>
        </w:rPr>
      </w:pPr>
    </w:p>
    <w:p>
      <w:pPr>
        <w:jc w:val="both"/>
        <w:ind w:left="100" w:firstLine="747"/>
        <w:spacing w:after="0" w:line="263"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22"/>
          <w:szCs w:val="22"/>
          <w:color w:val="auto"/>
        </w:rPr>
        <w:t>23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49" w:name="page150"/>
    <w:bookmarkEnd w:id="149"/>
    <w:p>
      <w:pPr>
        <w:ind w:left="100" w:right="48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Taxes other than Excluded Taxes imposed on or with respect to any payment made by or on account of any obligation of any Loan Party under any Loan Document and</w:t>
      </w:r>
    </w:p>
    <w:p>
      <w:pPr>
        <w:spacing w:after="0" w:line="69" w:lineRule="exact"/>
        <w:rPr>
          <w:sz w:val="20"/>
          <w:szCs w:val="20"/>
          <w:color w:val="auto"/>
        </w:rPr>
      </w:pPr>
    </w:p>
    <w:p>
      <w:pPr>
        <w:ind w:left="600" w:hanging="508"/>
        <w:spacing w:after="0"/>
        <w:tabs>
          <w:tab w:leader="none" w:pos="6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to the extent not otherwise described in clause (a), Other Taxes. “</w:t>
      </w:r>
      <w:r>
        <w:rPr>
          <w:rFonts w:ascii="Arial" w:cs="Arial" w:eastAsia="Arial" w:hAnsi="Arial"/>
          <w:sz w:val="20"/>
          <w:szCs w:val="20"/>
          <w:u w:val="single" w:color="auto"/>
          <w:color w:val="auto"/>
        </w:rPr>
        <w:t>Indemnitees</w:t>
      </w:r>
      <w:r>
        <w:rPr>
          <w:rFonts w:ascii="Arial" w:cs="Arial" w:eastAsia="Arial" w:hAnsi="Arial"/>
          <w:sz w:val="20"/>
          <w:szCs w:val="20"/>
          <w:color w:val="auto"/>
        </w:rPr>
        <w:t>” has the</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189" w:lineRule="exact"/>
        <w:rPr>
          <w:sz w:val="20"/>
          <w:szCs w:val="20"/>
          <w:color w:val="auto"/>
        </w:rPr>
      </w:pPr>
    </w:p>
    <w:p>
      <w:pPr>
        <w:jc w:val="right"/>
        <w:ind w:left="120"/>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and Condemnation Event</w:t>
      </w:r>
      <w:r>
        <w:rPr>
          <w:rFonts w:ascii="Arial" w:cs="Arial" w:eastAsia="Arial" w:hAnsi="Arial"/>
          <w:sz w:val="20"/>
          <w:szCs w:val="20"/>
          <w:color w:val="auto"/>
        </w:rPr>
        <w:t>” means the receipt by any Loan Party or any Restricted Subsidiary of any proceeds of insurance (other than proceeds of business interruption insurance to the extent such proceeds constitute compensation for lost earnings) or condemnation award payable by reason of theft, loss, physical destruction or damage, taking or similar event with respect to any of their respective property.</w:t>
      </w:r>
    </w:p>
    <w:p>
      <w:pPr>
        <w:spacing w:after="0" w:line="197" w:lineRule="exact"/>
        <w:rPr>
          <w:sz w:val="20"/>
          <w:szCs w:val="20"/>
          <w:color w:val="auto"/>
        </w:rPr>
      </w:pPr>
    </w:p>
    <w:p>
      <w:pPr>
        <w:jc w:val="both"/>
        <w:ind w:left="100" w:firstLine="74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(a) as to any Term SOFR Loan, the last day of each Interest Period applicable to such Loan and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any Interest Period for a Term SOFR Loan exceeds three months, the respective dates that fall every three months after the beginning of such Interest Period shall also be Interest Payment Dates; (b) as to any Daily Simple SOFR Loan, the last Business Day of each month and the Maturity Date; (c) as to any Base Rate Loan (including a Swing Line Loan), the last Business Day of each March, June, September and December and the Maturity Date; (d) as to any Swing Line Loan, such other date as may be specified in any Treasury Management Agreement; (e) as to any Alternative Currency Daily Rate Loan, the last Business Day of each month and the Maturity Date; and (f) as to any Alternative Currency Term Rate Loan, the last day of each Interest Period applicable to such Loan and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Interest Period for an Alternative Currency Term Rate Loan exceeds three months, the respective dates that fall every three months after the beginning of such Interest Period shall be Interest Payment Dates.</w:t>
      </w:r>
    </w:p>
    <w:p>
      <w:pPr>
        <w:spacing w:after="0" w:line="145"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Alternative Currency Term Rate Loan or Term SOFR Loan, the period commencing on the date such Alternative Currency Term Rate Loan or Term SOFR Loan, as applicable, is disbursed or converted to or continued as an Alternative Currency Term Rate Loan or Term SOFR Loan, as applicable, and ending on the date one, three or six months thereafter (in each case subject to availability for the interest rate applicable to the relevant currency), as selected by the Company in its Loan Notice;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84" w:lineRule="exact"/>
        <w:rPr>
          <w:sz w:val="20"/>
          <w:szCs w:val="20"/>
          <w:color w:val="auto"/>
        </w:rPr>
      </w:pPr>
    </w:p>
    <w:p>
      <w:pPr>
        <w:jc w:val="both"/>
        <w:ind w:left="840" w:firstLine="749"/>
        <w:spacing w:after="0" w:line="275" w:lineRule="auto"/>
        <w:tabs>
          <w:tab w:leader="none" w:pos="2329"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an Alternative Currency Term Rate Loan or Term SOFR Loan, such Business Day falls in another calendar month, in which case such Interest Period shall end on the next preceding Business Day;</w:t>
      </w:r>
    </w:p>
    <w:p>
      <w:pPr>
        <w:spacing w:after="0" w:line="152" w:lineRule="exact"/>
        <w:rPr>
          <w:rFonts w:ascii="Arial" w:cs="Arial" w:eastAsia="Arial" w:hAnsi="Arial"/>
          <w:sz w:val="18"/>
          <w:szCs w:val="18"/>
          <w:color w:val="auto"/>
        </w:rPr>
      </w:pPr>
    </w:p>
    <w:p>
      <w:pPr>
        <w:jc w:val="both"/>
        <w:ind w:left="840" w:firstLine="749"/>
        <w:spacing w:after="0" w:line="234" w:lineRule="auto"/>
        <w:tabs>
          <w:tab w:leader="none" w:pos="2329"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Interest Period pertaining to an Alternative Currency Term Rate Loan or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96" w:lineRule="exact"/>
        <w:rPr>
          <w:rFonts w:ascii="Arial" w:cs="Arial" w:eastAsia="Arial" w:hAnsi="Arial"/>
          <w:sz w:val="20"/>
          <w:szCs w:val="20"/>
          <w:color w:val="auto"/>
        </w:rPr>
      </w:pPr>
    </w:p>
    <w:p>
      <w:pPr>
        <w:ind w:left="2340" w:hanging="751"/>
        <w:spacing w:after="0"/>
        <w:tabs>
          <w:tab w:leader="none" w:pos="2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02"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22"/>
          <w:szCs w:val="22"/>
          <w:color w:val="auto"/>
        </w:rPr>
        <w:t>24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0" w:name="page151"/>
    <w:bookmarkEnd w:id="150"/>
    <w:p>
      <w:pPr>
        <w:jc w:val="both"/>
        <w:ind w:left="100"/>
        <w:spacing w:after="0" w:line="234" w:lineRule="auto"/>
        <w:rPr>
          <w:sz w:val="20"/>
          <w:szCs w:val="20"/>
          <w:color w:val="auto"/>
        </w:rPr>
      </w:pPr>
      <w:r>
        <w:rPr>
          <w:rFonts w:ascii="Arial" w:cs="Arial" w:eastAsia="Arial" w:hAnsi="Arial"/>
          <w:sz w:val="20"/>
          <w:szCs w:val="20"/>
          <w:color w:val="auto"/>
        </w:rPr>
        <w:t>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25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1" w:right="459" w:bottom="1440" w:gutter="0" w:footer="0" w:header="0"/>
        </w:sectPr>
      </w:pPr>
    </w:p>
    <w:bookmarkStart w:id="151" w:name="page152"/>
    <w:bookmarkEnd w:id="151"/>
    <w:p>
      <w:pPr>
        <w:ind w:left="100" w:right="40"/>
        <w:spacing w:after="0" w:line="246" w:lineRule="auto"/>
        <w:rPr>
          <w:sz w:val="20"/>
          <w:szCs w:val="20"/>
          <w:color w:val="auto"/>
        </w:rPr>
      </w:pPr>
      <w:r>
        <w:rPr>
          <w:rFonts w:ascii="Arial" w:cs="Arial" w:eastAsia="Arial" w:hAnsi="Arial"/>
          <w:sz w:val="20"/>
          <w:szCs w:val="20"/>
          <w:color w:val="auto"/>
        </w:rPr>
        <w:t>compliance, the amount of any Investment shall be the amount actually invested, without adjustment for subsequent increases or decreases in the value of such Investment.</w:t>
      </w:r>
    </w:p>
    <w:p>
      <w:pPr>
        <w:spacing w:after="0" w:line="177"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 Amount</w:t>
      </w:r>
      <w:r>
        <w:rPr>
          <w:rFonts w:ascii="Arial" w:cs="Arial" w:eastAsia="Arial" w:hAnsi="Arial"/>
          <w:sz w:val="19"/>
          <w:szCs w:val="19"/>
          <w:color w:val="auto"/>
        </w:rPr>
        <w:t xml:space="preserve">” means the sum of (a) $20,000,000,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cumulative amount of all dividends and distributions received in cash by the Company or any Restricted Subsidiary after the Amendment No. 2 Effective Date in respect of Investments made pursuant to </w:t>
      </w:r>
      <w:r>
        <w:rPr>
          <w:rFonts w:ascii="Arial" w:cs="Arial" w:eastAsia="Arial" w:hAnsi="Arial"/>
          <w:sz w:val="19"/>
          <w:szCs w:val="19"/>
          <w:u w:val="single" w:color="auto"/>
          <w:color w:val="auto"/>
        </w:rPr>
        <w:t>Section 7.02(f)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7.02(g)(ii)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cumulative amount of all gains received in cash by the Company or any Restricted Subsidiary after the Amendment No. 2 Effective Date in respect of Investments made pursuant to </w:t>
      </w:r>
      <w:r>
        <w:rPr>
          <w:rFonts w:ascii="Arial" w:cs="Arial" w:eastAsia="Arial" w:hAnsi="Arial"/>
          <w:sz w:val="19"/>
          <w:szCs w:val="19"/>
          <w:u w:val="single" w:color="auto"/>
          <w:color w:val="auto"/>
        </w:rPr>
        <w:t>Section 7.02(f)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7.02(g)(ii)</w:t>
      </w:r>
      <w:r>
        <w:rPr>
          <w:rFonts w:ascii="Arial" w:cs="Arial" w:eastAsia="Arial" w:hAnsi="Arial"/>
          <w:sz w:val="19"/>
          <w:szCs w:val="19"/>
          <w:color w:val="auto"/>
        </w:rPr>
        <w:t xml:space="preserve"> as a result of the sale, transfer or other disposition of its ownership interest in any such Investment.</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IP Rights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5.17</w:t>
      </w:r>
      <w:r>
        <w:rPr>
          <w:rFonts w:ascii="Arial" w:cs="Arial" w:eastAsia="Arial" w:hAnsi="Arial"/>
          <w:sz w:val="20"/>
          <w:szCs w:val="20"/>
          <w:color w:val="auto"/>
        </w:rPr>
        <w:t>.</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18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190"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the applicable L/C Issuer and the Company (or any Subsidiary) or in favor of such L/C Issuer and relating to such Letter of Credit.</w:t>
      </w:r>
    </w:p>
    <w:p>
      <w:pPr>
        <w:spacing w:after="0" w:line="183"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4" w:lineRule="exact"/>
        <w:rPr>
          <w:sz w:val="20"/>
          <w:szCs w:val="20"/>
          <w:color w:val="auto"/>
        </w:rPr>
      </w:pPr>
    </w:p>
    <w:p>
      <w:pPr>
        <w:jc w:val="both"/>
        <w:ind w:left="10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Advance</w:t>
      </w:r>
      <w:r>
        <w:rPr>
          <w:rFonts w:ascii="Arial" w:cs="Arial" w:eastAsia="Arial" w:hAnsi="Arial"/>
          <w:sz w:val="19"/>
          <w:szCs w:val="19"/>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66" w:lineRule="exact"/>
        <w:rPr>
          <w:sz w:val="20"/>
          <w:szCs w:val="20"/>
          <w:color w:val="auto"/>
        </w:rPr>
      </w:pPr>
    </w:p>
    <w:p>
      <w:pPr>
        <w:jc w:val="both"/>
        <w:ind w:left="100" w:firstLine="747"/>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Commitment</w:t>
      </w:r>
      <w:r>
        <w:rPr>
          <w:rFonts w:ascii="Arial" w:cs="Arial" w:eastAsia="Arial" w:hAnsi="Arial"/>
          <w:sz w:val="20"/>
          <w:szCs w:val="20"/>
          <w:color w:val="auto"/>
        </w:rPr>
        <w:t>” has the meaning specified in the definition of “L/C Issuer”.</w:t>
      </w:r>
    </w:p>
    <w:p>
      <w:pPr>
        <w:spacing w:after="0" w:line="202" w:lineRule="exact"/>
        <w:rPr>
          <w:sz w:val="20"/>
          <w:szCs w:val="20"/>
          <w:color w:val="auto"/>
        </w:rPr>
      </w:pPr>
    </w:p>
    <w:p>
      <w:pPr>
        <w:jc w:val="both"/>
        <w:ind w:left="100" w:right="2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63" w:lineRule="exact"/>
        <w:rPr>
          <w:sz w:val="20"/>
          <w:szCs w:val="20"/>
          <w:color w:val="auto"/>
        </w:rPr>
      </w:pPr>
    </w:p>
    <w:p>
      <w:pPr>
        <w:jc w:val="both"/>
        <w:ind w:left="100" w:firstLine="747"/>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means, individually or collectively as the context may indicate, (a) Bank of America, in its capacity as an issuer of Letters of Credit hereunder or any successor to Bank of America in its capacity as an issuer of Letters of Credit hereunder, (b) Citibank, N.A., in its capacity as an issuer of Letters of Credit hereunder or any successor to Citibank, N.A. in its capacity as an issuer of Letters of Credit hereunder and</w:t>
      </w:r>
    </w:p>
    <w:p>
      <w:pPr>
        <w:spacing w:after="0" w:line="2" w:lineRule="exact"/>
        <w:rPr>
          <w:sz w:val="20"/>
          <w:szCs w:val="20"/>
          <w:color w:val="auto"/>
        </w:rPr>
      </w:pPr>
    </w:p>
    <w:p>
      <w:pPr>
        <w:jc w:val="both"/>
        <w:ind w:left="100"/>
        <w:spacing w:after="0" w:line="241" w:lineRule="auto"/>
        <w:rPr>
          <w:sz w:val="20"/>
          <w:szCs w:val="20"/>
          <w:color w:val="auto"/>
        </w:rPr>
      </w:pPr>
      <w:r>
        <w:rPr>
          <w:rFonts w:ascii="Arial" w:cs="Arial" w:eastAsia="Arial" w:hAnsi="Arial"/>
          <w:sz w:val="19"/>
          <w:szCs w:val="19"/>
          <w:color w:val="auto"/>
        </w:rPr>
        <w:t xml:space="preserve">(c)to the extent approved by the Administrative Agent in its sole discretion, any other Revolving Credit Lender selected by the Company, which consents to its appointment by the Company as an issuer of Letters of Credit hereunder and becomes an L/C Issuer hereunder pursuant to a joinder agreement in form and substance reasonably satisfactory to the Administrative Agent, in its capacity as an issuer of Letters of Credit hereunder or any successor to such Lender in its capacity as an issuer of Letters of Credit hereunder, each with the commitment set forth opposite such L/C Issuer’s name on </w:t>
      </w:r>
      <w:r>
        <w:rPr>
          <w:rFonts w:ascii="Arial" w:cs="Arial" w:eastAsia="Arial" w:hAnsi="Arial"/>
          <w:sz w:val="19"/>
          <w:szCs w:val="19"/>
          <w:u w:val="single" w:color="auto"/>
          <w:color w:val="auto"/>
        </w:rPr>
        <w:t>Schedule 2.01LC</w:t>
      </w:r>
      <w:r>
        <w:rPr>
          <w:rFonts w:ascii="Arial" w:cs="Arial" w:eastAsia="Arial" w:hAnsi="Arial"/>
          <w:sz w:val="19"/>
          <w:szCs w:val="19"/>
          <w:color w:val="auto"/>
        </w:rPr>
        <w:t xml:space="preserve"> under the caption</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color w:val="auto"/>
        </w:rPr>
        <w:t>26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2" w:name="page153"/>
    <w:bookmarkEnd w:id="152"/>
    <w:p>
      <w:pPr>
        <w:jc w:val="both"/>
        <w:ind w:left="100"/>
        <w:spacing w:after="0" w:line="248" w:lineRule="auto"/>
        <w:rPr>
          <w:sz w:val="20"/>
          <w:szCs w:val="20"/>
          <w:color w:val="auto"/>
        </w:rPr>
      </w:pPr>
      <w:r>
        <w:rPr>
          <w:rFonts w:ascii="Arial" w:cs="Arial" w:eastAsia="Arial" w:hAnsi="Arial"/>
          <w:sz w:val="19"/>
          <w:szCs w:val="19"/>
          <w:color w:val="auto"/>
        </w:rPr>
        <w:t>“L/C Commitment” or in the joinder agreement pursuant to which such L/C Issuer becomes a party hereto as an L/C Issuer, as applicable, as such amount may be adjusted from time to time in accordance with this Agreement (each such commitment, a “</w:t>
      </w:r>
      <w:r>
        <w:rPr>
          <w:rFonts w:ascii="Arial" w:cs="Arial" w:eastAsia="Arial" w:hAnsi="Arial"/>
          <w:sz w:val="19"/>
          <w:szCs w:val="19"/>
          <w:u w:val="single" w:color="auto"/>
          <w:color w:val="auto"/>
        </w:rPr>
        <w:t>L/C Commitment</w:t>
      </w:r>
      <w:r>
        <w:rPr>
          <w:rFonts w:ascii="Arial" w:cs="Arial" w:eastAsia="Arial" w:hAnsi="Arial"/>
          <w:sz w:val="19"/>
          <w:szCs w:val="19"/>
          <w:color w:val="auto"/>
        </w:rPr>
        <w:t>”). Any L/C Issuer may, in its discretion, arrange for one or more Letters of Credit to be issued by Affiliates of such L/C Issuer, in which case the term “L/C Issuer” shall include any such Affiliate with respect to Letters of Credit issued by such Affiliate.</w:t>
      </w:r>
    </w:p>
    <w:p>
      <w:pPr>
        <w:spacing w:after="0" w:line="177" w:lineRule="exact"/>
        <w:rPr>
          <w:sz w:val="20"/>
          <w:szCs w:val="20"/>
          <w:color w:val="auto"/>
        </w:rPr>
      </w:pPr>
    </w:p>
    <w:p>
      <w:pPr>
        <w:jc w:val="both"/>
        <w:ind w:left="100" w:firstLine="747"/>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7"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has the meaning specified in the introductory paragraph hereto and, unless the context requires otherwise, includes the Swing Line Lender.</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Parties</w:t>
      </w:r>
      <w:r>
        <w:rPr>
          <w:rFonts w:ascii="Arial" w:cs="Arial" w:eastAsia="Arial" w:hAnsi="Arial"/>
          <w:sz w:val="18"/>
          <w:szCs w:val="18"/>
          <w:color w:val="auto"/>
        </w:rPr>
        <w:t>” and “</w:t>
      </w:r>
      <w:r>
        <w:rPr>
          <w:rFonts w:ascii="Arial" w:cs="Arial" w:eastAsia="Arial" w:hAnsi="Arial"/>
          <w:sz w:val="18"/>
          <w:szCs w:val="18"/>
          <w:u w:val="single" w:color="auto"/>
          <w:color w:val="auto"/>
        </w:rPr>
        <w:t>Lender Recipient Parties</w:t>
      </w:r>
      <w:r>
        <w:rPr>
          <w:rFonts w:ascii="Arial" w:cs="Arial" w:eastAsia="Arial" w:hAnsi="Arial"/>
          <w:sz w:val="18"/>
          <w:szCs w:val="18"/>
          <w:color w:val="auto"/>
        </w:rPr>
        <w:t>” mean, collectively, the Lenders, the Swing Line Lenders and the L/C Issuers.</w:t>
      </w:r>
    </w:p>
    <w:p>
      <w:pPr>
        <w:spacing w:after="0" w:line="212"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(including in its capacity as an L/C Issuer) shall include its applicable Lending Office.</w:t>
      </w:r>
    </w:p>
    <w:p>
      <w:pPr>
        <w:spacing w:after="0" w:line="198"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letter of credit issued hereunder and shall include the Existing Letters of Credit. Letters of Credit may be issued in Dollars or in an Alternative Currency.</w:t>
      </w:r>
    </w:p>
    <w:p>
      <w:pPr>
        <w:spacing w:after="0" w:line="177" w:lineRule="exact"/>
        <w:rPr>
          <w:sz w:val="20"/>
          <w:szCs w:val="20"/>
          <w:color w:val="auto"/>
        </w:rPr>
      </w:pPr>
    </w:p>
    <w:p>
      <w:pPr>
        <w:jc w:val="both"/>
        <w:ind w:left="100" w:right="2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L/C Issuer.</w:t>
      </w:r>
    </w:p>
    <w:p>
      <w:pPr>
        <w:spacing w:after="0" w:line="150"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days prior to the Maturity Date then in effect (or, if such day is not a Business Day, the next preceding Business Day).</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202" w:lineRule="exact"/>
        <w:rPr>
          <w:sz w:val="20"/>
          <w:szCs w:val="20"/>
          <w:color w:val="auto"/>
        </w:rPr>
      </w:pPr>
    </w:p>
    <w:p>
      <w:pPr>
        <w:jc w:val="both"/>
        <w:ind w:left="100" w:right="2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Sublimit</w:t>
      </w:r>
      <w:r>
        <w:rPr>
          <w:rFonts w:ascii="Arial" w:cs="Arial" w:eastAsia="Arial" w:hAnsi="Arial"/>
          <w:sz w:val="19"/>
          <w:szCs w:val="19"/>
          <w:color w:val="auto"/>
        </w:rPr>
        <w:t>” means an amount equal to the lesser of (a) the Aggregate Revolving Credit Commitments and (b) $75,000,000. The Letter of Credit Sublimit is part of, and not in addition to, the Aggregate Revolving Credit Commitments.</w:t>
      </w:r>
    </w:p>
    <w:p>
      <w:pPr>
        <w:spacing w:after="0" w:line="153" w:lineRule="exact"/>
        <w:rPr>
          <w:sz w:val="20"/>
          <w:szCs w:val="20"/>
          <w:color w:val="auto"/>
        </w:rPr>
      </w:pPr>
    </w:p>
    <w:p>
      <w:pPr>
        <w:jc w:val="both"/>
        <w:ind w:left="100" w:firstLine="74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2"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a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Revolving Credit Loan, a Swing Line Loan or a Term Loan.</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27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3" w:name="page154"/>
    <w:bookmarkEnd w:id="153"/>
    <w:p>
      <w:pPr>
        <w:jc w:val="both"/>
        <w:ind w:left="10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means, collectively, this Agreement, each Designated Borrower Request and Assumption Agreement, each Note, each Collateral Document, each Issuer Document, any agreement creating or perfecting rights in Cash Collateral pursuant to the provisions of </w:t>
      </w:r>
      <w:r>
        <w:rPr>
          <w:rFonts w:ascii="Arial" w:cs="Arial" w:eastAsia="Arial" w:hAnsi="Arial"/>
          <w:sz w:val="20"/>
          <w:szCs w:val="20"/>
          <w:u w:val="single" w:color="auto"/>
          <w:color w:val="auto"/>
        </w:rPr>
        <w:t>Section 2.16</w:t>
      </w:r>
      <w:r>
        <w:rPr>
          <w:rFonts w:ascii="Arial" w:cs="Arial" w:eastAsia="Arial" w:hAnsi="Arial"/>
          <w:sz w:val="20"/>
          <w:szCs w:val="20"/>
          <w:color w:val="auto"/>
        </w:rPr>
        <w:t>, the Fee Letters, the Company Guaranty, each Subsidiary Guaranty and each Subsidiary Guaranty Joinder Agreement and any amendments, modifications or supplements hereto or to any other Loan Document or waivers hereof or to any other Loan Document.</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Notice</w:t>
      </w:r>
      <w:r>
        <w:rPr>
          <w:rFonts w:ascii="Arial" w:cs="Arial" w:eastAsia="Arial" w:hAnsi="Arial"/>
          <w:sz w:val="20"/>
          <w:szCs w:val="20"/>
          <w:color w:val="auto"/>
        </w:rPr>
        <w:t>” means a notice of (a) a Term Loan Borrowing, (b) a Revolving Credit Borrowing,</w:t>
      </w:r>
    </w:p>
    <w:p>
      <w:pPr>
        <w:spacing w:after="0" w:line="2" w:lineRule="exact"/>
        <w:rPr>
          <w:sz w:val="20"/>
          <w:szCs w:val="20"/>
          <w:color w:val="auto"/>
        </w:rPr>
      </w:pPr>
    </w:p>
    <w:p>
      <w:pPr>
        <w:jc w:val="both"/>
        <w:ind w:left="100"/>
        <w:spacing w:after="0" w:line="243" w:lineRule="auto"/>
        <w:rPr>
          <w:sz w:val="20"/>
          <w:szCs w:val="20"/>
          <w:color w:val="auto"/>
        </w:rPr>
      </w:pPr>
      <w:r>
        <w:rPr>
          <w:rFonts w:ascii="Arial" w:cs="Arial" w:eastAsia="Arial" w:hAnsi="Arial"/>
          <w:sz w:val="19"/>
          <w:szCs w:val="19"/>
          <w:color w:val="auto"/>
        </w:rPr>
        <w:t xml:space="preserve">(c)a conversion of Loans from one Type to the other, or (d) a continuation of Term SOFR Loans or Alternative Currency Term Rate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if in writing,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Company, each Subsidiary Guarantor and each Designated Borrower.</w:t>
      </w:r>
    </w:p>
    <w:p>
      <w:pPr>
        <w:spacing w:after="0" w:line="189" w:lineRule="exact"/>
        <w:rPr>
          <w:sz w:val="20"/>
          <w:szCs w:val="20"/>
          <w:color w:val="auto"/>
        </w:rPr>
      </w:pPr>
    </w:p>
    <w:p>
      <w:pPr>
        <w:jc w:val="both"/>
        <w:ind w:left="100" w:firstLine="74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liabilities (actual or contingent) or financial condition of the Company and its Restricted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75" w:lineRule="exact"/>
        <w:rPr>
          <w:sz w:val="20"/>
          <w:szCs w:val="20"/>
          <w:color w:val="auto"/>
        </w:rPr>
      </w:pPr>
    </w:p>
    <w:p>
      <w:pPr>
        <w:jc w:val="both"/>
        <w:ind w:left="100" w:firstLine="747"/>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xml:space="preserve">” means, as of any date of determination, each direct or indirect Subsidiary of the Company that either (a) has assets as of such date equal to 5% or more of the Consolidated Total Assets as of the last day of the four fiscal quarter period of the Company most recently ended for which financial information is available or (b) had revenues in such four fiscal quarter period equal to 5% or more of the consolidated total revenues of the Company and its Subsidiaries. For the purpose of the foregoing calculations, (i) revenues shall be calculated giving effect to any pro forma adjustments, with respect to any Specified Transaction, in a manner consistent with the adjustments described in </w:t>
      </w:r>
      <w:r>
        <w:rPr>
          <w:rFonts w:ascii="Arial" w:cs="Arial" w:eastAsia="Arial" w:hAnsi="Arial"/>
          <w:sz w:val="20"/>
          <w:szCs w:val="20"/>
          <w:u w:val="single" w:color="auto"/>
          <w:color w:val="auto"/>
        </w:rPr>
        <w:t>Section 1.07</w:t>
      </w:r>
      <w:r>
        <w:rPr>
          <w:rFonts w:ascii="Arial" w:cs="Arial" w:eastAsia="Arial" w:hAnsi="Arial"/>
          <w:sz w:val="20"/>
          <w:szCs w:val="20"/>
          <w:color w:val="auto"/>
        </w:rPr>
        <w:t xml:space="preserve"> and (ii) the assets and revenues of a Subsidiary shall be deemed to include the assets andrevenues of its Subsidiaries.</w:t>
      </w:r>
    </w:p>
    <w:p>
      <w:pPr>
        <w:spacing w:after="0" w:line="185"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xml:space="preserve">” means December 17, 2026;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such date is not a Business Day, the Maturity Date shall be the next preceding Business Day.</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Mefiag B.V.</w:t>
      </w:r>
      <w:r>
        <w:rPr>
          <w:rFonts w:ascii="Arial" w:cs="Arial" w:eastAsia="Arial" w:hAnsi="Arial"/>
          <w:sz w:val="20"/>
          <w:szCs w:val="20"/>
          <w:color w:val="auto"/>
        </w:rPr>
        <w:t>” means Mefiag B.V., a private limited company incorporated in the Netherlands.</w:t>
      </w:r>
    </w:p>
    <w:p>
      <w:pPr>
        <w:spacing w:after="0" w:line="202" w:lineRule="exact"/>
        <w:rPr>
          <w:sz w:val="20"/>
          <w:szCs w:val="20"/>
          <w:color w:val="auto"/>
        </w:rPr>
      </w:pPr>
    </w:p>
    <w:p>
      <w:pPr>
        <w:jc w:val="both"/>
        <w:ind w:left="100" w:firstLine="747"/>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Minimum Collateral Amount</w:t>
      </w:r>
      <w:r>
        <w:rPr>
          <w:rFonts w:ascii="Arial" w:cs="Arial" w:eastAsia="Arial" w:hAnsi="Arial"/>
          <w:sz w:val="19"/>
          <w:szCs w:val="19"/>
          <w:color w:val="auto"/>
        </w:rPr>
        <w:t xml:space="preserve">” means, at any time, (a) with respect to Cash Collateral consisting of cash or deposit account balances provided to reduce or eliminate Fronting Exposure during the existence of a Defaulting Lender, an amount equal to 103% of the Fronting Exposure of any L/C Issuer with respect to Letters of Credit issued by such L/C Issuer and outstanding at such time, (b) with respect to Cash Collateral consisting of cash or deposit account balances provided in accordance with the provisions of </w:t>
      </w:r>
      <w:r>
        <w:rPr>
          <w:rFonts w:ascii="Arial" w:cs="Arial" w:eastAsia="Arial" w:hAnsi="Arial"/>
          <w:sz w:val="19"/>
          <w:szCs w:val="19"/>
          <w:u w:val="single" w:color="auto"/>
          <w:color w:val="auto"/>
        </w:rPr>
        <w:t>Section 2.16(a)(i)</w:t>
      </w:r>
      <w:r>
        <w:rPr>
          <w:rFonts w:ascii="Arial" w:cs="Arial" w:eastAsia="Arial" w:hAnsi="Arial"/>
          <w:sz w:val="19"/>
          <w:szCs w:val="19"/>
          <w:color w:val="auto"/>
        </w:rPr>
        <w:t xml:space="preserve">, </w:t>
      </w:r>
      <w:r>
        <w:rPr>
          <w:rFonts w:ascii="Arial" w:cs="Arial" w:eastAsia="Arial" w:hAnsi="Arial"/>
          <w:sz w:val="19"/>
          <w:szCs w:val="19"/>
          <w:u w:val="single" w:color="auto"/>
          <w:color w:val="auto"/>
        </w:rPr>
        <w:t>(a)(ii)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(a)(iii)</w:t>
      </w:r>
      <w:r>
        <w:rPr>
          <w:rFonts w:ascii="Arial" w:cs="Arial" w:eastAsia="Arial" w:hAnsi="Arial"/>
          <w:sz w:val="19"/>
          <w:szCs w:val="19"/>
          <w:color w:val="auto"/>
        </w:rPr>
        <w:t>, an amount equal to 103% of the Outstanding Amount of all L/C Obligations, and (c) otherwise, an amount determined by the Administrative Agent and the L/C Issuers in their sole discretion.</w:t>
      </w:r>
    </w:p>
    <w:p>
      <w:pPr>
        <w:spacing w:after="0" w:line="19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28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4" w:name="page155"/>
    <w:bookmarkEnd w:id="154"/>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69" w:lineRule="exact"/>
        <w:rPr>
          <w:sz w:val="20"/>
          <w:szCs w:val="20"/>
          <w:color w:val="auto"/>
        </w:rPr>
      </w:pPr>
    </w:p>
    <w:p>
      <w:pPr>
        <w:jc w:val="both"/>
        <w:ind w:left="100" w:right="2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Multiple Employer Plan</w:t>
      </w:r>
      <w:r>
        <w:rPr>
          <w:rFonts w:ascii="Arial" w:cs="Arial" w:eastAsia="Arial" w:hAnsi="Arial"/>
          <w:sz w:val="19"/>
          <w:szCs w:val="19"/>
          <w:color w:val="auto"/>
        </w:rPr>
        <w:t>” means a Plan which has two or more contributing sponsors (including the Company or any ERISA Affiliate) at least two of whom are not under common control, as such a plan is described in Section 4064 of ERISA.</w:t>
      </w:r>
    </w:p>
    <w:p>
      <w:pPr>
        <w:spacing w:after="0" w:line="1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Proceeds</w:t>
      </w:r>
      <w:r>
        <w:rPr>
          <w:rFonts w:ascii="Arial" w:cs="Arial" w:eastAsia="Arial" w:hAnsi="Arial"/>
          <w:sz w:val="20"/>
          <w:szCs w:val="20"/>
          <w:color w:val="auto"/>
        </w:rPr>
        <w:t>” means:</w:t>
      </w:r>
    </w:p>
    <w:p>
      <w:pPr>
        <w:spacing w:after="0" w:line="189" w:lineRule="exact"/>
        <w:rPr>
          <w:sz w:val="20"/>
          <w:szCs w:val="20"/>
          <w:color w:val="auto"/>
        </w:rPr>
      </w:pPr>
    </w:p>
    <w:p>
      <w:pPr>
        <w:jc w:val="both"/>
        <w:ind w:left="100" w:firstLine="741"/>
        <w:spacing w:after="0" w:line="285" w:lineRule="auto"/>
        <w:tabs>
          <w:tab w:leader="none" w:pos="1589" w:val="left"/>
        </w:tabs>
        <w:numPr>
          <w:ilvl w:val="1"/>
          <w:numId w:val="99"/>
        </w:numPr>
        <w:rPr>
          <w:rFonts w:ascii="Arial" w:cs="Arial" w:eastAsia="Arial" w:hAnsi="Arial"/>
          <w:sz w:val="16"/>
          <w:szCs w:val="16"/>
          <w:color w:val="auto"/>
        </w:rPr>
      </w:pPr>
      <w:r>
        <w:rPr>
          <w:rFonts w:ascii="Arial" w:cs="Arial" w:eastAsia="Arial" w:hAnsi="Arial"/>
          <w:sz w:val="16"/>
          <w:szCs w:val="16"/>
          <w:color w:val="auto"/>
        </w:rPr>
        <w:t>with respect to any Disposition by the Company or any of its Restricted Subsidiaries or any Insurance and Condemnation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w:t>
      </w:r>
    </w:p>
    <w:p>
      <w:pPr>
        <w:spacing w:after="0" w:line="3" w:lineRule="exact"/>
        <w:rPr>
          <w:rFonts w:ascii="Arial" w:cs="Arial" w:eastAsia="Arial" w:hAnsi="Arial"/>
          <w:sz w:val="16"/>
          <w:szCs w:val="16"/>
          <w:color w:val="auto"/>
        </w:rPr>
      </w:pPr>
    </w:p>
    <w:p>
      <w:pPr>
        <w:jc w:val="both"/>
        <w:ind w:left="100" w:hanging="8"/>
        <w:spacing w:after="0" w:line="229" w:lineRule="auto"/>
        <w:tabs>
          <w:tab w:leader="none" w:pos="418" w:val="left"/>
        </w:tabs>
        <w:numPr>
          <w:ilvl w:val="0"/>
          <w:numId w:val="100"/>
        </w:numPr>
        <w:rPr>
          <w:rFonts w:ascii="Arial" w:cs="Arial" w:eastAsia="Arial" w:hAnsi="Arial"/>
          <w:sz w:val="20"/>
          <w:szCs w:val="20"/>
          <w:color w:val="auto"/>
        </w:rPr>
      </w:pPr>
      <w:r>
        <w:rPr>
          <w:rFonts w:ascii="Arial" w:cs="Arial" w:eastAsia="Arial" w:hAnsi="Arial"/>
          <w:sz w:val="20"/>
          <w:szCs w:val="20"/>
          <w:color w:val="auto"/>
        </w:rPr>
        <w:t xml:space="preserve">the reasonable and customary out-of-pocket expenses incurred by the Company or such Restricted Subsidiary in connection with such transaction and (C) income taxes reasonably estimated to be actually payable within two years of the date of the relevant transaction as a result of any gain recognized in connection therewith;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amount of any estimated taxes pursuant to </w:t>
      </w:r>
      <w:r>
        <w:rPr>
          <w:rFonts w:ascii="Arial" w:cs="Arial" w:eastAsia="Arial" w:hAnsi="Arial"/>
          <w:sz w:val="20"/>
          <w:szCs w:val="20"/>
          <w:u w:val="single" w:color="auto"/>
          <w:color w:val="auto"/>
        </w:rPr>
        <w:t>subclause (C)</w:t>
      </w:r>
      <w:r>
        <w:rPr>
          <w:rFonts w:ascii="Arial" w:cs="Arial" w:eastAsia="Arial" w:hAnsi="Arial"/>
          <w:sz w:val="20"/>
          <w:szCs w:val="20"/>
          <w:color w:val="auto"/>
        </w:rPr>
        <w:t xml:space="preserve"> exceeds the amount of taxes actually required to be paid in cash in respect of such transaction, the aggregate amount of such excess shall constitute Net Cash Proceeds; and</w:t>
      </w:r>
    </w:p>
    <w:p>
      <w:pPr>
        <w:spacing w:after="0" w:line="196" w:lineRule="exact"/>
        <w:rPr>
          <w:rFonts w:ascii="Arial" w:cs="Arial" w:eastAsia="Arial" w:hAnsi="Arial"/>
          <w:sz w:val="20"/>
          <w:szCs w:val="20"/>
          <w:color w:val="auto"/>
        </w:rPr>
      </w:pPr>
    </w:p>
    <w:p>
      <w:pPr>
        <w:jc w:val="both"/>
        <w:ind w:left="100" w:firstLine="741"/>
        <w:spacing w:after="0" w:line="234" w:lineRule="auto"/>
        <w:tabs>
          <w:tab w:leader="none" w:pos="1589" w:val="left"/>
        </w:tabs>
        <w:numPr>
          <w:ilvl w:val="1"/>
          <w:numId w:val="100"/>
        </w:numPr>
        <w:rPr>
          <w:rFonts w:ascii="Arial" w:cs="Arial" w:eastAsia="Arial" w:hAnsi="Arial"/>
          <w:sz w:val="20"/>
          <w:szCs w:val="20"/>
          <w:color w:val="auto"/>
        </w:rPr>
      </w:pPr>
      <w:r>
        <w:rPr>
          <w:rFonts w:ascii="Arial" w:cs="Arial" w:eastAsia="Arial" w:hAnsi="Arial"/>
          <w:sz w:val="20"/>
          <w:szCs w:val="20"/>
          <w:color w:val="auto"/>
        </w:rPr>
        <w:t>with respect to the incurrence or issuance of any Indebtedness by the Company or any of its Restricted Subsidiaries, the excess of (i) the sum of the cash and Cash Equivalents received in connection with such transaction over (ii) the underwriting discounts and commissions, and other reasonable and customary out-of-pocket expenses, incurred by the Company or such Restricted Subsidiary in connection therewith.</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Netherlands Designated Borrowers</w:t>
      </w:r>
      <w:r>
        <w:rPr>
          <w:rFonts w:ascii="Arial" w:cs="Arial" w:eastAsia="Arial" w:hAnsi="Arial"/>
          <w:sz w:val="20"/>
          <w:szCs w:val="20"/>
          <w:color w:val="auto"/>
        </w:rPr>
        <w:t>” means, collectively, CECO B.V., Aarding B.V. and Mefiag</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B.V.</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means, as applicable, (a) any Lender that does not approve any consent,</w:t>
      </w:r>
    </w:p>
    <w:p>
      <w:pPr>
        <w:spacing w:after="0" w:line="16" w:lineRule="exact"/>
        <w:rPr>
          <w:sz w:val="20"/>
          <w:szCs w:val="20"/>
          <w:color w:val="auto"/>
        </w:rPr>
      </w:pPr>
    </w:p>
    <w:p>
      <w:pPr>
        <w:jc w:val="both"/>
        <w:ind w:left="100"/>
        <w:spacing w:after="0" w:line="225" w:lineRule="auto"/>
        <w:rPr>
          <w:sz w:val="20"/>
          <w:szCs w:val="20"/>
          <w:color w:val="auto"/>
        </w:rPr>
      </w:pPr>
      <w:r>
        <w:rPr>
          <w:rFonts w:ascii="Arial" w:cs="Arial" w:eastAsia="Arial" w:hAnsi="Arial"/>
          <w:sz w:val="20"/>
          <w:szCs w:val="20"/>
          <w:color w:val="auto"/>
        </w:rPr>
        <w:t xml:space="preserve">waiver or amendment that (i) requires the approval of all Lenders or all affected Lenders in accordance with the terms of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(ii) has been approved by the Required Lenders, (b) any Revolving Credit Lender that does not approve any consent, waiver or amendment that (i) requires the approval of all Revolving Credit Lenders or all affected Revolving Credit Lenders in accordance with the terms of </w:t>
      </w:r>
      <w:r>
        <w:rPr>
          <w:rFonts w:ascii="Arial" w:cs="Arial" w:eastAsia="Arial" w:hAnsi="Arial"/>
          <w:sz w:val="20"/>
          <w:szCs w:val="20"/>
          <w:u w:val="single" w:color="auto"/>
          <w:color w:val="auto"/>
        </w:rPr>
        <w:t>Section</w:t>
      </w:r>
    </w:p>
    <w:p>
      <w:pPr>
        <w:spacing w:after="0" w:line="2" w:lineRule="exact"/>
        <w:rPr>
          <w:sz w:val="20"/>
          <w:szCs w:val="20"/>
          <w:color w:val="auto"/>
        </w:rPr>
      </w:pPr>
    </w:p>
    <w:p>
      <w:pPr>
        <w:jc w:val="both"/>
        <w:ind w:left="100"/>
        <w:spacing w:after="0" w:line="245" w:lineRule="auto"/>
        <w:rPr>
          <w:sz w:val="20"/>
          <w:szCs w:val="20"/>
          <w:color w:val="auto"/>
        </w:rPr>
      </w:pPr>
      <w:r>
        <w:rPr>
          <w:rFonts w:ascii="Arial" w:cs="Arial" w:eastAsia="Arial" w:hAnsi="Arial"/>
          <w:sz w:val="19"/>
          <w:szCs w:val="19"/>
          <w:u w:val="single" w:color="auto"/>
          <w:color w:val="auto"/>
        </w:rPr>
        <w:t>1.1</w:t>
      </w:r>
      <w:r>
        <w:rPr>
          <w:rFonts w:ascii="Arial" w:cs="Arial" w:eastAsia="Arial" w:hAnsi="Arial"/>
          <w:sz w:val="19"/>
          <w:szCs w:val="19"/>
          <w:color w:val="auto"/>
        </w:rPr>
        <w:t xml:space="preserve">and (ii) has been approved by the Required Revolving Credit Lenders or (c) any Term Loan Lender that does not approve any consent, waiver or amendment that (i) requires the approval of all Term Loan Lenders or all affected Term Loan Lenders in accordance with the terms of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(ii) has been approved by the Required Term Loan Lenders.</w:t>
      </w:r>
    </w:p>
    <w:p>
      <w:pPr>
        <w:spacing w:after="0" w:line="16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time.</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means a Term Loan Note or a Revolving Credit Note, as the context may require.</w:t>
      </w:r>
    </w:p>
    <w:p>
      <w:pPr>
        <w:spacing w:after="0" w:line="202"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Loan Prepayment</w:t>
      </w:r>
      <w:r>
        <w:rPr>
          <w:rFonts w:ascii="Arial" w:cs="Arial" w:eastAsia="Arial" w:hAnsi="Arial"/>
          <w:sz w:val="20"/>
          <w:szCs w:val="20"/>
          <w:color w:val="auto"/>
        </w:rPr>
        <w:t xml:space="preserve">” means a notice of prepayment with respect to a Loan, which shall be substantially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29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5" w:name="page156"/>
    <w:bookmarkEnd w:id="155"/>
    <w:p>
      <w:pPr>
        <w:jc w:val="both"/>
        <w:ind w:left="100" w:firstLine="747"/>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advances to, and debts, liabilities, obligations, covenants and duties of, any Loan Party arising under any Loan Document or otherwise with respect to any Loan, Letter of Credit, Secured Cash Management Agreement, Secured Hedge Agreement or Secured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“Obligations” of a Subsidiary Guarantor shall exclude any Excluded Swap Obligations with respect to such Subsidiary Guarantor.</w:t>
      </w:r>
    </w:p>
    <w:p>
      <w:pPr>
        <w:spacing w:after="0" w:line="14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02" w:lineRule="exact"/>
        <w:rPr>
          <w:sz w:val="20"/>
          <w:szCs w:val="20"/>
          <w:color w:val="auto"/>
        </w:rPr>
      </w:pPr>
    </w:p>
    <w:p>
      <w:pPr>
        <w:jc w:val="both"/>
        <w:ind w:left="100" w:firstLine="747"/>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Organization Documents</w:t>
      </w:r>
      <w:r>
        <w:rPr>
          <w:rFonts w:ascii="Arial" w:cs="Arial" w:eastAsia="Arial" w:hAnsi="Arial"/>
          <w:sz w:val="19"/>
          <w:szCs w:val="19"/>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or association and, as applicable, operating or limited liability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9"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8" w:lineRule="exact"/>
        <w:rPr>
          <w:sz w:val="20"/>
          <w:szCs w:val="20"/>
          <w:color w:val="auto"/>
        </w:rPr>
      </w:pPr>
    </w:p>
    <w:p>
      <w:pPr>
        <w:jc w:val="both"/>
        <w:ind w:left="100" w:firstLine="747"/>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77" w:lineRule="exact"/>
        <w:rPr>
          <w:sz w:val="20"/>
          <w:szCs w:val="20"/>
          <w:color w:val="auto"/>
        </w:rPr>
      </w:pPr>
    </w:p>
    <w:p>
      <w:pPr>
        <w:jc w:val="both"/>
        <w:ind w:left="100" w:firstLine="747"/>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Term Loans, Revolving Credit Loans and Swing Line Loans on any date, the Dollar Equivalent Amount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79"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Rate</w:t>
      </w:r>
      <w:r>
        <w:rPr>
          <w:rFonts w:ascii="Arial" w:cs="Arial" w:eastAsia="Arial" w:hAnsi="Arial"/>
          <w:sz w:val="20"/>
          <w:szCs w:val="20"/>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an overnight rate determined by the Administrative Agent or the applicable L/C Issuer, as the case may be, in accordance with banking industry rules on interbank compensation.</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30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6" w:name="page157"/>
    <w:bookmarkEnd w:id="156"/>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18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adopts or has adopted the Euro as its lawful currency in accordance with legislation of the European Union relating to Economic and Monetary Union.</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02" w:lineRule="exact"/>
        <w:rPr>
          <w:sz w:val="20"/>
          <w:szCs w:val="20"/>
          <w:color w:val="auto"/>
        </w:rPr>
      </w:pPr>
    </w:p>
    <w:p>
      <w:pPr>
        <w:jc w:val="both"/>
        <w:ind w:left="100" w:right="2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Funding Rules</w:t>
      </w:r>
      <w:r>
        <w:rPr>
          <w:rFonts w:ascii="Arial" w:cs="Arial" w:eastAsia="Arial" w:hAnsi="Arial"/>
          <w:sz w:val="19"/>
          <w:szCs w:val="19"/>
          <w:color w:val="auto"/>
        </w:rPr>
        <w:t>” means the rules of the Code and ERISA regarding minimum funding standards with respect to Pension Plans and set forth in Sections 412, 430, 431, 432 and 436 of the Code and Sections 302, 303, 304 and 305 of ERISA.</w:t>
      </w:r>
    </w:p>
    <w:p>
      <w:pPr>
        <w:spacing w:after="0" w:line="166"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Company and any ERISA Affiliate or with respect to which the Company or any ERISA Affiliate has any liability and is either covered by Title IV of ERISA or is subject to the minimum funding standards under Section 412 of the Code.</w:t>
      </w:r>
    </w:p>
    <w:p>
      <w:pPr>
        <w:spacing w:after="0" w:line="183" w:lineRule="exact"/>
        <w:rPr>
          <w:sz w:val="20"/>
          <w:szCs w:val="20"/>
          <w:color w:val="auto"/>
        </w:rPr>
      </w:pPr>
    </w:p>
    <w:p>
      <w:pPr>
        <w:jc w:val="both"/>
        <w:ind w:left="100" w:right="2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by the Company or any Restricted Subsidiary as to which the following conditions are satisfied:</w:t>
      </w:r>
    </w:p>
    <w:p>
      <w:pPr>
        <w:spacing w:after="0" w:line="163" w:lineRule="exact"/>
        <w:rPr>
          <w:sz w:val="20"/>
          <w:szCs w:val="20"/>
          <w:color w:val="auto"/>
        </w:rPr>
      </w:pPr>
    </w:p>
    <w:p>
      <w:pPr>
        <w:ind w:left="840" w:firstLine="750"/>
        <w:spacing w:after="0" w:line="300" w:lineRule="auto"/>
        <w:tabs>
          <w:tab w:leader="none" w:pos="23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any such Acquisition (including any assumption or incurrence of Indebtedness in connection therewith), no Event of Default shall have occurred and be continuing;</w:t>
      </w:r>
    </w:p>
    <w:p>
      <w:pPr>
        <w:spacing w:after="0" w:line="103" w:lineRule="exact"/>
        <w:rPr>
          <w:rFonts w:ascii="Arial" w:cs="Arial" w:eastAsia="Arial" w:hAnsi="Arial"/>
          <w:sz w:val="18"/>
          <w:szCs w:val="18"/>
          <w:color w:val="auto"/>
        </w:rPr>
      </w:pPr>
    </w:p>
    <w:p>
      <w:pPr>
        <w:jc w:val="both"/>
        <w:ind w:left="840" w:right="20" w:firstLine="749"/>
        <w:spacing w:after="0" w:line="234" w:lineRule="auto"/>
        <w:tabs>
          <w:tab w:leader="none" w:pos="232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either the required majority of the Board of Directors (or other equivalent governing body) of the Person so to be acquired (or that owns the assets to be acquired) incumbent at the time such Acquisition is proposed has acquiesced to such Acquisition, or such Acquisition is otherwise deemed in the reasonable judgment of the Administrative Agent to be a “friendly” Acquisition;</w:t>
      </w:r>
    </w:p>
    <w:p>
      <w:pPr>
        <w:spacing w:after="0" w:line="196" w:lineRule="exact"/>
        <w:rPr>
          <w:rFonts w:ascii="Arial" w:cs="Arial" w:eastAsia="Arial" w:hAnsi="Arial"/>
          <w:sz w:val="20"/>
          <w:szCs w:val="20"/>
          <w:color w:val="auto"/>
        </w:rPr>
      </w:pPr>
    </w:p>
    <w:p>
      <w:pPr>
        <w:ind w:left="2320" w:hanging="731"/>
        <w:spacing w:after="0"/>
        <w:tabs>
          <w:tab w:leader="none" w:pos="2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lines of business of the Person to be (or the property of which is to be) so acquired shall be permitted by</w:t>
      </w:r>
    </w:p>
    <w:p>
      <w:pPr>
        <w:spacing w:after="0" w:line="38"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20"/>
          <w:szCs w:val="20"/>
          <w:u w:val="single" w:color="auto"/>
          <w:color w:val="auto"/>
        </w:rPr>
        <w:t>Section 7.07</w:t>
      </w:r>
      <w:r>
        <w:rPr>
          <w:rFonts w:ascii="Arial" w:cs="Arial" w:eastAsia="Arial" w:hAnsi="Arial"/>
          <w:sz w:val="20"/>
          <w:szCs w:val="20"/>
          <w:color w:val="auto"/>
        </w:rPr>
        <w:t>; and</w:t>
      </w:r>
    </w:p>
    <w:p>
      <w:pPr>
        <w:spacing w:after="0" w:line="186" w:lineRule="exact"/>
        <w:rPr>
          <w:rFonts w:ascii="Arial" w:cs="Arial" w:eastAsia="Arial" w:hAnsi="Arial"/>
          <w:sz w:val="18"/>
          <w:szCs w:val="18"/>
          <w:color w:val="auto"/>
        </w:rPr>
      </w:pPr>
    </w:p>
    <w:p>
      <w:pPr>
        <w:jc w:val="both"/>
        <w:ind w:left="840" w:firstLine="750"/>
        <w:spacing w:after="0" w:line="254" w:lineRule="auto"/>
        <w:tabs>
          <w:tab w:leader="none" w:pos="232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Company and its Restricted Subsidiaries shall be in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compliance with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compliance to be determined on the basis of financial information for the fiscal period most recently ended for which financial information is available and calculated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Acquisition or series of related Acquisitions involving aggregate consideration of $15,000,000 or more, the Company shall have delivered to the Administrative Agent a Compliance Certificate demonstrating the pro forma compliance required by this </w:t>
      </w:r>
      <w:r>
        <w:rPr>
          <w:rFonts w:ascii="Arial" w:cs="Arial" w:eastAsia="Arial" w:hAnsi="Arial"/>
          <w:sz w:val="18"/>
          <w:szCs w:val="18"/>
          <w:u w:val="single" w:color="auto"/>
          <w:color w:val="auto"/>
        </w:rPr>
        <w:t>clause</w:t>
      </w:r>
    </w:p>
    <w:p>
      <w:pPr>
        <w:ind w:left="840"/>
        <w:spacing w:after="0"/>
        <w:rPr>
          <w:rFonts w:ascii="Arial" w:cs="Arial" w:eastAsia="Arial" w:hAnsi="Arial"/>
          <w:sz w:val="18"/>
          <w:szCs w:val="18"/>
          <w:color w:val="auto"/>
        </w:rPr>
      </w:pPr>
      <w:r>
        <w:rPr>
          <w:rFonts w:ascii="Arial" w:cs="Arial" w:eastAsia="Arial" w:hAnsi="Arial"/>
          <w:sz w:val="20"/>
          <w:szCs w:val="20"/>
          <w:u w:val="single" w:color="auto"/>
          <w:color w:val="auto"/>
        </w:rPr>
        <w:t>(d)</w:t>
      </w:r>
      <w:r>
        <w:rPr>
          <w:rFonts w:ascii="Arial" w:cs="Arial" w:eastAsia="Arial" w:hAnsi="Arial"/>
          <w:sz w:val="20"/>
          <w:szCs w:val="20"/>
          <w:color w:val="auto"/>
        </w:rPr>
        <w:t>.</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means the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2"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Standalone Letter of Credit</w:t>
      </w:r>
      <w:r>
        <w:rPr>
          <w:rFonts w:ascii="Arial" w:cs="Arial" w:eastAsia="Arial" w:hAnsi="Arial"/>
          <w:sz w:val="20"/>
          <w:szCs w:val="20"/>
          <w:color w:val="auto"/>
        </w:rPr>
        <w:t xml:space="preserve">” means any commercial letter of credit, standby letter of credit, bankers’ acceptance or bank guarantee issued by a PSLOC Bank for the account of any Loan Party or any Subsidiary on a bilateral basis and not as part of the facilities provided under the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face amount of all such letters of credit, bankers’ acceptances and bank guarantees shall not exceed $65,000,000 at any time.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31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7" w:name="page158"/>
    <w:bookmarkEnd w:id="157"/>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2" w:lineRule="exact"/>
        <w:rPr>
          <w:sz w:val="20"/>
          <w:szCs w:val="20"/>
          <w:color w:val="auto"/>
        </w:rPr>
      </w:pPr>
    </w:p>
    <w:p>
      <w:pPr>
        <w:jc w:val="both"/>
        <w:ind w:left="100" w:firstLine="747"/>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Agreements</w:t>
      </w:r>
      <w:r>
        <w:rPr>
          <w:rFonts w:ascii="Arial" w:cs="Arial" w:eastAsia="Arial" w:hAnsi="Arial"/>
          <w:sz w:val="19"/>
          <w:szCs w:val="19"/>
          <w:color w:val="auto"/>
        </w:rPr>
        <w:t>” means, collectively, (a) the Amended and Restated Securities Pledge Agreement (the “</w:t>
      </w:r>
      <w:r>
        <w:rPr>
          <w:rFonts w:ascii="Arial" w:cs="Arial" w:eastAsia="Arial" w:hAnsi="Arial"/>
          <w:sz w:val="19"/>
          <w:szCs w:val="19"/>
          <w:u w:val="single" w:color="auto"/>
          <w:color w:val="auto"/>
        </w:rPr>
        <w:t>U.S. Pledge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the date hereof, made by the Company and certain other Loan Parties in favor of the Administrative Agent for the benefit of the Secured Parties specified therein and (b) any other securities pledge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Pledge Joinder Agreements and Pledge Agreement Supplements.</w:t>
      </w:r>
    </w:p>
    <w:p>
      <w:pPr>
        <w:spacing w:after="0" w:line="17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Agreement Supplement</w:t>
      </w:r>
      <w:r>
        <w:rPr>
          <w:rFonts w:ascii="Arial" w:cs="Arial" w:eastAsia="Arial" w:hAnsi="Arial"/>
          <w:sz w:val="20"/>
          <w:szCs w:val="20"/>
          <w:color w:val="auto"/>
        </w:rPr>
        <w:t>” means each Pledge Agreement Supplement, substantially in the form thereof attached to a Pledge Agreement, executed and delivered by a Loan Party to the Administrative Agent.</w:t>
      </w:r>
    </w:p>
    <w:p>
      <w:pPr>
        <w:spacing w:after="0" w:line="177"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Joinder Agreement</w:t>
      </w:r>
      <w:r>
        <w:rPr>
          <w:rFonts w:ascii="Arial" w:cs="Arial" w:eastAsia="Arial" w:hAnsi="Arial"/>
          <w:sz w:val="20"/>
          <w:szCs w:val="20"/>
          <w:color w:val="auto"/>
        </w:rPr>
        <w:t>” means each Pledge Joinder Agreement, substantially in the form thereof attached to a Pledge Agreement, executed and delivered by a Restricted Subsidiary to the Administrative Agent.</w:t>
      </w:r>
    </w:p>
    <w:p>
      <w:pPr>
        <w:spacing w:after="0" w:line="190" w:lineRule="exact"/>
        <w:rPr>
          <w:sz w:val="20"/>
          <w:szCs w:val="20"/>
          <w:color w:val="auto"/>
        </w:rPr>
      </w:pPr>
    </w:p>
    <w:p>
      <w:pPr>
        <w:jc w:val="both"/>
        <w:ind w:left="100" w:firstLine="74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PSLOC Bank</w:t>
      </w:r>
      <w:r>
        <w:rPr>
          <w:rFonts w:ascii="Arial" w:cs="Arial" w:eastAsia="Arial" w:hAnsi="Arial"/>
          <w:sz w:val="18"/>
          <w:szCs w:val="18"/>
          <w:color w:val="auto"/>
        </w:rPr>
        <w:t>” means any Person that, (a) at the time it issues a Permitted Standalone Letter of Credit for the account of any Loan Party or any Subsidiary, is a Lender or an Affiliate of a Lender, or (b) at the time it (or its Affiliate) becomes a Lender, is party to a Permitted Standalone Letter of Credit, in each case, in its capacity as the issuer of such Permitted Standalone Letter of Credit.</w:t>
      </w:r>
    </w:p>
    <w:p>
      <w:pPr>
        <w:spacing w:after="0" w:line="152"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02" w:lineRule="exact"/>
        <w:rPr>
          <w:sz w:val="20"/>
          <w:szCs w:val="20"/>
          <w:color w:val="auto"/>
        </w:rPr>
      </w:pPr>
    </w:p>
    <w:p>
      <w:pPr>
        <w:jc w:val="both"/>
        <w:ind w:left="100" w:firstLine="74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Supply Chain Finance Program</w:t>
      </w:r>
      <w:r>
        <w:rPr>
          <w:rFonts w:ascii="Arial" w:cs="Arial" w:eastAsia="Arial" w:hAnsi="Arial"/>
          <w:sz w:val="18"/>
          <w:szCs w:val="18"/>
          <w:color w:val="auto"/>
        </w:rPr>
        <w:t xml:space="preserve">” means a supply chain finance program offered to vendors of the Company or any Restricted Subsidiary, pursuant to which program the Company or a Restricted Subsidiary sells accounts receivable owing to the Company or a Restricted Subsidiary by such vendors; </w:t>
      </w:r>
      <w:r>
        <w:rPr>
          <w:rFonts w:ascii="Arial" w:cs="Arial" w:eastAsia="Arial" w:hAnsi="Arial"/>
          <w:sz w:val="18"/>
          <w:szCs w:val="18"/>
          <w:u w:val="single" w:color="auto"/>
          <w:color w:val="auto"/>
        </w:rPr>
        <w:t>provided</w:t>
      </w:r>
      <w:r>
        <w:rPr>
          <w:rFonts w:ascii="Arial" w:cs="Arial" w:eastAsia="Arial" w:hAnsi="Arial"/>
          <w:sz w:val="18"/>
          <w:szCs w:val="18"/>
          <w:color w:val="auto"/>
        </w:rPr>
        <w:t>, that (a) the sale of such accounts receivable is made without recourse for credit risk to the Company or its Subsidiaries and otherwise on terms customary for supply chain finance arrangements (as determined in good faith by the Company), but which shall not constitute a factoring or financing or securitization transaction and (b) any Liens arising under any Qualified Supply Chain Finance Program shall not at any time encumber any property other than the identified accounts receivable (and related assets customarily included in such transactions) sold pursuant thereto.</w:t>
      </w:r>
    </w:p>
    <w:p>
      <w:pPr>
        <w:spacing w:after="0" w:line="170" w:lineRule="exact"/>
        <w:rPr>
          <w:sz w:val="20"/>
          <w:szCs w:val="20"/>
          <w:color w:val="auto"/>
        </w:rPr>
      </w:pPr>
    </w:p>
    <w:p>
      <w:pPr>
        <w:jc w:val="both"/>
        <w:ind w:left="100" w:firstLine="747"/>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Rate Determination Date</w:t>
      </w:r>
      <w:r>
        <w:rPr>
          <w:rFonts w:ascii="Arial" w:cs="Arial" w:eastAsia="Arial" w:hAnsi="Arial"/>
          <w:sz w:val="19"/>
          <w:szCs w:val="19"/>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32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8" w:name="page159"/>
    <w:bookmarkEnd w:id="158"/>
    <w:p>
      <w:pPr>
        <w:ind w:left="100" w:right="6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any L/C Issuer or any other recipient of any payment to be made by or on account of any obligation of any Loan Party hereunder.</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189" w:lineRule="exact"/>
        <w:rPr>
          <w:sz w:val="20"/>
          <w:szCs w:val="20"/>
          <w:color w:val="auto"/>
        </w:rPr>
      </w:pPr>
    </w:p>
    <w:p>
      <w:pPr>
        <w:jc w:val="both"/>
        <w:ind w:left="100" w:right="20" w:firstLine="747"/>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44" w:lineRule="exact"/>
        <w:rPr>
          <w:sz w:val="20"/>
          <w:szCs w:val="20"/>
          <w:color w:val="auto"/>
        </w:rPr>
      </w:pPr>
    </w:p>
    <w:p>
      <w:pPr>
        <w:jc w:val="both"/>
        <w:ind w:left="100" w:right="2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Relevant Rate</w:t>
      </w:r>
      <w:r>
        <w:rPr>
          <w:rFonts w:ascii="Arial" w:cs="Arial" w:eastAsia="Arial" w:hAnsi="Arial"/>
          <w:sz w:val="19"/>
          <w:szCs w:val="19"/>
          <w:color w:val="auto"/>
        </w:rPr>
        <w:t>” means with respect to any Credit Extension denominated in (a) Dollars, Daily Simple SOFR, Term SOFR or SOFR, as applicable, (b) Sterling, SONIA, (c) Euros, EURIBOR, and (d) Canadian Dollars, the CDOR Rate, as applicable.</w:t>
      </w:r>
    </w:p>
    <w:p>
      <w:pPr>
        <w:spacing w:after="0" w:line="1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w:t>
      </w:r>
    </w:p>
    <w:p>
      <w:pPr>
        <w:spacing w:after="0" w:line="189"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Borrowing, conversion or continuation of Revolving Credit Loans or Term Loans, a Loan Notice, (b) with respect to an L/C Credit Extension, a Letter of Credit Application, and (c) with respect to a Swing Line Loan, a Swing Line Loan Notice.</w:t>
      </w:r>
    </w:p>
    <w:p>
      <w:pPr>
        <w:spacing w:after="0" w:line="183"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Facility Lenders</w:t>
      </w:r>
      <w:r>
        <w:rPr>
          <w:rFonts w:ascii="Arial" w:cs="Arial" w:eastAsia="Arial" w:hAnsi="Arial"/>
          <w:sz w:val="20"/>
          <w:szCs w:val="20"/>
          <w:color w:val="auto"/>
        </w:rPr>
        <w:t>” means (a) for the Revolving Credit Facility, the Required Revolving Credit Lenders and (b) for the Term Loan Facility, the Required Term Loan Lenders.</w:t>
      </w:r>
    </w:p>
    <w:p>
      <w:pPr>
        <w:spacing w:after="0" w:line="190" w:lineRule="exact"/>
        <w:rPr>
          <w:sz w:val="20"/>
          <w:szCs w:val="20"/>
          <w:color w:val="auto"/>
        </w:rPr>
      </w:pPr>
    </w:p>
    <w:p>
      <w:pPr>
        <w:jc w:val="both"/>
        <w:ind w:left="100" w:firstLine="747"/>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participation in any Swing Line Loan and Unreimbursed Amounts that any Defaulting Lender which is a Revolving Credit Lender has failed to fund that have not been reallocated to and funded by another Revolving Credit Lender shall be deemed to be held by the Lender that is the Swing Line Lender or an L/C Issuer, as the case may be, in making such determination.</w:t>
      </w:r>
    </w:p>
    <w:p>
      <w:pPr>
        <w:spacing w:after="0" w:line="197"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Credit Lenders</w:t>
      </w:r>
      <w:r>
        <w:rPr>
          <w:rFonts w:ascii="Arial" w:cs="Arial" w:eastAsia="Arial" w:hAnsi="Arial"/>
          <w:sz w:val="18"/>
          <w:szCs w:val="18"/>
          <w:color w:val="auto"/>
        </w:rPr>
        <w:t xml:space="preserve">” means, at any time, Lenders having more than 50% of the sum of the aggregate Revolving Credit Exposure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unused Revolving Credit Commitments. The Revolving Credit Exposure and unused Revolving Credit Commitment of any Defaulting Lender shall be disregarded in determining Required Revolving Credit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Amounts that such Defaulting Lender has failed to fund that have not been reallocated to and funded by another Revolving Credit Lender shall be deemed to be held by the Lender that is the Swing Line Lender or an L/C Issuer, as the case may be, in making such determination.</w:t>
      </w:r>
    </w:p>
    <w:p>
      <w:pPr>
        <w:spacing w:after="0" w:line="167" w:lineRule="exact"/>
        <w:rPr>
          <w:sz w:val="20"/>
          <w:szCs w:val="20"/>
          <w:color w:val="auto"/>
        </w:rPr>
      </w:pPr>
    </w:p>
    <w:p>
      <w:pPr>
        <w:jc w:val="both"/>
        <w:ind w:left="100" w:firstLine="747"/>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Term Loan Lenders</w:t>
      </w:r>
      <w:r>
        <w:rPr>
          <w:rFonts w:ascii="Arial" w:cs="Arial" w:eastAsia="Arial" w:hAnsi="Arial"/>
          <w:sz w:val="19"/>
          <w:szCs w:val="19"/>
          <w:color w:val="auto"/>
        </w:rPr>
        <w:t xml:space="preserve">” means, at any time, Lenders having more than 50% of the sum of the Outstanding Amount of Term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unfunded Term Loan Commitments. The Outstanding Amount of Term Loans and unfunded Term Loan Commitments of any Defaulting Lender shall be disregarded in determining Required Term Loan Lenders at any time.</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Rescindable Amount</w:t>
      </w:r>
      <w:r>
        <w:rPr>
          <w:rFonts w:ascii="Arial" w:cs="Arial" w:eastAsia="Arial" w:hAnsi="Arial"/>
          <w:sz w:val="20"/>
          <w:szCs w:val="20"/>
          <w:color w:val="auto"/>
        </w:rPr>
        <w:t xml:space="preserve">” has the meaning as defined in </w:t>
      </w:r>
      <w:r>
        <w:rPr>
          <w:rFonts w:ascii="Arial" w:cs="Arial" w:eastAsia="Arial" w:hAnsi="Arial"/>
          <w:sz w:val="20"/>
          <w:szCs w:val="20"/>
          <w:u w:val="single" w:color="auto"/>
          <w:color w:val="auto"/>
        </w:rPr>
        <w:t>Section 2.12(b)(ii)</w:t>
      </w:r>
      <w:r>
        <w:rPr>
          <w:rFonts w:ascii="Arial" w:cs="Arial" w:eastAsia="Arial" w:hAnsi="Arial"/>
          <w:sz w:val="20"/>
          <w:szCs w:val="20"/>
          <w:color w:val="auto"/>
        </w:rPr>
        <w:t>.</w:t>
      </w:r>
    </w:p>
    <w:p>
      <w:pPr>
        <w:spacing w:after="0" w:line="18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90"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chief executive officer, president, chief financial officer, treasurer, assistant treasurer or controller of a Loan Party, or in the case of a Netherlands Designated Borrower, an authorized signatory, solely for purposes of the delivery of incumbency certificates pursuant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33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59" w:name="page160"/>
    <w:bookmarkEnd w:id="159"/>
    <w:p>
      <w:pPr>
        <w:jc w:val="both"/>
        <w:ind w:left="100"/>
        <w:spacing w:after="0" w:line="229" w:lineRule="auto"/>
        <w:rPr>
          <w:sz w:val="20"/>
          <w:szCs w:val="20"/>
          <w:color w:val="auto"/>
        </w:rPr>
      </w:pPr>
      <w:r>
        <w:rPr>
          <w:rFonts w:ascii="Arial" w:cs="Arial" w:eastAsia="Arial" w:hAnsi="Arial"/>
          <w:sz w:val="20"/>
          <w:szCs w:val="20"/>
          <w:color w:val="auto"/>
        </w:rPr>
        <w:t xml:space="preserve">to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the secretary or any assistant secretary of a Loan Party and, solely for purposes of notices given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85"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w:t>
      </w:r>
    </w:p>
    <w:p>
      <w:pPr>
        <w:spacing w:after="0" w:line="198"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means any Subsidiary of the Company that is not an Unrestricted Subsidiary.</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Revaluation Date</w:t>
      </w:r>
      <w:r>
        <w:rPr>
          <w:rFonts w:ascii="Arial" w:cs="Arial" w:eastAsia="Arial" w:hAnsi="Arial"/>
          <w:sz w:val="20"/>
          <w:szCs w:val="20"/>
          <w:color w:val="auto"/>
        </w:rPr>
        <w:t>” means (a) with respect to any Revolving Credit Loan, each of the following:</w:t>
      </w:r>
    </w:p>
    <w:p>
      <w:pPr>
        <w:spacing w:after="0" w:line="2" w:lineRule="exact"/>
        <w:rPr>
          <w:sz w:val="20"/>
          <w:szCs w:val="20"/>
          <w:color w:val="auto"/>
        </w:rPr>
      </w:pPr>
    </w:p>
    <w:p>
      <w:pPr>
        <w:jc w:val="both"/>
        <w:ind w:left="100" w:hanging="9"/>
        <w:spacing w:after="0" w:line="227" w:lineRule="auto"/>
        <w:tabs>
          <w:tab w:leader="none" w:pos="341"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each date of a Borrowing of an Alternative Currency Loan, (ii) each date of a continuation of an Alternative Currency Term Rate Loan pursuant to </w:t>
      </w:r>
      <w:r>
        <w:rPr>
          <w:rFonts w:ascii="Arial" w:cs="Arial" w:eastAsia="Arial" w:hAnsi="Arial"/>
          <w:sz w:val="20"/>
          <w:szCs w:val="20"/>
          <w:u w:val="single" w:color="auto"/>
          <w:color w:val="auto"/>
        </w:rPr>
        <w:t>Section 2.02</w:t>
      </w:r>
      <w:r>
        <w:rPr>
          <w:rFonts w:ascii="Arial" w:cs="Arial" w:eastAsia="Arial" w:hAnsi="Arial"/>
          <w:sz w:val="20"/>
          <w:szCs w:val="20"/>
          <w:color w:val="auto"/>
        </w:rPr>
        <w:t>, and (iii) such additional dates as the Administrative Agent shall in good faith and reasonably determine or the Required Revolving Credit Lenders shall in good faith and reasonably require; and (b) with respect to any Letter of Credit, each of the following: (i) each date of issuance, amendment and/or extension of a Letter of Credit denominated in an Alternative Currency, (ii) each date of any payment by the applicable L/C Issuer under any Letter of Credit denominated in an Alternative Currency, (iii) in the case of all Existing Letters of Credit denominated in Alternative Currencies, the Closing Date and (iv) such additional dates as the Administrative Agent or any L/C Issuer shall in good faith and reasonably determine or the Required Revolving Credit Lenders shall in good faith and reasonably require.</w:t>
      </w:r>
    </w:p>
    <w:p>
      <w:pPr>
        <w:spacing w:after="0" w:line="201"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Borrowing</w:t>
      </w:r>
      <w:r>
        <w:rPr>
          <w:rFonts w:ascii="Arial" w:cs="Arial" w:eastAsia="Arial" w:hAnsi="Arial"/>
          <w:sz w:val="20"/>
          <w:szCs w:val="20"/>
          <w:color w:val="auto"/>
        </w:rPr>
        <w:t xml:space="preserve">” means a borrowing consisting of simultaneous Revolving Credit Loans of the same Type, in the same currency and, in the case of Term SOFR Loans and Alternative Currency Term Rate Loans, having the same Interest Period made by each of the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69" w:lineRule="exact"/>
        <w:rPr>
          <w:sz w:val="20"/>
          <w:szCs w:val="20"/>
          <w:color w:val="auto"/>
        </w:rPr>
      </w:pPr>
    </w:p>
    <w:p>
      <w:pPr>
        <w:jc w:val="both"/>
        <w:ind w:left="100" w:firstLine="747"/>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Commitment</w:t>
      </w:r>
      <w:r>
        <w:rPr>
          <w:rFonts w:ascii="Arial" w:cs="Arial" w:eastAsia="Arial" w:hAnsi="Arial"/>
          <w:sz w:val="20"/>
          <w:szCs w:val="20"/>
          <w:color w:val="auto"/>
        </w:rPr>
        <w:t xml:space="preserve">” means, as to each Lender, its obligation to (a) make Revolving Credit Loans to the Borrowers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97" w:lineRule="exact"/>
        <w:rPr>
          <w:sz w:val="20"/>
          <w:szCs w:val="20"/>
          <w:color w:val="auto"/>
        </w:rPr>
      </w:pPr>
    </w:p>
    <w:p>
      <w:pPr>
        <w:jc w:val="both"/>
        <w:ind w:left="100" w:right="2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Exposure</w:t>
      </w:r>
      <w:r>
        <w:rPr>
          <w:rFonts w:ascii="Arial" w:cs="Arial" w:eastAsia="Arial" w:hAnsi="Arial"/>
          <w:sz w:val="19"/>
          <w:szCs w:val="19"/>
          <w:color w:val="auto"/>
        </w:rPr>
        <w:t>” means, as to any Lender at any time, the aggregate principal amount at such time of its outstanding Revolving Credit Loans and such Lender’s participations in L/C Obligations and Swing Line Loans at such time.</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22"/>
          <w:szCs w:val="22"/>
          <w:color w:val="auto"/>
        </w:rPr>
        <w:t>34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60" w:name="page161"/>
    <w:bookmarkEnd w:id="160"/>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Facility</w:t>
      </w:r>
      <w:r>
        <w:rPr>
          <w:rFonts w:ascii="Arial" w:cs="Arial" w:eastAsia="Arial" w:hAnsi="Arial"/>
          <w:sz w:val="20"/>
          <w:szCs w:val="20"/>
          <w:color w:val="auto"/>
        </w:rPr>
        <w:t>” means, at any time, the revolving credit facility provided in this Agreement pursuant to the Aggregate Revolving Credit Commitments, including the participations in L/C Obligations and Swing Line Loans thereunder.</w:t>
      </w:r>
    </w:p>
    <w:p>
      <w:pPr>
        <w:spacing w:after="0" w:line="177"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Lender</w:t>
      </w:r>
      <w:r>
        <w:rPr>
          <w:rFonts w:ascii="Arial" w:cs="Arial" w:eastAsia="Arial" w:hAnsi="Arial"/>
          <w:sz w:val="20"/>
          <w:szCs w:val="20"/>
          <w:color w:val="auto"/>
        </w:rPr>
        <w:t>” means, at any time, any Lender that has a Revolving Credit Commitment or Revolving Credit Exposure at such time.</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89" w:lineRule="exact"/>
        <w:rPr>
          <w:sz w:val="20"/>
          <w:szCs w:val="20"/>
          <w:color w:val="auto"/>
        </w:rPr>
      </w:pPr>
    </w:p>
    <w:p>
      <w:pPr>
        <w:jc w:val="both"/>
        <w:ind w:left="10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Credit Note</w:t>
      </w:r>
      <w:r>
        <w:rPr>
          <w:rFonts w:ascii="Arial" w:cs="Arial" w:eastAsia="Arial" w:hAnsi="Arial"/>
          <w:sz w:val="19"/>
          <w:szCs w:val="19"/>
          <w:color w:val="auto"/>
        </w:rPr>
        <w:t xml:space="preserve">” means a promissory note made by a Borrower in favor of a Revolving Credit Lender evidencing Revolving Credit Loans made by such Revolving Credit Lender to such Borrower, substantially in the form of </w:t>
      </w:r>
      <w:r>
        <w:rPr>
          <w:rFonts w:ascii="Arial" w:cs="Arial" w:eastAsia="Arial" w:hAnsi="Arial"/>
          <w:sz w:val="19"/>
          <w:szCs w:val="19"/>
          <w:u w:val="single" w:color="auto"/>
          <w:color w:val="auto"/>
        </w:rPr>
        <w:t>Exhibit C-1</w:t>
      </w:r>
      <w:r>
        <w:rPr>
          <w:rFonts w:ascii="Arial" w:cs="Arial" w:eastAsia="Arial" w:hAnsi="Arial"/>
          <w:sz w:val="19"/>
          <w:szCs w:val="19"/>
          <w:color w:val="auto"/>
        </w:rPr>
        <w:t>.</w:t>
      </w:r>
    </w:p>
    <w:p>
      <w:pPr>
        <w:spacing w:after="0" w:line="1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Rupees</w:t>
      </w:r>
      <w:r>
        <w:rPr>
          <w:rFonts w:ascii="Arial" w:cs="Arial" w:eastAsia="Arial" w:hAnsi="Arial"/>
          <w:sz w:val="20"/>
          <w:szCs w:val="20"/>
          <w:color w:val="auto"/>
        </w:rPr>
        <w:t>” means the lawful currency of India.</w:t>
      </w:r>
    </w:p>
    <w:p>
      <w:pPr>
        <w:spacing w:after="0" w:line="202"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83"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international economic sanction administered or enforced by the United States Government (including without limitation, OFAC), the United Nations Security Council, the European Union, Her Majesty’s Treasury (“</w:t>
      </w:r>
      <w:r>
        <w:rPr>
          <w:rFonts w:ascii="Arial" w:cs="Arial" w:eastAsia="Arial" w:hAnsi="Arial"/>
          <w:sz w:val="20"/>
          <w:szCs w:val="20"/>
          <w:u w:val="single" w:color="auto"/>
          <w:color w:val="auto"/>
        </w:rPr>
        <w:t>HMT</w:t>
      </w:r>
      <w:r>
        <w:rPr>
          <w:rFonts w:ascii="Arial" w:cs="Arial" w:eastAsia="Arial" w:hAnsi="Arial"/>
          <w:sz w:val="20"/>
          <w:szCs w:val="20"/>
          <w:color w:val="auto"/>
        </w:rPr>
        <w:t>”) or other relevant sanctions authority.</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S&amp;P Global Inc., and any successor thereto.</w:t>
      </w:r>
    </w:p>
    <w:p>
      <w:pPr>
        <w:spacing w:after="0" w:line="20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18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Governmental Authority succeeding to any of its principal functions.</w:t>
      </w:r>
    </w:p>
    <w:p>
      <w:pPr>
        <w:spacing w:after="0" w:line="190"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that isentered into by and between any Loan Party and any Cash Management Bank.</w:t>
      </w:r>
    </w:p>
    <w:p>
      <w:pPr>
        <w:spacing w:after="0" w:line="177" w:lineRule="exact"/>
        <w:rPr>
          <w:sz w:val="20"/>
          <w:szCs w:val="20"/>
          <w:color w:val="auto"/>
        </w:rPr>
      </w:pPr>
    </w:p>
    <w:p>
      <w:pPr>
        <w:jc w:val="both"/>
        <w:ind w:left="100" w:right="2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means any Swap Contract permitted hereunder that is entered into by and between any Loan Party and any Hedge Bank.</w:t>
      </w:r>
    </w:p>
    <w:p>
      <w:pPr>
        <w:spacing w:after="0" w:line="163"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xml:space="preserve">” means, collectively, the Administrative Agent, the Lenders, the L/C Issuers, the Hedge Banks, the Cash Management Banks, the PSLOC Banks, each co-agent or sub-agent appointed by the Administrative Agent from time to time pursuant to </w:t>
      </w:r>
      <w:r>
        <w:rPr>
          <w:rFonts w:ascii="Arial" w:cs="Arial" w:eastAsia="Arial" w:hAnsi="Arial"/>
          <w:sz w:val="20"/>
          <w:szCs w:val="20"/>
          <w:u w:val="single" w:color="auto"/>
          <w:color w:val="auto"/>
        </w:rPr>
        <w:t>Section 9.05</w:t>
      </w:r>
      <w:r>
        <w:rPr>
          <w:rFonts w:ascii="Arial" w:cs="Arial" w:eastAsia="Arial" w:hAnsi="Arial"/>
          <w:sz w:val="20"/>
          <w:szCs w:val="20"/>
          <w:color w:val="auto"/>
        </w:rPr>
        <w:t>, and the other Persons the Obligations owing to which are or are purported to be secured by the Collateral under the terms of the Collateral Documents.</w:t>
      </w:r>
    </w:p>
    <w:p>
      <w:pPr>
        <w:spacing w:after="0" w:line="183" w:lineRule="exact"/>
        <w:rPr>
          <w:sz w:val="20"/>
          <w:szCs w:val="20"/>
          <w:color w:val="auto"/>
        </w:rPr>
      </w:pPr>
    </w:p>
    <w:p>
      <w:pPr>
        <w:jc w:val="both"/>
        <w:ind w:left="100" w:right="2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Permitted Standalone Letter of Credit</w:t>
      </w:r>
      <w:r>
        <w:rPr>
          <w:rFonts w:ascii="Arial" w:cs="Arial" w:eastAsia="Arial" w:hAnsi="Arial"/>
          <w:sz w:val="20"/>
          <w:szCs w:val="20"/>
          <w:color w:val="auto"/>
        </w:rPr>
        <w:t xml:space="preserve">” means any Permitted Standalone Letter of Credit specifically designated as such to the Administrative Agent in writing by the Company and the relevant PSLOC Bank as a “Secured Permitted Standalone Letter of Credit”;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any Permitted Standalone Letter of Credit be a Secured Permitted Standalone Letter of Credit if it is secured by Liens permitted by </w:t>
      </w:r>
      <w:r>
        <w:rPr>
          <w:rFonts w:ascii="Arial" w:cs="Arial" w:eastAsia="Arial" w:hAnsi="Arial"/>
          <w:sz w:val="20"/>
          <w:szCs w:val="20"/>
          <w:u w:val="single" w:color="auto"/>
          <w:color w:val="auto"/>
        </w:rPr>
        <w:t>Section 7.01(k)</w:t>
      </w:r>
      <w:r>
        <w:rPr>
          <w:rFonts w:ascii="Arial" w:cs="Arial" w:eastAsia="Arial" w:hAnsi="Arial"/>
          <w:sz w:val="20"/>
          <w:szCs w:val="20"/>
          <w:color w:val="auto"/>
        </w:rPr>
        <w: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35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90" w:right="439" w:bottom="1440" w:gutter="0" w:footer="0" w:header="0"/>
        </w:sectPr>
      </w:pPr>
    </w:p>
    <w:bookmarkStart w:id="161" w:name="page162"/>
    <w:bookmarkEnd w:id="161"/>
    <w:p>
      <w:pPr>
        <w:jc w:val="both"/>
        <w:ind w:left="100" w:firstLine="747"/>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Agreements</w:t>
      </w:r>
      <w:r>
        <w:rPr>
          <w:rFonts w:ascii="Arial" w:cs="Arial" w:eastAsia="Arial" w:hAnsi="Arial"/>
          <w:sz w:val="20"/>
          <w:szCs w:val="20"/>
          <w:color w:val="auto"/>
        </w:rPr>
        <w:t>” means, collectively, (a) the Amended and Restated Security Agreement (the “</w:t>
      </w:r>
      <w:r>
        <w:rPr>
          <w:rFonts w:ascii="Arial" w:cs="Arial" w:eastAsia="Arial" w:hAnsi="Arial"/>
          <w:sz w:val="20"/>
          <w:szCs w:val="20"/>
          <w:u w:val="single" w:color="auto"/>
          <w:color w:val="auto"/>
        </w:rPr>
        <w:t>U.S. Security Agreement</w:t>
      </w:r>
      <w:r>
        <w:rPr>
          <w:rFonts w:ascii="Arial" w:cs="Arial" w:eastAsia="Arial" w:hAnsi="Arial"/>
          <w:sz w:val="20"/>
          <w:szCs w:val="20"/>
          <w:color w:val="auto"/>
        </w:rPr>
        <w:t>”) dated as of the date hereof, made by the Company and certain other Loan Parties in favor of the Administrative Agent for the benefit of the Secured Parties specified therein and (b) any other security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Security Joinder Agreements.</w:t>
      </w:r>
    </w:p>
    <w:p>
      <w:pPr>
        <w:spacing w:after="0" w:line="184"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Joinder Agreement</w:t>
      </w:r>
      <w:r>
        <w:rPr>
          <w:rFonts w:ascii="Arial" w:cs="Arial" w:eastAsia="Arial" w:hAnsi="Arial"/>
          <w:sz w:val="20"/>
          <w:szCs w:val="20"/>
          <w:color w:val="auto"/>
        </w:rPr>
        <w:t>” means each Security Joinder Agreement, substantially in the form thereof attached to a Security Agreement, executed and delivered by a Restricted Subsidiary to the Administrative Agent.</w:t>
      </w:r>
    </w:p>
    <w:p>
      <w:pPr>
        <w:spacing w:after="0" w:line="190"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the Secured Overnight Financing Rate as administered by the Federal Reserve Bank of New York (or a successor administrator).</w:t>
      </w:r>
    </w:p>
    <w:p>
      <w:pPr>
        <w:spacing w:after="0" w:line="177" w:lineRule="exact"/>
        <w:rPr>
          <w:sz w:val="20"/>
          <w:szCs w:val="20"/>
          <w:color w:val="auto"/>
        </w:rPr>
      </w:pPr>
    </w:p>
    <w:p>
      <w:pPr>
        <w:jc w:val="both"/>
        <w:ind w:left="100" w:right="2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as the administrator of SOFR, or any successor administrator of SOFR designated by the Federal Reserve Bank of New York or other Person acting as the SOFR Administrator at such time.</w:t>
      </w:r>
    </w:p>
    <w:p>
      <w:pPr>
        <w:spacing w:after="0" w:line="196" w:lineRule="exact"/>
        <w:rPr>
          <w:sz w:val="20"/>
          <w:szCs w:val="20"/>
          <w:color w:val="auto"/>
        </w:rPr>
      </w:pPr>
    </w:p>
    <w:p>
      <w:pPr>
        <w:jc w:val="both"/>
        <w:ind w:left="100" w:firstLine="74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w:t>
      </w:r>
      <w:r>
        <w:rPr>
          <w:rFonts w:ascii="Arial" w:cs="Arial" w:eastAsia="Arial" w:hAnsi="Arial"/>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such determination date is not a Business Day, SONIA means such rate that applied on the first Business Day immediately priorthereto.</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SONIA Adjustment</w:t>
      </w:r>
      <w:r>
        <w:rPr>
          <w:rFonts w:ascii="Arial" w:cs="Arial" w:eastAsia="Arial" w:hAnsi="Arial"/>
          <w:sz w:val="20"/>
          <w:szCs w:val="20"/>
          <w:color w:val="auto"/>
        </w:rPr>
        <w:t>” means, with respect to SONIA, 0.0326% per annum.</w:t>
      </w:r>
    </w:p>
    <w:p>
      <w:pPr>
        <w:spacing w:after="0" w:line="202"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Special Notice Currency</w:t>
      </w:r>
      <w:r>
        <w:rPr>
          <w:rFonts w:ascii="Arial" w:cs="Arial" w:eastAsia="Arial" w:hAnsi="Arial"/>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77"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Disposition</w:t>
      </w:r>
      <w:r>
        <w:rPr>
          <w:rFonts w:ascii="Arial" w:cs="Arial" w:eastAsia="Arial" w:hAnsi="Arial"/>
          <w:sz w:val="20"/>
          <w:szCs w:val="20"/>
          <w:color w:val="auto"/>
        </w:rPr>
        <w:t>” means any disposition of all or substantially all of the assets or Equity Interests of any Subsidiary of the Company or any division, business unit, product line or line of business.</w:t>
      </w:r>
    </w:p>
    <w:p>
      <w:pPr>
        <w:spacing w:after="0" w:line="16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Existing Capital Leases</w:t>
      </w:r>
      <w:r>
        <w:rPr>
          <w:rFonts w:ascii="Arial" w:cs="Arial" w:eastAsia="Arial" w:hAnsi="Arial"/>
          <w:sz w:val="20"/>
          <w:szCs w:val="20"/>
          <w:color w:val="auto"/>
        </w:rPr>
        <w:t xml:space="preserve">” means those capital leases described on </w:t>
      </w:r>
      <w:r>
        <w:rPr>
          <w:rFonts w:ascii="Arial" w:cs="Arial" w:eastAsia="Arial" w:hAnsi="Arial"/>
          <w:sz w:val="20"/>
          <w:szCs w:val="20"/>
          <w:u w:val="single" w:color="auto"/>
          <w:color w:val="auto"/>
        </w:rPr>
        <w:t>Schedule 1.01A</w:t>
      </w:r>
      <w:r>
        <w:rPr>
          <w:rFonts w:ascii="Arial" w:cs="Arial" w:eastAsia="Arial" w:hAnsi="Arial"/>
          <w:sz w:val="20"/>
          <w:szCs w:val="20"/>
          <w:color w:val="auto"/>
        </w:rPr>
        <w:t>.</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Transactions</w:t>
      </w:r>
      <w:r>
        <w:rPr>
          <w:rFonts w:ascii="Arial" w:cs="Arial" w:eastAsia="Arial" w:hAnsi="Arial"/>
          <w:sz w:val="20"/>
          <w:szCs w:val="20"/>
          <w:color w:val="auto"/>
        </w:rPr>
        <w:t>” means (a) any Specified Disposition and (b) any Permitted Acquisition.</w:t>
      </w:r>
    </w:p>
    <w:p>
      <w:pPr>
        <w:spacing w:after="0" w:line="189" w:lineRule="exact"/>
        <w:rPr>
          <w:sz w:val="20"/>
          <w:szCs w:val="20"/>
          <w:color w:val="auto"/>
        </w:rPr>
      </w:pPr>
    </w:p>
    <w:p>
      <w:pPr>
        <w:jc w:val="both"/>
        <w:ind w:left="100" w:firstLine="747"/>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36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62" w:name="page163"/>
    <w:bookmarkEnd w:id="162"/>
    <w:p>
      <w:pPr>
        <w:jc w:val="both"/>
        <w:ind w:left="100" w:firstLine="747"/>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84" w:lineRule="exact"/>
        <w:rPr>
          <w:sz w:val="20"/>
          <w:szCs w:val="20"/>
          <w:color w:val="auto"/>
        </w:rPr>
      </w:pPr>
    </w:p>
    <w:p>
      <w:pPr>
        <w:jc w:val="both"/>
        <w:ind w:left="100" w:right="2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Guarantors</w:t>
      </w:r>
      <w:r>
        <w:rPr>
          <w:rFonts w:ascii="Arial" w:cs="Arial" w:eastAsia="Arial" w:hAnsi="Arial"/>
          <w:sz w:val="20"/>
          <w:szCs w:val="20"/>
          <w:color w:val="auto"/>
        </w:rPr>
        <w:t>” means, collectively, the Subsidiaries party to a Subsidiary Guaranty (including by execution of a Subsidiary Guaranty Joinder Agreement).</w:t>
      </w:r>
    </w:p>
    <w:p>
      <w:pPr>
        <w:spacing w:after="0" w:line="163"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Guaranties</w:t>
      </w:r>
      <w:r>
        <w:rPr>
          <w:rFonts w:ascii="Arial" w:cs="Arial" w:eastAsia="Arial" w:hAnsi="Arial"/>
          <w:sz w:val="18"/>
          <w:szCs w:val="18"/>
          <w:color w:val="auto"/>
        </w:rPr>
        <w:t>” means, collectively, (a) the Amended and Restated Subsidiary Guaranty Agreement (the “</w:t>
      </w:r>
      <w:r>
        <w:rPr>
          <w:rFonts w:ascii="Arial" w:cs="Arial" w:eastAsia="Arial" w:hAnsi="Arial"/>
          <w:sz w:val="18"/>
          <w:szCs w:val="18"/>
          <w:u w:val="single" w:color="auto"/>
          <w:color w:val="auto"/>
        </w:rPr>
        <w:t>U.S.</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Subsidiary Guaranty</w:t>
      </w:r>
      <w:r>
        <w:rPr>
          <w:rFonts w:ascii="Arial" w:cs="Arial" w:eastAsia="Arial" w:hAnsi="Arial"/>
          <w:sz w:val="18"/>
          <w:szCs w:val="18"/>
          <w:color w:val="auto"/>
        </w:rPr>
        <w:t>”) dated as of the date hereof, made by certain Restricted Subsidiaries of the Company in favor of the Administrative Agent for the benefit of the Secured Parties specified therein and (b) means any other subsidiary guaranty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Subsidiary Guaranty Joinder Agreements.</w:t>
      </w:r>
    </w:p>
    <w:p>
      <w:pPr>
        <w:spacing w:after="0" w:line="167" w:lineRule="exact"/>
        <w:rPr>
          <w:sz w:val="20"/>
          <w:szCs w:val="20"/>
          <w:color w:val="auto"/>
        </w:rPr>
      </w:pPr>
    </w:p>
    <w:p>
      <w:pPr>
        <w:jc w:val="both"/>
        <w:ind w:left="10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 Guaranty Joinder Agreement</w:t>
      </w:r>
      <w:r>
        <w:rPr>
          <w:rFonts w:ascii="Arial" w:cs="Arial" w:eastAsia="Arial" w:hAnsi="Arial"/>
          <w:sz w:val="19"/>
          <w:szCs w:val="19"/>
          <w:color w:val="auto"/>
        </w:rPr>
        <w:t>” means each Subsidiary Guaranty Joinder Agreement, substantially in the form thereof attached to a Subsidiary Guaranty, executed and delivered by a Restricted Subsidiary to the Administrative Agent.</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3.03(b)</w:t>
      </w:r>
      <w:r>
        <w:rPr>
          <w:rFonts w:ascii="Arial" w:cs="Arial" w:eastAsia="Arial" w:hAnsi="Arial"/>
          <w:sz w:val="20"/>
          <w:szCs w:val="20"/>
          <w:color w:val="auto"/>
        </w:rPr>
        <w:t>.</w:t>
      </w:r>
    </w:p>
    <w:p>
      <w:pPr>
        <w:spacing w:after="0" w:line="202" w:lineRule="exact"/>
        <w:rPr>
          <w:sz w:val="20"/>
          <w:szCs w:val="20"/>
          <w:color w:val="auto"/>
        </w:rPr>
      </w:pPr>
    </w:p>
    <w:p>
      <w:pPr>
        <w:jc w:val="both"/>
        <w:ind w:left="100" w:firstLine="747"/>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68" w:lineRule="exact"/>
        <w:rPr>
          <w:sz w:val="20"/>
          <w:szCs w:val="20"/>
          <w:color w:val="auto"/>
        </w:rPr>
      </w:pPr>
    </w:p>
    <w:p>
      <w:pPr>
        <w:jc w:val="both"/>
        <w:ind w:left="10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Subsidiary Guarantor, any obligation to pay or perform under any agreement, contract or transaction that constitutes a “swap” within the meaning of Section 1a(47) of the Commodity Exchange Act.</w:t>
      </w:r>
    </w:p>
    <w:p>
      <w:pPr>
        <w:spacing w:after="0" w:line="153" w:lineRule="exact"/>
        <w:rPr>
          <w:sz w:val="20"/>
          <w:szCs w:val="20"/>
          <w:color w:val="auto"/>
        </w:rPr>
      </w:pPr>
    </w:p>
    <w:p>
      <w:pPr>
        <w:jc w:val="both"/>
        <w:ind w:left="100" w:firstLine="747"/>
        <w:spacing w:after="0" w:line="23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37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63" w:name="page164"/>
    <w:bookmarkEnd w:id="163"/>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Borrowing</w:t>
      </w:r>
      <w:r>
        <w:rPr>
          <w:rFonts w:ascii="Arial" w:cs="Arial" w:eastAsia="Arial" w:hAnsi="Arial"/>
          <w:sz w:val="20"/>
          <w:szCs w:val="20"/>
          <w:color w:val="auto"/>
        </w:rPr>
        <w:t xml:space="preserve">” means a borrowing of a Swing 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189" w:lineRule="exact"/>
        <w:rPr>
          <w:sz w:val="20"/>
          <w:szCs w:val="20"/>
          <w:color w:val="auto"/>
        </w:rPr>
      </w:pPr>
    </w:p>
    <w:p>
      <w:pPr>
        <w:ind w:left="100" w:right="5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Lender</w:t>
      </w:r>
      <w:r>
        <w:rPr>
          <w:rFonts w:ascii="Arial" w:cs="Arial" w:eastAsia="Arial" w:hAnsi="Arial"/>
          <w:sz w:val="20"/>
          <w:szCs w:val="20"/>
          <w:color w:val="auto"/>
        </w:rPr>
        <w:t>” means Bank of America in its capacity as provider of Swing Line Loans, or any successor swing line lender hereunder.</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189"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Loan Notice</w:t>
      </w:r>
      <w:r>
        <w:rPr>
          <w:rFonts w:ascii="Arial" w:cs="Arial" w:eastAsia="Arial" w:hAnsi="Arial"/>
          <w:sz w:val="20"/>
          <w:szCs w:val="20"/>
          <w:color w:val="auto"/>
        </w:rPr>
        <w:t xml:space="preserve">” means a notice of a Swing 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if in writing,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Line Sublimit</w:t>
      </w:r>
      <w:r>
        <w:rPr>
          <w:rFonts w:ascii="Arial" w:cs="Arial" w:eastAsia="Arial" w:hAnsi="Arial"/>
          <w:sz w:val="20"/>
          <w:szCs w:val="20"/>
          <w:color w:val="auto"/>
        </w:rPr>
        <w:t>” means, at any time, an amount equal to the lesser of (a) $10,000,000 and</w:t>
      </w:r>
    </w:p>
    <w:p>
      <w:pPr>
        <w:spacing w:after="0" w:line="2" w:lineRule="exact"/>
        <w:rPr>
          <w:sz w:val="20"/>
          <w:szCs w:val="20"/>
          <w:color w:val="auto"/>
        </w:rPr>
      </w:pPr>
    </w:p>
    <w:p>
      <w:pPr>
        <w:ind w:left="100" w:right="340"/>
        <w:spacing w:after="0" w:line="234" w:lineRule="auto"/>
        <w:rPr>
          <w:sz w:val="20"/>
          <w:szCs w:val="20"/>
          <w:color w:val="auto"/>
        </w:rPr>
      </w:pPr>
      <w:r>
        <w:rPr>
          <w:rFonts w:ascii="Arial" w:cs="Arial" w:eastAsia="Arial" w:hAnsi="Arial"/>
          <w:sz w:val="20"/>
          <w:szCs w:val="20"/>
          <w:color w:val="auto"/>
        </w:rPr>
        <w:t>(b)the Aggregate Revolving Credit Commitments. The Swing Line Sublimit is part of, and not in addition to, the Aggregate Revolving Credit Commitments.</w:t>
      </w:r>
    </w:p>
    <w:p>
      <w:pPr>
        <w:spacing w:after="0" w:line="184"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97"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50" w:lineRule="exact"/>
        <w:rPr>
          <w:sz w:val="20"/>
          <w:szCs w:val="20"/>
          <w:color w:val="auto"/>
        </w:rPr>
      </w:pPr>
    </w:p>
    <w:p>
      <w:pPr>
        <w:jc w:val="both"/>
        <w:ind w:left="100" w:right="20" w:firstLine="747"/>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44"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02" w:lineRule="exact"/>
        <w:rPr>
          <w:sz w:val="20"/>
          <w:szCs w:val="20"/>
          <w:color w:val="auto"/>
        </w:rPr>
      </w:pPr>
    </w:p>
    <w:p>
      <w:pPr>
        <w:jc w:val="both"/>
        <w:ind w:left="100" w:right="20" w:firstLine="74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Borrowing</w:t>
      </w:r>
      <w:r>
        <w:rPr>
          <w:rFonts w:ascii="Arial" w:cs="Arial" w:eastAsia="Arial" w:hAnsi="Arial"/>
          <w:sz w:val="19"/>
          <w:szCs w:val="19"/>
          <w:color w:val="auto"/>
        </w:rPr>
        <w:t xml:space="preserve">” means a borrowing consisting of simultaneous Term Loans of the same Type and, in the case of Term SOFR Loans, having the same Interest Period made by each of the Term Loan Lenders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w:t>
      </w:r>
    </w:p>
    <w:p>
      <w:pPr>
        <w:spacing w:after="0" w:line="139" w:lineRule="exact"/>
        <w:rPr>
          <w:sz w:val="20"/>
          <w:szCs w:val="20"/>
          <w:color w:val="auto"/>
        </w:rPr>
      </w:pPr>
    </w:p>
    <w:p>
      <w:pPr>
        <w:jc w:val="both"/>
        <w:ind w:left="100" w:firstLine="74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as to each Lender, its obligation to make a Term Loan to the Company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2.01(b)</w:t>
      </w:r>
      <w:r>
        <w:rPr>
          <w:rFonts w:ascii="Arial" w:cs="Arial" w:eastAsia="Arial" w:hAnsi="Arial"/>
          <w:sz w:val="18"/>
          <w:szCs w:val="18"/>
          <w:color w:val="auto"/>
        </w:rPr>
        <w:t xml:space="preserve"> on the Closing Date in a principal amount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“Term Loan Commitment” or opposite such caption in the Assignment and Assumption pursuant to which such Lender becomes a party hereto, as applicable, as such amount may be adjusted from time to time in accordance with this Agreement.</w:t>
      </w:r>
    </w:p>
    <w:p>
      <w:pPr>
        <w:spacing w:after="0" w:line="159" w:lineRule="exact"/>
        <w:rPr>
          <w:sz w:val="20"/>
          <w:szCs w:val="20"/>
          <w:color w:val="auto"/>
        </w:rPr>
      </w:pPr>
    </w:p>
    <w:p>
      <w:pPr>
        <w:ind w:left="840"/>
        <w:spacing w:after="0"/>
        <w:tabs>
          <w:tab w:leader="none" w:pos="7940" w:val="left"/>
        </w:tabs>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Facility</w:t>
      </w:r>
      <w:r>
        <w:rPr>
          <w:rFonts w:ascii="Arial" w:cs="Arial" w:eastAsia="Arial" w:hAnsi="Arial"/>
          <w:sz w:val="20"/>
          <w:szCs w:val="20"/>
          <w:color w:val="auto"/>
        </w:rPr>
        <w:t>” means, at any time, the term loan facility provided pursuant to</w:t>
      </w:r>
      <w:r>
        <w:rPr>
          <w:sz w:val="20"/>
          <w:szCs w:val="20"/>
          <w:color w:val="auto"/>
        </w:rPr>
        <w:tab/>
      </w:r>
      <w:r>
        <w:rPr>
          <w:rFonts w:ascii="Arial" w:cs="Arial" w:eastAsia="Arial" w:hAnsi="Arial"/>
          <w:sz w:val="16"/>
          <w:szCs w:val="16"/>
          <w:u w:val="single" w:color="auto"/>
          <w:color w:val="auto"/>
        </w:rPr>
        <w:t>Section</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2.01(b)</w:t>
      </w:r>
      <w:r>
        <w:rPr>
          <w:rFonts w:ascii="Arial" w:cs="Arial" w:eastAsia="Arial" w:hAnsi="Arial"/>
          <w:sz w:val="20"/>
          <w:szCs w:val="20"/>
          <w:color w:val="auto"/>
        </w:rPr>
        <w:t>.</w:t>
      </w:r>
    </w:p>
    <w:p>
      <w:pPr>
        <w:spacing w:after="0" w:line="186" w:lineRule="exact"/>
        <w:rPr>
          <w:sz w:val="20"/>
          <w:szCs w:val="20"/>
          <w:color w:val="auto"/>
        </w:rPr>
      </w:pPr>
    </w:p>
    <w:p>
      <w:pPr>
        <w:ind w:left="100" w:right="74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Lender</w:t>
      </w:r>
      <w:r>
        <w:rPr>
          <w:rFonts w:ascii="Arial" w:cs="Arial" w:eastAsia="Arial" w:hAnsi="Arial"/>
          <w:sz w:val="20"/>
          <w:szCs w:val="20"/>
          <w:color w:val="auto"/>
        </w:rPr>
        <w:t>” means, at any time, any Lender that has a Term Loan Commitment or an outstanding Term Loan at such time.</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38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64" w:name="page165"/>
    <w:bookmarkEnd w:id="164"/>
    <w:p>
      <w:pPr>
        <w:ind w:left="100" w:right="24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Note</w:t>
      </w:r>
      <w:r>
        <w:rPr>
          <w:rFonts w:ascii="Arial" w:cs="Arial" w:eastAsia="Arial" w:hAnsi="Arial"/>
          <w:sz w:val="20"/>
          <w:szCs w:val="20"/>
          <w:color w:val="auto"/>
        </w:rPr>
        <w:t xml:space="preserve">” means a promissory note made by the Company in favor of a Term Loan Lender evidencing the Term Loan made by such Term Loan Lender, substantially in the form of </w:t>
      </w:r>
      <w:r>
        <w:rPr>
          <w:rFonts w:ascii="Arial" w:cs="Arial" w:eastAsia="Arial" w:hAnsi="Arial"/>
          <w:sz w:val="20"/>
          <w:szCs w:val="20"/>
          <w:u w:val="single" w:color="auto"/>
          <w:color w:val="auto"/>
        </w:rPr>
        <w:t>Exhibit C-2</w:t>
      </w:r>
      <w:r>
        <w:rPr>
          <w:rFonts w:ascii="Arial" w:cs="Arial" w:eastAsia="Arial" w:hAnsi="Arial"/>
          <w:sz w:val="20"/>
          <w:szCs w:val="20"/>
          <w:color w:val="auto"/>
        </w:rPr>
        <w:t>.</w:t>
      </w:r>
    </w:p>
    <w:p>
      <w:pPr>
        <w:spacing w:after="0" w:line="163"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means,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 plus the Term SOFR Adjustment for such Interest Period;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the Term SOFR determined in accordance with the foregoing provisions of this definition would otherwise be less than zero, the Term SOFR shall be deemed zero for purposes of this Agreement.</w:t>
      </w:r>
    </w:p>
    <w:p>
      <w:pPr>
        <w:spacing w:after="0" w:line="180"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Adjustment</w:t>
      </w:r>
      <w:r>
        <w:rPr>
          <w:rFonts w:ascii="Arial" w:cs="Arial" w:eastAsia="Arial" w:hAnsi="Arial"/>
          <w:sz w:val="20"/>
          <w:szCs w:val="20"/>
          <w:color w:val="auto"/>
        </w:rPr>
        <w:t>” means, with respect to Term SOFR, (a) 0.11448% (11.448 basis points) for an Interest Period of one-month’s duration, (b) 0.26161% (26.161 basis points) for an Interest Period of three-months’ duration and (c) 0.42826% (42.826 basis points) for an Interest Period of six-months’ duration.</w:t>
      </w:r>
    </w:p>
    <w:p>
      <w:pPr>
        <w:spacing w:after="0" w:line="367" w:lineRule="exact"/>
        <w:rPr>
          <w:sz w:val="20"/>
          <w:szCs w:val="20"/>
          <w:color w:val="auto"/>
        </w:rPr>
      </w:pPr>
    </w:p>
    <w:p>
      <w:pPr>
        <w:ind w:left="20"/>
        <w:spacing w:after="0"/>
        <w:rPr>
          <w:sz w:val="20"/>
          <w:szCs w:val="20"/>
          <w:color w:val="auto"/>
        </w:rPr>
      </w:pPr>
      <w:r>
        <w:rPr>
          <w:rFonts w:ascii="Arial" w:cs="Arial" w:eastAsia="Arial" w:hAnsi="Arial"/>
          <w:sz w:val="22"/>
          <w:szCs w:val="22"/>
          <w:color w:val="auto"/>
        </w:rPr>
        <w:t>39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65" w:name="page166"/>
    <w:bookmarkEnd w:id="165"/>
    <w:p>
      <w:pPr>
        <w:ind w:left="100"/>
        <w:spacing w:after="0"/>
        <w:rPr>
          <w:sz w:val="20"/>
          <w:szCs w:val="20"/>
          <w:color w:val="auto"/>
        </w:rPr>
      </w:pPr>
      <w:r>
        <w:rPr>
          <w:rFonts w:ascii="Arial" w:cs="Arial" w:eastAsia="Arial" w:hAnsi="Arial"/>
          <w:sz w:val="18"/>
          <w:szCs w:val="18"/>
          <w:color w:val="auto"/>
        </w:rPr>
        <w:t>SOFR.</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40</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33" w:right="1440" w:bottom="1440" w:gutter="0" w:footer="0" w:header="0"/>
        </w:sectPr>
      </w:pPr>
    </w:p>
    <w:bookmarkStart w:id="166" w:name="page167"/>
    <w:bookmarkEnd w:id="166"/>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means a Loan that bears interest at a rate based on the definition of Term</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Screen Rate</w:t>
      </w:r>
      <w:r>
        <w:rPr>
          <w:rFonts w:ascii="Arial" w:cs="Arial" w:eastAsia="Arial" w:hAnsi="Arial"/>
          <w:sz w:val="18"/>
          <w:szCs w:val="18"/>
          <w:color w:val="auto"/>
        </w:rPr>
        <w:t>” means the forward-looking SOFR term rate administered by CME (or</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color w:val="auto"/>
        </w:rPr>
        <w:t>41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204" w:right="1440" w:bottom="1440" w:gutter="0" w:footer="0" w:header="0"/>
        </w:sectPr>
      </w:pPr>
    </w:p>
    <w:bookmarkStart w:id="167" w:name="page168"/>
    <w:bookmarkEnd w:id="167"/>
    <w:p>
      <w:pPr>
        <w:jc w:val="both"/>
        <w:ind w:left="100"/>
        <w:spacing w:after="0" w:line="302" w:lineRule="auto"/>
        <w:rPr>
          <w:sz w:val="20"/>
          <w:szCs w:val="20"/>
          <w:color w:val="auto"/>
        </w:rPr>
      </w:pPr>
      <w:r>
        <w:rPr>
          <w:rFonts w:ascii="Arial" w:cs="Arial" w:eastAsia="Arial" w:hAnsi="Arial"/>
          <w:sz w:val="18"/>
          <w:szCs w:val="18"/>
          <w:color w:val="auto"/>
        </w:rPr>
        <w:t>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4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$7,500,000.</w:t>
      </w:r>
    </w:p>
    <w:p>
      <w:pPr>
        <w:spacing w:after="0" w:line="18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unused Commitments, Revolving Credit Exposure and outstanding Term Loans of such Lender at suchtime.</w:t>
      </w:r>
    </w:p>
    <w:p>
      <w:pPr>
        <w:spacing w:after="0" w:line="190"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Credit Outstandings</w:t>
      </w:r>
      <w:r>
        <w:rPr>
          <w:rFonts w:ascii="Arial" w:cs="Arial" w:eastAsia="Arial" w:hAnsi="Arial"/>
          <w:sz w:val="20"/>
          <w:szCs w:val="20"/>
          <w:color w:val="auto"/>
        </w:rPr>
        <w:t>” means the aggregate Outstanding Amount of all Revolving Credit Loans, Swing Line Loans and L/C Obligations.</w:t>
      </w:r>
    </w:p>
    <w:p>
      <w:pPr>
        <w:spacing w:after="0" w:line="177"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Treasury Management Agreement</w:t>
      </w:r>
      <w:r>
        <w:rPr>
          <w:rFonts w:ascii="Arial" w:cs="Arial" w:eastAsia="Arial" w:hAnsi="Arial"/>
          <w:sz w:val="20"/>
          <w:szCs w:val="20"/>
          <w:color w:val="auto"/>
        </w:rPr>
        <w:t>” means any treasury management services, autoborrow, sweep or similar agreement entered into between the Company and the Swing Line Lender from time totime.</w:t>
      </w:r>
    </w:p>
    <w:p>
      <w:pPr>
        <w:spacing w:after="0" w:line="190"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a Daily Simple SOFR Loan, a Term SOFR Loan, an Alternative Currency Daily Rate Loan or an Alternative Currency Term Rate Loan.</w:t>
      </w:r>
    </w:p>
    <w:p>
      <w:pPr>
        <w:spacing w:after="0" w:line="177" w:lineRule="exact"/>
        <w:rPr>
          <w:sz w:val="20"/>
          <w:szCs w:val="20"/>
          <w:color w:val="auto"/>
        </w:rPr>
      </w:pPr>
    </w:p>
    <w:p>
      <w:pPr>
        <w:jc w:val="both"/>
        <w:ind w:left="100" w:firstLine="74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 perfection or priority.</w:t>
      </w:r>
    </w:p>
    <w:p>
      <w:pPr>
        <w:spacing w:after="0" w:line="172" w:lineRule="exact"/>
        <w:rPr>
          <w:sz w:val="20"/>
          <w:szCs w:val="20"/>
          <w:color w:val="auto"/>
        </w:rPr>
      </w:pPr>
    </w:p>
    <w:p>
      <w:pPr>
        <w:jc w:val="both"/>
        <w:ind w:left="100" w:firstLine="747"/>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UK Financial Institution</w:t>
      </w:r>
      <w:r>
        <w:rPr>
          <w:rFonts w:ascii="Arial" w:cs="Arial" w:eastAsia="Arial" w:hAnsi="Arial"/>
          <w:sz w:val="19"/>
          <w:szCs w:val="19"/>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investmentfirms.</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42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2" w:right="459" w:bottom="1440" w:gutter="0" w:footer="0" w:header="0"/>
        </w:sectPr>
      </w:pPr>
    </w:p>
    <w:bookmarkStart w:id="168" w:name="page169"/>
    <w:bookmarkEnd w:id="168"/>
    <w:p>
      <w:pPr>
        <w:ind w:left="100" w:right="6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02" w:lineRule="exact"/>
        <w:rPr>
          <w:sz w:val="20"/>
          <w:szCs w:val="20"/>
          <w:color w:val="auto"/>
        </w:rPr>
      </w:pPr>
    </w:p>
    <w:p>
      <w:pPr>
        <w:jc w:val="both"/>
        <w:ind w:left="100" w:right="20" w:firstLine="74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that has been designated as an “Unrestricted Subsidiary”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2.18</w:t>
      </w:r>
      <w:r>
        <w:rPr>
          <w:rFonts w:ascii="Arial" w:cs="Arial" w:eastAsia="Arial" w:hAnsi="Arial"/>
          <w:sz w:val="18"/>
          <w:szCs w:val="18"/>
          <w:color w:val="auto"/>
        </w:rPr>
        <w:t xml:space="preserve"> and has not been re-designated as a Restricted Subsidiary in accordance with such </w:t>
      </w:r>
      <w:r>
        <w:rPr>
          <w:rFonts w:ascii="Arial" w:cs="Arial" w:eastAsia="Arial" w:hAnsi="Arial"/>
          <w:sz w:val="18"/>
          <w:szCs w:val="18"/>
          <w:u w:val="single" w:color="auto"/>
          <w:color w:val="auto"/>
        </w:rPr>
        <w:t>Section 2.18</w:t>
      </w:r>
      <w:r>
        <w:rPr>
          <w:rFonts w:ascii="Arial" w:cs="Arial" w:eastAsia="Arial" w:hAnsi="Arial"/>
          <w:sz w:val="18"/>
          <w:szCs w:val="18"/>
          <w:color w:val="auto"/>
        </w:rPr>
        <w:t>. As of the Amendment No. 2 Effective Date, each of EFM Equipment Company, LLC, Effox-Flextor-Mader Inc. and Flextor, Inc. are Unrestricted Subsidiaries.</w:t>
      </w:r>
    </w:p>
    <w:p>
      <w:pPr>
        <w:spacing w:after="0" w:line="13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Borrowers</w:t>
      </w:r>
      <w:r>
        <w:rPr>
          <w:rFonts w:ascii="Arial" w:cs="Arial" w:eastAsia="Arial" w:hAnsi="Arial"/>
          <w:sz w:val="20"/>
          <w:szCs w:val="20"/>
          <w:color w:val="auto"/>
        </w:rPr>
        <w:t>” means, collectively, the Company and each Designated Borrower that is a Domestic Subsidiary (other than a Domestic Subsidiary of the type described in clause (b) or (c) of the definition of Foreign Subsidiary).</w:t>
      </w:r>
    </w:p>
    <w:p>
      <w:pPr>
        <w:spacing w:after="0" w:line="177"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83"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Loan Party</w:t>
      </w:r>
      <w:r>
        <w:rPr>
          <w:rFonts w:ascii="Arial" w:cs="Arial" w:eastAsia="Arial" w:hAnsi="Arial"/>
          <w:sz w:val="20"/>
          <w:szCs w:val="20"/>
          <w:color w:val="auto"/>
        </w:rPr>
        <w:t>” means, collectively, each U.S. Borrower and each other Loan Party that is a Domestic Subsidiary (other than a Domestic Subsidiary of the type described in clause (b) or (c) of the definition of Foreign Subsidiary).</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Pledge Agreement</w:t>
      </w:r>
      <w:r>
        <w:rPr>
          <w:rFonts w:ascii="Arial" w:cs="Arial" w:eastAsia="Arial" w:hAnsi="Arial"/>
          <w:sz w:val="20"/>
          <w:szCs w:val="20"/>
          <w:color w:val="auto"/>
        </w:rPr>
        <w:t>” has the meaning specified in the definition of Pledge Agreements.</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Security Agreement</w:t>
      </w:r>
      <w:r>
        <w:rPr>
          <w:rFonts w:ascii="Arial" w:cs="Arial" w:eastAsia="Arial" w:hAnsi="Arial"/>
          <w:sz w:val="20"/>
          <w:szCs w:val="20"/>
          <w:color w:val="auto"/>
        </w:rPr>
        <w:t>” has the meaning specified in the definition of Security Agreements.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Subsidiary Guaranty</w:t>
      </w:r>
      <w:r>
        <w:rPr>
          <w:rFonts w:ascii="Arial" w:cs="Arial" w:eastAsia="Arial" w:hAnsi="Arial"/>
          <w:sz w:val="20"/>
          <w:szCs w:val="20"/>
          <w:color w:val="auto"/>
        </w:rPr>
        <w:t>” has the meaning specified in the definition of Subsidiary Guaranties.</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18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Loan Party and the Administrative Agent.</w:t>
      </w:r>
    </w:p>
    <w:p>
      <w:pPr>
        <w:spacing w:after="0" w:line="202" w:lineRule="exact"/>
        <w:rPr>
          <w:sz w:val="20"/>
          <w:szCs w:val="20"/>
          <w:color w:val="auto"/>
        </w:rPr>
      </w:pPr>
    </w:p>
    <w:p>
      <w:pPr>
        <w:jc w:val="both"/>
        <w:ind w:left="100" w:firstLine="747"/>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jc w:val="both"/>
        <w:ind w:left="100" w:right="20" w:firstLine="749"/>
        <w:spacing w:after="0" w:line="246" w:lineRule="auto"/>
        <w:rPr>
          <w:sz w:val="20"/>
          <w:szCs w:val="20"/>
          <w:color w:val="auto"/>
        </w:rPr>
      </w:pPr>
      <w:r>
        <w:rPr>
          <w:rFonts w:ascii="Arial" w:cs="Arial" w:eastAsia="Arial" w:hAnsi="Arial"/>
          <w:sz w:val="20"/>
          <w:szCs w:val="20"/>
          <w:color w:val="auto"/>
        </w:rPr>
        <w:t>1.2 Other Interpretive Provisions. With reference to this Agreement and each other Loan Document, unlessotherwisespecifiedherein or insuchother Loan Document: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43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69" w:name="page170"/>
    <w:bookmarkEnd w:id="169"/>
    <w:p>
      <w:pPr>
        <w:jc w:val="both"/>
        <w:ind w:left="280" w:firstLine="748"/>
        <w:spacing w:after="0" w:line="254" w:lineRule="auto"/>
        <w:tabs>
          <w:tab w:leader="none" w:pos="17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tangible and intangible assets and properties, including cash, securities, accounts and contract rights.</w:t>
      </w:r>
    </w:p>
    <w:p>
      <w:pPr>
        <w:spacing w:after="0" w:line="170" w:lineRule="exact"/>
        <w:rPr>
          <w:rFonts w:ascii="Arial" w:cs="Arial" w:eastAsia="Arial" w:hAnsi="Arial"/>
          <w:sz w:val="18"/>
          <w:szCs w:val="18"/>
          <w:color w:val="auto"/>
        </w:rPr>
      </w:pPr>
    </w:p>
    <w:p>
      <w:pPr>
        <w:ind w:left="280" w:right="20" w:firstLine="748"/>
        <w:spacing w:after="0" w:line="272" w:lineRule="auto"/>
        <w:tabs>
          <w:tab w:leader="none" w:pos="176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 including</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280" w:right="20" w:firstLine="748"/>
        <w:spacing w:after="0" w:line="246" w:lineRule="auto"/>
        <w:tabs>
          <w:tab w:leader="none" w:pos="1769"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interpretationof this Agreement or any other Loan Document.</w:t>
      </w:r>
    </w:p>
    <w:p>
      <w:pPr>
        <w:spacing w:after="0" w:line="190" w:lineRule="exact"/>
        <w:rPr>
          <w:rFonts w:ascii="Arial" w:cs="Arial" w:eastAsia="Arial" w:hAnsi="Arial"/>
          <w:sz w:val="20"/>
          <w:szCs w:val="20"/>
          <w:color w:val="auto"/>
        </w:rPr>
      </w:pPr>
    </w:p>
    <w:p>
      <w:pPr>
        <w:jc w:val="both"/>
        <w:ind w:left="280" w:firstLine="748"/>
        <w:spacing w:after="0" w:line="260" w:lineRule="auto"/>
        <w:tabs>
          <w:tab w:leader="none" w:pos="176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67"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Accounting Terms.</w:t>
      </w:r>
    </w:p>
    <w:p>
      <w:pPr>
        <w:spacing w:after="0" w:line="216" w:lineRule="exact"/>
        <w:rPr>
          <w:sz w:val="20"/>
          <w:szCs w:val="20"/>
          <w:color w:val="auto"/>
        </w:rPr>
      </w:pPr>
    </w:p>
    <w:p>
      <w:pPr>
        <w:jc w:val="both"/>
        <w:ind w:left="280" w:firstLine="748"/>
        <w:spacing w:after="0" w:line="258" w:lineRule="auto"/>
        <w:tabs>
          <w:tab w:leader="none" w:pos="177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Company and its Restricted Subsidiaries shall be deemed to be carried at 100% of the outstanding principal amount thereof, and the effects of FASB ASC 825 and FASB ASC 470-20 on financial liabilities shall be disregarded.</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44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0" w:name="page171"/>
    <w:bookmarkEnd w:id="170"/>
    <w:p>
      <w:pPr>
        <w:jc w:val="both"/>
        <w:ind w:left="280" w:firstLine="748"/>
        <w:spacing w:after="0" w:line="255" w:lineRule="auto"/>
        <w:tabs>
          <w:tab w:leader="none" w:pos="1769"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(including, for the avoidance of doubt, as a result of new set of standards in FASB ASC 842), unless the parties hereto shall enter into a mutually acceptable amendment addressing such changes, as provided for above (it being understood that until so amended, the Company shall comply with the proviso to the immediately preceding sentence).</w:t>
      </w:r>
    </w:p>
    <w:p>
      <w:pPr>
        <w:spacing w:after="0" w:line="168" w:lineRule="exact"/>
        <w:rPr>
          <w:rFonts w:ascii="Arial" w:cs="Arial" w:eastAsia="Arial" w:hAnsi="Arial"/>
          <w:sz w:val="18"/>
          <w:szCs w:val="18"/>
          <w:color w:val="auto"/>
        </w:rPr>
      </w:pPr>
    </w:p>
    <w:p>
      <w:pPr>
        <w:jc w:val="both"/>
        <w:ind w:left="280" w:firstLine="748"/>
        <w:spacing w:after="0" w:line="248" w:lineRule="auto"/>
        <w:tabs>
          <w:tab w:leader="none" w:pos="1769"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Consolidation of Variable Interest Entities</w:t>
      </w:r>
      <w:r>
        <w:rPr>
          <w:rFonts w:ascii="Arial" w:cs="Arial" w:eastAsia="Arial" w:hAnsi="Arial"/>
          <w:sz w:val="19"/>
          <w:szCs w:val="19"/>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90"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1.5 Rounding.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nearestnumber).</w:t>
      </w:r>
    </w:p>
    <w:p>
      <w:pPr>
        <w:spacing w:after="0" w:line="183" w:lineRule="exact"/>
        <w:rPr>
          <w:sz w:val="20"/>
          <w:szCs w:val="20"/>
          <w:color w:val="auto"/>
        </w:rPr>
      </w:pPr>
    </w:p>
    <w:p>
      <w:pPr>
        <w:jc w:val="both"/>
        <w:ind w:left="100" w:right="20" w:firstLine="749"/>
        <w:spacing w:after="0" w:line="246" w:lineRule="auto"/>
        <w:rPr>
          <w:sz w:val="20"/>
          <w:szCs w:val="20"/>
          <w:color w:val="auto"/>
        </w:rPr>
      </w:pPr>
      <w:r>
        <w:rPr>
          <w:rFonts w:ascii="Arial" w:cs="Arial" w:eastAsia="Arial" w:hAnsi="Arial"/>
          <w:sz w:val="20"/>
          <w:szCs w:val="20"/>
          <w:color w:val="auto"/>
        </w:rPr>
        <w:t>1.6 Times of Day. Unless otherwise specified, all references herein to times of day shall be references to Eastern time (daylight or standard, as applicable).</w:t>
      </w:r>
    </w:p>
    <w:p>
      <w:pPr>
        <w:spacing w:after="0" w:line="190" w:lineRule="exact"/>
        <w:rPr>
          <w:sz w:val="20"/>
          <w:szCs w:val="20"/>
          <w:color w:val="auto"/>
        </w:rPr>
      </w:pPr>
    </w:p>
    <w:p>
      <w:pPr>
        <w:jc w:val="both"/>
        <w:ind w:left="100" w:firstLine="749"/>
        <w:spacing w:after="0" w:line="231" w:lineRule="auto"/>
        <w:rPr>
          <w:sz w:val="20"/>
          <w:szCs w:val="20"/>
          <w:color w:val="auto"/>
        </w:rPr>
      </w:pPr>
      <w:r>
        <w:rPr>
          <w:rFonts w:ascii="Arial" w:cs="Arial" w:eastAsia="Arial" w:hAnsi="Arial"/>
          <w:sz w:val="20"/>
          <w:szCs w:val="20"/>
          <w:color w:val="auto"/>
        </w:rPr>
        <w:t xml:space="preserve">1.7 Letter of Credit Amounts. Unless otherwise specified herein, the amount of a Letter of Credit at any time shall be deemed to be the Dollar Equivalent of the stated amount of such Letter of Credit in effect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1.8 Adjustments for Specified Transactions. For each four-quarter period ending next following the date of any Specified Transaction, for purposes of determining the Consolidated Net Leverage Ratio, Consolidated EBITDA shall be computed as if such Specified Transaction (and all other Specified Transactions that have been consummated during the applicable period) occurred as of the first day of the applicable period of measurement and:</w:t>
      </w:r>
    </w:p>
    <w:p>
      <w:pPr>
        <w:spacing w:after="0" w:line="197" w:lineRule="exact"/>
        <w:rPr>
          <w:sz w:val="20"/>
          <w:szCs w:val="20"/>
          <w:color w:val="auto"/>
        </w:rPr>
      </w:pPr>
    </w:p>
    <w:p>
      <w:pPr>
        <w:jc w:val="both"/>
        <w:ind w:left="280" w:firstLine="748"/>
        <w:spacing w:after="0" w:line="232" w:lineRule="auto"/>
        <w:tabs>
          <w:tab w:leader="none" w:pos="1769"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all income statement items (whether positive or negative) attributable to the property or person disposed of in a Specified Disposition shall be excluded and all income statement items(whether positive or negative) attributable to the property or person acquired in a Permitted Acquisition shall be included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 and</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45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1" w:name="page172"/>
    <w:bookmarkEnd w:id="171"/>
    <w:p>
      <w:pPr>
        <w:ind w:left="280" w:firstLine="748"/>
        <w:spacing w:after="0" w:line="246" w:lineRule="auto"/>
        <w:tabs>
          <w:tab w:leader="none" w:pos="1769"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non-recurring costs, extraordinary expenses and other pro forma adjustments attributable to such transaction may be included to the extent that such costs, expenses oradjustments:</w:t>
      </w:r>
    </w:p>
    <w:p>
      <w:pPr>
        <w:spacing w:after="0" w:line="176" w:lineRule="exact"/>
        <w:rPr>
          <w:rFonts w:ascii="Arial" w:cs="Arial" w:eastAsia="Arial" w:hAnsi="Arial"/>
          <w:sz w:val="20"/>
          <w:szCs w:val="20"/>
          <w:color w:val="auto"/>
        </w:rPr>
      </w:pPr>
    </w:p>
    <w:p>
      <w:pPr>
        <w:ind w:left="1020" w:right="20" w:firstLine="757"/>
        <w:spacing w:after="0" w:line="300" w:lineRule="auto"/>
        <w:tabs>
          <w:tab w:leader="none" w:pos="2509"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are reasonably expected to be realized within twelve (12) months of such Specified Transaction as set forth in reasonable detail on a certificate of a Responsible Officer of the Company delivered to the Administrative Agent; and</w:t>
      </w:r>
    </w:p>
    <w:p>
      <w:pPr>
        <w:spacing w:after="0" w:line="144" w:lineRule="exact"/>
        <w:rPr>
          <w:rFonts w:ascii="Arial" w:cs="Arial" w:eastAsia="Arial" w:hAnsi="Arial"/>
          <w:sz w:val="18"/>
          <w:szCs w:val="18"/>
          <w:color w:val="auto"/>
        </w:rPr>
      </w:pPr>
    </w:p>
    <w:p>
      <w:pPr>
        <w:ind w:left="2520" w:hanging="743"/>
        <w:spacing w:after="0"/>
        <w:tabs>
          <w:tab w:leader="none" w:pos="252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are calculated on a basis consistent with GAAP and Regulation S-X of the Securities Exchange Act of</w:t>
      </w:r>
    </w:p>
    <w:p>
      <w:pPr>
        <w:spacing w:after="0" w:line="13" w:lineRule="exact"/>
        <w:rPr>
          <w:rFonts w:ascii="Arial" w:cs="Arial" w:eastAsia="Arial" w:hAnsi="Arial"/>
          <w:sz w:val="19"/>
          <w:szCs w:val="19"/>
          <w:color w:val="auto"/>
        </w:rPr>
      </w:pPr>
    </w:p>
    <w:p>
      <w:pPr>
        <w:ind w:left="1020"/>
        <w:spacing w:after="0"/>
        <w:rPr>
          <w:rFonts w:ascii="Arial" w:cs="Arial" w:eastAsia="Arial" w:hAnsi="Arial"/>
          <w:sz w:val="19"/>
          <w:szCs w:val="19"/>
          <w:color w:val="auto"/>
        </w:rPr>
      </w:pPr>
      <w:r>
        <w:rPr>
          <w:rFonts w:ascii="Arial" w:cs="Arial" w:eastAsia="Arial" w:hAnsi="Arial"/>
          <w:sz w:val="20"/>
          <w:szCs w:val="20"/>
          <w:color w:val="auto"/>
        </w:rPr>
        <w:t>1934;</w:t>
      </w:r>
    </w:p>
    <w:p>
      <w:pPr>
        <w:spacing w:after="0" w:line="186" w:lineRule="exact"/>
        <w:rPr>
          <w:sz w:val="20"/>
          <w:szCs w:val="20"/>
          <w:color w:val="auto"/>
        </w:rPr>
      </w:pPr>
    </w:p>
    <w:p>
      <w:pPr>
        <w:ind w:left="100"/>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costs, expenses and adjustments shall be without duplication of any costs, expenses or adjustments that are already included in the calculation of Consolidated EBITDA or clause (a) above.</w:t>
      </w:r>
    </w:p>
    <w:p>
      <w:pPr>
        <w:spacing w:after="0" w:line="163"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6"/>
          <w:szCs w:val="16"/>
          <w:color w:val="auto"/>
        </w:rPr>
        <w:t>Exchange Rates; Currency Equivalents.</w:t>
      </w:r>
    </w:p>
    <w:p>
      <w:pPr>
        <w:spacing w:after="0" w:line="202" w:lineRule="exact"/>
        <w:rPr>
          <w:sz w:val="20"/>
          <w:szCs w:val="20"/>
          <w:color w:val="auto"/>
        </w:rPr>
      </w:pPr>
    </w:p>
    <w:p>
      <w:pPr>
        <w:jc w:val="both"/>
        <w:ind w:left="280" w:firstLine="748"/>
        <w:spacing w:after="0" w:line="260" w:lineRule="auto"/>
        <w:tabs>
          <w:tab w:leader="none" w:pos="176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Administrative Agent or the applicable L/C Issuer, as applicable, shall determine the Dollar Equivalent amounts of Credit Extensions and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180" w:lineRule="exact"/>
        <w:rPr>
          <w:rFonts w:ascii="Arial" w:cs="Arial" w:eastAsia="Arial" w:hAnsi="Arial"/>
          <w:sz w:val="18"/>
          <w:szCs w:val="18"/>
          <w:color w:val="auto"/>
        </w:rPr>
      </w:pPr>
    </w:p>
    <w:p>
      <w:pPr>
        <w:jc w:val="both"/>
        <w:ind w:left="280" w:firstLine="748"/>
        <w:spacing w:after="0" w:line="231" w:lineRule="auto"/>
        <w:tabs>
          <w:tab w:leader="none" w:pos="176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Wherever in this Agreement in connection with a Revolving Credit Borrowing, conversion, continuation or prepayment of an Alternative Currency Loan or the issuance, amendment or extension of a Letter of Credit, an amount, such as a required minimum or multiple amount, is expressed in Dollars, but such Revolving Credit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maybe.</w:t>
      </w:r>
    </w:p>
    <w:p>
      <w:pPr>
        <w:spacing w:after="0" w:line="184"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Additional Alternative Currencies.</w:t>
      </w:r>
    </w:p>
    <w:p>
      <w:pPr>
        <w:spacing w:after="0" w:line="216" w:lineRule="exact"/>
        <w:rPr>
          <w:sz w:val="20"/>
          <w:szCs w:val="20"/>
          <w:color w:val="auto"/>
        </w:rPr>
      </w:pPr>
    </w:p>
    <w:p>
      <w:pPr>
        <w:jc w:val="both"/>
        <w:ind w:left="280" w:firstLine="748"/>
        <w:spacing w:after="0" w:line="258" w:lineRule="auto"/>
        <w:tabs>
          <w:tab w:leader="none" w:pos="176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request that Alternative Currency Loans be made and/or Letters of Credit be issued in a currency other than those specifically listed in the definition of “Alternative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an Eligible Currency. In the case of any such request with respect to the making of Alternative Currency Loans, such request shall be subject to the approval of the Administrative Agent and the Revolving Credit Lenders; and in the case of any such request with respect to the issuance of Letters of Credit, such request shall be subject to the approval of the Administrative Agent and at least one of the L/C Issuers (it being acknowledged and agreed that no L/C Issuer shall be obligated to issue any Letter of Credit denominated in a currency requested by the Company pursuant to this </w:t>
      </w:r>
      <w:r>
        <w:rPr>
          <w:rFonts w:ascii="Arial" w:cs="Arial" w:eastAsia="Arial" w:hAnsi="Arial"/>
          <w:sz w:val="18"/>
          <w:szCs w:val="18"/>
          <w:u w:val="single" w:color="auto"/>
          <w:color w:val="auto"/>
        </w:rPr>
        <w:t>Section 1.09(a)</w:t>
      </w:r>
      <w:r>
        <w:rPr>
          <w:rFonts w:ascii="Arial" w:cs="Arial" w:eastAsia="Arial" w:hAnsi="Arial"/>
          <w:sz w:val="18"/>
          <w:szCs w:val="18"/>
          <w:color w:val="auto"/>
        </w:rPr>
        <w:t xml:space="preserve"> if such currency has not been approved by such L/CIssuer).</w:t>
      </w:r>
    </w:p>
    <w:p>
      <w:pPr>
        <w:spacing w:after="0" w:line="170" w:lineRule="exact"/>
        <w:rPr>
          <w:rFonts w:ascii="Arial" w:cs="Arial" w:eastAsia="Arial" w:hAnsi="Arial"/>
          <w:sz w:val="18"/>
          <w:szCs w:val="18"/>
          <w:color w:val="auto"/>
        </w:rPr>
      </w:pPr>
    </w:p>
    <w:p>
      <w:pPr>
        <w:jc w:val="both"/>
        <w:ind w:left="280" w:firstLine="748"/>
        <w:spacing w:after="0" w:line="231" w:lineRule="auto"/>
        <w:tabs>
          <w:tab w:leader="none" w:pos="1769"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Issuers, in its or their sole discretion). In the case of any such request pertaining to Alternative Currency Loans, the Administrative Agent shall promptly notify each Revolving Credit Lender thereof; and in the case of any such request pertaining to Letters of Credit, the Administrative Agent shall promptly notify the L/C Issuers thereof. Each Revolving Credit Lender (in the case of any</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46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2" w:name="page173"/>
    <w:bookmarkEnd w:id="172"/>
    <w:p>
      <w:pPr>
        <w:jc w:val="both"/>
        <w:ind w:left="280"/>
        <w:spacing w:after="0" w:line="234" w:lineRule="auto"/>
        <w:rPr>
          <w:sz w:val="20"/>
          <w:szCs w:val="20"/>
          <w:color w:val="auto"/>
        </w:rPr>
      </w:pPr>
      <w:r>
        <w:rPr>
          <w:rFonts w:ascii="Arial" w:cs="Arial" w:eastAsia="Arial" w:hAnsi="Arial"/>
          <w:sz w:val="20"/>
          <w:szCs w:val="20"/>
          <w:color w:val="auto"/>
        </w:rPr>
        <w:t>such request pertaining to Alternative Currency Loans) or each L/C Issuer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83" w:lineRule="exact"/>
        <w:rPr>
          <w:sz w:val="20"/>
          <w:szCs w:val="20"/>
          <w:color w:val="auto"/>
        </w:rPr>
      </w:pPr>
    </w:p>
    <w:p>
      <w:pPr>
        <w:jc w:val="both"/>
        <w:ind w:left="280" w:firstLine="748"/>
        <w:spacing w:after="0" w:line="253" w:lineRule="auto"/>
        <w:tabs>
          <w:tab w:leader="none" w:pos="17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Any failure by a Revolving Credit Lender or an L/C Issuer, as the case may be, to respond to such request within the time period specified in the last sentence of </w:t>
      </w:r>
      <w:r>
        <w:rPr>
          <w:rFonts w:ascii="Arial" w:cs="Arial" w:eastAsia="Arial" w:hAnsi="Arial"/>
          <w:sz w:val="18"/>
          <w:szCs w:val="18"/>
          <w:u w:val="single" w:color="auto"/>
          <w:color w:val="auto"/>
        </w:rPr>
        <w:t>Section 1.09(b)</w:t>
      </w:r>
      <w:r>
        <w:rPr>
          <w:rFonts w:ascii="Arial" w:cs="Arial" w:eastAsia="Arial" w:hAnsi="Arial"/>
          <w:sz w:val="18"/>
          <w:szCs w:val="18"/>
          <w:color w:val="auto"/>
        </w:rPr>
        <w:t xml:space="preserve"> shall be deemed to be a refusal by such Lender or such L/C Issuer, as the case may be, to permit Alternative Currency Loans to be made or Letters of Credit to be issued in such requested currency. If the Administrative Agent and all the Revolving Credit Lenders consent to making Alternative Currency Loans in such requested currency and the Administrative Agent and such Revolving Credit Lenders reasonably determine that an appropriate interest rate is available to be used for such requested currency, the Administrative Agent shall so notify the Company and (i) the Administrative Agent and such Revolving Credit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hereunder for purposes of any Revolving Credit Borrowings of Alternative Currency Loans. If the Administrative Agent and at least one of the L/C Issuers consent to the issuance of Letters of Credit in such requested currency, the Administrative Agent shall so notify the Company and (iii) pursuant to the terms hereof, the Administrative Agent and the L/C Issuers may amend the definition of Alternative Currency Daily Rate or Alternative Currency Term Rate, as applicable, to the extent necessary to add the applicable rate for such currency and any applicable adjustment for such rate and (iv)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by the consenting L/C Issuers. If the Administrative Agent shall fail to obtain consent to any request for an additional currency under this </w:t>
      </w:r>
      <w:r>
        <w:rPr>
          <w:rFonts w:ascii="Arial" w:cs="Arial" w:eastAsia="Arial" w:hAnsi="Arial"/>
          <w:sz w:val="18"/>
          <w:szCs w:val="18"/>
          <w:u w:val="single" w:color="auto"/>
          <w:color w:val="auto"/>
        </w:rPr>
        <w:t>Section 1.09</w:t>
      </w:r>
      <w:r>
        <w:rPr>
          <w:rFonts w:ascii="Arial" w:cs="Arial" w:eastAsia="Arial" w:hAnsi="Arial"/>
          <w:sz w:val="18"/>
          <w:szCs w:val="18"/>
          <w:color w:val="auto"/>
        </w:rPr>
        <w:t>, the Administrative Agent shall promptly so notify the Company.</w:t>
      </w:r>
    </w:p>
    <w:p>
      <w:pPr>
        <w:spacing w:after="0" w:line="161"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Change of Currency.</w:t>
      </w:r>
    </w:p>
    <w:p>
      <w:pPr>
        <w:spacing w:after="0" w:line="216" w:lineRule="exact"/>
        <w:rPr>
          <w:sz w:val="20"/>
          <w:szCs w:val="20"/>
          <w:color w:val="auto"/>
        </w:rPr>
      </w:pPr>
    </w:p>
    <w:p>
      <w:pPr>
        <w:jc w:val="both"/>
        <w:ind w:left="280" w:firstLine="748"/>
        <w:spacing w:after="0" w:line="242" w:lineRule="auto"/>
        <w:tabs>
          <w:tab w:leader="none" w:pos="176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168" w:lineRule="exact"/>
        <w:rPr>
          <w:rFonts w:ascii="Arial" w:cs="Arial" w:eastAsia="Arial" w:hAnsi="Arial"/>
          <w:sz w:val="19"/>
          <w:szCs w:val="19"/>
          <w:color w:val="auto"/>
        </w:rPr>
      </w:pPr>
    </w:p>
    <w:p>
      <w:pPr>
        <w:jc w:val="both"/>
        <w:ind w:left="280" w:firstLine="748"/>
        <w:spacing w:after="0" w:line="237" w:lineRule="auto"/>
        <w:tabs>
          <w:tab w:leader="none" w:pos="176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reasonably specify to be appropriate to reflect the adoption of the Euro by any member state of the European Union and any relevant market conventions or practices relating to the Euro.</w:t>
      </w:r>
    </w:p>
    <w:p>
      <w:pPr>
        <w:spacing w:after="0" w:line="182" w:lineRule="exact"/>
        <w:rPr>
          <w:rFonts w:ascii="Arial" w:cs="Arial" w:eastAsia="Arial" w:hAnsi="Arial"/>
          <w:sz w:val="20"/>
          <w:szCs w:val="20"/>
          <w:color w:val="auto"/>
        </w:rPr>
      </w:pPr>
    </w:p>
    <w:p>
      <w:pPr>
        <w:ind w:left="280" w:firstLine="748"/>
        <w:spacing w:after="0" w:line="246" w:lineRule="auto"/>
        <w:tabs>
          <w:tab w:leader="none" w:pos="177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47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3" w:name="page174"/>
    <w:bookmarkEnd w:id="173"/>
    <w:p>
      <w:pPr>
        <w:ind w:left="280"/>
        <w:spacing w:after="0"/>
        <w:rPr>
          <w:sz w:val="20"/>
          <w:szCs w:val="20"/>
          <w:color w:val="auto"/>
        </w:rPr>
      </w:pPr>
      <w:r>
        <w:rPr>
          <w:rFonts w:ascii="Arial" w:cs="Arial" w:eastAsia="Arial" w:hAnsi="Arial"/>
          <w:sz w:val="19"/>
          <w:szCs w:val="19"/>
          <w:color w:val="auto"/>
        </w:rPr>
        <w:t>change in currency of any other country and any relevant market conventions or practices relating to the change in currency.</w:t>
      </w:r>
    </w:p>
    <w:p>
      <w:pPr>
        <w:spacing w:after="0" w:line="214" w:lineRule="exact"/>
        <w:rPr>
          <w:sz w:val="20"/>
          <w:szCs w:val="20"/>
          <w:color w:val="auto"/>
        </w:rPr>
      </w:pPr>
    </w:p>
    <w:p>
      <w:pPr>
        <w:jc w:val="both"/>
        <w:ind w:left="100" w:firstLine="749"/>
        <w:spacing w:after="0" w:line="254" w:lineRule="auto"/>
        <w:rPr>
          <w:sz w:val="20"/>
          <w:szCs w:val="20"/>
          <w:color w:val="auto"/>
        </w:rPr>
      </w:pPr>
      <w:r>
        <w:rPr>
          <w:rFonts w:ascii="Arial" w:cs="Arial" w:eastAsia="Arial" w:hAnsi="Arial"/>
          <w:sz w:val="18"/>
          <w:szCs w:val="18"/>
          <w:color w:val="auto"/>
        </w:rPr>
        <w:t>1.11 Interest Rates. 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orservice.</w:t>
      </w: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II.</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THE COMMITMENTS AND CREDIT EXTENSIONS</w:t>
      </w:r>
    </w:p>
    <w:p>
      <w:pPr>
        <w:spacing w:after="0" w:line="186"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Loans.</w:t>
      </w:r>
    </w:p>
    <w:p>
      <w:pPr>
        <w:spacing w:after="0" w:line="202" w:lineRule="exact"/>
        <w:rPr>
          <w:sz w:val="20"/>
          <w:szCs w:val="20"/>
          <w:color w:val="auto"/>
        </w:rPr>
      </w:pPr>
    </w:p>
    <w:p>
      <w:pPr>
        <w:jc w:val="both"/>
        <w:ind w:left="280" w:firstLine="748"/>
        <w:spacing w:after="0" w:line="252" w:lineRule="auto"/>
        <w:tabs>
          <w:tab w:leader="none" w:pos="1769"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Revolving Credit Borrowings</w:t>
      </w:r>
      <w:r>
        <w:rPr>
          <w:rFonts w:ascii="Arial" w:cs="Arial" w:eastAsia="Arial" w:hAnsi="Arial"/>
          <w:sz w:val="18"/>
          <w:szCs w:val="18"/>
          <w:color w:val="auto"/>
        </w:rPr>
        <w:t>. Subject to the terms and conditions set forth herein, each Revolving Credit Lender severally agrees to make loans (each such loan, a “</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to the Borrowers, in Dollars or in one or more Alternative Currencies, from time to time, on any Business Day during the Availability Period, in an aggregate amount not to exceed at any time outstanding the amount of such Lender’s Revolving Credit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giving effect to any Revolving Credit Borrowing, (i) the Total Revolving Credit Outstandings shall not exceed the Aggregate Revolving Credit Commitments, (ii) the Revolving Credit Exposure of any Revolving Credit Lender shall not exceed such Lender’s Revolving Credit Commitment, (iii) the aggregate Outstanding Amount of all Revolving Credit Loans made to Designated Borrowers that are not U.S. Borrowers shall not exceed, when taken together with the aggregate outstanding amount of Additional Term Loans made to Designated Borrowers that are not U.S. Borrowers, the Designated Non-U.S. Borrower Sublimit and</w:t>
      </w:r>
    </w:p>
    <w:p>
      <w:pPr>
        <w:spacing w:after="0" w:line="3" w:lineRule="exact"/>
        <w:rPr>
          <w:rFonts w:ascii="Arial" w:cs="Arial" w:eastAsia="Arial" w:hAnsi="Arial"/>
          <w:sz w:val="18"/>
          <w:szCs w:val="18"/>
          <w:color w:val="auto"/>
        </w:rPr>
      </w:pPr>
    </w:p>
    <w:p>
      <w:pPr>
        <w:jc w:val="both"/>
        <w:ind w:left="280" w:hanging="2"/>
        <w:spacing w:after="0" w:line="241" w:lineRule="auto"/>
        <w:tabs>
          <w:tab w:leader="none" w:pos="64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the aggregate Outstanding Amount of all Revolving Credit Loans denominated in Alternative Currencies shall not exceed the Alternative Currency Sublimit. Within the limits of each Revolving Credit Lender’s Revolving Credit Commitment, and subject to the other terms and conditions hereof, the Borrowers may borrow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2.01(a)</w:t>
      </w:r>
      <w:r>
        <w:rPr>
          <w:rFonts w:ascii="Arial" w:cs="Arial" w:eastAsia="Arial" w:hAnsi="Arial"/>
          <w:sz w:val="19"/>
          <w:szCs w:val="19"/>
          <w:color w:val="auto"/>
        </w:rPr>
        <w:t>. Revolving Credit Loans may be Base Rate Loans, Daily Simple SOFR Loans, Term SOFR Loans, Alternative Currency Daily Rate Loans or Alternative Currency Term Rate Loans, as further provided herein.</w:t>
      </w:r>
    </w:p>
    <w:p>
      <w:pPr>
        <w:spacing w:after="0" w:line="196" w:lineRule="exact"/>
        <w:rPr>
          <w:rFonts w:ascii="Arial" w:cs="Arial" w:eastAsia="Arial" w:hAnsi="Arial"/>
          <w:sz w:val="19"/>
          <w:szCs w:val="19"/>
          <w:color w:val="auto"/>
        </w:rPr>
      </w:pPr>
    </w:p>
    <w:p>
      <w:pPr>
        <w:jc w:val="both"/>
        <w:ind w:left="280" w:firstLine="748"/>
        <w:spacing w:after="0" w:line="267" w:lineRule="auto"/>
        <w:tabs>
          <w:tab w:leader="none" w:pos="1769"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Term Loan Borrowing</w:t>
      </w:r>
      <w:r>
        <w:rPr>
          <w:rFonts w:ascii="Arial" w:cs="Arial" w:eastAsia="Arial" w:hAnsi="Arial"/>
          <w:sz w:val="18"/>
          <w:szCs w:val="18"/>
          <w:color w:val="auto"/>
        </w:rPr>
        <w:t>. Subject to the terms and conditions set forth herein, each Term Loan Lender severally agrees to make a single loan (each such loan, a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to the Company, in Dollars, on the Closing Date in an amount not to exceed such Lender’s Term Loan Commitment. Amounts borrowed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and repaid or prepaid may not be reborrowed. Term Loans may be Base Rate Loans, Daily Simple SOFR Loans or Term SOFR Loans, as further providedherein.</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48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4" w:name="page175"/>
    <w:bookmarkEnd w:id="174"/>
    <w:p>
      <w:pPr>
        <w:ind w:left="840"/>
        <w:spacing w:after="0"/>
        <w:tabs>
          <w:tab w:leader="none" w:pos="15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Borrowings, Conversions and Continuations of Loans.</w:t>
      </w:r>
    </w:p>
    <w:p>
      <w:pPr>
        <w:spacing w:after="0" w:line="202" w:lineRule="exact"/>
        <w:rPr>
          <w:sz w:val="20"/>
          <w:szCs w:val="20"/>
          <w:color w:val="auto"/>
        </w:rPr>
      </w:pPr>
    </w:p>
    <w:p>
      <w:pPr>
        <w:jc w:val="both"/>
        <w:ind w:left="280" w:firstLine="748"/>
        <w:spacing w:after="0" w:line="251" w:lineRule="auto"/>
        <w:tabs>
          <w:tab w:leader="none" w:pos="17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Each Revolving Credit Borrowing, each Term Loan Borrowing, each conversion of Loans from one Type to the other, and each continuation of Term SOFR Loans or Alternative Currency Term Rate Loans shall be made upon the Company’s irrevocable notice to the Administrative Agent, which may be given by: (A) telephone or (B)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Administrative Agent of a Loan Notice. Each such notice must be received by the Administrative Agent not later than 11:00 a.m. (i) two Business Days prior to the requested date of any Borrowing of, conversion to or continuation of Term SOFR Loans denominated in Dollars or of any conversion of Term SOFR Loans denominated in Dollars to Base Rate Loans, (ii) one Business Day prior to the requested date of any Borrowing of, or conversion to, Daily Simple SOFR Loans denominated in Dollars or of any conversion of Daily Simple SOFR Loans denominated in Dollars to Base Rate Loans, (iii) three Business Days (or five Business Days in the case of a Special Notice Currency) prior to the requested date of any Borrowing or, in the case of Alternative Currency Term Rate Loans, continuation of Alternative Currency Loans and (iv) on the requested date of any Borrowing of Base Rate Loans. Each telephonic notice by the Company pursuant to this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must be confirmed promptly by delivery to the Administrative Agent of a written Loan Notice, appropriately completed and signed by a Responsible Officer of the Company. Each Borrowing of, or conversion to Daily Simple SOFR Loans, and each Borrowing of, conversion to or continuation of Term SOFR Loans or Alternative Currency Loans shall be in a principal amount of the Dollar Equivalent of $1,000,000 or a whole multiple of the Dollar Equivalent of $1,000,000 in excess thereof. Except as provided in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2.04(c)</w:t>
      </w:r>
      <w:r>
        <w:rPr>
          <w:rFonts w:ascii="Arial" w:cs="Arial" w:eastAsia="Arial" w:hAnsi="Arial"/>
          <w:sz w:val="18"/>
          <w:szCs w:val="18"/>
          <w:color w:val="auto"/>
        </w:rPr>
        <w:t xml:space="preserve">, each Borrowing of or conversion to Base Rate Loans shall be in a principal amount of the Dollar Equivalent of $500,000 or a whole multiple of the Dollar Equivalent of $100,000 in excess thereof. Each Loan Notice (whether telephonic or written) shall specify (i) whether the Company is requesting a Term Loan Borrowing, a Revolving Credit Borrowing, a conversion of Term Loans or Revolving Credit Loans from one Type to the other, or a continuation of Term SOFR Loans or Alternative Currency Term Rate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(v) if applicable, the duration of the Interest Period with respect thereto, (vi) if applicable, the currency of the Revolving Credit Loans to be borrowed, and (vii) if applicable, the Designated Borrower. If the Company fails to specify a currency in a Loan Notice requesting a Revolving Credit Borrowing, then the Revolving Credit Loans so requested shall be made in Dollars. If the Company fails to specify a Type of Loan in a Loan Notice or if the Company fails to give a timely notice requesting a conversion or continuation, then the applicable Term Loans or Revolving Credit Loans shall be made as, or converted to, Base Rate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case of a failure to timely request a continuation of Revolving Credit Loans denominated in an Alternative Currency, such Loans shall be continued as Alternative Currency Term Rate Loans in their original currency with an Interest Period of one month. Any such automatic conversion to Base Rate Loans shall be effective as of the last day of the Interest Period then in effect with respect to the applicable Term SOFR Loans. If the Company requests a Borrowing of, conversion to, or continuation of Term SOFR Loans or Alternative Currency Term Rate Loans in any such Loan Notice, but fails to specify an Interest Period, it will be deemed to have specified an Interest Period of one month. Except as provided pursuant to </w:t>
      </w:r>
      <w:r>
        <w:rPr>
          <w:rFonts w:ascii="Arial" w:cs="Arial" w:eastAsia="Arial" w:hAnsi="Arial"/>
          <w:sz w:val="18"/>
          <w:szCs w:val="18"/>
          <w:u w:val="single" w:color="auto"/>
          <w:color w:val="auto"/>
        </w:rPr>
        <w:t>Sections 2.12(a)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3.03</w:t>
      </w:r>
      <w:r>
        <w:rPr>
          <w:rFonts w:ascii="Arial" w:cs="Arial" w:eastAsia="Arial" w:hAnsi="Arial"/>
          <w:sz w:val="18"/>
          <w:szCs w:val="18"/>
          <w:color w:val="auto"/>
        </w:rPr>
        <w:t>, no Revolving Credit Loan may be converted into or continued as a Revolving Credit Loan denominated in a different currency, but instead must be prepaid in the original currency of such Revolving Credit Loan and reborrowed in the other currency.</w:t>
      </w:r>
    </w:p>
    <w:p>
      <w:pPr>
        <w:spacing w:after="0" w:line="213" w:lineRule="exact"/>
        <w:rPr>
          <w:rFonts w:ascii="Arial" w:cs="Arial" w:eastAsia="Arial" w:hAnsi="Arial"/>
          <w:sz w:val="18"/>
          <w:szCs w:val="18"/>
          <w:color w:val="auto"/>
        </w:rPr>
      </w:pPr>
    </w:p>
    <w:p>
      <w:pPr>
        <w:ind w:left="1760" w:hanging="732"/>
        <w:spacing w:after="0"/>
        <w:tabs>
          <w:tab w:leader="none" w:pos="1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Following receipt of a Loan Notice for a Facility, the Administrative Agent shall promptly notify each Lender under</w:t>
      </w:r>
    </w:p>
    <w:p>
      <w:pPr>
        <w:spacing w:after="0" w:line="25" w:lineRule="exact"/>
        <w:rPr>
          <w:sz w:val="20"/>
          <w:szCs w:val="20"/>
          <w:color w:val="auto"/>
        </w:rPr>
      </w:pPr>
    </w:p>
    <w:p>
      <w:pPr>
        <w:jc w:val="both"/>
        <w:ind w:left="280"/>
        <w:spacing w:after="0" w:line="231" w:lineRule="auto"/>
        <w:rPr>
          <w:sz w:val="20"/>
          <w:szCs w:val="20"/>
          <w:color w:val="auto"/>
        </w:rPr>
      </w:pPr>
      <w:r>
        <w:rPr>
          <w:rFonts w:ascii="Arial" w:cs="Arial" w:eastAsia="Arial" w:hAnsi="Arial"/>
          <w:sz w:val="20"/>
          <w:szCs w:val="20"/>
          <w:color w:val="auto"/>
        </w:rPr>
        <w:t>such Facility of the amount (and, if applicable, the currency) of its Applicable Percentage under such Facility of the applicable Loans, and if no timely notice of a conversion or continuation is provided by the Company, the Administrative Agent shall notify each Lender under</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49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5" w:name="page176"/>
    <w:bookmarkEnd w:id="175"/>
    <w:p>
      <w:pPr>
        <w:jc w:val="both"/>
        <w:ind w:left="280"/>
        <w:spacing w:after="0" w:line="254" w:lineRule="auto"/>
        <w:rPr>
          <w:sz w:val="20"/>
          <w:szCs w:val="20"/>
          <w:color w:val="auto"/>
        </w:rPr>
      </w:pPr>
      <w:r>
        <w:rPr>
          <w:rFonts w:ascii="Arial" w:cs="Arial" w:eastAsia="Arial" w:hAnsi="Arial"/>
          <w:sz w:val="18"/>
          <w:szCs w:val="18"/>
          <w:color w:val="auto"/>
        </w:rPr>
        <w:t xml:space="preserve">the applicable Facility of the details of any automatic conversion to Base Rate Loans or continuation of Alternative Currency Term Rate Loans, in each case as described in the preceding subsection. In the case of a Term Loan Borrowing or a Revolving Credit Borrowing, each Lender under the applicable Facility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Revolving Credit Loan in an Alternative Currency, in each case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a Loan Notice with respect to a Revolving Credit Borrowing is given by the Company, there are L/C Borrowings outstanding, then the proceeds of such Revolving Credit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applicable Borrower as provided above.</w:t>
      </w:r>
    </w:p>
    <w:p>
      <w:pPr>
        <w:spacing w:after="0" w:line="163" w:lineRule="exact"/>
        <w:rPr>
          <w:sz w:val="20"/>
          <w:szCs w:val="20"/>
          <w:color w:val="auto"/>
        </w:rPr>
      </w:pPr>
    </w:p>
    <w:p>
      <w:pPr>
        <w:jc w:val="both"/>
        <w:ind w:left="280" w:firstLine="748"/>
        <w:spacing w:after="0" w:line="258" w:lineRule="auto"/>
        <w:tabs>
          <w:tab w:leader="none" w:pos="176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Except as otherwise provided herein, each of a Term SOFR Loan and an Alternative Currency Term Rate Loan may be continued or converted only on the last day of an Interest Period for such Loan. During the existence of an Event of Default, no Loans may be requested as, or converted to Daily Simple SOFR Loans or Alternative Currency Daily Rate Loans or requested as, converted to or continued as Term SOFR Loans or Alternative Currency Term Rate Loans, as applicable (whether in Dollars or any Alternative Currency) without the consent of the Required Lenders, and unless otherwise consented by the Required Lenders all of the then outstanding Alternative Currency Term Rate Loans shall be redenominated into Dollars in the amount of the Dollar Equivalent thereof and converted into Base Rate Loans on the last day of the then current Interest Period with respect thereto.</w:t>
      </w:r>
    </w:p>
    <w:p>
      <w:pPr>
        <w:spacing w:after="0" w:line="183" w:lineRule="exact"/>
        <w:rPr>
          <w:rFonts w:ascii="Arial" w:cs="Arial" w:eastAsia="Arial" w:hAnsi="Arial"/>
          <w:sz w:val="18"/>
          <w:szCs w:val="18"/>
          <w:color w:val="auto"/>
        </w:rPr>
      </w:pPr>
    </w:p>
    <w:p>
      <w:pPr>
        <w:jc w:val="both"/>
        <w:ind w:left="280" w:firstLine="748"/>
        <w:spacing w:after="0" w:line="267" w:lineRule="auto"/>
        <w:tabs>
          <w:tab w:leader="none" w:pos="176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Company and the Lenders of the interest rate applicable to any Interest Period for Term SOFR Loans or Alternative Currency Term Rate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72" w:lineRule="exact"/>
        <w:rPr>
          <w:rFonts w:ascii="Arial" w:cs="Arial" w:eastAsia="Arial" w:hAnsi="Arial"/>
          <w:sz w:val="18"/>
          <w:szCs w:val="18"/>
          <w:color w:val="auto"/>
        </w:rPr>
      </w:pPr>
    </w:p>
    <w:p>
      <w:pPr>
        <w:jc w:val="both"/>
        <w:ind w:left="280" w:firstLine="748"/>
        <w:spacing w:after="0" w:line="232" w:lineRule="auto"/>
        <w:tabs>
          <w:tab w:leader="none" w:pos="177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After giving effect to all Revolving Credit Borrowings, all conversions of Revolving Credit Loans from one Type to the other, and all continuations of Revolving Credit Loans as the same Type, there shall not be more than ten Interest Periods in effect with respect to Revolving Credit Loans. After giving effect to all Term Loan Borrowings, all conversions of Term Loans from one Type to the other, and all continuations of Term Loans as the same Type, there shall not be more than ten Interest Periods in effect with respect to Term Loans.</w:t>
      </w:r>
    </w:p>
    <w:p>
      <w:pPr>
        <w:spacing w:after="0" w:line="184" w:lineRule="exact"/>
        <w:rPr>
          <w:rFonts w:ascii="Arial" w:cs="Arial" w:eastAsia="Arial" w:hAnsi="Arial"/>
          <w:sz w:val="20"/>
          <w:szCs w:val="20"/>
          <w:color w:val="auto"/>
        </w:rPr>
      </w:pPr>
    </w:p>
    <w:p>
      <w:pPr>
        <w:jc w:val="both"/>
        <w:ind w:left="280" w:firstLine="748"/>
        <w:spacing w:after="0" w:line="275" w:lineRule="auto"/>
        <w:tabs>
          <w:tab w:leader="none" w:pos="176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52" w:lineRule="exact"/>
        <w:rPr>
          <w:rFonts w:ascii="Arial" w:cs="Arial" w:eastAsia="Arial" w:hAnsi="Arial"/>
          <w:sz w:val="18"/>
          <w:szCs w:val="18"/>
          <w:color w:val="auto"/>
        </w:rPr>
      </w:pPr>
    </w:p>
    <w:p>
      <w:pPr>
        <w:jc w:val="both"/>
        <w:ind w:left="280" w:right="20" w:firstLine="748"/>
        <w:spacing w:after="0" w:line="234" w:lineRule="auto"/>
        <w:tabs>
          <w:tab w:leader="none" w:pos="1769" w:val="left"/>
        </w:tabs>
        <w:numPr>
          <w:ilvl w:val="0"/>
          <w:numId w:val="115"/>
        </w:numPr>
        <w:rPr>
          <w:rFonts w:ascii="Arial" w:cs="Arial" w:eastAsia="Arial" w:hAnsi="Arial"/>
          <w:sz w:val="20"/>
          <w:szCs w:val="20"/>
          <w:color w:val="auto"/>
        </w:rPr>
      </w:pPr>
      <w:r>
        <w:rPr>
          <w:rFonts w:ascii="Arial" w:cs="Arial" w:eastAsia="Arial" w:hAnsi="Arial"/>
          <w:sz w:val="20"/>
          <w:szCs w:val="20"/>
          <w:color w:val="auto"/>
        </w:rPr>
        <w:t>With respect to any Alternative Currency Daily Rate, Alternative Currency Term Rate, SOFR, Daily Simple SOFR or Term SOFR, the Administrative Agent will have the right to make Conforming Changes from time to time and, notwithstanding anything to the contrary herein or in any other Loan Document, any amendments implementing such Conforming Changes will become effective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50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6" w:name="page177"/>
    <w:bookmarkEnd w:id="176"/>
    <w:p>
      <w:pPr>
        <w:jc w:val="both"/>
        <w:ind w:left="280"/>
        <w:spacing w:after="0" w:line="237" w:lineRule="auto"/>
        <w:rPr>
          <w:sz w:val="20"/>
          <w:szCs w:val="20"/>
          <w:color w:val="auto"/>
        </w:rPr>
      </w:pPr>
      <w:r>
        <w:rPr>
          <w:rFonts w:ascii="Arial" w:cs="Arial" w:eastAsia="Arial" w:hAnsi="Arial"/>
          <w:sz w:val="20"/>
          <w:szCs w:val="20"/>
          <w:color w:val="auto"/>
        </w:rPr>
        <w:t xml:space="preserve">without any further action or consent of any other party to this Agreement or any other Loan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Letters of Credit.</w:t>
      </w:r>
    </w:p>
    <w:p>
      <w:pPr>
        <w:spacing w:after="0" w:line="216" w:lineRule="exact"/>
        <w:rPr>
          <w:sz w:val="20"/>
          <w:szCs w:val="20"/>
          <w:color w:val="auto"/>
        </w:rPr>
      </w:pPr>
    </w:p>
    <w:p>
      <w:pPr>
        <w:ind w:left="1780" w:hanging="752"/>
        <w:spacing w:after="0"/>
        <w:tabs>
          <w:tab w:leader="none" w:pos="178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02" w:lineRule="exact"/>
        <w:rPr>
          <w:sz w:val="20"/>
          <w:szCs w:val="20"/>
          <w:color w:val="auto"/>
        </w:rPr>
      </w:pPr>
    </w:p>
    <w:p>
      <w:pPr>
        <w:ind w:left="2520" w:hanging="743"/>
        <w:spacing w:after="0"/>
        <w:tabs>
          <w:tab w:leader="none" w:pos="252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Subject to the terms and conditions set forth herein, (A) each L/C Issuer agrees, in reliance upon the</w:t>
      </w:r>
    </w:p>
    <w:p>
      <w:pPr>
        <w:ind w:left="1020"/>
        <w:spacing w:after="0"/>
        <w:rPr>
          <w:sz w:val="20"/>
          <w:szCs w:val="20"/>
          <w:color w:val="auto"/>
        </w:rPr>
      </w:pPr>
      <w:r>
        <w:rPr>
          <w:rFonts w:ascii="Arial" w:cs="Arial" w:eastAsia="Arial" w:hAnsi="Arial"/>
          <w:sz w:val="20"/>
          <w:szCs w:val="20"/>
          <w:color w:val="auto"/>
        </w:rPr>
        <w:t xml:space="preserve">agreements of the Revolving Credit Lenders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jc w:val="both"/>
        <w:ind w:left="1020" w:firstLine="7"/>
        <w:spacing w:after="0" w:line="250" w:lineRule="auto"/>
        <w:tabs>
          <w:tab w:leader="none" w:pos="13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from time to time on any Business Day during the period from the Closing Date until the Letter of Credit Expiration Date, to issue Letters of Credit denominated in Dollars or in one or more Alternative Currencies applicable to such L/C Issuer, for the account of the Company or its Restricted Subsidiaries, and to amend or extend Letters of Credit previously issued by it, in accordance with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and (2) to honor drawings under the Letters of Credit; and</w:t>
      </w:r>
    </w:p>
    <w:p>
      <w:pPr>
        <w:spacing w:after="0" w:line="1" w:lineRule="exact"/>
        <w:rPr>
          <w:rFonts w:ascii="Arial" w:cs="Arial" w:eastAsia="Arial" w:hAnsi="Arial"/>
          <w:sz w:val="18"/>
          <w:szCs w:val="18"/>
          <w:color w:val="auto"/>
        </w:rPr>
      </w:pPr>
    </w:p>
    <w:p>
      <w:pPr>
        <w:jc w:val="both"/>
        <w:ind w:left="1020"/>
        <w:spacing w:after="0" w:line="238" w:lineRule="auto"/>
        <w:rPr>
          <w:rFonts w:ascii="Arial" w:cs="Arial" w:eastAsia="Arial" w:hAnsi="Arial"/>
          <w:sz w:val="18"/>
          <w:szCs w:val="18"/>
          <w:color w:val="auto"/>
        </w:rPr>
      </w:pPr>
      <w:r>
        <w:rPr>
          <w:rFonts w:ascii="Arial" w:cs="Arial" w:eastAsia="Arial" w:hAnsi="Arial"/>
          <w:sz w:val="19"/>
          <w:szCs w:val="19"/>
          <w:color w:val="auto"/>
        </w:rPr>
        <w:t xml:space="preserve">(B) the Revolving Credit Lenders severally agree to participate in Letters of Credit issued for the account of the Company or its Restricted Subsidiaries and any drawings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(w) the aggregate amount of the outstanding Letters of Credit issued by any L/C Issuer shall not exceed its L/C Commitment, (x) the Total Revolving Credit Outstandings shall not exceed the Aggregate Revolving Credit Commitments, (y) the Revolving Credit Exposure of any Lender shall not exceed such Lender’s Revolving Credit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204" w:lineRule="exact"/>
        <w:rPr>
          <w:rFonts w:ascii="Arial" w:cs="Arial" w:eastAsia="Arial" w:hAnsi="Arial"/>
          <w:sz w:val="18"/>
          <w:szCs w:val="18"/>
          <w:color w:val="auto"/>
        </w:rPr>
      </w:pPr>
    </w:p>
    <w:p>
      <w:pPr>
        <w:jc w:val="both"/>
        <w:ind w:left="1020" w:firstLine="757"/>
        <w:spacing w:after="0" w:line="232" w:lineRule="auto"/>
        <w:tabs>
          <w:tab w:leader="none" w:pos="2509" w:val="left"/>
        </w:tabs>
        <w:numPr>
          <w:ilvl w:val="1"/>
          <w:numId w:val="118"/>
        </w:numPr>
        <w:rPr>
          <w:rFonts w:ascii="Arial" w:cs="Arial" w:eastAsia="Arial" w:hAnsi="Arial"/>
          <w:sz w:val="20"/>
          <w:szCs w:val="20"/>
          <w:color w:val="auto"/>
        </w:rPr>
      </w:pPr>
      <w:r>
        <w:rPr>
          <w:rFonts w:ascii="Arial" w:cs="Arial" w:eastAsia="Arial" w:hAnsi="Arial"/>
          <w:sz w:val="20"/>
          <w:szCs w:val="20"/>
          <w:color w:val="auto"/>
        </w:rPr>
        <w:t>No L/C Issuer shall issue any Letter of Credit if the expiry date of the requested Letter of Credit would occur after the Letter of Credit Expiration Date, unless (A) all the Revolving Credit Lenders and the applicable L/C Issuer have approved such expiry date or (B) at the time of issuance thereof, the Company shall agree to provide Cash Collateral for such Letter of Credit in an amount of at least 103% of the face amount thereof on or prior to the date that is 91 days prior to the Letter of Credit Expiration Date.</w:t>
      </w:r>
    </w:p>
    <w:p>
      <w:pPr>
        <w:spacing w:after="0" w:line="184" w:lineRule="exact"/>
        <w:rPr>
          <w:rFonts w:ascii="Arial" w:cs="Arial" w:eastAsia="Arial" w:hAnsi="Arial"/>
          <w:sz w:val="20"/>
          <w:szCs w:val="20"/>
          <w:color w:val="auto"/>
        </w:rPr>
      </w:pPr>
    </w:p>
    <w:p>
      <w:pPr>
        <w:ind w:left="2520" w:hanging="743"/>
        <w:spacing w:after="0"/>
        <w:tabs>
          <w:tab w:leader="none" w:pos="252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No L/C Issuer shall be under any obligation to issue any Letter of Credit if:</w:t>
      </w:r>
    </w:p>
    <w:p>
      <w:pPr>
        <w:spacing w:after="0" w:line="215" w:lineRule="exact"/>
        <w:rPr>
          <w:rFonts w:ascii="Arial" w:cs="Arial" w:eastAsia="Arial" w:hAnsi="Arial"/>
          <w:sz w:val="20"/>
          <w:szCs w:val="20"/>
          <w:color w:val="auto"/>
        </w:rPr>
      </w:pPr>
    </w:p>
    <w:p>
      <w:pPr>
        <w:jc w:val="both"/>
        <w:ind w:left="1780" w:firstLine="745"/>
        <w:spacing w:after="0" w:line="258" w:lineRule="auto"/>
        <w:tabs>
          <w:tab w:leader="none" w:pos="3268"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51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7" w:name="page178"/>
    <w:bookmarkEnd w:id="177"/>
    <w:p>
      <w:pPr>
        <w:ind w:left="1780" w:right="40"/>
        <w:spacing w:after="0" w:line="246" w:lineRule="auto"/>
        <w:rPr>
          <w:sz w:val="20"/>
          <w:szCs w:val="20"/>
          <w:color w:val="auto"/>
        </w:rPr>
      </w:pPr>
      <w:r>
        <w:rPr>
          <w:rFonts w:ascii="Arial" w:cs="Arial" w:eastAsia="Arial" w:hAnsi="Arial"/>
          <w:sz w:val="20"/>
          <w:szCs w:val="20"/>
          <w:color w:val="auto"/>
        </w:rPr>
        <w:t>unreimbursed loss, cost or expense that was not applicable on the Closing Date and that such L/C Issuer in good faith deems material to it;</w:t>
      </w:r>
    </w:p>
    <w:p>
      <w:pPr>
        <w:spacing w:after="0" w:line="177" w:lineRule="exact"/>
        <w:rPr>
          <w:sz w:val="20"/>
          <w:szCs w:val="20"/>
          <w:color w:val="auto"/>
        </w:rPr>
      </w:pPr>
    </w:p>
    <w:p>
      <w:pPr>
        <w:ind w:left="1780" w:right="20" w:firstLine="745"/>
        <w:spacing w:after="0" w:line="260" w:lineRule="auto"/>
        <w:tabs>
          <w:tab w:leader="none" w:pos="326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such L/C Issuer applicable to letters of credit generally;</w:t>
      </w:r>
    </w:p>
    <w:p>
      <w:pPr>
        <w:spacing w:after="0" w:line="176" w:lineRule="exact"/>
        <w:rPr>
          <w:rFonts w:ascii="Arial" w:cs="Arial" w:eastAsia="Arial" w:hAnsi="Arial"/>
          <w:sz w:val="20"/>
          <w:szCs w:val="20"/>
          <w:color w:val="auto"/>
        </w:rPr>
      </w:pPr>
    </w:p>
    <w:p>
      <w:pPr>
        <w:ind w:left="1780" w:right="20" w:firstLine="745"/>
        <w:spacing w:after="0" w:line="260" w:lineRule="auto"/>
        <w:tabs>
          <w:tab w:leader="none" w:pos="3267" w:val="left"/>
        </w:tabs>
        <w:numPr>
          <w:ilvl w:val="1"/>
          <w:numId w:val="119"/>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such L/C Issuer, such Letter of Credit is in an initial stated amount less than $25,000;</w:t>
      </w:r>
    </w:p>
    <w:p>
      <w:pPr>
        <w:spacing w:after="0" w:line="163" w:lineRule="exact"/>
        <w:rPr>
          <w:rFonts w:ascii="Arial" w:cs="Arial" w:eastAsia="Arial" w:hAnsi="Arial"/>
          <w:sz w:val="20"/>
          <w:szCs w:val="20"/>
          <w:color w:val="auto"/>
        </w:rPr>
      </w:pPr>
    </w:p>
    <w:p>
      <w:pPr>
        <w:ind w:left="1780" w:right="20" w:firstLine="745"/>
        <w:spacing w:after="0" w:line="246" w:lineRule="auto"/>
        <w:tabs>
          <w:tab w:leader="none" w:pos="326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such Letter of Credit is to be denominated in a currency other than Dollars or an Alternative Currency applicable to such L/C Issuer;</w:t>
      </w:r>
    </w:p>
    <w:p>
      <w:pPr>
        <w:spacing w:after="0" w:line="190" w:lineRule="exact"/>
        <w:rPr>
          <w:rFonts w:ascii="Arial" w:cs="Arial" w:eastAsia="Arial" w:hAnsi="Arial"/>
          <w:sz w:val="20"/>
          <w:szCs w:val="20"/>
          <w:color w:val="auto"/>
        </w:rPr>
      </w:pPr>
    </w:p>
    <w:p>
      <w:pPr>
        <w:ind w:left="1780" w:right="20" w:firstLine="745"/>
        <w:spacing w:after="0" w:line="246" w:lineRule="auto"/>
        <w:tabs>
          <w:tab w:leader="none" w:pos="3267" w:val="left"/>
        </w:tabs>
        <w:numPr>
          <w:ilvl w:val="1"/>
          <w:numId w:val="119"/>
        </w:numPr>
        <w:rPr>
          <w:rFonts w:ascii="Arial" w:cs="Arial" w:eastAsia="Arial" w:hAnsi="Arial"/>
          <w:sz w:val="20"/>
          <w:szCs w:val="20"/>
          <w:color w:val="auto"/>
        </w:rPr>
      </w:pPr>
      <w:r>
        <w:rPr>
          <w:rFonts w:ascii="Arial" w:cs="Arial" w:eastAsia="Arial" w:hAnsi="Arial"/>
          <w:sz w:val="20"/>
          <w:szCs w:val="20"/>
          <w:color w:val="auto"/>
        </w:rPr>
        <w:t>such L/C Issuer does not as of the issuance date of the requested Letter of Credit issue letters of credit in the requested currency;</w:t>
      </w:r>
    </w:p>
    <w:p>
      <w:pPr>
        <w:spacing w:after="0" w:line="176" w:lineRule="exact"/>
        <w:rPr>
          <w:rFonts w:ascii="Arial" w:cs="Arial" w:eastAsia="Arial" w:hAnsi="Arial"/>
          <w:sz w:val="20"/>
          <w:szCs w:val="20"/>
          <w:color w:val="auto"/>
        </w:rPr>
      </w:pPr>
    </w:p>
    <w:p>
      <w:pPr>
        <w:jc w:val="both"/>
        <w:ind w:left="1780" w:firstLine="746"/>
        <w:spacing w:after="0" w:line="260" w:lineRule="auto"/>
        <w:tabs>
          <w:tab w:leader="none" w:pos="326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 xml:space="preserve">any Revolving Credit Lender is at that time a Defaulting Lender, unless the L/C Issuers have entered into arrangements, including the delivery of Cash Collateral, satisfactory to the L/C Issuers (in their sole discretion) with the Company or such Revolving Credit Lender to eliminate the L/C Issuers’ actual or potential Fronting Exposure (after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Issuers have actual or potential Fronting Exposure, as they may elect in their sole discretion;</w:t>
      </w:r>
    </w:p>
    <w:p>
      <w:pPr>
        <w:spacing w:after="0" w:line="153" w:lineRule="exact"/>
        <w:rPr>
          <w:rFonts w:ascii="Arial" w:cs="Arial" w:eastAsia="Arial" w:hAnsi="Arial"/>
          <w:sz w:val="18"/>
          <w:szCs w:val="18"/>
          <w:color w:val="auto"/>
        </w:rPr>
      </w:pPr>
    </w:p>
    <w:p>
      <w:pPr>
        <w:ind w:left="1780" w:right="20" w:firstLine="745"/>
        <w:spacing w:after="0" w:line="246" w:lineRule="auto"/>
        <w:tabs>
          <w:tab w:leader="none" w:pos="326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2.03(b)(iii)</w:t>
      </w:r>
      <w:r>
        <w:rPr>
          <w:rFonts w:ascii="Arial" w:cs="Arial" w:eastAsia="Arial" w:hAnsi="Arial"/>
          <w:sz w:val="20"/>
          <w:szCs w:val="20"/>
          <w:color w:val="auto"/>
        </w:rPr>
        <w:t>, the expiry date of the requested Letter of Credit would occur more than twelve months after the date of issuance or last extension; or</w:t>
      </w:r>
    </w:p>
    <w:p>
      <w:pPr>
        <w:spacing w:after="0" w:line="163" w:lineRule="exact"/>
        <w:rPr>
          <w:rFonts w:ascii="Arial" w:cs="Arial" w:eastAsia="Arial" w:hAnsi="Arial"/>
          <w:sz w:val="20"/>
          <w:szCs w:val="20"/>
          <w:color w:val="auto"/>
        </w:rPr>
      </w:pPr>
    </w:p>
    <w:p>
      <w:pPr>
        <w:ind w:left="1780" w:right="400" w:firstLine="745"/>
        <w:spacing w:after="0" w:line="246" w:lineRule="auto"/>
        <w:tabs>
          <w:tab w:leader="none" w:pos="326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such Letter of Credit contains any provisions for automatic reinstatement of the stated amount after any drawing thereunder.</w:t>
      </w:r>
    </w:p>
    <w:p>
      <w:pPr>
        <w:spacing w:after="0" w:line="190" w:lineRule="exact"/>
        <w:rPr>
          <w:rFonts w:ascii="Arial" w:cs="Arial" w:eastAsia="Arial" w:hAnsi="Arial"/>
          <w:sz w:val="20"/>
          <w:szCs w:val="20"/>
          <w:color w:val="auto"/>
        </w:rPr>
      </w:pPr>
    </w:p>
    <w:p>
      <w:pPr>
        <w:ind w:left="1020" w:firstLine="757"/>
        <w:spacing w:after="0" w:line="246" w:lineRule="auto"/>
        <w:tabs>
          <w:tab w:leader="none" w:pos="250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No L/C Issuer shall amend any Letter of Credit if such L/C Issuer would not be permitted at such time to issue such Letter of Credit in its amended form under the terms hereof.</w:t>
      </w:r>
    </w:p>
    <w:p>
      <w:pPr>
        <w:spacing w:after="0" w:line="190" w:lineRule="exact"/>
        <w:rPr>
          <w:rFonts w:ascii="Arial" w:cs="Arial" w:eastAsia="Arial" w:hAnsi="Arial"/>
          <w:sz w:val="20"/>
          <w:szCs w:val="20"/>
          <w:color w:val="auto"/>
        </w:rPr>
      </w:pPr>
    </w:p>
    <w:p>
      <w:pPr>
        <w:jc w:val="both"/>
        <w:ind w:left="1020" w:firstLine="757"/>
        <w:spacing w:after="0" w:line="237" w:lineRule="auto"/>
        <w:tabs>
          <w:tab w:leader="none" w:pos="2509" w:val="left"/>
        </w:tabs>
        <w:numPr>
          <w:ilvl w:val="0"/>
          <w:numId w:val="120"/>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Letter of Credit if (A) such L/C Issuer would have no obligation at such time to issue such Letter of Credit in its amended form under the terms hereof, or (B) the beneficiary of the Letter of Credit does not accept the proposed amendment to such Letter of Credit.</w:t>
      </w:r>
    </w:p>
    <w:p>
      <w:pPr>
        <w:spacing w:after="0" w:line="182" w:lineRule="exact"/>
        <w:rPr>
          <w:rFonts w:ascii="Arial" w:cs="Arial" w:eastAsia="Arial" w:hAnsi="Arial"/>
          <w:sz w:val="20"/>
          <w:szCs w:val="20"/>
          <w:color w:val="auto"/>
        </w:rPr>
      </w:pPr>
    </w:p>
    <w:p>
      <w:pPr>
        <w:jc w:val="both"/>
        <w:ind w:left="1020" w:firstLine="757"/>
        <w:spacing w:after="0" w:line="244" w:lineRule="auto"/>
        <w:tabs>
          <w:tab w:leader="none" w:pos="250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included such L/C Issuer with respect to such acts or omissions, and (B) as additionally provided herein with respect to such L/C Issuer.</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52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78" w:name="page179"/>
    <w:bookmarkEnd w:id="178"/>
    <w:p>
      <w:pPr>
        <w:ind w:left="280"/>
        <w:spacing w:after="0"/>
        <w:rPr>
          <w:sz w:val="20"/>
          <w:szCs w:val="20"/>
          <w:color w:val="auto"/>
        </w:rPr>
      </w:pPr>
      <w:r>
        <w:rPr>
          <w:rFonts w:ascii="Arial" w:cs="Arial" w:eastAsia="Arial" w:hAnsi="Arial"/>
          <w:sz w:val="18"/>
          <w:szCs w:val="18"/>
          <w:u w:val="single" w:color="auto"/>
          <w:color w:val="auto"/>
        </w:rPr>
        <w:t>Credit</w:t>
      </w:r>
      <w:r>
        <w:rPr>
          <w:rFonts w:ascii="Arial" w:cs="Arial" w:eastAsia="Arial" w:hAnsi="Arial"/>
          <w:sz w:val="18"/>
          <w:szCs w:val="18"/>
          <w:color w:val="auto"/>
        </w:rPr>
        <w:t>.</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20"/>
          <w:szCs w:val="20"/>
          <w:color w:val="auto"/>
        </w:rPr>
        <w:t>(b)</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2"/>
          <w:szCs w:val="22"/>
          <w:color w:val="auto"/>
        </w:rPr>
        <w:t>53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06" w:right="1440" w:bottom="1440" w:gutter="0" w:footer="0" w:header="0"/>
        </w:sectPr>
      </w:pPr>
    </w:p>
    <w:bookmarkStart w:id="179" w:name="page180"/>
    <w:bookmarkEnd w:id="179"/>
    <w:p>
      <w:pPr>
        <w:ind w:left="800"/>
        <w:spacing w:after="0"/>
        <w:rPr>
          <w:sz w:val="20"/>
          <w:szCs w:val="20"/>
          <w:color w:val="auto"/>
        </w:rPr>
      </w:pPr>
      <w:r>
        <w:rPr>
          <w:rFonts w:ascii="Arial" w:cs="Arial" w:eastAsia="Arial" w:hAnsi="Arial"/>
          <w:sz w:val="20"/>
          <w:szCs w:val="20"/>
          <w:u w:val="single" w:color="auto"/>
          <w:color w:val="auto"/>
        </w:rPr>
        <w:t>Procedures for Issuance and Amendment of Letters of Credit; Auto-Extension Letters of</w:t>
      </w:r>
    </w:p>
    <w:p>
      <w:pPr>
        <w:spacing w:after="0" w:line="200" w:lineRule="exact"/>
        <w:rPr>
          <w:sz w:val="20"/>
          <w:szCs w:val="20"/>
          <w:color w:val="auto"/>
        </w:rPr>
      </w:pPr>
    </w:p>
    <w:p>
      <w:pPr>
        <w:spacing w:after="0" w:line="218" w:lineRule="exact"/>
        <w:rPr>
          <w:sz w:val="20"/>
          <w:szCs w:val="20"/>
          <w:color w:val="auto"/>
        </w:rPr>
      </w:pPr>
    </w:p>
    <w:p>
      <w:pPr>
        <w:jc w:val="both"/>
        <w:ind w:left="60" w:firstLine="752"/>
        <w:spacing w:after="0" w:line="251" w:lineRule="auto"/>
        <w:tabs>
          <w:tab w:leader="none" w:pos="155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the Company delivered to the applicable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the applicable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w:t>
      </w:r>
    </w:p>
    <w:p>
      <w:pPr>
        <w:spacing w:after="0" w:line="10" w:lineRule="exact"/>
        <w:rPr>
          <w:rFonts w:ascii="Arial" w:cs="Arial" w:eastAsia="Arial" w:hAnsi="Arial"/>
          <w:sz w:val="18"/>
          <w:szCs w:val="18"/>
          <w:color w:val="auto"/>
        </w:rPr>
      </w:pPr>
    </w:p>
    <w:p>
      <w:pPr>
        <w:jc w:val="both"/>
        <w:ind w:left="60" w:firstLine="3"/>
        <w:spacing w:after="0" w:line="256" w:lineRule="auto"/>
        <w:tabs>
          <w:tab w:leader="none" w:pos="39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other matters as such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such L/C Issuer may require. Additionally, the Company shall furnish to the applicable L/C Issuer and the Administrative Agent such other documents and information pertaining to such requested Letter of Credit issuance or amendment, including any Issuer Documents, as such L/C Issuer or the Administrative Agent may reasonably require.</w:t>
      </w:r>
    </w:p>
    <w:p>
      <w:pPr>
        <w:spacing w:after="0" w:line="171" w:lineRule="exact"/>
        <w:rPr>
          <w:rFonts w:ascii="Arial" w:cs="Arial" w:eastAsia="Arial" w:hAnsi="Arial"/>
          <w:sz w:val="18"/>
          <w:szCs w:val="18"/>
          <w:color w:val="auto"/>
        </w:rPr>
      </w:pPr>
    </w:p>
    <w:p>
      <w:pPr>
        <w:jc w:val="both"/>
        <w:ind w:left="60" w:firstLine="752"/>
        <w:spacing w:after="0" w:line="255" w:lineRule="auto"/>
        <w:tabs>
          <w:tab w:leader="none" w:pos="155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not then be satisfied, then, subject to the terms and conditions hereof, such L/C Issuer shall, on the requested date, issue a Letter of Credit for the account of the Company (or the applicable Restricted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Letter of Credit.</w:t>
      </w:r>
    </w:p>
    <w:p>
      <w:pPr>
        <w:spacing w:after="0" w:line="186" w:lineRule="exact"/>
        <w:rPr>
          <w:rFonts w:ascii="Arial" w:cs="Arial" w:eastAsia="Arial" w:hAnsi="Arial"/>
          <w:sz w:val="18"/>
          <w:szCs w:val="18"/>
          <w:color w:val="auto"/>
        </w:rPr>
      </w:pPr>
    </w:p>
    <w:p>
      <w:pPr>
        <w:jc w:val="both"/>
        <w:ind w:left="60" w:firstLine="752"/>
        <w:spacing w:after="0" w:line="254" w:lineRule="auto"/>
        <w:tabs>
          <w:tab w:leader="none" w:pos="155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If the Company so requests in any applicable Letter of Credit Application, each L/C Issuer may, in its sole and absolute discretion, agree to issue a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such L/C Issuer to prevent any such extension</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54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0" w:name="page181"/>
    <w:bookmarkEnd w:id="180"/>
    <w:p>
      <w:pPr>
        <w:jc w:val="both"/>
        <w:ind w:left="1020"/>
        <w:spacing w:after="0" w:line="252" w:lineRule="auto"/>
        <w:rPr>
          <w:sz w:val="20"/>
          <w:szCs w:val="20"/>
          <w:color w:val="auto"/>
        </w:rPr>
      </w:pPr>
      <w:r>
        <w:rPr>
          <w:rFonts w:ascii="Arial" w:cs="Arial" w:eastAsia="Arial" w:hAnsi="Arial"/>
          <w:sz w:val="18"/>
          <w:szCs w:val="18"/>
          <w:color w:val="auto"/>
        </w:rPr>
        <w:t>at least once in each twelve-month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 Extension Notice Date</w:t>
      </w:r>
      <w:r>
        <w:rPr>
          <w:rFonts w:ascii="Arial" w:cs="Arial" w:eastAsia="Arial" w:hAnsi="Arial"/>
          <w:sz w:val="18"/>
          <w:szCs w:val="18"/>
          <w:color w:val="auto"/>
        </w:rPr>
        <w:t xml:space="preserve">”) in each such twelve-month period to be agreed upon at the time such Letter of Credit is issued. Unless otherwise directed by the applicable L/C Issuer, the Company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L/C Issuer shall permit any such extension if (A) 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w:t>
      </w:r>
    </w:p>
    <w:p>
      <w:pPr>
        <w:spacing w:after="0" w:line="4" w:lineRule="exact"/>
        <w:rPr>
          <w:sz w:val="20"/>
          <w:szCs w:val="20"/>
          <w:color w:val="auto"/>
        </w:rPr>
      </w:pPr>
    </w:p>
    <w:p>
      <w:pPr>
        <w:jc w:val="both"/>
        <w:ind w:left="1020" w:firstLine="7"/>
        <w:spacing w:after="0" w:line="229" w:lineRule="auto"/>
        <w:tabs>
          <w:tab w:leader="none" w:pos="1344"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it has received notice (which may be by telephone or in writing) on or before the day that is seven Business Days before the Non-Extension Notice Date (1) from the Administrative Agent that the Required Revolving Credit Lenders have elected not to permit such extension or (2) from the Administrative Agent, any Revolving Credit Lender or the Company that one or more of the applicable conditions specified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is not then satisfied, and in each such case directing such L/C Issuer not to permit such extension.</w:t>
      </w:r>
    </w:p>
    <w:p>
      <w:pPr>
        <w:spacing w:after="0" w:line="182" w:lineRule="exact"/>
        <w:rPr>
          <w:rFonts w:ascii="Arial" w:cs="Arial" w:eastAsia="Arial" w:hAnsi="Arial"/>
          <w:sz w:val="20"/>
          <w:szCs w:val="20"/>
          <w:color w:val="auto"/>
        </w:rPr>
      </w:pPr>
    </w:p>
    <w:p>
      <w:pPr>
        <w:jc w:val="both"/>
        <w:ind w:left="1020" w:firstLine="757"/>
        <w:spacing w:after="0" w:line="237" w:lineRule="auto"/>
        <w:tabs>
          <w:tab w:leader="none" w:pos="2508" w:val="left"/>
        </w:tabs>
        <w:numPr>
          <w:ilvl w:val="1"/>
          <w:numId w:val="123"/>
        </w:numPr>
        <w:rPr>
          <w:rFonts w:ascii="Arial" w:cs="Arial" w:eastAsia="Arial" w:hAnsi="Arial"/>
          <w:sz w:val="20"/>
          <w:szCs w:val="20"/>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196" w:lineRule="exact"/>
        <w:rPr>
          <w:sz w:val="20"/>
          <w:szCs w:val="20"/>
          <w:color w:val="auto"/>
        </w:rPr>
      </w:pPr>
    </w:p>
    <w:p>
      <w:pPr>
        <w:ind w:left="1780" w:hanging="752"/>
        <w:spacing w:after="0"/>
        <w:tabs>
          <w:tab w:leader="none" w:pos="178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020" w:firstLine="757"/>
        <w:spacing w:after="0" w:line="239" w:lineRule="auto"/>
        <w:tabs>
          <w:tab w:leader="none" w:pos="2509" w:val="left"/>
        </w:tabs>
        <w:numPr>
          <w:ilvl w:val="1"/>
          <w:numId w:val="124"/>
        </w:numPr>
        <w:rPr>
          <w:rFonts w:ascii="Arial" w:cs="Arial" w:eastAsia="Arial" w:hAnsi="Arial"/>
          <w:sz w:val="19"/>
          <w:szCs w:val="19"/>
          <w:color w:val="auto"/>
        </w:rPr>
      </w:pPr>
      <w:r>
        <w:rPr>
          <w:rFonts w:ascii="Arial" w:cs="Arial" w:eastAsia="Arial" w:hAnsi="Arial"/>
          <w:sz w:val="19"/>
          <w:szCs w:val="19"/>
          <w:color w:val="auto"/>
        </w:rPr>
        <w:t>Upon receipt from the beneficiary of any Letter of Credit of any notice of a drawing under such Letter of Credit, the applicable L/C Issuer shall promptly notify the Company and the Administrative Agent thereof. In the case of a Letter of Credit denominated in an Alternative Currency, the Company shall reimburse the applicable L/C Issuer in such Alternative Currency, unless (A) such L/C Issuer (at its option) shall have specified in such notice that it will require reimbursement in Dollars, or (B) in the absence of any such requirement for reimbursement in Dollars, the Company shall have notified such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 Company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such L/C Issuer under a Letter of Credit to be reimbursed in an Alternative Currency (each such date, an “</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it being understood that unless otherwise agreed by the applicable L/C Issuer and the Company in any instance, such L/C Issuer will notify the Company of the applicable Honor Date by the Business Day immediately prior to such Honor Date), the Company shall reimburse such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55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1" w:name="page182"/>
    <w:bookmarkEnd w:id="181"/>
    <w:p>
      <w:pPr>
        <w:jc w:val="both"/>
        <w:ind w:left="1020"/>
        <w:spacing w:after="0" w:line="255" w:lineRule="auto"/>
        <w:rPr>
          <w:sz w:val="20"/>
          <w:szCs w:val="20"/>
          <w:color w:val="auto"/>
        </w:rPr>
      </w:pPr>
      <w:r>
        <w:rPr>
          <w:rFonts w:ascii="Arial" w:cs="Arial" w:eastAsia="Arial" w:hAnsi="Arial"/>
          <w:sz w:val="18"/>
          <w:szCs w:val="18"/>
          <w:color w:val="auto"/>
        </w:rPr>
        <w:t>the full amount of the drawing. If the Company fails to so reimburse the applicable L/C Issuer by such time, the Administrative Agent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Revolving Credit Lender’s Applicable Revolving Credit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Aggregate Revolving Credit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Loan Notice). Any notice given by the applicable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173" w:lineRule="exact"/>
        <w:rPr>
          <w:sz w:val="20"/>
          <w:szCs w:val="20"/>
          <w:color w:val="auto"/>
        </w:rPr>
      </w:pPr>
    </w:p>
    <w:p>
      <w:pPr>
        <w:jc w:val="both"/>
        <w:ind w:left="1020" w:firstLine="757"/>
        <w:spacing w:after="0" w:line="258" w:lineRule="auto"/>
        <w:tabs>
          <w:tab w:leader="none" w:pos="250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Each Revolving Credit Lender shall upon any notice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make funds available (and the Administrative Agent may apply Cash Collateral provided for this purpose) for the account of the applicable L/C Issuer, in Dollars, at the Administrative Agent’s Office for Dollar-denominated payments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8"/>
          <w:szCs w:val="18"/>
          <w:u w:val="single" w:color="auto"/>
          <w:color w:val="auto"/>
        </w:rPr>
        <w:t>Section 2.03(c)(iii)</w:t>
      </w:r>
      <w:r>
        <w:rPr>
          <w:rFonts w:ascii="Arial" w:cs="Arial" w:eastAsia="Arial" w:hAnsi="Arial"/>
          <w:sz w:val="18"/>
          <w:szCs w:val="18"/>
          <w:color w:val="auto"/>
        </w:rPr>
        <w:t>, each Revolving Credit Lender that so makes funds available shall be deemed to have made a Base Rate Revolving Credit Loan to the Company in such amount. The Administrative Agent shall remit the funds so received to the applicable L/C Issuer in Dollars.</w:t>
      </w:r>
    </w:p>
    <w:p>
      <w:pPr>
        <w:spacing w:after="0" w:line="183" w:lineRule="exact"/>
        <w:rPr>
          <w:rFonts w:ascii="Arial" w:cs="Arial" w:eastAsia="Arial" w:hAnsi="Arial"/>
          <w:sz w:val="18"/>
          <w:szCs w:val="18"/>
          <w:color w:val="auto"/>
        </w:rPr>
      </w:pPr>
    </w:p>
    <w:p>
      <w:pPr>
        <w:jc w:val="both"/>
        <w:ind w:left="1020" w:firstLine="757"/>
        <w:spacing w:after="0" w:line="229" w:lineRule="auto"/>
        <w:tabs>
          <w:tab w:leader="none" w:pos="250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 xml:space="preserve">With respect to any Unreimbursed Amount that is not fully refinanced by a Revolving Credit Borrowing of Base Rate Loans because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020" w:firstLine="757"/>
        <w:spacing w:after="0" w:line="275" w:lineRule="auto"/>
        <w:tabs>
          <w:tab w:leader="none" w:pos="250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Applicable Revolving Credit Percentage of such amount shall be solely for the account of such L/C Issuer.</w:t>
      </w:r>
    </w:p>
    <w:p>
      <w:pPr>
        <w:spacing w:after="0" w:line="152" w:lineRule="exact"/>
        <w:rPr>
          <w:rFonts w:ascii="Arial" w:cs="Arial" w:eastAsia="Arial" w:hAnsi="Arial"/>
          <w:sz w:val="18"/>
          <w:szCs w:val="18"/>
          <w:color w:val="auto"/>
        </w:rPr>
      </w:pPr>
    </w:p>
    <w:p>
      <w:pPr>
        <w:jc w:val="both"/>
        <w:ind w:left="1020" w:firstLine="757"/>
        <w:spacing w:after="0" w:line="258" w:lineRule="auto"/>
        <w:tabs>
          <w:tab w:leader="none" w:pos="250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L/C Advances to reimburse the applicable L/C Issuer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Credit Lender’s obligation to make Revolving Credit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56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2" w:name="page183"/>
    <w:bookmarkEnd w:id="182"/>
    <w:p>
      <w:pPr>
        <w:jc w:val="both"/>
        <w:ind w:left="1020"/>
        <w:spacing w:after="0" w:line="237" w:lineRule="auto"/>
        <w:rPr>
          <w:sz w:val="20"/>
          <w:szCs w:val="20"/>
          <w:color w:val="auto"/>
        </w:rPr>
      </w:pPr>
      <w:r>
        <w:rPr>
          <w:rFonts w:ascii="Arial" w:cs="Arial" w:eastAsia="Arial" w:hAnsi="Arial"/>
          <w:sz w:val="20"/>
          <w:szCs w:val="20"/>
          <w:color w:val="auto"/>
        </w:rPr>
        <w:t>than delivery by the Company of a Loan Notice). No such making of an L/C Advance shall relieve or otherwise impair the obligation of the Company to reimburse the applicable L/C Issuer for the amount of any payment made by such L/C Issuer under any Letter of Credit, together with interest as provided herein.</w:t>
      </w:r>
    </w:p>
    <w:p>
      <w:pPr>
        <w:spacing w:after="0" w:line="183" w:lineRule="exact"/>
        <w:rPr>
          <w:sz w:val="20"/>
          <w:szCs w:val="20"/>
          <w:color w:val="auto"/>
        </w:rPr>
      </w:pPr>
    </w:p>
    <w:p>
      <w:pPr>
        <w:jc w:val="both"/>
        <w:ind w:left="1020" w:firstLine="757"/>
        <w:spacing w:after="0" w:line="255" w:lineRule="auto"/>
        <w:tabs>
          <w:tab w:leader="none" w:pos="2509"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maybe. A certificate of the applicable L/C Issuer submitted to any Revolving Credit Lender (through the Administrative Agent) with respect to any amounts owing under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shall be conclusive absent manifest error.</w:t>
      </w:r>
    </w:p>
    <w:p>
      <w:pPr>
        <w:spacing w:after="0" w:line="186" w:lineRule="exact"/>
        <w:rPr>
          <w:rFonts w:ascii="Arial" w:cs="Arial" w:eastAsia="Arial" w:hAnsi="Arial"/>
          <w:sz w:val="18"/>
          <w:szCs w:val="18"/>
          <w:color w:val="auto"/>
        </w:rPr>
      </w:pPr>
    </w:p>
    <w:p>
      <w:pPr>
        <w:ind w:left="1780" w:hanging="752"/>
        <w:spacing w:after="0"/>
        <w:tabs>
          <w:tab w:leader="none" w:pos="1780"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020" w:firstLine="757"/>
        <w:spacing w:after="0" w:line="260" w:lineRule="auto"/>
        <w:tabs>
          <w:tab w:leader="none" w:pos="250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At any time after an L/C Issuer has made a payment under any Letter of Credit and has received from any Revolving Credit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Revolving Credit Percentage thereof in Dollars and in the same funds as those received by the Administrative Agent.</w:t>
      </w:r>
    </w:p>
    <w:p>
      <w:pPr>
        <w:spacing w:after="0" w:line="180" w:lineRule="exact"/>
        <w:rPr>
          <w:rFonts w:ascii="Arial" w:cs="Arial" w:eastAsia="Arial" w:hAnsi="Arial"/>
          <w:sz w:val="18"/>
          <w:szCs w:val="18"/>
          <w:color w:val="auto"/>
        </w:rPr>
      </w:pPr>
    </w:p>
    <w:p>
      <w:pPr>
        <w:jc w:val="both"/>
        <w:ind w:left="1020" w:firstLine="757"/>
        <w:spacing w:after="0" w:line="258" w:lineRule="auto"/>
        <w:tabs>
          <w:tab w:leader="none" w:pos="2509" w:val="left"/>
        </w:tabs>
        <w:numPr>
          <w:ilvl w:val="1"/>
          <w:numId w:val="127"/>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any L/C Issuer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183" w:lineRule="exact"/>
        <w:rPr>
          <w:rFonts w:ascii="Arial" w:cs="Arial" w:eastAsia="Arial" w:hAnsi="Arial"/>
          <w:sz w:val="18"/>
          <w:szCs w:val="18"/>
          <w:color w:val="auto"/>
        </w:rPr>
      </w:pPr>
    </w:p>
    <w:p>
      <w:pPr>
        <w:jc w:val="both"/>
        <w:ind w:left="280" w:firstLine="748"/>
        <w:spacing w:after="0" w:line="254" w:lineRule="auto"/>
        <w:tabs>
          <w:tab w:leader="none" w:pos="1769"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Company to reimburse each L/C Issuer for each drawing under each Letter of Credit made by such L/C Issuer and to repay each L/C Borrowing shall be absolute, unconditional and irrevocable, and shall be paid strictly in accordance with the terms of this Agreement under all circumstances, including the following:</w:t>
      </w:r>
    </w:p>
    <w:p>
      <w:pPr>
        <w:spacing w:after="0" w:line="170" w:lineRule="exact"/>
        <w:rPr>
          <w:rFonts w:ascii="Arial" w:cs="Arial" w:eastAsia="Arial" w:hAnsi="Arial"/>
          <w:sz w:val="19"/>
          <w:szCs w:val="19"/>
          <w:color w:val="auto"/>
        </w:rPr>
      </w:pPr>
    </w:p>
    <w:p>
      <w:pPr>
        <w:ind w:left="2520" w:hanging="743"/>
        <w:spacing w:after="0"/>
        <w:tabs>
          <w:tab w:leader="none" w:pos="25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2"/>
          <w:szCs w:val="22"/>
          <w:color w:val="auto"/>
        </w:rPr>
        <w:t>57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3" w:name="page184"/>
    <w:bookmarkEnd w:id="183"/>
    <w:p>
      <w:pPr>
        <w:jc w:val="both"/>
        <w:ind w:left="1020" w:firstLine="757"/>
        <w:spacing w:after="0" w:line="232" w:lineRule="auto"/>
        <w:tabs>
          <w:tab w:leader="none" w:pos="2509"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Arial" w:cs="Arial" w:eastAsia="Arial" w:hAnsi="Arial"/>
          <w:sz w:val="20"/>
          <w:szCs w:val="20"/>
          <w:color w:val="auto"/>
        </w:rPr>
      </w:pPr>
    </w:p>
    <w:p>
      <w:pPr>
        <w:jc w:val="both"/>
        <w:ind w:left="1020" w:right="20" w:firstLine="757"/>
        <w:spacing w:after="0" w:line="275" w:lineRule="auto"/>
        <w:tabs>
          <w:tab w:leader="none" w:pos="250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65" w:lineRule="exact"/>
        <w:rPr>
          <w:rFonts w:ascii="Arial" w:cs="Arial" w:eastAsia="Arial" w:hAnsi="Arial"/>
          <w:sz w:val="18"/>
          <w:szCs w:val="18"/>
          <w:color w:val="auto"/>
        </w:rPr>
      </w:pPr>
    </w:p>
    <w:p>
      <w:pPr>
        <w:ind w:left="1020" w:right="20" w:firstLine="757"/>
        <w:spacing w:after="0" w:line="272" w:lineRule="auto"/>
        <w:tabs>
          <w:tab w:leader="none" w:pos="250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waiver by any L/C Issuer of any requirement that exists for such L/C Issuer’s protection and not the protection of the Company or any waiver by any L/C Issuer which does not in fact materially prejudice the Company;</w:t>
      </w:r>
    </w:p>
    <w:p>
      <w:pPr>
        <w:spacing w:after="0" w:line="152" w:lineRule="exact"/>
        <w:rPr>
          <w:rFonts w:ascii="Arial" w:cs="Arial" w:eastAsia="Arial" w:hAnsi="Arial"/>
          <w:sz w:val="19"/>
          <w:szCs w:val="19"/>
          <w:color w:val="auto"/>
        </w:rPr>
      </w:pPr>
    </w:p>
    <w:p>
      <w:pPr>
        <w:ind w:left="1020" w:firstLine="757"/>
        <w:spacing w:after="0" w:line="246" w:lineRule="auto"/>
        <w:tabs>
          <w:tab w:leader="none" w:pos="250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requires that demand be in the form of a draft;</w:t>
      </w:r>
    </w:p>
    <w:p>
      <w:pPr>
        <w:spacing w:after="0" w:line="190" w:lineRule="exact"/>
        <w:rPr>
          <w:rFonts w:ascii="Arial" w:cs="Arial" w:eastAsia="Arial" w:hAnsi="Arial"/>
          <w:sz w:val="20"/>
          <w:szCs w:val="20"/>
          <w:color w:val="auto"/>
        </w:rPr>
      </w:pPr>
    </w:p>
    <w:p>
      <w:pPr>
        <w:jc w:val="both"/>
        <w:ind w:left="1020" w:firstLine="757"/>
        <w:spacing w:after="0" w:line="237" w:lineRule="auto"/>
        <w:tabs>
          <w:tab w:leader="none" w:pos="250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payment made by any L/C Issuer in respect of an otherwise complying item presented after the date specified as the expiration date of, or the date by which documentsmust be received under such Letter of Credit if presentation after such date is authorized by the UCC or the ISP, as applicable;</w:t>
      </w:r>
    </w:p>
    <w:p>
      <w:pPr>
        <w:spacing w:after="0" w:line="182" w:lineRule="exact"/>
        <w:rPr>
          <w:rFonts w:ascii="Arial" w:cs="Arial" w:eastAsia="Arial" w:hAnsi="Arial"/>
          <w:sz w:val="20"/>
          <w:szCs w:val="20"/>
          <w:color w:val="auto"/>
        </w:rPr>
      </w:pPr>
    </w:p>
    <w:p>
      <w:pPr>
        <w:jc w:val="both"/>
        <w:ind w:left="1020" w:firstLine="757"/>
        <w:spacing w:after="0" w:line="246" w:lineRule="auto"/>
        <w:tabs>
          <w:tab w:leader="none" w:pos="250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89" w:lineRule="exact"/>
        <w:rPr>
          <w:rFonts w:ascii="Arial" w:cs="Arial" w:eastAsia="Arial" w:hAnsi="Arial"/>
          <w:sz w:val="19"/>
          <w:szCs w:val="19"/>
          <w:color w:val="auto"/>
        </w:rPr>
      </w:pPr>
    </w:p>
    <w:p>
      <w:pPr>
        <w:ind w:left="1020" w:right="20" w:firstLine="757"/>
        <w:spacing w:after="0" w:line="246" w:lineRule="auto"/>
        <w:tabs>
          <w:tab w:leader="none" w:pos="250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adverse change in the relevant exchange rates or in the availability of the relevant Alternative Currency to the Company or any Subsidiary or in the relevant currency markets generally; or</w:t>
      </w:r>
    </w:p>
    <w:p>
      <w:pPr>
        <w:spacing w:after="0" w:line="176" w:lineRule="exact"/>
        <w:rPr>
          <w:rFonts w:ascii="Arial" w:cs="Arial" w:eastAsia="Arial" w:hAnsi="Arial"/>
          <w:sz w:val="20"/>
          <w:szCs w:val="20"/>
          <w:color w:val="auto"/>
        </w:rPr>
      </w:pPr>
    </w:p>
    <w:p>
      <w:pPr>
        <w:jc w:val="both"/>
        <w:ind w:left="1020" w:firstLine="757"/>
        <w:spacing w:after="0" w:line="237" w:lineRule="auto"/>
        <w:tabs>
          <w:tab w:leader="none" w:pos="2508"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96" w:lineRule="exact"/>
        <w:rPr>
          <w:sz w:val="20"/>
          <w:szCs w:val="20"/>
          <w:color w:val="auto"/>
        </w:rPr>
      </w:pPr>
    </w:p>
    <w:p>
      <w:pPr>
        <w:jc w:val="both"/>
        <w:ind w:left="100"/>
        <w:spacing w:after="0" w:line="246"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anything in the foregoing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w:t>
      </w:r>
    </w:p>
    <w:p>
      <w:pPr>
        <w:spacing w:after="0" w:line="176"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promptly notify the applicable L/C Issuer. The Company shall be conclusively deemed to have waived any such claim against the applicable L/C Issuer and its correspondents unless such notice is given as aforesaid.</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58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4" w:name="page185"/>
    <w:bookmarkEnd w:id="184"/>
    <w:p>
      <w:pPr>
        <w:jc w:val="both"/>
        <w:ind w:left="280" w:firstLine="748"/>
        <w:spacing w:after="0" w:line="252" w:lineRule="auto"/>
        <w:tabs>
          <w:tab w:leader="none" w:pos="177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Role of L/C Issuers</w:t>
      </w:r>
      <w:r>
        <w:rPr>
          <w:rFonts w:ascii="Arial" w:cs="Arial" w:eastAsia="Arial" w:hAnsi="Arial"/>
          <w:sz w:val="18"/>
          <w:szCs w:val="18"/>
          <w:color w:val="auto"/>
        </w:rPr>
        <w:t xml:space="preserve">. Each Lender and the Company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Credit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183" w:lineRule="exact"/>
        <w:rPr>
          <w:rFonts w:ascii="Arial" w:cs="Arial" w:eastAsia="Arial" w:hAnsi="Arial"/>
          <w:sz w:val="18"/>
          <w:szCs w:val="18"/>
          <w:color w:val="auto"/>
        </w:rPr>
      </w:pPr>
    </w:p>
    <w:p>
      <w:pPr>
        <w:jc w:val="both"/>
        <w:ind w:left="280" w:firstLine="748"/>
        <w:spacing w:after="0" w:line="256" w:lineRule="auto"/>
        <w:tabs>
          <w:tab w:leader="none" w:pos="1769"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Applicability of ISP; Limitation of Liability</w:t>
      </w:r>
      <w:r>
        <w:rPr>
          <w:rFonts w:ascii="Arial" w:cs="Arial" w:eastAsia="Arial" w:hAnsi="Arial"/>
          <w:sz w:val="18"/>
          <w:szCs w:val="18"/>
          <w:color w:val="auto"/>
        </w:rPr>
        <w:t>. Unless otherwise expressly agreed by the applicable L/C Issuer and the Company when a Letter of Credit is issued (including any such agreement applicable to an Existing Letter of Credit), the rules of the ISP shall apply to each standby Letter of Credit issued by such L/C Issuer. Notwithstanding the foregoing, no L/C Issuer shall be responsible to the Company for, and no L/C Issuer’s rights and remedies against the Company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6" w:lineRule="exact"/>
        <w:rPr>
          <w:rFonts w:ascii="Arial" w:cs="Arial" w:eastAsia="Arial" w:hAnsi="Arial"/>
          <w:sz w:val="18"/>
          <w:szCs w:val="18"/>
          <w:color w:val="auto"/>
        </w:rPr>
      </w:pPr>
    </w:p>
    <w:p>
      <w:pPr>
        <w:jc w:val="both"/>
        <w:ind w:left="280" w:firstLine="748"/>
        <w:spacing w:after="0" w:line="246" w:lineRule="auto"/>
        <w:tabs>
          <w:tab w:leader="none" w:pos="177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Company shall pay to the Administrative Agent for the account of each Revolving Credit Lender in accordance, subject to </w:t>
      </w:r>
      <w:r>
        <w:rPr>
          <w:rFonts w:ascii="Arial" w:cs="Arial" w:eastAsia="Arial" w:hAnsi="Arial"/>
          <w:sz w:val="19"/>
          <w:szCs w:val="19"/>
          <w:u w:val="single" w:color="auto"/>
          <w:color w:val="auto"/>
        </w:rPr>
        <w:t>Section 2.17</w:t>
      </w:r>
      <w:r>
        <w:rPr>
          <w:rFonts w:ascii="Arial" w:cs="Arial" w:eastAsia="Arial" w:hAnsi="Arial"/>
          <w:sz w:val="19"/>
          <w:szCs w:val="19"/>
          <w:color w:val="auto"/>
        </w:rPr>
        <w:t>, with its Applicable Revolving Credit Percentage, in Dollars, a Letter of Credit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for each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Dollar Equivalent of daily amount available to be drawn under such Letter of Credit. For purposes of computing the Dollar Equivalent of the daily amount available to be drawn under any Letter of Credit, the amount of such Letter of Credit shall be determined</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59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5" w:name="page186"/>
    <w:bookmarkEnd w:id="185"/>
    <w:p>
      <w:pPr>
        <w:jc w:val="both"/>
        <w:ind w:left="280"/>
        <w:spacing w:after="0" w:line="243" w:lineRule="auto"/>
        <w:rPr>
          <w:sz w:val="20"/>
          <w:szCs w:val="20"/>
          <w:color w:val="auto"/>
        </w:rPr>
      </w:pPr>
      <w:r>
        <w:rPr>
          <w:rFonts w:ascii="Arial" w:cs="Arial" w:eastAsia="Arial" w:hAnsi="Arial"/>
          <w:sz w:val="19"/>
          <w:szCs w:val="19"/>
          <w:color w:val="auto"/>
        </w:rPr>
        <w:t xml:space="preserve">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Letter of Credit Fees shall be (i) due and payable on the tenth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Credit Lenders, while any Event of Default exists, all Letter of Credit Fees shall accrue at the Default Rate.</w:t>
      </w:r>
    </w:p>
    <w:p>
      <w:pPr>
        <w:spacing w:after="0" w:line="179" w:lineRule="exact"/>
        <w:rPr>
          <w:sz w:val="20"/>
          <w:szCs w:val="20"/>
          <w:color w:val="auto"/>
        </w:rPr>
      </w:pPr>
    </w:p>
    <w:p>
      <w:pPr>
        <w:jc w:val="both"/>
        <w:ind w:left="280" w:firstLine="748"/>
        <w:spacing w:after="0" w:line="255" w:lineRule="auto"/>
        <w:tabs>
          <w:tab w:leader="none" w:pos="1770"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an L/C Issuer</w:t>
      </w:r>
      <w:r>
        <w:rPr>
          <w:rFonts w:ascii="Arial" w:cs="Arial" w:eastAsia="Arial" w:hAnsi="Arial"/>
          <w:sz w:val="18"/>
          <w:szCs w:val="18"/>
          <w:color w:val="auto"/>
        </w:rPr>
        <w:t>. The Company shall pay directly to each L/C Issuer for its own account, in Dollars, a fronting fee with respect to each Letter of Credit issued by (A) Bank of America in its capacity as an L/C Issuer, at the rate per annum specified in the Fee Letter to which Bank of America is a party, computed on the Dollar Equivalent of the daily amount available to be drawn under such Letter of Credit on a quarterly basis in arrears and</w:t>
      </w:r>
    </w:p>
    <w:p>
      <w:pPr>
        <w:jc w:val="both"/>
        <w:ind w:left="280" w:hanging="2"/>
        <w:spacing w:after="0" w:line="239" w:lineRule="auto"/>
        <w:tabs>
          <w:tab w:leader="none" w:pos="60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any other L/C Issuer, at a rate separately agreed between the Company and such L/C Issuer, computed on the Dollar Equivalent of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Dollar Equivalent of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In addition, the Company shall pay directly to each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170" w:lineRule="exact"/>
        <w:rPr>
          <w:rFonts w:ascii="Arial" w:cs="Arial" w:eastAsia="Arial" w:hAnsi="Arial"/>
          <w:sz w:val="19"/>
          <w:szCs w:val="19"/>
          <w:color w:val="auto"/>
        </w:rPr>
      </w:pPr>
    </w:p>
    <w:p>
      <w:pPr>
        <w:ind w:left="280" w:right="20" w:firstLine="748"/>
        <w:spacing w:after="0" w:line="260" w:lineRule="auto"/>
        <w:tabs>
          <w:tab w:leader="none" w:pos="1769"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control.</w:t>
      </w:r>
    </w:p>
    <w:p>
      <w:pPr>
        <w:spacing w:after="0" w:line="163" w:lineRule="exact"/>
        <w:rPr>
          <w:rFonts w:ascii="Arial" w:cs="Arial" w:eastAsia="Arial" w:hAnsi="Arial"/>
          <w:sz w:val="20"/>
          <w:szCs w:val="20"/>
          <w:color w:val="auto"/>
        </w:rPr>
      </w:pPr>
    </w:p>
    <w:p>
      <w:pPr>
        <w:jc w:val="both"/>
        <w:ind w:left="280" w:firstLine="748"/>
        <w:spacing w:after="0" w:line="257" w:lineRule="auto"/>
        <w:tabs>
          <w:tab w:leader="none" w:pos="1770"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a Restricted Subsidiary, the Company shall be obligated to reimburse, indemnify and compensate the applicable L/C Issuer hereunder for any and all drawings under such Letter of Credit as if such Letter of Credit had been issued solely for the account of the Company. The Company irrevocably waives any and all defenses (other than the defense that any such amounts have been paid in full) that might otherwise be available to it as a guarantor or surety of any or all of the obligations of such Restricted Subsidiaries in respect of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spacing w:after="0" w:line="170" w:lineRule="exact"/>
        <w:rPr>
          <w:rFonts w:ascii="Arial" w:cs="Arial" w:eastAsia="Arial" w:hAnsi="Arial"/>
          <w:sz w:val="18"/>
          <w:szCs w:val="18"/>
          <w:color w:val="auto"/>
        </w:rPr>
      </w:pPr>
    </w:p>
    <w:p>
      <w:pPr>
        <w:jc w:val="both"/>
        <w:ind w:left="280" w:firstLine="748"/>
        <w:spacing w:after="0" w:line="248" w:lineRule="auto"/>
        <w:tabs>
          <w:tab w:leader="none" w:pos="1770"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Letters of Credit Reports</w:t>
      </w:r>
      <w:r>
        <w:rPr>
          <w:rFonts w:ascii="Arial" w:cs="Arial" w:eastAsia="Arial" w:hAnsi="Arial"/>
          <w:sz w:val="19"/>
          <w:szCs w:val="19"/>
          <w:color w:val="auto"/>
        </w:rPr>
        <w:t xml:space="preserve">. For so long as any Letter of Credit issued by an L/C Issuer (other than Bank of America) is outstanding, such L/C Issuer shall deliver to the Administrative Agent on the last Business Day of each calendar month, and on each date that an L/C Credit Extension occurs with respect to any such Letter of Credit, a report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appropriately completed with the information for every outstanding Letter of Credit issued by such L/C Issuer.</w:t>
      </w:r>
    </w:p>
    <w:p>
      <w:pPr>
        <w:spacing w:after="0" w:line="190" w:lineRule="exact"/>
        <w:rPr>
          <w:rFonts w:ascii="Arial" w:cs="Arial" w:eastAsia="Arial" w:hAnsi="Arial"/>
          <w:sz w:val="19"/>
          <w:szCs w:val="19"/>
          <w:color w:val="auto"/>
        </w:rPr>
      </w:pPr>
    </w:p>
    <w:p>
      <w:pPr>
        <w:jc w:val="both"/>
        <w:ind w:left="280" w:firstLine="748"/>
        <w:spacing w:after="0" w:line="237" w:lineRule="auto"/>
        <w:tabs>
          <w:tab w:leader="none" w:pos="1769"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Replacement of any L/C Issuer</w:t>
      </w:r>
      <w:r>
        <w:rPr>
          <w:rFonts w:ascii="Arial" w:cs="Arial" w:eastAsia="Arial" w:hAnsi="Arial"/>
          <w:sz w:val="20"/>
          <w:szCs w:val="20"/>
          <w:color w:val="auto"/>
        </w:rPr>
        <w:t>. Any L/C Issuer may be replaced at any time by written agreement between the Company, the Administrative Agent, the replaced L/C Issuer and the successor L/C Issuer. The Administrative Agent shall notify the Lenders of any such replacement of an L/C Issuer.</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color w:val="auto"/>
        </w:rPr>
        <w:t>60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6" w:name="page187"/>
    <w:bookmarkEnd w:id="186"/>
    <w:p>
      <w:pPr>
        <w:jc w:val="both"/>
        <w:ind w:left="280"/>
        <w:spacing w:after="0" w:line="258" w:lineRule="auto"/>
        <w:rPr>
          <w:sz w:val="20"/>
          <w:szCs w:val="20"/>
          <w:color w:val="auto"/>
        </w:rPr>
      </w:pPr>
      <w:r>
        <w:rPr>
          <w:rFonts w:ascii="Arial" w:cs="Arial" w:eastAsia="Arial" w:hAnsi="Arial"/>
          <w:sz w:val="18"/>
          <w:szCs w:val="18"/>
          <w:color w:val="auto"/>
        </w:rPr>
        <w:t xml:space="preserve">At the time any such replacement shall become effective, the Company shall pay all unpaid fees accrued for the account of the replaced L/C Issuer pursuant to </w:t>
      </w:r>
      <w:r>
        <w:rPr>
          <w:rFonts w:ascii="Arial" w:cs="Arial" w:eastAsia="Arial" w:hAnsi="Arial"/>
          <w:sz w:val="18"/>
          <w:szCs w:val="18"/>
          <w:u w:val="single" w:color="auto"/>
          <w:color w:val="auto"/>
        </w:rPr>
        <w:t>Section 2.03(i)</w:t>
      </w:r>
      <w:r>
        <w:rPr>
          <w:rFonts w:ascii="Arial" w:cs="Arial" w:eastAsia="Arial" w:hAnsi="Arial"/>
          <w:sz w:val="18"/>
          <w:szCs w:val="18"/>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70"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8"/>
          <w:szCs w:val="18"/>
          <w:color w:val="auto"/>
        </w:rPr>
        <w:t>Swing Line Loans.</w:t>
      </w:r>
    </w:p>
    <w:p>
      <w:pPr>
        <w:spacing w:after="0" w:line="216" w:lineRule="exact"/>
        <w:rPr>
          <w:sz w:val="20"/>
          <w:szCs w:val="20"/>
          <w:color w:val="auto"/>
        </w:rPr>
      </w:pPr>
    </w:p>
    <w:p>
      <w:pPr>
        <w:jc w:val="both"/>
        <w:ind w:left="280" w:firstLine="748"/>
        <w:spacing w:after="0" w:line="239" w:lineRule="auto"/>
        <w:tabs>
          <w:tab w:leader="none" w:pos="1769" w:val="left"/>
        </w:tabs>
        <w:numPr>
          <w:ilvl w:val="1"/>
          <w:numId w:val="132"/>
        </w:numPr>
        <w:rPr>
          <w:rFonts w:ascii="Arial" w:cs="Arial" w:eastAsia="Arial" w:hAnsi="Arial"/>
          <w:sz w:val="19"/>
          <w:szCs w:val="19"/>
          <w:color w:val="auto"/>
        </w:rPr>
      </w:pPr>
      <w:r>
        <w:rPr>
          <w:rFonts w:ascii="Arial" w:cs="Arial" w:eastAsia="Arial" w:hAnsi="Arial"/>
          <w:sz w:val="19"/>
          <w:szCs w:val="19"/>
          <w:u w:val="single" w:color="auto"/>
          <w:color w:val="auto"/>
        </w:rPr>
        <w:t>The Swing Line</w:t>
      </w:r>
      <w:r>
        <w:rPr>
          <w:rFonts w:ascii="Arial" w:cs="Arial" w:eastAsia="Arial" w:hAnsi="Arial"/>
          <w:sz w:val="19"/>
          <w:szCs w:val="19"/>
          <w:color w:val="auto"/>
        </w:rPr>
        <w:t xml:space="preserve">. Subject to the terms and conditions set forth herein, the Swing Line Lender, in reliance upon the agreements of the other Revolving Credit Lenders set forth in this </w:t>
      </w:r>
      <w:r>
        <w:rPr>
          <w:rFonts w:ascii="Arial" w:cs="Arial" w:eastAsia="Arial" w:hAnsi="Arial"/>
          <w:sz w:val="19"/>
          <w:szCs w:val="19"/>
          <w:u w:val="single" w:color="auto"/>
          <w:color w:val="auto"/>
        </w:rPr>
        <w:t>Section 2.04</w:t>
      </w:r>
      <w:r>
        <w:rPr>
          <w:rFonts w:ascii="Arial" w:cs="Arial" w:eastAsia="Arial" w:hAnsi="Arial"/>
          <w:sz w:val="19"/>
          <w:szCs w:val="19"/>
          <w:color w:val="auto"/>
        </w:rPr>
        <w:t>, may in its sole discretion, make loans (each such loan, a “</w:t>
      </w:r>
      <w:r>
        <w:rPr>
          <w:rFonts w:ascii="Arial" w:cs="Arial" w:eastAsia="Arial" w:hAnsi="Arial"/>
          <w:sz w:val="19"/>
          <w:szCs w:val="19"/>
          <w:u w:val="single" w:color="auto"/>
          <w:color w:val="auto"/>
        </w:rPr>
        <w:t>Swing Line Loan</w:t>
      </w:r>
      <w:r>
        <w:rPr>
          <w:rFonts w:ascii="Arial" w:cs="Arial" w:eastAsia="Arial" w:hAnsi="Arial"/>
          <w:sz w:val="19"/>
          <w:szCs w:val="19"/>
          <w:color w:val="auto"/>
        </w:rPr>
        <w:t xml:space="preserve">”) to the Company, in Dollars,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 Lender, may exceed the amount of such Lender’s Revolving Credit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Swing Line Loan, (i) the Total Revolving Credit Outstandings shall not exceed the Aggregate Revolving Credit Commitments, and (ii) the Revolving Credit Exposure of any Lender shall not exceed such Lender’s Revolving Credit Commitment,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Swing Line Loan.</w:t>
      </w:r>
    </w:p>
    <w:p>
      <w:pPr>
        <w:spacing w:after="0" w:line="192" w:lineRule="exact"/>
        <w:rPr>
          <w:rFonts w:ascii="Arial" w:cs="Arial" w:eastAsia="Arial" w:hAnsi="Arial"/>
          <w:sz w:val="19"/>
          <w:szCs w:val="19"/>
          <w:color w:val="auto"/>
        </w:rPr>
      </w:pPr>
    </w:p>
    <w:p>
      <w:pPr>
        <w:jc w:val="both"/>
        <w:ind w:left="280" w:firstLine="748"/>
        <w:spacing w:after="0" w:line="251" w:lineRule="auto"/>
        <w:tabs>
          <w:tab w:leader="none" w:pos="1769"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 Line Borrowing shall be made upon the Company’s irrevocable notice to the Swing Line Lender and the Administrative Agent, which may be given by: (A) telephone or (B) a Swing Line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w:t>
      </w:r>
    </w:p>
    <w:p>
      <w:pPr>
        <w:spacing w:after="0" w:line="10" w:lineRule="exact"/>
        <w:rPr>
          <w:rFonts w:ascii="Arial" w:cs="Arial" w:eastAsia="Arial" w:hAnsi="Arial"/>
          <w:sz w:val="18"/>
          <w:szCs w:val="18"/>
          <w:color w:val="auto"/>
        </w:rPr>
      </w:pPr>
    </w:p>
    <w:p>
      <w:pPr>
        <w:jc w:val="both"/>
        <w:ind w:left="280" w:hanging="1"/>
        <w:spacing w:after="0" w:line="231" w:lineRule="auto"/>
        <w:tabs>
          <w:tab w:leader="none" w:pos="61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directing the Swing Line Lender not to make such Swing Line Loan as a result of the limitations set forth in the first proviso to the first sentence of </w:t>
      </w:r>
      <w:r>
        <w:rPr>
          <w:rFonts w:ascii="Arial" w:cs="Arial" w:eastAsia="Arial" w:hAnsi="Arial"/>
          <w:sz w:val="20"/>
          <w:szCs w:val="20"/>
          <w:u w:val="single" w:color="auto"/>
          <w:color w:val="auto"/>
        </w:rPr>
        <w:t>Section 2.04(a)</w:t>
      </w:r>
      <w:r>
        <w:rPr>
          <w:rFonts w:ascii="Arial" w:cs="Arial" w:eastAsia="Arial" w:hAnsi="Arial"/>
          <w:sz w:val="20"/>
          <w:szCs w:val="20"/>
          <w:color w:val="auto"/>
        </w:rPr>
        <w:t xml:space="preserve">, or (B) that one or more of the applicable conditions specified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is not then satisfied, then, subject to the terms and conditions hereof, the Swing Line Lender will, not later than 3:00 p.m. on</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61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7" w:name="page188"/>
    <w:bookmarkEnd w:id="187"/>
    <w:p>
      <w:pPr>
        <w:jc w:val="both"/>
        <w:ind w:left="280"/>
        <w:spacing w:after="0" w:line="267" w:lineRule="auto"/>
        <w:rPr>
          <w:sz w:val="20"/>
          <w:szCs w:val="20"/>
          <w:color w:val="auto"/>
        </w:rPr>
      </w:pPr>
      <w:r>
        <w:rPr>
          <w:rFonts w:ascii="Arial" w:cs="Arial" w:eastAsia="Arial" w:hAnsi="Arial"/>
          <w:sz w:val="18"/>
          <w:szCs w:val="18"/>
          <w:color w:val="auto"/>
        </w:rPr>
        <w:t xml:space="preserve">the borrowing date specified in such Swing Line Loan Notice, make the amount of its Swing Line Loan available to the Company at its office by crediting the account of the Company on the books of the Swing Line Lender in Same Day Funds. Notwithstanding the foregoing, Swing Line Borrowings may be advanced without regard to the notice requirements, minimum amounts and other requirements set forth above in this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in accordance with and as set forth in any Treasury Management Agreement.</w:t>
      </w:r>
    </w:p>
    <w:p>
      <w:pPr>
        <w:spacing w:after="0" w:line="145" w:lineRule="exact"/>
        <w:rPr>
          <w:sz w:val="20"/>
          <w:szCs w:val="20"/>
          <w:color w:val="auto"/>
        </w:rPr>
      </w:pPr>
    </w:p>
    <w:p>
      <w:pPr>
        <w:ind w:left="1780" w:hanging="752"/>
        <w:spacing w:after="0"/>
        <w:tabs>
          <w:tab w:leader="none" w:pos="178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Refinancing of Swing Line Loans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020" w:firstLine="757"/>
        <w:spacing w:after="0" w:line="254" w:lineRule="auto"/>
        <w:tabs>
          <w:tab w:leader="none" w:pos="250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in its sole and absolute discretion may request, on behalf of the Company (which hereby irrevocably authorizes the Swing Line Lender to so request on its behalf), that each Revolving Credit Lender make a Base Rate Revolving Credit Loan in an amount equal to such Revolving Credit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andmultiples specified therein for the principal amount of Base Rate Loans, but subject to the unutilized portion of the Aggregate Revolving Credit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Swing Line Lender shall furnish the Company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each Revolving Credit Lender that so makes funds available shall be deemed to have made a Base Rate Revolving Credit Loan to the Company in such amount. The Administrative Agent shall remit the funds so received to the Swing Line Lender.</w:t>
      </w:r>
    </w:p>
    <w:p>
      <w:pPr>
        <w:spacing w:after="0" w:line="186" w:lineRule="exact"/>
        <w:rPr>
          <w:rFonts w:ascii="Arial" w:cs="Arial" w:eastAsia="Arial" w:hAnsi="Arial"/>
          <w:sz w:val="18"/>
          <w:szCs w:val="18"/>
          <w:color w:val="auto"/>
        </w:rPr>
      </w:pPr>
    </w:p>
    <w:p>
      <w:pPr>
        <w:jc w:val="both"/>
        <w:ind w:left="1020" w:firstLine="757"/>
        <w:spacing w:after="0" w:line="231" w:lineRule="auto"/>
        <w:tabs>
          <w:tab w:leader="none" w:pos="2509" w:val="left"/>
        </w:tabs>
        <w:numPr>
          <w:ilvl w:val="1"/>
          <w:numId w:val="134"/>
        </w:numPr>
        <w:rPr>
          <w:rFonts w:ascii="Arial" w:cs="Arial" w:eastAsia="Arial" w:hAnsi="Arial"/>
          <w:sz w:val="20"/>
          <w:szCs w:val="20"/>
          <w:color w:val="auto"/>
        </w:rPr>
      </w:pPr>
      <w:r>
        <w:rPr>
          <w:rFonts w:ascii="Arial" w:cs="Arial" w:eastAsia="Arial" w:hAnsi="Arial"/>
          <w:sz w:val="20"/>
          <w:szCs w:val="20"/>
          <w:color w:val="auto"/>
        </w:rPr>
        <w:t xml:space="preserve">If for any reason any Swing Line Loan cannot be refinanced by such a Revolving Credit Borrowing in accordance with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the request for Base Rate Revolving Credit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shall be deemed payment in respect of such participation.</w:t>
      </w:r>
    </w:p>
    <w:p>
      <w:pPr>
        <w:spacing w:after="0" w:line="183" w:lineRule="exact"/>
        <w:rPr>
          <w:rFonts w:ascii="Arial" w:cs="Arial" w:eastAsia="Arial" w:hAnsi="Arial"/>
          <w:sz w:val="20"/>
          <w:szCs w:val="20"/>
          <w:color w:val="auto"/>
        </w:rPr>
      </w:pPr>
    </w:p>
    <w:p>
      <w:pPr>
        <w:jc w:val="both"/>
        <w:ind w:left="1020" w:firstLine="757"/>
        <w:spacing w:after="0" w:line="255" w:lineRule="auto"/>
        <w:tabs>
          <w:tab w:leader="none" w:pos="2509"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Revolving Credit Lender pays such amount (with interest and fees as aforesaid), the amount so paid shall constitute such Revolving Credit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be conclusive absent manifest error.</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62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8" w:name="page189"/>
    <w:bookmarkEnd w:id="188"/>
    <w:p>
      <w:pPr>
        <w:jc w:val="both"/>
        <w:ind w:left="1020" w:firstLine="757"/>
        <w:spacing w:after="0" w:line="230" w:lineRule="auto"/>
        <w:tabs>
          <w:tab w:leader="none" w:pos="2508" w:val="left"/>
        </w:tabs>
        <w:numPr>
          <w:ilvl w:val="1"/>
          <w:numId w:val="135"/>
        </w:numPr>
        <w:rPr>
          <w:rFonts w:ascii="Arial" w:cs="Arial" w:eastAsia="Arial" w:hAnsi="Arial"/>
          <w:sz w:val="20"/>
          <w:szCs w:val="20"/>
          <w:color w:val="auto"/>
        </w:rPr>
      </w:pPr>
      <w:r>
        <w:rPr>
          <w:rFonts w:ascii="Arial" w:cs="Arial" w:eastAsia="Arial" w:hAnsi="Arial"/>
          <w:sz w:val="20"/>
          <w:szCs w:val="20"/>
          <w:color w:val="auto"/>
        </w:rPr>
        <w:t xml:space="preserve">Each Revolving Credit Lender’s obligation to make Revolving Credit Loans or to purchase and fund risk participations in Swing Line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shall be absolute and unconditional and shall not be affected by any circumstance, including</w:t>
      </w:r>
    </w:p>
    <w:p>
      <w:pPr>
        <w:spacing w:after="0" w:line="2" w:lineRule="exact"/>
        <w:rPr>
          <w:rFonts w:ascii="Arial" w:cs="Arial" w:eastAsia="Arial" w:hAnsi="Arial"/>
          <w:sz w:val="20"/>
          <w:szCs w:val="20"/>
          <w:color w:val="auto"/>
        </w:rPr>
      </w:pPr>
    </w:p>
    <w:p>
      <w:pPr>
        <w:jc w:val="both"/>
        <w:ind w:left="1020"/>
        <w:spacing w:after="0"/>
        <w:rPr>
          <w:rFonts w:ascii="Arial" w:cs="Arial" w:eastAsia="Arial" w:hAnsi="Arial"/>
          <w:sz w:val="20"/>
          <w:szCs w:val="20"/>
          <w:color w:val="auto"/>
        </w:rPr>
      </w:pPr>
      <w:r>
        <w:rPr>
          <w:rFonts w:ascii="Arial" w:cs="Arial" w:eastAsia="Arial" w:hAnsi="Arial"/>
          <w:sz w:val="19"/>
          <w:szCs w:val="19"/>
          <w:color w:val="auto"/>
        </w:rPr>
        <w:t xml:space="preserve">(A)any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Revolving Credit Lender’s obligation to make Revolving Credit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No such funding of risk participations shall relieve or otherwise impair the obligation of the Company to repay Swing Line Loans, together with interest as provided herein.</w:t>
      </w:r>
    </w:p>
    <w:p>
      <w:pPr>
        <w:spacing w:after="0" w:line="198" w:lineRule="exact"/>
        <w:rPr>
          <w:rFonts w:ascii="Arial" w:cs="Arial" w:eastAsia="Arial" w:hAnsi="Arial"/>
          <w:sz w:val="20"/>
          <w:szCs w:val="20"/>
          <w:color w:val="auto"/>
        </w:rPr>
      </w:pPr>
    </w:p>
    <w:p>
      <w:pPr>
        <w:ind w:left="1780" w:hanging="752"/>
        <w:spacing w:after="0"/>
        <w:tabs>
          <w:tab w:leader="none" w:pos="178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020" w:firstLine="757"/>
        <w:spacing w:after="0" w:line="234" w:lineRule="auto"/>
        <w:tabs>
          <w:tab w:leader="none" w:pos="2508" w:val="left"/>
        </w:tabs>
        <w:numPr>
          <w:ilvl w:val="1"/>
          <w:numId w:val="136"/>
        </w:numPr>
        <w:rPr>
          <w:rFonts w:ascii="Arial" w:cs="Arial" w:eastAsia="Arial" w:hAnsi="Arial"/>
          <w:sz w:val="20"/>
          <w:szCs w:val="20"/>
          <w:color w:val="auto"/>
        </w:rPr>
      </w:pPr>
      <w:r>
        <w:rPr>
          <w:rFonts w:ascii="Arial" w:cs="Arial" w:eastAsia="Arial" w:hAnsi="Arial"/>
          <w:sz w:val="20"/>
          <w:szCs w:val="20"/>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83" w:lineRule="exact"/>
        <w:rPr>
          <w:rFonts w:ascii="Arial" w:cs="Arial" w:eastAsia="Arial" w:hAnsi="Arial"/>
          <w:sz w:val="20"/>
          <w:szCs w:val="20"/>
          <w:color w:val="auto"/>
        </w:rPr>
      </w:pPr>
    </w:p>
    <w:p>
      <w:pPr>
        <w:jc w:val="both"/>
        <w:ind w:left="1020" w:firstLine="757"/>
        <w:spacing w:after="0" w:line="229" w:lineRule="auto"/>
        <w:tabs>
          <w:tab w:leader="none" w:pos="2508" w:val="left"/>
        </w:tabs>
        <w:numPr>
          <w:ilvl w:val="1"/>
          <w:numId w:val="136"/>
        </w:numPr>
        <w:rPr>
          <w:rFonts w:ascii="Arial" w:cs="Arial" w:eastAsia="Arial" w:hAnsi="Arial"/>
          <w:sz w:val="20"/>
          <w:szCs w:val="20"/>
          <w:color w:val="auto"/>
        </w:rPr>
      </w:pPr>
      <w:r>
        <w:rPr>
          <w:rFonts w:ascii="Arial" w:cs="Arial" w:eastAsia="Arial" w:hAnsi="Arial"/>
          <w:sz w:val="20"/>
          <w:szCs w:val="20"/>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Revolving Credit Lenders under this clause shall survive the payment in full of the Obligations and the termination of this Agreement.</w:t>
      </w:r>
    </w:p>
    <w:p>
      <w:pPr>
        <w:spacing w:after="0" w:line="202" w:lineRule="exact"/>
        <w:rPr>
          <w:rFonts w:ascii="Arial" w:cs="Arial" w:eastAsia="Arial" w:hAnsi="Arial"/>
          <w:sz w:val="20"/>
          <w:szCs w:val="20"/>
          <w:color w:val="auto"/>
        </w:rPr>
      </w:pPr>
    </w:p>
    <w:p>
      <w:pPr>
        <w:jc w:val="both"/>
        <w:ind w:left="280" w:firstLine="748"/>
        <w:spacing w:after="0" w:line="232" w:lineRule="auto"/>
        <w:tabs>
          <w:tab w:leader="none" w:pos="1769"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 Line Lender</w:t>
      </w:r>
      <w:r>
        <w:rPr>
          <w:rFonts w:ascii="Arial" w:cs="Arial" w:eastAsia="Arial" w:hAnsi="Arial"/>
          <w:sz w:val="20"/>
          <w:szCs w:val="20"/>
          <w:color w:val="auto"/>
        </w:rPr>
        <w:t xml:space="preserve">. The Swing Line Lender shall be responsible for invoicing the Company for interest on the Swing Line Loans. Until each Revolving Credit Lender funds its Base Rate Revolving Credit Loan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84" w:lineRule="exact"/>
        <w:rPr>
          <w:rFonts w:ascii="Arial" w:cs="Arial" w:eastAsia="Arial" w:hAnsi="Arial"/>
          <w:sz w:val="20"/>
          <w:szCs w:val="20"/>
          <w:color w:val="auto"/>
        </w:rPr>
      </w:pPr>
    </w:p>
    <w:p>
      <w:pPr>
        <w:ind w:left="280" w:firstLine="748"/>
        <w:spacing w:after="0" w:line="246" w:lineRule="auto"/>
        <w:tabs>
          <w:tab w:leader="none" w:pos="1769"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 Line Lender</w:t>
      </w:r>
      <w:r>
        <w:rPr>
          <w:rFonts w:ascii="Arial" w:cs="Arial" w:eastAsia="Arial" w:hAnsi="Arial"/>
          <w:sz w:val="20"/>
          <w:szCs w:val="20"/>
          <w:color w:val="auto"/>
        </w:rPr>
        <w:t>. The Company shall make all payments of principal and interest in respect of the Swing Line Loans directly to the Swing Line Lender.</w:t>
      </w:r>
    </w:p>
    <w:p>
      <w:pPr>
        <w:spacing w:after="0" w:line="163"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Prepayments.</w:t>
      </w:r>
    </w:p>
    <w:p>
      <w:pPr>
        <w:spacing w:after="0" w:line="216" w:lineRule="exact"/>
        <w:rPr>
          <w:sz w:val="20"/>
          <w:szCs w:val="20"/>
          <w:color w:val="auto"/>
        </w:rPr>
      </w:pPr>
    </w:p>
    <w:p>
      <w:pPr>
        <w:ind w:left="1780" w:hanging="752"/>
        <w:spacing w:after="0"/>
        <w:tabs>
          <w:tab w:leader="none" w:pos="1780"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020" w:firstLine="757"/>
        <w:spacing w:after="0" w:line="232" w:lineRule="auto"/>
        <w:tabs>
          <w:tab w:leader="none" w:pos="2508" w:val="left"/>
        </w:tabs>
        <w:numPr>
          <w:ilvl w:val="1"/>
          <w:numId w:val="137"/>
        </w:numPr>
        <w:rPr>
          <w:rFonts w:ascii="Arial" w:cs="Arial" w:eastAsia="Arial" w:hAnsi="Arial"/>
          <w:sz w:val="20"/>
          <w:szCs w:val="20"/>
          <w:color w:val="auto"/>
        </w:rPr>
      </w:pPr>
      <w:r>
        <w:rPr>
          <w:rFonts w:ascii="Arial" w:cs="Arial" w:eastAsia="Arial" w:hAnsi="Arial"/>
          <w:sz w:val="20"/>
          <w:szCs w:val="20"/>
          <w:color w:val="auto"/>
        </w:rPr>
        <w:t xml:space="preserve">Each Borrower may, upon notice from the Company to the Administrative Agent pursuant to delivery to the Administrative Agent of a Notice of Loan Prepayment, at any time or from time to time voluntarily prepay Revolving Credit Loans and Term Loans in whole or in part without premium or penalty;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such notice must be received by the Administrative Agent not later than 11:00 a.m. (1) two Business Days prior to any date of prepayment of Term SOFR Loans denominated in Dollars, (2) three Business Days prior to any</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63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89" w:name="page190"/>
    <w:bookmarkEnd w:id="189"/>
    <w:p>
      <w:pPr>
        <w:jc w:val="both"/>
        <w:ind w:left="1020"/>
        <w:spacing w:after="0" w:line="241" w:lineRule="auto"/>
        <w:rPr>
          <w:sz w:val="20"/>
          <w:szCs w:val="20"/>
          <w:color w:val="auto"/>
        </w:rPr>
      </w:pPr>
      <w:r>
        <w:rPr>
          <w:rFonts w:ascii="Arial" w:cs="Arial" w:eastAsia="Arial" w:hAnsi="Arial"/>
          <w:sz w:val="19"/>
          <w:szCs w:val="19"/>
          <w:color w:val="auto"/>
        </w:rPr>
        <w:t>date of prepayment of Daily Simple SOFR Loans denominated in Dollars, (3) four Business Days (or five, in the case of prepayment of Loans denominated in Special Notice Currencies) prior to any date of prepayment of Alternative Currency Loans and (4) on the date of prepayment of Base Rate Loans; (B) any prepayment of Daily Simple SOFR Loans or Term SOFR Loans denominated in Dollars shall be in a principal amount of $1,000,000 or a whole multiple of</w:t>
      </w:r>
    </w:p>
    <w:p>
      <w:pPr>
        <w:spacing w:after="0" w:line="2" w:lineRule="exact"/>
        <w:rPr>
          <w:sz w:val="20"/>
          <w:szCs w:val="20"/>
          <w:color w:val="auto"/>
        </w:rPr>
      </w:pPr>
    </w:p>
    <w:p>
      <w:pPr>
        <w:jc w:val="both"/>
        <w:ind w:left="1020"/>
        <w:spacing w:after="0" w:line="252" w:lineRule="auto"/>
        <w:rPr>
          <w:sz w:val="20"/>
          <w:szCs w:val="20"/>
          <w:color w:val="auto"/>
        </w:rPr>
      </w:pPr>
      <w:r>
        <w:rPr>
          <w:rFonts w:ascii="Arial" w:cs="Arial" w:eastAsia="Arial" w:hAnsi="Arial"/>
          <w:sz w:val="18"/>
          <w:szCs w:val="18"/>
          <w:color w:val="auto"/>
        </w:rPr>
        <w:t xml:space="preserve">$1,000,000 in excess thereof; (C) any prepayment of Alternative Currency Loans shall be in a minimum principal amount of the Dollar Equivalent of $1,000,000 or a whole multiple thereof; and (D) any prepayment of Base Rate Loans shall be in a principal amount of $500,000 or a whole multiple of $100,000 in excess thereof or, in each case, if less, the entire principal amount thereof then outstanding. Each such notice shall specify the date, amount and currency of such prepayment and the Type(s) of Loans to be prepaid and, if Term SOFR Loans or Alternative Currency Term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Loan shall be accompanied by all accrued interest on the amount prepaid, together withany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Each prepayment of the outstanding Term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principal repayment installments thereof on a pro rata basis (excluding from such calculation the final payment due at maturity). 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each such prepayment shall be paid to the Lenders in accordance with their respective Applicable Percentages in respect of each of the relevant Facilities.</w:t>
      </w:r>
    </w:p>
    <w:p>
      <w:pPr>
        <w:spacing w:after="0" w:line="181" w:lineRule="exact"/>
        <w:rPr>
          <w:sz w:val="20"/>
          <w:szCs w:val="20"/>
          <w:color w:val="auto"/>
        </w:rPr>
      </w:pPr>
    </w:p>
    <w:p>
      <w:pPr>
        <w:jc w:val="both"/>
        <w:ind w:left="1020" w:firstLine="757"/>
        <w:spacing w:after="0" w:line="256" w:lineRule="auto"/>
        <w:tabs>
          <w:tab w:leader="none" w:pos="250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The Company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 Notwithstanding the foregoing, Swing Line Borrowings may be repaid without regard to the notice requirements, minimum amounts and other requirements set forth above in this </w:t>
      </w:r>
      <w:r>
        <w:rPr>
          <w:rFonts w:ascii="Arial" w:cs="Arial" w:eastAsia="Arial" w:hAnsi="Arial"/>
          <w:sz w:val="18"/>
          <w:szCs w:val="18"/>
          <w:u w:val="single" w:color="auto"/>
          <w:color w:val="auto"/>
        </w:rPr>
        <w:t>Section 2.04(a)(ii)</w:t>
      </w:r>
      <w:r>
        <w:rPr>
          <w:rFonts w:ascii="Arial" w:cs="Arial" w:eastAsia="Arial" w:hAnsi="Arial"/>
          <w:sz w:val="18"/>
          <w:szCs w:val="18"/>
          <w:color w:val="auto"/>
        </w:rPr>
        <w:t xml:space="preserve"> in accordance with and as set forth in any Treasury Management Agreement.</w:t>
      </w:r>
    </w:p>
    <w:p>
      <w:pPr>
        <w:spacing w:after="0" w:line="186" w:lineRule="exact"/>
        <w:rPr>
          <w:rFonts w:ascii="Arial" w:cs="Arial" w:eastAsia="Arial" w:hAnsi="Arial"/>
          <w:sz w:val="18"/>
          <w:szCs w:val="18"/>
          <w:color w:val="auto"/>
        </w:rPr>
      </w:pPr>
    </w:p>
    <w:p>
      <w:pPr>
        <w:ind w:left="1780" w:hanging="752"/>
        <w:spacing w:after="0"/>
        <w:tabs>
          <w:tab w:leader="none" w:pos="178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Mandatory.</w:t>
      </w:r>
    </w:p>
    <w:p>
      <w:pPr>
        <w:spacing w:after="0" w:line="188" w:lineRule="exact"/>
        <w:rPr>
          <w:rFonts w:ascii="Arial" w:cs="Arial" w:eastAsia="Arial" w:hAnsi="Arial"/>
          <w:sz w:val="20"/>
          <w:szCs w:val="20"/>
          <w:color w:val="auto"/>
        </w:rPr>
      </w:pPr>
    </w:p>
    <w:p>
      <w:pPr>
        <w:jc w:val="both"/>
        <w:ind w:left="1020" w:firstLine="757"/>
        <w:spacing w:after="0" w:line="241" w:lineRule="auto"/>
        <w:tabs>
          <w:tab w:leader="none" w:pos="2509"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Dispositions of Property</w:t>
      </w:r>
      <w:r>
        <w:rPr>
          <w:rFonts w:ascii="Arial" w:cs="Arial" w:eastAsia="Arial" w:hAnsi="Arial"/>
          <w:sz w:val="19"/>
          <w:szCs w:val="19"/>
          <w:color w:val="auto"/>
        </w:rPr>
        <w:t xml:space="preserve">. If the Company or any of its Restricted Subsidiaries Disposes of any property (other than any Disposition of any property permitted by </w:t>
      </w:r>
      <w:r>
        <w:rPr>
          <w:rFonts w:ascii="Arial" w:cs="Arial" w:eastAsia="Arial" w:hAnsi="Arial"/>
          <w:sz w:val="19"/>
          <w:szCs w:val="19"/>
          <w:u w:val="single" w:color="auto"/>
          <w:color w:val="auto"/>
        </w:rPr>
        <w:t>Section 7.05(a)</w:t>
      </w:r>
      <w:r>
        <w:rPr>
          <w:rFonts w:ascii="Arial" w:cs="Arial" w:eastAsia="Arial" w:hAnsi="Arial"/>
          <w:sz w:val="19"/>
          <w:szCs w:val="19"/>
          <w:color w:val="auto"/>
        </w:rPr>
        <w:t xml:space="preserve"> (but only to the extent the Net Cash Proceeds of any such Disposition (or series of related Dispositions) does not exceed $1,000,000),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(g)</w:t>
      </w:r>
      <w:r>
        <w:rPr>
          <w:rFonts w:ascii="Arial" w:cs="Arial" w:eastAsia="Arial" w:hAnsi="Arial"/>
          <w:sz w:val="19"/>
          <w:szCs w:val="19"/>
          <w:color w:val="auto"/>
        </w:rPr>
        <w:t xml:space="preserve">) which results in the realization by such Person of Net Cash Proceeds, the Company shall make (and/or cause the applicable Designated Borrower to make, subject to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mandatory prepayments and/or Cash Collateralizations in the manner set forth in </w:t>
      </w:r>
      <w:r>
        <w:rPr>
          <w:rFonts w:ascii="Arial" w:cs="Arial" w:eastAsia="Arial" w:hAnsi="Arial"/>
          <w:sz w:val="19"/>
          <w:szCs w:val="19"/>
          <w:u w:val="single" w:color="auto"/>
          <w:color w:val="auto"/>
        </w:rPr>
        <w:t>subsection (v)</w:t>
      </w:r>
      <w:r>
        <w:rPr>
          <w:rFonts w:ascii="Arial" w:cs="Arial" w:eastAsia="Arial" w:hAnsi="Arial"/>
          <w:sz w:val="19"/>
          <w:szCs w:val="19"/>
          <w:color w:val="auto"/>
        </w:rPr>
        <w:t xml:space="preserve"> below in an amount equal to 100% of such Net Cash Proceeds immediately upon receipt thereof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 respect to any Net Cash Proceeds realized under a Disposition described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2.05(b)(i)</w:t>
      </w:r>
      <w:r>
        <w:rPr>
          <w:rFonts w:ascii="Arial" w:cs="Arial" w:eastAsia="Arial" w:hAnsi="Arial"/>
          <w:sz w:val="19"/>
          <w:szCs w:val="19"/>
          <w:color w:val="auto"/>
        </w:rPr>
        <w:t>, at the election of the Company (as notified by the Company to the Administrative Agent on or prior to the date of such Disposition), and so long as no Event of Default shall have occurred and be continuing, the Company or such Restricted Subsidiary may</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color w:val="auto"/>
        </w:rPr>
        <w:t>64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0" w:name="page191"/>
    <w:bookmarkEnd w:id="190"/>
    <w:p>
      <w:pPr>
        <w:jc w:val="both"/>
        <w:ind w:left="1020"/>
        <w:spacing w:after="0" w:line="256" w:lineRule="auto"/>
        <w:rPr>
          <w:sz w:val="20"/>
          <w:szCs w:val="20"/>
          <w:color w:val="auto"/>
        </w:rPr>
      </w:pPr>
      <w:r>
        <w:rPr>
          <w:rFonts w:ascii="Arial" w:cs="Arial" w:eastAsia="Arial" w:hAnsi="Arial"/>
          <w:sz w:val="18"/>
          <w:szCs w:val="18"/>
          <w:color w:val="auto"/>
        </w:rPr>
        <w:t xml:space="preserve">reinvest all or any portion of such Net Cash Proceeds in operating assets used in the business of the Company and its Restricted Subsidiaries so long as (A) within 270 days after the receipt of such Net Cash Proceeds, a definitive agreement for the purchase of such assets shall have been entered into and (B) within 360 days after the receipt of such Net Cash Proceeds, such purchase shall have been consummated (as certified by the Company in writing to the Administrative Agent);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 amount equal to any Net Cash Proceeds not subject to such definitive agreement or so reinvested shall be immediately applied to the mandatory prepayments and/or Cash Collateralizations as set forth in this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Notwithstanding the foregoing, the Company and its Restricted Subsidiaries shall be permitted during each fiscal year to exclude up to $5,000,000 of the Net Cash Proceeds resulting from the Dispositions described above from the prepayment and/or Cash Collateralization requirements contemplated in this </w:t>
      </w:r>
      <w:r>
        <w:rPr>
          <w:rFonts w:ascii="Arial" w:cs="Arial" w:eastAsia="Arial" w:hAnsi="Arial"/>
          <w:sz w:val="18"/>
          <w:szCs w:val="18"/>
          <w:u w:val="single" w:color="auto"/>
          <w:color w:val="auto"/>
        </w:rPr>
        <w:t>Section 2.05(b)(i)</w:t>
      </w:r>
      <w:r>
        <w:rPr>
          <w:rFonts w:ascii="Arial" w:cs="Arial" w:eastAsia="Arial" w:hAnsi="Arial"/>
          <w:sz w:val="18"/>
          <w:szCs w:val="18"/>
          <w:color w:val="auto"/>
        </w:rPr>
        <w:t>.</w:t>
      </w:r>
    </w:p>
    <w:p>
      <w:pPr>
        <w:spacing w:after="0" w:line="159" w:lineRule="exact"/>
        <w:rPr>
          <w:sz w:val="20"/>
          <w:szCs w:val="20"/>
          <w:color w:val="auto"/>
        </w:rPr>
      </w:pPr>
    </w:p>
    <w:p>
      <w:pPr>
        <w:jc w:val="both"/>
        <w:ind w:left="1020" w:firstLine="757"/>
        <w:spacing w:after="0" w:line="231" w:lineRule="auto"/>
        <w:tabs>
          <w:tab w:leader="none" w:pos="2509"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Incurrence of Indebtedness</w:t>
      </w:r>
      <w:r>
        <w:rPr>
          <w:rFonts w:ascii="Arial" w:cs="Arial" w:eastAsia="Arial" w:hAnsi="Arial"/>
          <w:sz w:val="20"/>
          <w:szCs w:val="20"/>
          <w:color w:val="auto"/>
        </w:rPr>
        <w:t xml:space="preserve">. Upon the incurrence or issuance by the Company or any of its Restricted Subsidiaries of any Indebtedness (other than Indebtedness expressly permitted to be incurred or issued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7.03</w:t>
      </w:r>
      <w:r>
        <w:rPr>
          <w:rFonts w:ascii="Arial" w:cs="Arial" w:eastAsia="Arial" w:hAnsi="Arial"/>
          <w:sz w:val="20"/>
          <w:szCs w:val="20"/>
          <w:color w:val="auto"/>
        </w:rPr>
        <w:t xml:space="preserve">), the Company shall make (and/or cause the applicable Designated Borrower to make, subject to </w:t>
      </w:r>
      <w:r>
        <w:rPr>
          <w:rFonts w:ascii="Arial" w:cs="Arial" w:eastAsia="Arial" w:hAnsi="Arial"/>
          <w:sz w:val="20"/>
          <w:szCs w:val="20"/>
          <w:u w:val="single" w:color="auto"/>
          <w:color w:val="auto"/>
        </w:rPr>
        <w:t>Section 2.14(b)</w:t>
      </w:r>
      <w:r>
        <w:rPr>
          <w:rFonts w:ascii="Arial" w:cs="Arial" w:eastAsia="Arial" w:hAnsi="Arial"/>
          <w:sz w:val="20"/>
          <w:szCs w:val="20"/>
          <w:color w:val="auto"/>
        </w:rPr>
        <w:t xml:space="preserve">) mandatory prepayments and/or Cash Collateralizations in the manner set forth in </w:t>
      </w:r>
      <w:r>
        <w:rPr>
          <w:rFonts w:ascii="Arial" w:cs="Arial" w:eastAsia="Arial" w:hAnsi="Arial"/>
          <w:sz w:val="20"/>
          <w:szCs w:val="20"/>
          <w:u w:val="single" w:color="auto"/>
          <w:color w:val="auto"/>
        </w:rPr>
        <w:t>subsection (v)</w:t>
      </w:r>
      <w:r>
        <w:rPr>
          <w:rFonts w:ascii="Arial" w:cs="Arial" w:eastAsia="Arial" w:hAnsi="Arial"/>
          <w:sz w:val="20"/>
          <w:szCs w:val="20"/>
          <w:color w:val="auto"/>
        </w:rPr>
        <w:t xml:space="preserve"> below in an amount equal to 100% of all Net Cash Proceeds received therefrom immediately upon receipt thereof by the Company or such Restricted Subsidiary.</w:t>
      </w:r>
    </w:p>
    <w:p>
      <w:pPr>
        <w:spacing w:after="0" w:line="197" w:lineRule="exact"/>
        <w:rPr>
          <w:rFonts w:ascii="Arial" w:cs="Arial" w:eastAsia="Arial" w:hAnsi="Arial"/>
          <w:sz w:val="20"/>
          <w:szCs w:val="20"/>
          <w:color w:val="auto"/>
        </w:rPr>
      </w:pPr>
    </w:p>
    <w:p>
      <w:pPr>
        <w:jc w:val="both"/>
        <w:ind w:left="1020" w:firstLine="757"/>
        <w:spacing w:after="0" w:line="254" w:lineRule="auto"/>
        <w:tabs>
          <w:tab w:leader="none" w:pos="2509"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Insurance and Condemnation Events</w:t>
      </w:r>
      <w:r>
        <w:rPr>
          <w:rFonts w:ascii="Arial" w:cs="Arial" w:eastAsia="Arial" w:hAnsi="Arial"/>
          <w:sz w:val="18"/>
          <w:szCs w:val="18"/>
          <w:color w:val="auto"/>
        </w:rPr>
        <w:t xml:space="preserve">. Upon the occurrence of any Insurance and Condemnation Event which results in the realization by the Company or any Restricted Subsidiary of Net Cash Proceeds, the Company shall make (and/or cause the applicable Designated Borrower to make, subject to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mandatory prepayments and/or Cash Collateralizations in the manner set forth in </w:t>
      </w:r>
      <w:r>
        <w:rPr>
          <w:rFonts w:ascii="Arial" w:cs="Arial" w:eastAsia="Arial" w:hAnsi="Arial"/>
          <w:sz w:val="18"/>
          <w:szCs w:val="18"/>
          <w:u w:val="single" w:color="auto"/>
          <w:color w:val="auto"/>
        </w:rPr>
        <w:t>subsection (v)</w:t>
      </w:r>
      <w:r>
        <w:rPr>
          <w:rFonts w:ascii="Arial" w:cs="Arial" w:eastAsia="Arial" w:hAnsi="Arial"/>
          <w:sz w:val="18"/>
          <w:szCs w:val="18"/>
          <w:color w:val="auto"/>
        </w:rPr>
        <w:t xml:space="preserve"> below in an amount equal to 100% of such Net Cash Proceeds immediately upon receipt thereof by the Company or such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such Net Cash Proceeds, at the election of the Company (as notified by the Company to the Administrative Agent on or prior to thedate of receipt of such Net Cash Proceeds), and so long as no Event of Default shall have occurred and be continuing, the Company or such Restricted Subsidiary may utilize such Net Cash Proceeds within 270 days after the receipt thereof to replace or repair the equipment, fixed assets or real property in respect of which such Net Cash Proceeds were received;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 amount equal to any Net Cash Proceeds not so utilized shall be immediately applied to the mandatory prepayments and/or Cash Collateralizations as set forth in this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Notwithstanding the foregoing, the Company and its Restricted Subsidiaries shall be permitted during each fiscal year to exclude up to $5,000,000 of the Net Cash Proceeds resulting from Insurance and Condemnation Events from the prepayment and/or Cash Collateralization requirements contemplated in this </w:t>
      </w:r>
      <w:r>
        <w:rPr>
          <w:rFonts w:ascii="Arial" w:cs="Arial" w:eastAsia="Arial" w:hAnsi="Arial"/>
          <w:sz w:val="18"/>
          <w:szCs w:val="18"/>
          <w:u w:val="single" w:color="auto"/>
          <w:color w:val="auto"/>
        </w:rPr>
        <w:t>Section 2.05(b)(iii)</w:t>
      </w:r>
      <w:r>
        <w:rPr>
          <w:rFonts w:ascii="Arial" w:cs="Arial" w:eastAsia="Arial" w:hAnsi="Arial"/>
          <w:sz w:val="18"/>
          <w:szCs w:val="18"/>
          <w:color w:val="auto"/>
        </w:rPr>
        <w:t>.</w:t>
      </w:r>
    </w:p>
    <w:p>
      <w:pPr>
        <w:spacing w:after="0" w:line="159" w:lineRule="exact"/>
        <w:rPr>
          <w:rFonts w:ascii="Arial" w:cs="Arial" w:eastAsia="Arial" w:hAnsi="Arial"/>
          <w:sz w:val="18"/>
          <w:szCs w:val="18"/>
          <w:color w:val="auto"/>
        </w:rPr>
      </w:pPr>
    </w:p>
    <w:p>
      <w:pPr>
        <w:jc w:val="both"/>
        <w:ind w:left="1020" w:firstLine="757"/>
        <w:spacing w:after="0" w:line="241" w:lineRule="auto"/>
        <w:tabs>
          <w:tab w:leader="none" w:pos="2509"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Excess Total Revolving Credit Outstandings</w:t>
      </w:r>
      <w:r>
        <w:rPr>
          <w:rFonts w:ascii="Arial" w:cs="Arial" w:eastAsia="Arial" w:hAnsi="Arial"/>
          <w:sz w:val="19"/>
          <w:szCs w:val="19"/>
          <w:color w:val="auto"/>
        </w:rPr>
        <w:t xml:space="preserve">. If for any reason the Total Revolving Credit Outstandings at any time exceed the Aggregate Revolving Credit Commitments at such time or the Outstanding Amount of all Revolving Credit Loans denominated in Alternative Currencies at such time exceeds the Alternative Currency Sublimit then in effect (in either case, other than due to currency fluctuations), the Company shall (and/or cause the applicable Designated Borrower to, subject to </w:t>
      </w:r>
      <w:r>
        <w:rPr>
          <w:rFonts w:ascii="Arial" w:cs="Arial" w:eastAsia="Arial" w:hAnsi="Arial"/>
          <w:sz w:val="19"/>
          <w:szCs w:val="19"/>
          <w:u w:val="single" w:color="auto"/>
          <w:color w:val="auto"/>
        </w:rPr>
        <w:t>Section 2.14(b)</w:t>
      </w:r>
      <w:r>
        <w:rPr>
          <w:rFonts w:ascii="Arial" w:cs="Arial" w:eastAsia="Arial" w:hAnsi="Arial"/>
          <w:sz w:val="19"/>
          <w:szCs w:val="19"/>
          <w:color w:val="auto"/>
        </w:rPr>
        <w:t>) promptly (and in any event within one Business Day) prepay Revolving Credit Loans, Swing Line Loans and L/C Borrowings and/or Cash Collateralize the L/C Obligations in an aggregate amount equal to such excess. If, as a result of currency fluctuations, the Administrative Agent notifies the Company at any time that (A) the Outstanding Amount of all Revolving Credit Loans denominated in Alternative Currencies at such time exceeds an amount equal to 103% of the Alternative Currency Sublimit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65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1" w:name="page192"/>
    <w:bookmarkEnd w:id="191"/>
    <w:p>
      <w:pPr>
        <w:jc w:val="both"/>
        <w:ind w:left="1020"/>
        <w:spacing w:after="0" w:line="229" w:lineRule="auto"/>
        <w:rPr>
          <w:sz w:val="20"/>
          <w:szCs w:val="20"/>
          <w:color w:val="auto"/>
        </w:rPr>
      </w:pPr>
      <w:r>
        <w:rPr>
          <w:rFonts w:ascii="Arial" w:cs="Arial" w:eastAsia="Arial" w:hAnsi="Arial"/>
          <w:sz w:val="20"/>
          <w:szCs w:val="20"/>
          <w:color w:val="auto"/>
        </w:rPr>
        <w:t xml:space="preserve">then in effect, then, within two Business Days after receipt of such notice, the Company shall (and/or cause the applicable Designated Borrower to, subject to </w:t>
      </w:r>
      <w:r>
        <w:rPr>
          <w:rFonts w:ascii="Arial" w:cs="Arial" w:eastAsia="Arial" w:hAnsi="Arial"/>
          <w:sz w:val="20"/>
          <w:szCs w:val="20"/>
          <w:u w:val="single" w:color="auto"/>
          <w:color w:val="auto"/>
        </w:rPr>
        <w:t>Section 2.14(b)</w:t>
      </w:r>
      <w:r>
        <w:rPr>
          <w:rFonts w:ascii="Arial" w:cs="Arial" w:eastAsia="Arial" w:hAnsi="Arial"/>
          <w:sz w:val="20"/>
          <w:szCs w:val="20"/>
          <w:color w:val="auto"/>
        </w:rPr>
        <w:t xml:space="preserve">) prepay Revolving Credit Loans in an aggregate amount sufficient to reduce such Outstanding Amount as of such date of payment to an amount not to exceed 100% of the Alternative Currency Sublimit then in effect and (B) the Total Revolving Credit Outstandings at any time exceed an amount equal to 103% of the Aggregate Revolving Credit Commitments at such time, then, within two Business Days after receipt of such notice, the Company shall (and/or cause the applicable Designated Borrower to, subject to </w:t>
      </w:r>
      <w:r>
        <w:rPr>
          <w:rFonts w:ascii="Arial" w:cs="Arial" w:eastAsia="Arial" w:hAnsi="Arial"/>
          <w:sz w:val="20"/>
          <w:szCs w:val="20"/>
          <w:u w:val="single" w:color="auto"/>
          <w:color w:val="auto"/>
        </w:rPr>
        <w:t>Section 2.14(b)</w:t>
      </w:r>
      <w:r>
        <w:rPr>
          <w:rFonts w:ascii="Arial" w:cs="Arial" w:eastAsia="Arial" w:hAnsi="Arial"/>
          <w:sz w:val="20"/>
          <w:szCs w:val="20"/>
          <w:color w:val="auto"/>
        </w:rPr>
        <w:t>) prepay Revolving Credit Loans, Swing Line Loans and L/C Borrowings and/or Cash Collateralize the L/C Obligations in an aggregate amount equal to such excess.</w:t>
      </w:r>
    </w:p>
    <w:p>
      <w:pPr>
        <w:spacing w:after="0" w:line="175" w:lineRule="exact"/>
        <w:rPr>
          <w:sz w:val="20"/>
          <w:szCs w:val="20"/>
          <w:color w:val="auto"/>
        </w:rPr>
      </w:pPr>
    </w:p>
    <w:p>
      <w:pPr>
        <w:ind w:left="2520" w:hanging="743"/>
        <w:spacing w:after="0"/>
        <w:tabs>
          <w:tab w:leader="none" w:pos="2520"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Application of Mandatory Prepayments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780" w:firstLine="745"/>
        <w:spacing w:after="0" w:line="243" w:lineRule="auto"/>
        <w:tabs>
          <w:tab w:leader="none" w:pos="3268"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Each prepayment and/or Cash Collateralization made pursuant to the foregoing provisions of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ratably between the principal repayment installments of the Term Loans and (unless otherwise agreed by the applicable Additional Lenders) any Additional Term Loans on a pro-rata basis (excluding from such calculation, except with respect to prepayments with respect to property Disposed of in sale-leaseback transactions pursuant to </w:t>
      </w:r>
      <w:r>
        <w:rPr>
          <w:rFonts w:ascii="Arial" w:cs="Arial" w:eastAsia="Arial" w:hAnsi="Arial"/>
          <w:sz w:val="19"/>
          <w:szCs w:val="19"/>
          <w:u w:val="single" w:color="auto"/>
          <w:color w:val="auto"/>
        </w:rPr>
        <w:t>Section 7.05(h)</w:t>
      </w:r>
      <w:r>
        <w:rPr>
          <w:rFonts w:ascii="Arial" w:cs="Arial" w:eastAsia="Arial" w:hAnsi="Arial"/>
          <w:sz w:val="19"/>
          <w:szCs w:val="19"/>
          <w:color w:val="auto"/>
        </w:rPr>
        <w:t xml:space="preserve">, the final payment due at maturity), and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Revolving Credit Facility in the manner set forth in </w:t>
      </w:r>
      <w:r>
        <w:rPr>
          <w:rFonts w:ascii="Arial" w:cs="Arial" w:eastAsia="Arial" w:hAnsi="Arial"/>
          <w:sz w:val="19"/>
          <w:szCs w:val="19"/>
          <w:u w:val="single" w:color="auto"/>
          <w:color w:val="auto"/>
        </w:rPr>
        <w:t>subsection (v)(B)</w:t>
      </w:r>
      <w:r>
        <w:rPr>
          <w:rFonts w:ascii="Arial" w:cs="Arial" w:eastAsia="Arial" w:hAnsi="Arial"/>
          <w:sz w:val="19"/>
          <w:szCs w:val="19"/>
          <w:color w:val="auto"/>
        </w:rPr>
        <w:t xml:space="preserve"> below (without a corresponding reduction of the Revolving Credit Commitments).</w:t>
      </w:r>
    </w:p>
    <w:p>
      <w:pPr>
        <w:spacing w:after="0" w:line="192" w:lineRule="exact"/>
        <w:rPr>
          <w:rFonts w:ascii="Arial" w:cs="Arial" w:eastAsia="Arial" w:hAnsi="Arial"/>
          <w:sz w:val="19"/>
          <w:szCs w:val="19"/>
          <w:color w:val="auto"/>
        </w:rPr>
      </w:pPr>
    </w:p>
    <w:p>
      <w:pPr>
        <w:jc w:val="both"/>
        <w:ind w:left="1780" w:firstLine="745"/>
        <w:spacing w:after="0" w:line="258" w:lineRule="auto"/>
        <w:tabs>
          <w:tab w:leader="none" w:pos="326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Prepayments and/or Cash Collateralization of the Revolving Credit Facility made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ratably to the L/C Borrowings and the Swing Line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ratably to the outstanding Revolving Credit Loans, and, in the case of prepayments and/or Cash Collateralization of the Revolving Credit Facility required pursuant to </w:t>
      </w:r>
      <w:r>
        <w:rPr>
          <w:rFonts w:ascii="Arial" w:cs="Arial" w:eastAsia="Arial" w:hAnsi="Arial"/>
          <w:sz w:val="18"/>
          <w:szCs w:val="18"/>
          <w:u w:val="single" w:color="auto"/>
          <w:color w:val="auto"/>
        </w:rPr>
        <w:t>subsection (iv)</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third</w:t>
      </w:r>
      <w:r>
        <w:rPr>
          <w:rFonts w:ascii="Arial" w:cs="Arial" w:eastAsia="Arial" w:hAnsi="Arial"/>
          <w:sz w:val="18"/>
          <w:szCs w:val="18"/>
          <w:color w:val="auto"/>
        </w:rPr>
        <w:t>, to the Cash Collateralization of the remaining L/C Obligations. Upon the drawing of any Letter of Credit that has been Cash Collateralized, the funds held as Cash Collateral shall be applied (without any further action by or notice to or from the Company or any other Loan Party) to reimburse the L/C Issuer or the Revolving Credit Lenders, as applicable.</w:t>
      </w:r>
    </w:p>
    <w:p>
      <w:pPr>
        <w:spacing w:after="0" w:line="170" w:lineRule="exact"/>
        <w:rPr>
          <w:rFonts w:ascii="Arial" w:cs="Arial" w:eastAsia="Arial" w:hAnsi="Arial"/>
          <w:sz w:val="18"/>
          <w:szCs w:val="18"/>
          <w:color w:val="auto"/>
        </w:rPr>
      </w:pPr>
    </w:p>
    <w:p>
      <w:pPr>
        <w:ind w:left="1780" w:firstLine="746"/>
        <w:spacing w:after="0" w:line="300" w:lineRule="auto"/>
        <w:tabs>
          <w:tab w:leader="none" w:pos="326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each prepayment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paid to the Lenders in accordance with their respective Applicable Percentages in respect of each of the relevant Facilities.</w:t>
      </w:r>
    </w:p>
    <w:p>
      <w:pPr>
        <w:spacing w:after="0" w:line="144" w:lineRule="exact"/>
        <w:rPr>
          <w:rFonts w:ascii="Arial" w:cs="Arial" w:eastAsia="Arial" w:hAnsi="Arial"/>
          <w:sz w:val="18"/>
          <w:szCs w:val="18"/>
          <w:color w:val="auto"/>
        </w:rPr>
      </w:pPr>
    </w:p>
    <w:p>
      <w:pPr>
        <w:jc w:val="both"/>
        <w:ind w:left="1020" w:firstLine="757"/>
        <w:spacing w:after="0" w:line="255" w:lineRule="auto"/>
        <w:tabs>
          <w:tab w:leader="none" w:pos="250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to the contrary, no prepayment shall be required pursuant to (A)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as a result of any actions of a Foreign Subsidiary if such prepayment by such Foreign Subsidiary or the upstreaming of cash by such Foreign Subsidiary in order to make such prepayment would not be permitted by local law (e.g., financial assistance, corporate benefit, restrictions on upstreaming of cash intra-group and the fiduciary and statutory duties of the directors of such Foreign Subsidiary), (B)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as a result of the Disposition of assets by a Foreign Subsidiary or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as a result of the receipt of Net Cash Proceeds by a Foreign Subsidiary from an Insurance and Condemnation Event if, in either case, the Company and its Subsidiaries would suffer material adverse tax consequences (as determined in good faith by the Company) as a result of upstreaming cash to make any such prepayment (including the imposition of withholding taxes) and (C) no prepayment shall be required pursuant to (A)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if the Consolidated Net Leverage Ratio as of the date such prepayment would otherwise be required (i.e. the date such Net Cash Proceeds are</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66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2" w:name="page193"/>
    <w:bookmarkEnd w:id="192"/>
    <w:p>
      <w:pPr>
        <w:jc w:val="both"/>
        <w:ind w:left="1020"/>
        <w:spacing w:after="0" w:line="237" w:lineRule="auto"/>
        <w:rPr>
          <w:sz w:val="20"/>
          <w:szCs w:val="20"/>
          <w:color w:val="auto"/>
        </w:rPr>
      </w:pPr>
      <w:r>
        <w:rPr>
          <w:rFonts w:ascii="Arial" w:cs="Arial" w:eastAsia="Arial" w:hAnsi="Arial"/>
          <w:sz w:val="20"/>
          <w:szCs w:val="20"/>
          <w:color w:val="auto"/>
        </w:rPr>
        <w:t>received if the Company does not provide a notice of its intent to reinvest or the date on which such reinvestment period ends) is less than 3.00 to 1.00 (calculated after giving pro forma effect to any Disposition resulting in the particular Net Cash Proceeds).</w:t>
      </w:r>
    </w:p>
    <w:p>
      <w:pPr>
        <w:spacing w:after="0" w:line="169"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Termination or Reduction of Revolving Credit Commitments.</w:t>
      </w:r>
    </w:p>
    <w:p>
      <w:pPr>
        <w:spacing w:after="0" w:line="202" w:lineRule="exact"/>
        <w:rPr>
          <w:sz w:val="20"/>
          <w:szCs w:val="20"/>
          <w:color w:val="auto"/>
        </w:rPr>
      </w:pPr>
    </w:p>
    <w:p>
      <w:pPr>
        <w:jc w:val="both"/>
        <w:ind w:left="280" w:firstLine="748"/>
        <w:spacing w:after="0" w:line="253" w:lineRule="auto"/>
        <w:tabs>
          <w:tab w:leader="none" w:pos="177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 xml:space="preserve">. The Company may, upon notice to the Administrative Agent, terminate the Aggregate Revolving Credit Commitments, the Alternative Currency Sublimit, the Designated Non-U.S. Borrower Sublimit, the Letter of Credit Sublimit (or any L/C Issuer’s commitment thereunder) or the Swing Line Sublimit, or from time to time permanently reduce the Aggregate Revolving Credit Commitments, the Alternative Currency Sublimit, the Designated Non-U.S. Borrower Sublimit, the Letter of Credit Sublimit (or any L/C Issuer’s commitment thereunder) or the Swing Line Sublimit;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not later than 11:00 a.m. five Business Days prior to the date of termination or reduction, (ii) any such partial reduction in the Aggregate Revolving Credit Commitments shall be in an aggregate amount of $5,000,000 or any whole multiple of $1,000,000 in excess thereof and (iii) the Company shall not terminate or reduce (A) the Aggregate Revolving Credit Commitments if, after giving effect thereto and to any concurrent prepayments hereunder, the Total Revolving Credit Outstandings would exceed the Aggregate Revolving Credit Commitments, (B) the Alternative Currency Sublimit if, after giving effect thereto and to any concurrent prepayments hereunder, the Outstanding Amount of Revolving Credit Loans in Alternative Currencies would exceed the Alternative Currency Sublimit, (C) the Designated Non-U.S. Borrower Sublimit if, after giving effect thereto and to any concurrent prepayments hereunder, the Outstanding Amount of Revolving Credit Loans to Designated Borrowers that are not U.S. Borrowers would exceed the Designated Non-U.S. Borrower Sublimit, (D) the Letter of Credit Sublimit (or any L/C Issuer’s commitment thereunder) if, after giving effect thereto, the Outstanding Amount of L/C Obligations not fully Cash Collateralized hereunder would exceed the Letter of Credit Sublimit (or the Outstanding Amount of L/C Obligations not fully Cash Collateralized of any L/C Issuer would exceed such L/C Issuer’s commitment under the Letter of Credit Sublimit).or (E) the Swing Line Sublimit if, after giving effect thereto and to any concurrent prepayments hereunder, the Outstanding Amount of Swing Line Loans would exceed the Swing Line Sublimit.</w:t>
      </w:r>
    </w:p>
    <w:p>
      <w:pPr>
        <w:spacing w:after="0" w:line="176" w:lineRule="exact"/>
        <w:rPr>
          <w:rFonts w:ascii="Arial" w:cs="Arial" w:eastAsia="Arial" w:hAnsi="Arial"/>
          <w:sz w:val="18"/>
          <w:szCs w:val="18"/>
          <w:color w:val="auto"/>
        </w:rPr>
      </w:pPr>
    </w:p>
    <w:p>
      <w:pPr>
        <w:ind w:left="280" w:right="20" w:firstLine="748"/>
        <w:spacing w:after="0" w:line="246" w:lineRule="auto"/>
        <w:tabs>
          <w:tab w:leader="none" w:pos="1769"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 Any unused portion of the Term Commitments shall be automatically terminated upon the funding of the Term Loans on the Closing Date.</w:t>
      </w:r>
    </w:p>
    <w:p>
      <w:pPr>
        <w:spacing w:after="0" w:line="190" w:lineRule="exact"/>
        <w:rPr>
          <w:rFonts w:ascii="Arial" w:cs="Arial" w:eastAsia="Arial" w:hAnsi="Arial"/>
          <w:sz w:val="20"/>
          <w:szCs w:val="20"/>
          <w:color w:val="auto"/>
        </w:rPr>
      </w:pPr>
    </w:p>
    <w:p>
      <w:pPr>
        <w:jc w:val="both"/>
        <w:ind w:left="280" w:firstLine="748"/>
        <w:spacing w:after="0" w:line="230" w:lineRule="auto"/>
        <w:tabs>
          <w:tab w:leader="none" w:pos="1769"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Application of Commitment Reductions; Payment of Fees</w:t>
      </w:r>
      <w:r>
        <w:rPr>
          <w:rFonts w:ascii="Arial" w:cs="Arial" w:eastAsia="Arial" w:hAnsi="Arial"/>
          <w:sz w:val="20"/>
          <w:szCs w:val="20"/>
          <w:color w:val="auto"/>
        </w:rPr>
        <w:t xml:space="preserve">. The Administrative Agent will promptly notify the Lenders of any termination or reduction of the Aggregate Revolving Credit Commitments, the Alternative Currency Sublimit, the Designated Non-U.S. Borrower Sublimit, the Letter of Credit Sublimit or the Swing Line Sublimit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Aggregate Revolving Credit Commitments shall be paid on the effective date of suchtermination.</w:t>
      </w:r>
    </w:p>
    <w:p>
      <w:pPr>
        <w:spacing w:after="0" w:line="199"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6"/>
          <w:szCs w:val="16"/>
          <w:color w:val="auto"/>
        </w:rPr>
        <w:t>Repayment of Loans.</w:t>
      </w:r>
    </w:p>
    <w:p>
      <w:pPr>
        <w:spacing w:after="0" w:line="202" w:lineRule="exact"/>
        <w:rPr>
          <w:sz w:val="20"/>
          <w:szCs w:val="20"/>
          <w:color w:val="auto"/>
        </w:rPr>
      </w:pPr>
    </w:p>
    <w:p>
      <w:pPr>
        <w:jc w:val="both"/>
        <w:ind w:left="280" w:firstLine="748"/>
        <w:spacing w:after="0" w:line="232" w:lineRule="auto"/>
        <w:tabs>
          <w:tab w:leader="none" w:pos="1769"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Term Loans</w:t>
      </w:r>
      <w:r>
        <w:rPr>
          <w:rFonts w:ascii="Arial" w:cs="Arial" w:eastAsia="Arial" w:hAnsi="Arial"/>
          <w:sz w:val="20"/>
          <w:szCs w:val="20"/>
          <w:color w:val="auto"/>
        </w:rPr>
        <w:t xml:space="preserve">. The Company shall repay to the Term Loan Lenders the aggregate principal amount of all Term Loans in quarterly principal installments as set forth on </w:t>
      </w:r>
      <w:r>
        <w:rPr>
          <w:rFonts w:ascii="Arial" w:cs="Arial" w:eastAsia="Arial" w:hAnsi="Arial"/>
          <w:sz w:val="20"/>
          <w:szCs w:val="20"/>
          <w:u w:val="single" w:color="auto"/>
          <w:color w:val="auto"/>
        </w:rPr>
        <w:t>Schedule 2.07(a)</w:t>
      </w:r>
      <w:r>
        <w:rPr>
          <w:rFonts w:ascii="Arial" w:cs="Arial" w:eastAsia="Arial" w:hAnsi="Arial"/>
          <w:sz w:val="20"/>
          <w:szCs w:val="20"/>
          <w:color w:val="auto"/>
        </w:rPr>
        <w:t xml:space="preserve"> (which principal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final principal repayment installment of the Term Loans shall be repaid on the Maturity Date and in any event shall be in an amount equal to the aggregate principal amount of all Term Loans outstanding on such date.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67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3" w:name="page194"/>
    <w:bookmarkEnd w:id="193"/>
    <w:p>
      <w:pPr>
        <w:ind w:left="280" w:firstLine="748"/>
        <w:spacing w:after="0" w:line="246" w:lineRule="auto"/>
        <w:tabs>
          <w:tab w:leader="none" w:pos="1769"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Revolving Credit Loans</w:t>
      </w:r>
      <w:r>
        <w:rPr>
          <w:rFonts w:ascii="Arial" w:cs="Arial" w:eastAsia="Arial" w:hAnsi="Arial"/>
          <w:sz w:val="20"/>
          <w:szCs w:val="20"/>
          <w:color w:val="auto"/>
        </w:rPr>
        <w:t>. Each Borrower shall repay to the Revolving Credit Lenders on the Maturity Date the aggregate principal amount of Revolving Credit Loans made to such Borrower outstanding on such date.</w:t>
      </w:r>
    </w:p>
    <w:p>
      <w:pPr>
        <w:spacing w:after="0" w:line="176" w:lineRule="exact"/>
        <w:rPr>
          <w:rFonts w:ascii="Arial" w:cs="Arial" w:eastAsia="Arial" w:hAnsi="Arial"/>
          <w:sz w:val="20"/>
          <w:szCs w:val="20"/>
          <w:color w:val="auto"/>
        </w:rPr>
      </w:pPr>
    </w:p>
    <w:p>
      <w:pPr>
        <w:jc w:val="both"/>
        <w:ind w:left="280" w:firstLine="748"/>
        <w:spacing w:after="0" w:line="248" w:lineRule="auto"/>
        <w:tabs>
          <w:tab w:leader="none" w:pos="1769"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Swing Line Loans</w:t>
      </w:r>
      <w:r>
        <w:rPr>
          <w:rFonts w:ascii="Arial" w:cs="Arial" w:eastAsia="Arial" w:hAnsi="Arial"/>
          <w:sz w:val="19"/>
          <w:szCs w:val="19"/>
          <w:color w:val="auto"/>
        </w:rPr>
        <w:t>. The Company shall repay each Swing Line Loan on the earlier to occur of (i) the date ten Business Days after such Loan is made and (ii) the Maturity Date. At any time that there shall exist a Defaulting Lender, immediately upon the request of the Swing Line Lender, the Company shall repay the outstanding Swing Line Loans made by the Swing Line Lender in an amount sufficient to eliminate any Fronting Exposure in respect of such Swing Line Loans.</w:t>
      </w:r>
    </w:p>
    <w:p>
      <w:pPr>
        <w:spacing w:after="0" w:line="190"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1.9</w:t>
      </w:r>
      <w:r>
        <w:rPr>
          <w:sz w:val="20"/>
          <w:szCs w:val="20"/>
          <w:color w:val="auto"/>
        </w:rPr>
        <w:tab/>
      </w:r>
      <w:r>
        <w:rPr>
          <w:rFonts w:ascii="Arial" w:cs="Arial" w:eastAsia="Arial" w:hAnsi="Arial"/>
          <w:sz w:val="18"/>
          <w:szCs w:val="18"/>
          <w:color w:val="auto"/>
        </w:rPr>
        <w:t>Interest.</w:t>
      </w:r>
    </w:p>
    <w:p>
      <w:pPr>
        <w:spacing w:after="0" w:line="202" w:lineRule="exact"/>
        <w:rPr>
          <w:sz w:val="20"/>
          <w:szCs w:val="20"/>
          <w:color w:val="auto"/>
        </w:rPr>
      </w:pPr>
    </w:p>
    <w:p>
      <w:pPr>
        <w:jc w:val="both"/>
        <w:ind w:left="280" w:firstLine="748"/>
        <w:spacing w:after="0"/>
        <w:tabs>
          <w:tab w:leader="none" w:pos="1769"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(i) each Term SOFR Loan shall bear interest on the outstanding principal amount thereof for each Interest Period at a rate per annum equal to Term SOFR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(ii) each Daily Simple SOFR Loan shall bear interest on the outstanding principal amount thereof from the applicable borrowing date at a rate per annum equal to Daily Simple SOFR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(iii) each Base Rate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(iv) each Alternative Currency Daily Rate Loan shall bear interest on the outstanding principal amount thereof from the applicable borrowing date at a rate per annum equal to the Alternative Currency Daily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(v) each Alternative Currency Term Rate Loan shall bear interest on the outstanding principal amount thereof for each Interest Period at a rate per annum equal to the Alternative Currency Term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and (vi) each Swing Line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w:t>
      </w:r>
    </w:p>
    <w:p>
      <w:pPr>
        <w:spacing w:after="0" w:line="202" w:lineRule="exact"/>
        <w:rPr>
          <w:sz w:val="20"/>
          <w:szCs w:val="20"/>
          <w:color w:val="auto"/>
        </w:rPr>
      </w:pPr>
    </w:p>
    <w:p>
      <w:pPr>
        <w:jc w:val="both"/>
        <w:ind w:left="840"/>
        <w:spacing w:after="0" w:line="237" w:lineRule="auto"/>
        <w:rPr>
          <w:sz w:val="20"/>
          <w:szCs w:val="20"/>
          <w:color w:val="auto"/>
        </w:rPr>
      </w:pPr>
      <w:r>
        <w:rPr>
          <w:rFonts w:ascii="Arial" w:cs="Arial" w:eastAsia="Arial" w:hAnsi="Arial"/>
          <w:sz w:val="20"/>
          <w:szCs w:val="20"/>
          <w:color w:val="auto"/>
        </w:rPr>
        <w:t>(b)(i)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3" w:lineRule="exact"/>
        <w:rPr>
          <w:sz w:val="20"/>
          <w:szCs w:val="20"/>
          <w:color w:val="auto"/>
        </w:rPr>
      </w:pPr>
    </w:p>
    <w:p>
      <w:pPr>
        <w:jc w:val="both"/>
        <w:ind w:left="1020" w:firstLine="757"/>
        <w:spacing w:after="0" w:line="237" w:lineRule="auto"/>
        <w:tabs>
          <w:tab w:leader="none" w:pos="2509"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While any Event of Default of the type described in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exists, the Borrowers shall pay interest on the principal amount of all of their respective outstanding Obligations hereunder at a fluctuating interest rate per annum at all times equal to the Default Rate to the fullest extent permitted by applicable Laws.</w:t>
      </w:r>
    </w:p>
    <w:p>
      <w:pPr>
        <w:spacing w:after="0" w:line="182" w:lineRule="exact"/>
        <w:rPr>
          <w:rFonts w:ascii="Arial" w:cs="Arial" w:eastAsia="Arial" w:hAnsi="Arial"/>
          <w:sz w:val="20"/>
          <w:szCs w:val="20"/>
          <w:color w:val="auto"/>
        </w:rPr>
      </w:pPr>
    </w:p>
    <w:p>
      <w:pPr>
        <w:jc w:val="both"/>
        <w:ind w:left="1020" w:firstLine="757"/>
        <w:spacing w:after="0" w:line="263" w:lineRule="auto"/>
        <w:tabs>
          <w:tab w:leader="none" w:pos="250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Term Loan Lenders (in the case of the Term Loan Facility) or the Required Revolving Credit Lenders (in the case of the Revolving Credit Facility), as the case may be, such amount shall thereafter bear interest at a fluctuating interest rate per annum at all times equal to the Default Rate to the fullest extent permitted by applicable Laws.</w:t>
      </w:r>
    </w:p>
    <w:p>
      <w:pPr>
        <w:spacing w:after="0" w:line="175" w:lineRule="exact"/>
        <w:rPr>
          <w:rFonts w:ascii="Arial" w:cs="Arial" w:eastAsia="Arial" w:hAnsi="Arial"/>
          <w:sz w:val="18"/>
          <w:szCs w:val="18"/>
          <w:color w:val="auto"/>
        </w:rPr>
      </w:pPr>
    </w:p>
    <w:p>
      <w:pPr>
        <w:jc w:val="both"/>
        <w:ind w:left="1020" w:firstLine="757"/>
        <w:spacing w:after="0" w:line="232" w:lineRule="auto"/>
        <w:tabs>
          <w:tab w:leader="none" w:pos="2508"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Upon the request of the Required Term Loan Lenders (in the case of the Term Loan Facility) or the Required Revolving Credit Lenders (in the case of the Revolving Credit Facility), as the case may be, while any Event of Default exists (other than as set forth in </w:t>
      </w:r>
      <w:r>
        <w:rPr>
          <w:rFonts w:ascii="Arial" w:cs="Arial" w:eastAsia="Arial" w:hAnsi="Arial"/>
          <w:sz w:val="20"/>
          <w:szCs w:val="20"/>
          <w:u w:val="single" w:color="auto"/>
          <w:color w:val="auto"/>
        </w:rPr>
        <w:t>clauses (b)(i)</w:t>
      </w:r>
      <w:r>
        <w:rPr>
          <w:rFonts w:ascii="Arial" w:cs="Arial" w:eastAsia="Arial" w:hAnsi="Arial"/>
          <w:sz w:val="20"/>
          <w:szCs w:val="20"/>
          <w:color w:val="auto"/>
        </w:rPr>
        <w:t xml:space="preserve">, </w:t>
      </w:r>
      <w:r>
        <w:rPr>
          <w:rFonts w:ascii="Arial" w:cs="Arial" w:eastAsia="Arial" w:hAnsi="Arial"/>
          <w:sz w:val="20"/>
          <w:szCs w:val="20"/>
          <w:u w:val="single" w:color="auto"/>
          <w:color w:val="auto"/>
        </w:rPr>
        <w:t>(b)(ii)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(b)(iii)</w:t>
      </w:r>
      <w:r>
        <w:rPr>
          <w:rFonts w:ascii="Arial" w:cs="Arial" w:eastAsia="Arial" w:hAnsi="Arial"/>
          <w:sz w:val="20"/>
          <w:szCs w:val="20"/>
          <w:color w:val="auto"/>
        </w:rPr>
        <w:t xml:space="preserve"> above), the Borrowers shall pay interest on the principal amount of all outstanding Obligations hereunder at a fluctuating interest rate per annum at all times equal to the Default Rate to the fullest extent permitted by applicable Laws.</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68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4" w:name="page195"/>
    <w:bookmarkEnd w:id="194"/>
    <w:p>
      <w:pPr>
        <w:ind w:left="1020" w:right="220" w:firstLine="757"/>
        <w:spacing w:after="0" w:line="246" w:lineRule="auto"/>
        <w:tabs>
          <w:tab w:leader="none" w:pos="2506" w:val="left"/>
        </w:tabs>
        <w:numPr>
          <w:ilvl w:val="1"/>
          <w:numId w:val="147"/>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6" w:lineRule="exact"/>
        <w:rPr>
          <w:rFonts w:ascii="Arial" w:cs="Arial" w:eastAsia="Arial" w:hAnsi="Arial"/>
          <w:sz w:val="20"/>
          <w:szCs w:val="20"/>
          <w:color w:val="auto"/>
        </w:rPr>
      </w:pPr>
    </w:p>
    <w:p>
      <w:pPr>
        <w:jc w:val="both"/>
        <w:ind w:left="280" w:firstLine="748"/>
        <w:spacing w:after="0" w:line="254" w:lineRule="auto"/>
        <w:tabs>
          <w:tab w:leader="none" w:pos="1769"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4"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 xml:space="preserve">Fees. In addition to certain fees described in </w:t>
      </w:r>
      <w:r>
        <w:rPr>
          <w:rFonts w:ascii="Arial" w:cs="Arial" w:eastAsia="Arial" w:hAnsi="Arial"/>
          <w:sz w:val="18"/>
          <w:szCs w:val="18"/>
          <w:u w:val="single" w:color="auto"/>
          <w:color w:val="auto"/>
        </w:rPr>
        <w:t>subsections (h)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89" w:lineRule="exact"/>
        <w:rPr>
          <w:sz w:val="20"/>
          <w:szCs w:val="20"/>
          <w:color w:val="auto"/>
        </w:rPr>
      </w:pPr>
    </w:p>
    <w:p>
      <w:pPr>
        <w:jc w:val="both"/>
        <w:ind w:left="280" w:firstLine="748"/>
        <w:spacing w:after="0" w:line="241" w:lineRule="auto"/>
        <w:tabs>
          <w:tab w:leader="none" w:pos="1769" w:val="left"/>
        </w:tabs>
        <w:numPr>
          <w:ilvl w:val="0"/>
          <w:numId w:val="149"/>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Company shall pay to the Administrative Agent for the account of each Revolving Credit Lender in accordance with its Applicable Revolving Credit Percentage, a commitment fee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actual daily amount by which the Aggregate Revolving Credit Commitments exceed the sum of (i) the Outstanding Amount of Revolving Credit Loans and (ii) the Outstanding Amount of L/C Obligations, subject to adjustment as provided in </w:t>
      </w:r>
      <w:r>
        <w:rPr>
          <w:rFonts w:ascii="Arial" w:cs="Arial" w:eastAsia="Arial" w:hAnsi="Arial"/>
          <w:sz w:val="19"/>
          <w:szCs w:val="19"/>
          <w:u w:val="single" w:color="auto"/>
          <w:color w:val="auto"/>
        </w:rPr>
        <w:t>Section</w:t>
      </w:r>
    </w:p>
    <w:p>
      <w:pPr>
        <w:spacing w:after="0" w:line="2" w:lineRule="exact"/>
        <w:rPr>
          <w:rFonts w:ascii="Arial" w:cs="Arial" w:eastAsia="Arial" w:hAnsi="Arial"/>
          <w:sz w:val="19"/>
          <w:szCs w:val="19"/>
          <w:color w:val="auto"/>
        </w:rPr>
      </w:pPr>
    </w:p>
    <w:p>
      <w:pPr>
        <w:jc w:val="both"/>
        <w:ind w:left="280"/>
        <w:spacing w:after="0" w:line="254" w:lineRule="auto"/>
        <w:rPr>
          <w:rFonts w:ascii="Arial" w:cs="Arial" w:eastAsia="Arial" w:hAnsi="Arial"/>
          <w:sz w:val="19"/>
          <w:szCs w:val="19"/>
          <w:color w:val="auto"/>
        </w:rPr>
      </w:pPr>
      <w:r>
        <w:rPr>
          <w:rFonts w:ascii="Arial" w:cs="Arial" w:eastAsia="Arial" w:hAnsi="Arial"/>
          <w:sz w:val="18"/>
          <w:szCs w:val="18"/>
          <w:u w:val="single" w:color="auto"/>
          <w:color w:val="auto"/>
        </w:rPr>
        <w:t>2.17</w:t>
      </w:r>
      <w:r>
        <w:rPr>
          <w:rFonts w:ascii="Arial" w:cs="Arial" w:eastAsia="Arial" w:hAnsi="Arial"/>
          <w:sz w:val="18"/>
          <w:szCs w:val="18"/>
          <w:color w:val="auto"/>
        </w:rPr>
        <w:t xml:space="preserve">. For the avoidance of doubt, the Outstanding Amount of Swing Line Loans shall not be counted towards or considered usage of the Aggregate Revolving Credit Commitments for purposes of determining the commitment fee. The commitment fee shall accrue at all times during the Availability Period with respect to the Revolving Credit Facility,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with respect to the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62" w:lineRule="exact"/>
        <w:rPr>
          <w:rFonts w:ascii="Arial" w:cs="Arial" w:eastAsia="Arial" w:hAnsi="Arial"/>
          <w:sz w:val="19"/>
          <w:szCs w:val="19"/>
          <w:color w:val="auto"/>
        </w:rPr>
      </w:pPr>
    </w:p>
    <w:p>
      <w:pPr>
        <w:jc w:val="both"/>
        <w:ind w:left="280" w:right="20" w:firstLine="748"/>
        <w:spacing w:after="0" w:line="237" w:lineRule="auto"/>
        <w:tabs>
          <w:tab w:leader="none" w:pos="1769"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(i) The Company shall pay to the Arranger and the Administrative Agent for their own respective accounts fees in the amounts and at the times specified in the Fee Letters. Such fees shall be fully earned when paid and shall not be refundable for any reasonwhatsoever.</w:t>
      </w:r>
    </w:p>
    <w:p>
      <w:pPr>
        <w:spacing w:after="0" w:line="183" w:lineRule="exact"/>
        <w:rPr>
          <w:sz w:val="20"/>
          <w:szCs w:val="20"/>
          <w:color w:val="auto"/>
        </w:rPr>
      </w:pPr>
    </w:p>
    <w:p>
      <w:pPr>
        <w:ind w:left="100" w:right="20" w:firstLine="747"/>
        <w:spacing w:after="0" w:line="272" w:lineRule="auto"/>
        <w:rPr>
          <w:sz w:val="20"/>
          <w:szCs w:val="20"/>
          <w:color w:val="auto"/>
        </w:rPr>
      </w:pPr>
      <w:r>
        <w:rPr>
          <w:rFonts w:ascii="Arial" w:cs="Arial" w:eastAsia="Arial" w:hAnsi="Arial"/>
          <w:sz w:val="19"/>
          <w:szCs w:val="19"/>
          <w:color w:val="auto"/>
        </w:rPr>
        <w:t>(ii) 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66"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Computation of Interest and Fees; Retroactive Adjustments of Applicable Rate.</w:t>
      </w:r>
    </w:p>
    <w:p>
      <w:pPr>
        <w:spacing w:after="0" w:line="202" w:lineRule="exact"/>
        <w:rPr>
          <w:sz w:val="20"/>
          <w:szCs w:val="20"/>
          <w:color w:val="auto"/>
        </w:rPr>
      </w:pPr>
    </w:p>
    <w:p>
      <w:pPr>
        <w:jc w:val="both"/>
        <w:ind w:left="280" w:firstLine="748"/>
        <w:spacing w:after="0" w:line="256" w:lineRule="auto"/>
        <w:tabs>
          <w:tab w:leader="none" w:pos="176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All computations of interest for Base Rate Loans (including Base Rate Loans determined by reference to Daily Simple SOFR) and for Loans denominated in Alternative Currencies shall be made on the basis of a year of 365 or 366 days, as the case may be, and actual days elapsed, or, in the case of interest in respect of Loans denominated in Alternative Currencies as to which market practice differs from the foregoing, in accordance with such market practice.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color w:val="auto"/>
        </w:rPr>
        <w:t>69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5" w:name="page196"/>
    <w:bookmarkEnd w:id="195"/>
    <w:p>
      <w:pPr>
        <w:jc w:val="both"/>
        <w:ind w:left="280" w:firstLine="748"/>
        <w:spacing w:after="0"/>
        <w:tabs>
          <w:tab w:leader="none" w:pos="1769"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If, as a result of any restatement of or other adjustment to the financial statements of the Company or for any other reason, the Company or the Lenders determine that (i) the Consolidated Net Leverage Ratio as calculated by the Company as of any applicable date was inaccurate and (ii) a proper calculation of the Consolidated Net Leverage Ratio would have resulted in higher pricing for such period, each applicable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subject to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This paragraph shall not limit the rights of the Administrative Agent, any Lender or any L/C Issuer, as the case may be, under </w:t>
      </w:r>
      <w:r>
        <w:rPr>
          <w:rFonts w:ascii="Arial" w:cs="Arial" w:eastAsia="Arial" w:hAnsi="Arial"/>
          <w:sz w:val="19"/>
          <w:szCs w:val="19"/>
          <w:u w:val="single" w:color="auto"/>
          <w:color w:val="auto"/>
        </w:rPr>
        <w:t>Section 2.03(c)(iii)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2.03(h)</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2.08(b)</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The Borrowers’ obligations under this paragraph shall survive the termination of the Aggregate Commitments and the repayment of all other Obligations hereunder.</w:t>
      </w:r>
    </w:p>
    <w:p>
      <w:pPr>
        <w:spacing w:after="0" w:line="173"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Evidence of Debt.</w:t>
      </w:r>
    </w:p>
    <w:p>
      <w:pPr>
        <w:spacing w:after="0" w:line="202" w:lineRule="exact"/>
        <w:rPr>
          <w:sz w:val="20"/>
          <w:szCs w:val="20"/>
          <w:color w:val="auto"/>
        </w:rPr>
      </w:pPr>
    </w:p>
    <w:p>
      <w:pPr>
        <w:jc w:val="both"/>
        <w:ind w:left="280" w:firstLine="748"/>
        <w:spacing w:after="0" w:line="256" w:lineRule="auto"/>
        <w:tabs>
          <w:tab w:leader="none" w:pos="176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The Credit Extensions made by each Lender shall be evidenced by one or more accounts or records maintained by such Lender in the ordinary course of business. The Administrative Agent shall maintain the Register in connection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10.06(c)</w:t>
      </w:r>
      <w:r>
        <w:rPr>
          <w:rFonts w:ascii="Arial" w:cs="Arial" w:eastAsia="Arial" w:hAnsi="Arial"/>
          <w:sz w:val="18"/>
          <w:szCs w:val="18"/>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with respect to the Obligations. In the event of any conflict between the accounts and records maintained by any Lender and the Register,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68" w:lineRule="exact"/>
        <w:rPr>
          <w:rFonts w:ascii="Arial" w:cs="Arial" w:eastAsia="Arial" w:hAnsi="Arial"/>
          <w:sz w:val="18"/>
          <w:szCs w:val="18"/>
          <w:color w:val="auto"/>
        </w:rPr>
      </w:pPr>
    </w:p>
    <w:p>
      <w:pPr>
        <w:jc w:val="both"/>
        <w:ind w:left="280" w:firstLine="748"/>
        <w:spacing w:after="0" w:line="232" w:lineRule="auto"/>
        <w:tabs>
          <w:tab w:leader="none" w:pos="177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u w:val="single" w:color="auto"/>
          <w:color w:val="auto"/>
        </w:rPr>
        <w:t>subsection (a)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98" w:lineRule="exact"/>
        <w:rPr>
          <w:sz w:val="20"/>
          <w:szCs w:val="20"/>
          <w:color w:val="auto"/>
        </w:rPr>
      </w:pPr>
    </w:p>
    <w:p>
      <w:pPr>
        <w:jc w:val="both"/>
        <w:ind w:left="100" w:firstLine="749"/>
        <w:spacing w:after="0" w:line="241" w:lineRule="auto"/>
        <w:rPr>
          <w:sz w:val="20"/>
          <w:szCs w:val="20"/>
          <w:color w:val="auto"/>
        </w:rPr>
      </w:pPr>
      <w:r>
        <w:rPr>
          <w:rFonts w:ascii="Arial" w:cs="Arial" w:eastAsia="Arial" w:hAnsi="Arial"/>
          <w:sz w:val="19"/>
          <w:szCs w:val="19"/>
          <w:color w:val="auto"/>
        </w:rPr>
        <w:t xml:space="preserve">1.13 Payments Generally; Administrative Agent’s Clawback. (a) </w:t>
      </w:r>
      <w:r>
        <w:rPr>
          <w:rFonts w:ascii="Arial" w:cs="Arial" w:eastAsia="Arial" w:hAnsi="Arial"/>
          <w:sz w:val="19"/>
          <w:szCs w:val="19"/>
          <w:u w:val="single" w:color="auto"/>
          <w:color w:val="auto"/>
        </w:rPr>
        <w:t>General</w:t>
      </w:r>
      <w:r>
        <w:rPr>
          <w:rFonts w:ascii="Arial" w:cs="Arial" w:eastAsia="Arial" w:hAnsi="Arial"/>
          <w:sz w:val="19"/>
          <w:szCs w:val="19"/>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Revolving Credit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color w:val="auto"/>
        </w:rPr>
        <w:t>70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6" w:name="page197"/>
    <w:bookmarkEnd w:id="196"/>
    <w:p>
      <w:pPr>
        <w:jc w:val="both"/>
        <w:ind w:left="100"/>
        <w:spacing w:after="0" w:line="241" w:lineRule="auto"/>
        <w:rPr>
          <w:sz w:val="20"/>
          <w:szCs w:val="20"/>
          <w:color w:val="auto"/>
        </w:rPr>
      </w:pPr>
      <w:r>
        <w:rPr>
          <w:rFonts w:ascii="Arial" w:cs="Arial" w:eastAsia="Arial" w:hAnsi="Arial"/>
          <w:sz w:val="19"/>
          <w:szCs w:val="19"/>
          <w:color w:val="auto"/>
        </w:rPr>
        <w:t>foregoing, the Administrative Agent may require (upon reasonable notice)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82" w:lineRule="exact"/>
        <w:rPr>
          <w:sz w:val="20"/>
          <w:szCs w:val="20"/>
          <w:color w:val="auto"/>
        </w:rPr>
      </w:pPr>
    </w:p>
    <w:p>
      <w:pPr>
        <w:jc w:val="both"/>
        <w:ind w:left="280" w:firstLine="748"/>
        <w:spacing w:after="0" w:line="253" w:lineRule="auto"/>
        <w:tabs>
          <w:tab w:leader="none" w:pos="1769"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Daily Simple SOFR Loans, Term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87" w:lineRule="exact"/>
        <w:rPr>
          <w:rFonts w:ascii="Arial" w:cs="Arial" w:eastAsia="Arial" w:hAnsi="Arial"/>
          <w:sz w:val="18"/>
          <w:szCs w:val="18"/>
          <w:color w:val="auto"/>
        </w:rPr>
      </w:pPr>
    </w:p>
    <w:p>
      <w:pPr>
        <w:jc w:val="both"/>
        <w:ind w:left="100" w:firstLine="738"/>
        <w:spacing w:after="0" w:line="241" w:lineRule="auto"/>
        <w:tabs>
          <w:tab w:leader="none" w:pos="113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Payments by Borrowers; Presumptions by Administrative Agent</w:t>
      </w:r>
      <w:r>
        <w:rPr>
          <w:rFonts w:ascii="Arial" w:cs="Arial" w:eastAsia="Arial" w:hAnsi="Arial"/>
          <w:sz w:val="19"/>
          <w:szCs w:val="19"/>
          <w:color w:val="auto"/>
        </w:rPr>
        <w:t>. Unless the Administrative Agent shall have received notice from a Borrower prior to the time at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Revolving Credit Lenders, the Term Loan Lenders or L/C Issuers, as the case may be, the amount due. In such event, if such Borrower has not in fact made such payment, then each of the Revolving Credit Lenders, the Term Loan Lenders or the applicable L/C Issuers,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71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7" w:name="page198"/>
    <w:bookmarkEnd w:id="197"/>
    <w:p>
      <w:pPr>
        <w:jc w:val="both"/>
        <w:ind w:left="100" w:firstLine="747"/>
        <w:spacing w:after="0" w:line="241" w:lineRule="auto"/>
        <w:rPr>
          <w:sz w:val="20"/>
          <w:szCs w:val="20"/>
          <w:color w:val="auto"/>
        </w:rPr>
      </w:pPr>
      <w:r>
        <w:rPr>
          <w:rFonts w:ascii="Arial" w:cs="Arial" w:eastAsia="Arial" w:hAnsi="Arial"/>
          <w:sz w:val="19"/>
          <w:szCs w:val="19"/>
          <w:color w:val="auto"/>
        </w:rPr>
        <w:t>With respect to any payment that the Administrative Agent makes for the account of the Lenders or such L/C Issuer hereunder as to which the Administrative Agent determines (which determination shall be conclusive absent manifest error) that any of the following applies (such payment referred to as the “</w:t>
      </w:r>
      <w:r>
        <w:rPr>
          <w:rFonts w:ascii="Arial" w:cs="Arial" w:eastAsia="Arial" w:hAnsi="Arial"/>
          <w:sz w:val="19"/>
          <w:szCs w:val="19"/>
          <w:u w:val="single" w:color="auto"/>
          <w:color w:val="auto"/>
        </w:rPr>
        <w:t>Rescindable Amount</w:t>
      </w:r>
      <w:r>
        <w:rPr>
          <w:rFonts w:ascii="Arial" w:cs="Arial" w:eastAsia="Arial" w:hAnsi="Arial"/>
          <w:sz w:val="19"/>
          <w:szCs w:val="19"/>
          <w:color w:val="auto"/>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Revolving Credit Lenders, the Term Loan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interbankcompensation.</w:t>
      </w:r>
    </w:p>
    <w:p>
      <w:pPr>
        <w:spacing w:after="0" w:line="182" w:lineRule="exact"/>
        <w:rPr>
          <w:sz w:val="20"/>
          <w:szCs w:val="20"/>
          <w:color w:val="auto"/>
        </w:rPr>
      </w:pPr>
    </w:p>
    <w:p>
      <w:pPr>
        <w:jc w:val="both"/>
        <w:ind w:left="100" w:right="20" w:firstLine="747"/>
        <w:spacing w:after="0" w:line="260" w:lineRule="auto"/>
        <w:rPr>
          <w:sz w:val="20"/>
          <w:szCs w:val="20"/>
          <w:color w:val="auto"/>
        </w:rPr>
      </w:pPr>
      <w:r>
        <w:rPr>
          <w:rFonts w:ascii="Arial" w:cs="Arial" w:eastAsia="Arial" w:hAnsi="Arial"/>
          <w:sz w:val="20"/>
          <w:szCs w:val="20"/>
          <w:color w:val="auto"/>
        </w:rPr>
        <w:t xml:space="preserve">A notice of the Administrative Agent to any Lender or Borrower with respect to any amount owing under this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shall be conclusive, absent manifest error.</w:t>
      </w:r>
    </w:p>
    <w:p>
      <w:pPr>
        <w:spacing w:after="0" w:line="163" w:lineRule="exact"/>
        <w:rPr>
          <w:sz w:val="20"/>
          <w:szCs w:val="20"/>
          <w:color w:val="auto"/>
        </w:rPr>
      </w:pPr>
    </w:p>
    <w:p>
      <w:pPr>
        <w:jc w:val="both"/>
        <w:ind w:left="280" w:firstLine="748"/>
        <w:spacing w:after="0" w:line="232" w:lineRule="auto"/>
        <w:tabs>
          <w:tab w:leader="none" w:pos="1769"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such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7" w:lineRule="exact"/>
        <w:rPr>
          <w:rFonts w:ascii="Arial" w:cs="Arial" w:eastAsia="Arial" w:hAnsi="Arial"/>
          <w:sz w:val="20"/>
          <w:szCs w:val="20"/>
          <w:color w:val="auto"/>
        </w:rPr>
      </w:pPr>
    </w:p>
    <w:p>
      <w:pPr>
        <w:jc w:val="both"/>
        <w:ind w:left="280" w:firstLine="748"/>
        <w:spacing w:after="0" w:line="231" w:lineRule="auto"/>
        <w:tabs>
          <w:tab w:leader="none" w:pos="177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Obligations of Lenders Several</w:t>
      </w:r>
      <w:r>
        <w:rPr>
          <w:rFonts w:ascii="Arial" w:cs="Arial" w:eastAsia="Arial" w:hAnsi="Arial"/>
          <w:sz w:val="20"/>
          <w:szCs w:val="20"/>
          <w:color w:val="auto"/>
        </w:rPr>
        <w:t xml:space="preserve">. The obligations of the Lenders hereunder to make Revolving Credit Loans and Term Loans, to fund participations in Letters of Credit and Swing Line Loans and to make payments pursuant to </w:t>
      </w:r>
      <w:r>
        <w:rPr>
          <w:rFonts w:ascii="Arial" w:cs="Arial" w:eastAsia="Arial" w:hAnsi="Arial"/>
          <w:sz w:val="20"/>
          <w:szCs w:val="20"/>
          <w:u w:val="single" w:color="auto"/>
          <w:color w:val="auto"/>
        </w:rPr>
        <w:t>Section 10.04(c)</w:t>
      </w:r>
      <w:r>
        <w:rPr>
          <w:rFonts w:ascii="Arial" w:cs="Arial" w:eastAsia="Arial" w:hAnsi="Arial"/>
          <w:sz w:val="20"/>
          <w:szCs w:val="20"/>
          <w:color w:val="auto"/>
        </w:rPr>
        <w:t xml:space="preserve"> are several and not joint. The failure of any Lender to make any Loan, to fund any such participation or to make any payment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10.04(c)</w:t>
      </w:r>
      <w:r>
        <w:rPr>
          <w:rFonts w:ascii="Arial" w:cs="Arial" w:eastAsia="Arial" w:hAnsi="Arial"/>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20"/>
          <w:szCs w:val="20"/>
          <w:u w:val="single" w:color="auto"/>
          <w:color w:val="auto"/>
        </w:rPr>
        <w:t>Section 10.04(c)</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jc w:val="both"/>
        <w:ind w:left="280" w:right="20" w:firstLine="748"/>
        <w:spacing w:after="0" w:line="237" w:lineRule="auto"/>
        <w:tabs>
          <w:tab w:leader="none" w:pos="1769"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3" w:lineRule="exact"/>
        <w:rPr>
          <w:sz w:val="20"/>
          <w:szCs w:val="20"/>
          <w:color w:val="auto"/>
        </w:rPr>
      </w:pPr>
    </w:p>
    <w:p>
      <w:pPr>
        <w:jc w:val="both"/>
        <w:ind w:left="100" w:firstLine="749"/>
        <w:spacing w:after="0" w:line="254" w:lineRule="auto"/>
        <w:rPr>
          <w:sz w:val="20"/>
          <w:szCs w:val="20"/>
          <w:color w:val="auto"/>
        </w:rPr>
      </w:pPr>
      <w:r>
        <w:rPr>
          <w:rFonts w:ascii="Arial" w:cs="Arial" w:eastAsia="Arial" w:hAnsi="Arial"/>
          <w:sz w:val="18"/>
          <w:szCs w:val="18"/>
          <w:color w:val="auto"/>
        </w:rPr>
        <w:t>1.13 Sharing of Payments by Lenders. 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 (A) notify the Administrative Agent of such fact, and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72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8" w:name="page199"/>
    <w:bookmarkEnd w:id="198"/>
    <w:p>
      <w:pPr>
        <w:jc w:val="both"/>
        <w:ind w:left="100"/>
        <w:spacing w:after="0" w:line="234" w:lineRule="auto"/>
        <w:rPr>
          <w:sz w:val="20"/>
          <w:szCs w:val="20"/>
          <w:color w:val="auto"/>
        </w:rPr>
      </w:pPr>
      <w:r>
        <w:rPr>
          <w:rFonts w:ascii="Arial" w:cs="Arial" w:eastAsia="Arial" w:hAnsi="Arial"/>
          <w:sz w:val="20"/>
          <w:szCs w:val="20"/>
          <w:color w:val="auto"/>
        </w:rPr>
        <w:t xml:space="preserve">(B)purchase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0" w:lineRule="exact"/>
        <w:rPr>
          <w:sz w:val="20"/>
          <w:szCs w:val="20"/>
          <w:color w:val="auto"/>
        </w:rPr>
      </w:pPr>
    </w:p>
    <w:p>
      <w:pPr>
        <w:jc w:val="both"/>
        <w:ind w:left="1020" w:firstLine="757"/>
        <w:spacing w:after="0" w:line="237" w:lineRule="auto"/>
        <w:tabs>
          <w:tab w:leader="none" w:pos="2508" w:val="left"/>
        </w:tabs>
        <w:numPr>
          <w:ilvl w:val="1"/>
          <w:numId w:val="156"/>
        </w:numPr>
        <w:rPr>
          <w:rFonts w:ascii="Arial" w:cs="Arial" w:eastAsia="Arial" w:hAnsi="Arial"/>
          <w:sz w:val="20"/>
          <w:szCs w:val="20"/>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96" w:lineRule="exact"/>
        <w:rPr>
          <w:rFonts w:ascii="Arial" w:cs="Arial" w:eastAsia="Arial" w:hAnsi="Arial"/>
          <w:sz w:val="20"/>
          <w:szCs w:val="20"/>
          <w:color w:val="auto"/>
        </w:rPr>
      </w:pPr>
    </w:p>
    <w:p>
      <w:pPr>
        <w:jc w:val="both"/>
        <w:ind w:left="1020" w:firstLine="757"/>
        <w:spacing w:after="0" w:line="230" w:lineRule="auto"/>
        <w:tabs>
          <w:tab w:leader="none" w:pos="2509" w:val="left"/>
        </w:tabs>
        <w:numPr>
          <w:ilvl w:val="1"/>
          <w:numId w:val="156"/>
        </w:numPr>
        <w:rPr>
          <w:rFonts w:ascii="Arial" w:cs="Arial" w:eastAsia="Arial" w:hAnsi="Arial"/>
          <w:sz w:val="20"/>
          <w:szCs w:val="20"/>
          <w:color w:val="auto"/>
        </w:rPr>
      </w:pPr>
      <w:r>
        <w:rPr>
          <w:rFonts w:ascii="Arial" w:cs="Arial" w:eastAsia="Arial" w:hAnsi="Arial"/>
          <w:sz w:val="20"/>
          <w:szCs w:val="20"/>
          <w:color w:val="auto"/>
        </w:rPr>
        <w:t>the provisions of this Section shall not be construed to apply to (x) any payment made by or on behalf of a Borrower pursuant to and in accordance with the express terms of this Agreement (including the application of funds arising from the existence of a Defaulting Lender),</w:t>
      </w:r>
    </w:p>
    <w:p>
      <w:pPr>
        <w:spacing w:after="0" w:line="2" w:lineRule="exact"/>
        <w:rPr>
          <w:rFonts w:ascii="Arial" w:cs="Arial" w:eastAsia="Arial" w:hAnsi="Arial"/>
          <w:sz w:val="20"/>
          <w:szCs w:val="20"/>
          <w:color w:val="auto"/>
        </w:rPr>
      </w:pPr>
    </w:p>
    <w:p>
      <w:pPr>
        <w:jc w:val="both"/>
        <w:ind w:left="1020" w:right="20" w:firstLine="7"/>
        <w:spacing w:after="0" w:line="230" w:lineRule="auto"/>
        <w:tabs>
          <w:tab w:leader="none" w:pos="1309" w:val="left"/>
        </w:tabs>
        <w:numPr>
          <w:ilvl w:val="0"/>
          <w:numId w:val="157"/>
        </w:numPr>
        <w:rPr>
          <w:rFonts w:ascii="Arial" w:cs="Arial" w:eastAsia="Arial" w:hAnsi="Arial"/>
          <w:sz w:val="20"/>
          <w:szCs w:val="20"/>
          <w:color w:val="auto"/>
        </w:rPr>
      </w:pPr>
      <w:r>
        <w:rPr>
          <w:rFonts w:ascii="Arial" w:cs="Arial" w:eastAsia="Arial" w:hAnsi="Arial"/>
          <w:sz w:val="20"/>
          <w:szCs w:val="20"/>
          <w:color w:val="auto"/>
        </w:rPr>
        <w:t xml:space="preserve">the application of Cash Collateral provided for in </w:t>
      </w:r>
      <w:r>
        <w:rPr>
          <w:rFonts w:ascii="Arial" w:cs="Arial" w:eastAsia="Arial" w:hAnsi="Arial"/>
          <w:sz w:val="20"/>
          <w:szCs w:val="20"/>
          <w:u w:val="single" w:color="auto"/>
          <w:color w:val="auto"/>
        </w:rPr>
        <w:t>Section 2.17</w:t>
      </w:r>
      <w:r>
        <w:rPr>
          <w:rFonts w:ascii="Arial" w:cs="Arial" w:eastAsia="Arial" w:hAnsi="Arial"/>
          <w:sz w:val="20"/>
          <w:szCs w:val="20"/>
          <w:color w:val="auto"/>
        </w:rPr>
        <w:t>,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82" w:lineRule="exact"/>
        <w:rPr>
          <w:sz w:val="20"/>
          <w:szCs w:val="20"/>
          <w:color w:val="auto"/>
        </w:rPr>
      </w:pPr>
    </w:p>
    <w:p>
      <w:pPr>
        <w:jc w:val="both"/>
        <w:ind w:left="100" w:firstLine="747"/>
        <w:spacing w:after="0" w:line="275" w:lineRule="auto"/>
        <w:rPr>
          <w:sz w:val="20"/>
          <w:szCs w:val="20"/>
          <w:color w:val="auto"/>
        </w:rPr>
      </w:pPr>
      <w:r>
        <w:rPr>
          <w:rFonts w:ascii="Arial" w:cs="Arial" w:eastAsia="Arial" w:hAnsi="Arial"/>
          <w:sz w:val="18"/>
          <w:szCs w:val="18"/>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66"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Designated Borrowers.</w:t>
      </w:r>
    </w:p>
    <w:p>
      <w:pPr>
        <w:spacing w:after="0" w:line="202" w:lineRule="exact"/>
        <w:rPr>
          <w:sz w:val="20"/>
          <w:szCs w:val="20"/>
          <w:color w:val="auto"/>
        </w:rPr>
      </w:pPr>
    </w:p>
    <w:p>
      <w:pPr>
        <w:jc w:val="both"/>
        <w:ind w:left="280" w:firstLine="748"/>
        <w:spacing w:after="0" w:line="253" w:lineRule="auto"/>
        <w:tabs>
          <w:tab w:leader="none" w:pos="177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 may at any time, upon not less than fifteen (15) Business Days’ notice from the Company to the Administrative Agent (or such shorter period as may be agreed by the Administrative Agent in its sole discretion), designate any wholly-owned Restricted Subsidiary of the Company (an “</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as a Designated Borrower to receive Revolving Credit Loans hereunder by delivering to the Administrative Agent (which shall promptly deliver counterparts thereof to each Revolving Credit Lender) a duly executed notice and agreement in substantially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Request and Assumption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The parties hereto acknowledge and agree that prior to any Applicant Borrower becoming entitled to utilize the Revolving Credit Facility (i) the Administrative Agent and each Revolving Credit Lender shall have approved such Applicant Borrower as a Designated Borrower and received at least five Business Days prior to such date all documentation and other information that such Person requests in order to comply with its ongoing obligations under applicable “know your customer” and anti-money laundering rules and regulations, including the Act, (ii) the Administrative Agent and each Revolving Credit Lender shall have received such supporting resolutions, incumbency certificates, opinions of counsel and other documents or information, in form, content and scope reasonably satisfactory to the Administrative Agent, as may be reasonably requested by the Administrative Agent (it being agreed that the forms delivered on the Closing Date are acceptable for a Domestic Subsidiary), and (iii) each Revolving Credit Lender shall have received Revolving Credit Notes signed by such new Borrowers to the extent requested thereby. If the Administrative Agent and the Revolving Credit Lenders agree that an Applicant Borrower shall be entitled to receive Revolving Credit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 “</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to the Company and the Revolving Credit Lenders specifying the effective date upon which the Applicant Borrower shall constitute a Designated Borrower for purposes hereof, whereupon</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color w:val="auto"/>
        </w:rPr>
        <w:t>73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199" w:name="page200"/>
    <w:bookmarkEnd w:id="199"/>
    <w:p>
      <w:pPr>
        <w:jc w:val="both"/>
        <w:ind w:left="280"/>
        <w:spacing w:after="0" w:line="254" w:lineRule="auto"/>
        <w:rPr>
          <w:sz w:val="20"/>
          <w:szCs w:val="20"/>
          <w:color w:val="auto"/>
        </w:rPr>
      </w:pPr>
      <w:r>
        <w:rPr>
          <w:rFonts w:ascii="Arial" w:cs="Arial" w:eastAsia="Arial" w:hAnsi="Arial"/>
          <w:sz w:val="18"/>
          <w:szCs w:val="18"/>
          <w:color w:val="auto"/>
        </w:rPr>
        <w:t xml:space="preserve">each of the Revolving Credit Lenders agrees to permit such Designated Borrower to receive Revolving Credit Loans hereunder, on the terms and conditions set forth herein, and each of the parties agrees that such Designated Borrower otherwise shall be a Borrower for all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Notice or Letter of Credit Application may be submitted by or on behalf of such Designated Borrower until the date five (5) Business Days after such effective date;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effective as of the date hereof, the Administrative Agent and the Revolving Credit Lenders hereby agree that each of the Netherlands Designated Borrowers may become a “Designated Borrower” hereunder and may receive Revolving Credit Loans for its account on the terms and conditions set forth in this Agreement, in each case upon delivery of a duly executed Designated Borrower Request and Assumption Agreement and satisfaction of the conditions set forth in clauses (i) through (iii) of the second sentence this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without any requirement of further written consent from the Administrative Agent or the Revolving Credit Lenders. Additionally, notwithstanding the foregoing, the Company may in connection with any request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designate any wholly-owned Restricted Subsidiary of the Company as a Designated Borrower to receive Additional Term Loans hereunder, and the parties hereto acknowledge and agree that prior to any such Restricted Subsidiary becoming entitled to borrow any Additional Term Loans the Administrative Agent and each Additional Lender providing such Additional Term Loan shall have approved such Restricted Subsidiary as a Designated Borrower and received items of the type described in clauses (i) through (iii) of the second sentence this </w:t>
      </w:r>
      <w:r>
        <w:rPr>
          <w:rFonts w:ascii="Arial" w:cs="Arial" w:eastAsia="Arial" w:hAnsi="Arial"/>
          <w:sz w:val="18"/>
          <w:szCs w:val="18"/>
          <w:u w:val="single" w:color="auto"/>
          <w:color w:val="auto"/>
        </w:rPr>
        <w:t>Section 2.14(a)</w:t>
      </w:r>
      <w:r>
        <w:rPr>
          <w:rFonts w:ascii="Arial" w:cs="Arial" w:eastAsia="Arial" w:hAnsi="Arial"/>
          <w:sz w:val="18"/>
          <w:szCs w:val="18"/>
          <w:color w:val="auto"/>
        </w:rPr>
        <w:t xml:space="preserve"> and such Restricted Subsidiary shall have complied with </w:t>
      </w:r>
      <w:r>
        <w:rPr>
          <w:rFonts w:ascii="Arial" w:cs="Arial" w:eastAsia="Arial" w:hAnsi="Arial"/>
          <w:sz w:val="18"/>
          <w:szCs w:val="18"/>
          <w:u w:val="single" w:color="auto"/>
          <w:color w:val="auto"/>
        </w:rPr>
        <w:t>Section6.12</w:t>
      </w:r>
      <w:r>
        <w:rPr>
          <w:rFonts w:ascii="Arial" w:cs="Arial" w:eastAsia="Arial" w:hAnsi="Arial"/>
          <w:sz w:val="18"/>
          <w:szCs w:val="18"/>
          <w:color w:val="auto"/>
        </w:rPr>
        <w:t>.</w:t>
      </w:r>
    </w:p>
    <w:p>
      <w:pPr>
        <w:spacing w:after="0" w:line="157" w:lineRule="exact"/>
        <w:rPr>
          <w:sz w:val="20"/>
          <w:szCs w:val="20"/>
          <w:color w:val="auto"/>
        </w:rPr>
      </w:pPr>
    </w:p>
    <w:p>
      <w:pPr>
        <w:jc w:val="both"/>
        <w:ind w:left="280" w:firstLine="748"/>
        <w:spacing w:after="0" w:line="232" w:lineRule="auto"/>
        <w:tabs>
          <w:tab w:leader="none" w:pos="1769"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Obligations of each U.S. Borrower shall be joint and several in nature. Notwithstanding anything to the contrary in this Agreement or any of the other Loan Documents, the Obligations of any Foreign Subsidiary that may become a Loan Party hereunder (including any Designated Borrowers that are Foreign Subsidiaries) shall be several in nature and not joint with the Obligations of any U.S. Loan Party and no Foreign Subsidiary shall provide any Guarantee in respect of any Obligations of any U.S. Loan Party.</w:t>
      </w:r>
    </w:p>
    <w:p>
      <w:pPr>
        <w:spacing w:after="0" w:line="197" w:lineRule="exact"/>
        <w:rPr>
          <w:rFonts w:ascii="Arial" w:cs="Arial" w:eastAsia="Arial" w:hAnsi="Arial"/>
          <w:sz w:val="20"/>
          <w:szCs w:val="20"/>
          <w:color w:val="auto"/>
        </w:rPr>
      </w:pPr>
    </w:p>
    <w:p>
      <w:pPr>
        <w:jc w:val="both"/>
        <w:ind w:left="280" w:firstLine="748"/>
        <w:spacing w:after="0" w:line="241" w:lineRule="auto"/>
        <w:tabs>
          <w:tab w:leader="none" w:pos="177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Each Subsidiary of the Company that is or becomes a “Designated Borrower”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85" w:lineRule="exact"/>
        <w:rPr>
          <w:rFonts w:ascii="Arial" w:cs="Arial" w:eastAsia="Arial" w:hAnsi="Arial"/>
          <w:sz w:val="19"/>
          <w:szCs w:val="19"/>
          <w:color w:val="auto"/>
        </w:rPr>
      </w:pPr>
    </w:p>
    <w:p>
      <w:pPr>
        <w:jc w:val="both"/>
        <w:ind w:left="280" w:firstLine="748"/>
        <w:spacing w:after="0" w:line="263" w:lineRule="auto"/>
        <w:tabs>
          <w:tab w:leader="none" w:pos="176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75"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6"/>
          <w:szCs w:val="16"/>
          <w:color w:val="auto"/>
        </w:rPr>
        <w:t>Increase Option.</w:t>
      </w:r>
    </w:p>
    <w:p>
      <w:pPr>
        <w:spacing w:after="0" w:line="202" w:lineRule="exact"/>
        <w:rPr>
          <w:sz w:val="20"/>
          <w:szCs w:val="20"/>
          <w:color w:val="auto"/>
        </w:rPr>
      </w:pPr>
    </w:p>
    <w:p>
      <w:pPr>
        <w:ind w:left="1760" w:hanging="732"/>
        <w:spacing w:after="0"/>
        <w:tabs>
          <w:tab w:leader="none" w:pos="1760"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Request for Increase</w:t>
      </w:r>
      <w:r>
        <w:rPr>
          <w:rFonts w:ascii="Arial" w:cs="Arial" w:eastAsia="Arial" w:hAnsi="Arial"/>
          <w:sz w:val="19"/>
          <w:szCs w:val="19"/>
          <w:color w:val="auto"/>
        </w:rPr>
        <w:t>. Upon notice to the Administrative Agent (which shall promptly notify the Lenders), at any</w:t>
      </w:r>
    </w:p>
    <w:p>
      <w:pPr>
        <w:spacing w:after="0" w:line="14" w:lineRule="exact"/>
        <w:rPr>
          <w:sz w:val="20"/>
          <w:szCs w:val="20"/>
          <w:color w:val="auto"/>
        </w:rPr>
      </w:pPr>
    </w:p>
    <w:p>
      <w:pPr>
        <w:ind w:left="280"/>
        <w:spacing w:after="0"/>
        <w:tabs>
          <w:tab w:leader="none" w:pos="5260" w:val="left"/>
        </w:tabs>
        <w:rPr>
          <w:sz w:val="20"/>
          <w:szCs w:val="20"/>
          <w:color w:val="auto"/>
        </w:rPr>
      </w:pPr>
      <w:r>
        <w:rPr>
          <w:rFonts w:ascii="Arial" w:cs="Arial" w:eastAsia="Arial" w:hAnsi="Arial"/>
          <w:sz w:val="20"/>
          <w:szCs w:val="20"/>
          <w:color w:val="auto"/>
        </w:rPr>
        <w:t>time after the Closing Date, the Company may request</w:t>
      </w:r>
      <w:r>
        <w:rPr>
          <w:sz w:val="20"/>
          <w:szCs w:val="20"/>
          <w:color w:val="auto"/>
        </w:rPr>
        <w:tab/>
      </w:r>
      <w:r>
        <w:rPr>
          <w:rFonts w:ascii="Arial" w:cs="Arial" w:eastAsia="Arial" w:hAnsi="Arial"/>
          <w:sz w:val="18"/>
          <w:szCs w:val="18"/>
          <w:color w:val="auto"/>
        </w:rPr>
        <w:t>additional</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2"/>
          <w:szCs w:val="22"/>
          <w:color w:val="auto"/>
        </w:rPr>
        <w:t>74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0" w:name="page201"/>
    <w:bookmarkEnd w:id="200"/>
    <w:p>
      <w:pPr>
        <w:jc w:val="both"/>
        <w:ind w:left="280"/>
        <w:spacing w:after="0" w:line="253" w:lineRule="auto"/>
        <w:rPr>
          <w:sz w:val="20"/>
          <w:szCs w:val="20"/>
          <w:color w:val="auto"/>
        </w:rPr>
      </w:pPr>
      <w:r>
        <w:rPr>
          <w:rFonts w:ascii="Arial" w:cs="Arial" w:eastAsia="Arial" w:hAnsi="Arial"/>
          <w:sz w:val="18"/>
          <w:szCs w:val="18"/>
          <w:color w:val="auto"/>
        </w:rPr>
        <w:t>Commitments (each an “</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and all of them, collectively, the “</w:t>
      </w:r>
      <w:r>
        <w:rPr>
          <w:rFonts w:ascii="Arial" w:cs="Arial" w:eastAsia="Arial" w:hAnsi="Arial"/>
          <w:sz w:val="18"/>
          <w:szCs w:val="18"/>
          <w:u w:val="single" w:color="auto"/>
          <w:color w:val="auto"/>
        </w:rPr>
        <w:t>Additional Commitments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after giving effect to any such addition, the aggregate amount of Additional Commitments that have been added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after the Amendment No. 2 Effective Date shall not exceed the Additional Commitments Limit, (y) any such addition shall be in an aggregate amount of not less than $10,000,000 or any whole multiple of $1,000,000 in excess thereof (or, in either case, such lesser amount as may be acceptable to the Administrative Agent) and (z) after giving effect to any such addition, the aggregate outstanding amount of Additional Term Loans made to Designated Borrowers that are not U.S. Borrowers shall not exceed, when taken together with the aggregate Outstanding Amount of all Revolving Credit Loans made to Designated Borrowers that are not</w:t>
      </w:r>
    </w:p>
    <w:p>
      <w:pPr>
        <w:spacing w:after="0" w:line="1" w:lineRule="exact"/>
        <w:rPr>
          <w:sz w:val="20"/>
          <w:szCs w:val="20"/>
          <w:color w:val="auto"/>
        </w:rPr>
      </w:pPr>
    </w:p>
    <w:p>
      <w:pPr>
        <w:jc w:val="both"/>
        <w:ind w:left="280"/>
        <w:spacing w:after="0" w:line="239" w:lineRule="auto"/>
        <w:rPr>
          <w:sz w:val="20"/>
          <w:szCs w:val="20"/>
          <w:color w:val="auto"/>
        </w:rPr>
      </w:pPr>
      <w:r>
        <w:rPr>
          <w:rFonts w:ascii="Arial" w:cs="Arial" w:eastAsia="Arial" w:hAnsi="Arial"/>
          <w:sz w:val="19"/>
          <w:szCs w:val="19"/>
          <w:color w:val="auto"/>
        </w:rPr>
        <w:t>U.S. Borrowers, $50,000,000. Any loans made in respect of any such Additional Commitments (the “</w:t>
      </w:r>
      <w:r>
        <w:rPr>
          <w:rFonts w:ascii="Arial" w:cs="Arial" w:eastAsia="Arial" w:hAnsi="Arial"/>
          <w:sz w:val="19"/>
          <w:szCs w:val="19"/>
          <w:u w:val="single" w:color="auto"/>
          <w:color w:val="auto"/>
        </w:rPr>
        <w:t>Additional Loans</w:t>
      </w:r>
      <w:r>
        <w:rPr>
          <w:rFonts w:ascii="Arial" w:cs="Arial" w:eastAsia="Arial" w:hAnsi="Arial"/>
          <w:sz w:val="19"/>
          <w:szCs w:val="19"/>
          <w:color w:val="auto"/>
        </w:rPr>
        <w:t>”) may be made, at the option of the Company, by either (i) increasing the Aggregate Revolving Credit Commitments with the same terms (including pricing) as the existing Revolving Credit Facility, or (ii) creating a new tranche of terms loans (any loans provided pursuant to such additional tranche, the “</w:t>
      </w:r>
      <w:r>
        <w:rPr>
          <w:rFonts w:ascii="Arial" w:cs="Arial" w:eastAsia="Arial" w:hAnsi="Arial"/>
          <w:sz w:val="19"/>
          <w:szCs w:val="19"/>
          <w:u w:val="single" w:color="auto"/>
          <w:color w:val="auto"/>
        </w:rPr>
        <w:t>Additional Term Loans</w:t>
      </w:r>
      <w:r>
        <w:rPr>
          <w:rFonts w:ascii="Arial" w:cs="Arial" w:eastAsia="Arial" w:hAnsi="Arial"/>
          <w:sz w:val="19"/>
          <w:szCs w:val="19"/>
          <w:color w:val="auto"/>
        </w:rPr>
        <w:t xml:space="preserve">”) (it being understood that the Company has the absolute right to pursue Additional Commitments in accordance with this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and no Lender shall have the ability to block any such pursuit although no Lender shall be obligated to provide any Additional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increase in the Aggregate Revolving Credit Commitments shall (A) increase the Swing Line Sublimit without the consent of the Swing Line Lender, (B) increase the Letter of Credit Sublimit (or change the allocation of the Letter of Credit Sublimit among the L/C Issuers) without the consent of the L/C Issuers or (C) increase the Alternative Currency Sublimit or the Designated Non-U.S. Borrower Sublimit, in either case, without the consent of the Required Revolving Lenders.</w:t>
      </w:r>
    </w:p>
    <w:p>
      <w:pPr>
        <w:spacing w:after="0" w:line="184" w:lineRule="exact"/>
        <w:rPr>
          <w:sz w:val="20"/>
          <w:szCs w:val="20"/>
          <w:color w:val="auto"/>
        </w:rPr>
      </w:pPr>
    </w:p>
    <w:p>
      <w:pPr>
        <w:jc w:val="both"/>
        <w:ind w:left="280" w:right="20" w:firstLine="748"/>
        <w:spacing w:after="0" w:line="230" w:lineRule="auto"/>
        <w:tabs>
          <w:tab w:leader="none" w:pos="1769" w:val="left"/>
        </w:tabs>
        <w:numPr>
          <w:ilvl w:val="1"/>
          <w:numId w:val="161"/>
        </w:numPr>
        <w:rPr>
          <w:rFonts w:ascii="Arial" w:cs="Arial" w:eastAsia="Arial" w:hAnsi="Arial"/>
          <w:sz w:val="20"/>
          <w:szCs w:val="20"/>
          <w:color w:val="auto"/>
        </w:rPr>
      </w:pPr>
      <w:r>
        <w:rPr>
          <w:rFonts w:ascii="Arial" w:cs="Arial" w:eastAsia="Arial" w:hAnsi="Arial"/>
          <w:sz w:val="20"/>
          <w:szCs w:val="20"/>
          <w:u w:val="single" w:color="auto"/>
          <w:color w:val="auto"/>
        </w:rPr>
        <w:t>Ranking and Other Provisions</w:t>
      </w:r>
      <w:r>
        <w:rPr>
          <w:rFonts w:ascii="Arial" w:cs="Arial" w:eastAsia="Arial" w:hAnsi="Arial"/>
          <w:sz w:val="20"/>
          <w:szCs w:val="20"/>
          <w:color w:val="auto"/>
        </w:rPr>
        <w:t>. The Additional Term Loans shall (i) rank pari passu in right of payment and in respect of lien priority as to the Collateral with the outstanding Loans, (ii) not have a weighted average life that is shorter than the weighted average life of the outstanding Term Loans,</w:t>
      </w:r>
    </w:p>
    <w:p>
      <w:pPr>
        <w:spacing w:after="0" w:line="2" w:lineRule="exact"/>
        <w:rPr>
          <w:rFonts w:ascii="Arial" w:cs="Arial" w:eastAsia="Arial" w:hAnsi="Arial"/>
          <w:sz w:val="20"/>
          <w:szCs w:val="20"/>
          <w:color w:val="auto"/>
        </w:rPr>
      </w:pPr>
    </w:p>
    <w:p>
      <w:pPr>
        <w:jc w:val="both"/>
        <w:ind w:left="280"/>
        <w:spacing w:after="0" w:line="250" w:lineRule="auto"/>
        <w:rPr>
          <w:rFonts w:ascii="Arial" w:cs="Arial" w:eastAsia="Arial" w:hAnsi="Arial"/>
          <w:sz w:val="20"/>
          <w:szCs w:val="20"/>
          <w:color w:val="auto"/>
        </w:rPr>
      </w:pPr>
      <w:r>
        <w:rPr>
          <w:rFonts w:ascii="Arial" w:cs="Arial" w:eastAsia="Arial" w:hAnsi="Arial"/>
          <w:sz w:val="18"/>
          <w:szCs w:val="18"/>
          <w:color w:val="auto"/>
        </w:rPr>
        <w:t>(iii)not mature earlier than the Maturity Date, and (iv) not contain additional or different financial or other covenants which are more restrictive in any material respect than the covenants applicable to the Term Loans unless such covenants (i) benefit all of the Lenders,</w:t>
      </w:r>
    </w:p>
    <w:p>
      <w:pPr>
        <w:ind w:left="580" w:hanging="301"/>
        <w:spacing w:after="0"/>
        <w:tabs>
          <w:tab w:leader="none" w:pos="58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only apply after the Maturity Date or (iii) are otherwise consented to by the Administrative Agent.</w:t>
      </w:r>
    </w:p>
    <w:p>
      <w:pPr>
        <w:spacing w:after="0" w:line="186" w:lineRule="exact"/>
        <w:rPr>
          <w:rFonts w:ascii="Arial" w:cs="Arial" w:eastAsia="Arial" w:hAnsi="Arial"/>
          <w:sz w:val="20"/>
          <w:szCs w:val="20"/>
          <w:color w:val="auto"/>
        </w:rPr>
      </w:pPr>
    </w:p>
    <w:p>
      <w:pPr>
        <w:jc w:val="both"/>
        <w:ind w:left="280" w:firstLine="748"/>
        <w:spacing w:after="0" w:line="239" w:lineRule="auto"/>
        <w:tabs>
          <w:tab w:leader="none" w:pos="1769" w:val="left"/>
        </w:tabs>
        <w:numPr>
          <w:ilvl w:val="1"/>
          <w:numId w:val="162"/>
        </w:numPr>
        <w:rPr>
          <w:rFonts w:ascii="Arial" w:cs="Arial" w:eastAsia="Arial" w:hAnsi="Arial"/>
          <w:sz w:val="19"/>
          <w:szCs w:val="19"/>
          <w:color w:val="auto"/>
        </w:rPr>
      </w:pPr>
      <w:r>
        <w:rPr>
          <w:rFonts w:ascii="Arial" w:cs="Arial" w:eastAsia="Arial" w:hAnsi="Arial"/>
          <w:sz w:val="19"/>
          <w:szCs w:val="19"/>
          <w:u w:val="single" w:color="auto"/>
          <w:color w:val="auto"/>
        </w:rPr>
        <w:t>Notices; Lender Elections</w:t>
      </w:r>
      <w:r>
        <w:rPr>
          <w:rFonts w:ascii="Arial" w:cs="Arial" w:eastAsia="Arial" w:hAnsi="Arial"/>
          <w:sz w:val="19"/>
          <w:szCs w:val="19"/>
          <w:color w:val="auto"/>
        </w:rPr>
        <w:t>. Each notice from the Company pursuant to this Sectionshall set forth the requested amount and proposed terms of the Additional Commitments. Additional Commitments (or any portion thereof) may be made by any existing Lender or by any other bank or financial institution that is an Eligible Assignee (any such bank or other financial institution, together with any existing Lenders making any Additional Loans, the “</w:t>
      </w:r>
      <w:r>
        <w:rPr>
          <w:rFonts w:ascii="Arial" w:cs="Arial" w:eastAsia="Arial" w:hAnsi="Arial"/>
          <w:sz w:val="19"/>
          <w:szCs w:val="19"/>
          <w:u w:val="single" w:color="auto"/>
          <w:color w:val="auto"/>
        </w:rPr>
        <w:t>Additional Lenders</w:t>
      </w:r>
      <w:r>
        <w:rPr>
          <w:rFonts w:ascii="Arial" w:cs="Arial" w:eastAsia="Arial" w:hAnsi="Arial"/>
          <w:sz w:val="19"/>
          <w:szCs w:val="19"/>
          <w:color w:val="auto"/>
        </w:rPr>
        <w:t>”), in each case on terms permitted in this Section and otherwise on terms reasonably acceptable to the Administrative Agent. At the time of the sending of such notice, the Company (in consultation with the Administrative Agent) shall specify the time period within which each Lender is requested to respond (which shall in no event be less than ten Business Days from the date of delivery of such notice to the Lenders). No Lender shall be obligated to provide any Additional Loans, unless it so agrees. Each Lender shall notify the Administrative Agent within such time period whether or not it agrees to provide an Additional Commitment and, if so, whether by an amount equal to, greater than, or less than its Applicable Percentage of such requested increase. Any Lender not responding within such time period shall be deemed to have declined to provide an Additional Commitment. The Administrative Agent shall notify the Company and each Lender of the Lenders’ responses to each request made hereunder. To achieve the full amount of a requested increase, the Company may also invite additional Eligible Assignees to become Lenders pursuant to a joinder agreement in form and substance reasonably satisfactory to the Administrative Agent and its counsel.</w:t>
      </w:r>
    </w:p>
    <w:p>
      <w:pPr>
        <w:spacing w:after="0" w:line="207" w:lineRule="exact"/>
        <w:rPr>
          <w:rFonts w:ascii="Arial" w:cs="Arial" w:eastAsia="Arial" w:hAnsi="Arial"/>
          <w:sz w:val="19"/>
          <w:szCs w:val="19"/>
          <w:color w:val="auto"/>
        </w:rPr>
      </w:pPr>
    </w:p>
    <w:p>
      <w:pPr>
        <w:ind w:left="1760" w:hanging="732"/>
        <w:spacing w:after="0"/>
        <w:tabs>
          <w:tab w:leader="none" w:pos="1760"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Additional Commitment Amendment</w:t>
      </w:r>
      <w:r>
        <w:rPr>
          <w:rFonts w:ascii="Arial" w:cs="Arial" w:eastAsia="Arial" w:hAnsi="Arial"/>
          <w:sz w:val="18"/>
          <w:szCs w:val="18"/>
          <w:color w:val="auto"/>
        </w:rPr>
        <w:t>. Additional Commitments shall become Commitments under this Agreement</w:t>
      </w:r>
    </w:p>
    <w:p>
      <w:pPr>
        <w:spacing w:after="0" w:line="25" w:lineRule="exact"/>
        <w:rPr>
          <w:sz w:val="20"/>
          <w:szCs w:val="20"/>
          <w:color w:val="auto"/>
        </w:rPr>
      </w:pPr>
    </w:p>
    <w:p>
      <w:pPr>
        <w:ind w:left="280"/>
        <w:spacing w:after="0"/>
        <w:tabs>
          <w:tab w:leader="none" w:pos="4280" w:val="left"/>
        </w:tabs>
        <w:rPr>
          <w:sz w:val="20"/>
          <w:szCs w:val="20"/>
          <w:color w:val="auto"/>
        </w:rPr>
      </w:pPr>
      <w:r>
        <w:rPr>
          <w:rFonts w:ascii="Arial" w:cs="Arial" w:eastAsia="Arial" w:hAnsi="Arial"/>
          <w:sz w:val="20"/>
          <w:szCs w:val="20"/>
          <w:color w:val="auto"/>
        </w:rPr>
        <w:t>pursuant to an amendment (an “Additional</w:t>
      </w:r>
      <w:r>
        <w:rPr>
          <w:sz w:val="20"/>
          <w:szCs w:val="20"/>
          <w:color w:val="auto"/>
        </w:rPr>
        <w:tab/>
      </w:r>
      <w:r>
        <w:rPr>
          <w:rFonts w:ascii="Arial" w:cs="Arial" w:eastAsia="Arial" w:hAnsi="Arial"/>
          <w:sz w:val="18"/>
          <w:szCs w:val="18"/>
          <w:color w:val="auto"/>
        </w:rPr>
        <w:t>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-24765</wp:posOffset>
            </wp:positionV>
            <wp:extent cx="145161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1">
                      <a:extLst>
                        <a:ext uri="{28A0092B-C50C-407E-A947-70E740481C1C}"/>
                      </a:extLst>
                    </a:blip>
                    <a:srcRect/>
                    <a:stretch>
                      <a:fillRect/>
                    </a:stretch>
                  </pic:blipFill>
                  <pic:spPr bwMode="auto">
                    <a:xfrm>
                      <a:off x="0" y="0"/>
                      <a:ext cx="1451610" cy="8255"/>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Arial" w:cs="Arial" w:eastAsia="Arial" w:hAnsi="Arial"/>
          <w:sz w:val="22"/>
          <w:szCs w:val="22"/>
          <w:color w:val="auto"/>
        </w:rPr>
        <w:t>75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1" w:name="page202"/>
    <w:bookmarkEnd w:id="201"/>
    <w:p>
      <w:pPr>
        <w:jc w:val="both"/>
        <w:ind w:left="280"/>
        <w:spacing w:after="0" w:line="244" w:lineRule="auto"/>
        <w:rPr>
          <w:sz w:val="20"/>
          <w:szCs w:val="20"/>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to this Agreement and, as appropriate, the other Loan Documents, executed by the Borrowers, the other Loan Parties, each Additional Lender and the Administrative Agent. An Additional Commitment Amendment may, without the consent of any other Lenders, effect such amendments to any Loan Documents as may be necessary or appropriate, in the opinion of the Administrative Agent, to effect the provisions of this Section (including, without limitation, to incorporate the Additional Loans and Additional Commitments into the calculation of the “Required Lenders”, “Required Facility Lenders” and related provisions). Upon execution, the Administrative Agent shall provide a copy of any Additional Commitment Amendment to all Lenders.</w:t>
      </w:r>
    </w:p>
    <w:p>
      <w:pPr>
        <w:spacing w:after="0" w:line="179" w:lineRule="exact"/>
        <w:rPr>
          <w:sz w:val="20"/>
          <w:szCs w:val="20"/>
          <w:color w:val="auto"/>
        </w:rPr>
      </w:pPr>
    </w:p>
    <w:p>
      <w:pPr>
        <w:jc w:val="both"/>
        <w:ind w:left="280" w:firstLine="748"/>
        <w:spacing w:after="0" w:line="234" w:lineRule="auto"/>
        <w:tabs>
          <w:tab w:leader="none" w:pos="1769"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Effective Date and Allocations</w:t>
      </w:r>
      <w:r>
        <w:rPr>
          <w:rFonts w:ascii="Arial" w:cs="Arial" w:eastAsia="Arial" w:hAnsi="Arial"/>
          <w:sz w:val="20"/>
          <w:szCs w:val="20"/>
          <w:color w:val="auto"/>
        </w:rPr>
        <w:t xml:space="preserve">. If any Additional Commitments are added in accordance with this </w:t>
      </w:r>
      <w:r>
        <w:rPr>
          <w:rFonts w:ascii="Arial" w:cs="Arial" w:eastAsia="Arial" w:hAnsi="Arial"/>
          <w:sz w:val="20"/>
          <w:szCs w:val="20"/>
          <w:u w:val="single" w:color="auto"/>
          <w:color w:val="auto"/>
        </w:rPr>
        <w:t>Section 2.15</w:t>
      </w:r>
      <w:r>
        <w:rPr>
          <w:rFonts w:ascii="Arial" w:cs="Arial" w:eastAsia="Arial" w:hAnsi="Arial"/>
          <w:sz w:val="20"/>
          <w:szCs w:val="20"/>
          <w:color w:val="auto"/>
        </w:rPr>
        <w:t>, the Administrative Agent and the Company shall determine the effective date (each, an “</w:t>
      </w:r>
      <w:r>
        <w:rPr>
          <w:rFonts w:ascii="Arial" w:cs="Arial" w:eastAsia="Arial" w:hAnsi="Arial"/>
          <w:sz w:val="20"/>
          <w:szCs w:val="20"/>
          <w:u w:val="single" w:color="auto"/>
          <w:color w:val="auto"/>
        </w:rPr>
        <w:t>Additional Commitments Closing Date</w:t>
      </w:r>
      <w:r>
        <w:rPr>
          <w:rFonts w:ascii="Arial" w:cs="Arial" w:eastAsia="Arial" w:hAnsi="Arial"/>
          <w:sz w:val="20"/>
          <w:szCs w:val="20"/>
          <w:color w:val="auto"/>
        </w:rPr>
        <w:t>”) and the final allocation thereof. The Administrative Agent shall promptly notify the Company, the existing Lenders and the Additional Lenders of the final allocation of such addition and the Additional Commitments Closing Date.</w:t>
      </w:r>
    </w:p>
    <w:p>
      <w:pPr>
        <w:spacing w:after="0" w:line="196" w:lineRule="exact"/>
        <w:rPr>
          <w:rFonts w:ascii="Arial" w:cs="Arial" w:eastAsia="Arial" w:hAnsi="Arial"/>
          <w:sz w:val="20"/>
          <w:szCs w:val="20"/>
          <w:color w:val="auto"/>
        </w:rPr>
      </w:pPr>
    </w:p>
    <w:p>
      <w:pPr>
        <w:jc w:val="both"/>
        <w:ind w:left="280" w:firstLine="748"/>
        <w:spacing w:after="0" w:line="237" w:lineRule="auto"/>
        <w:tabs>
          <w:tab w:leader="none" w:pos="1769"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 of Increase</w:t>
      </w:r>
      <w:r>
        <w:rPr>
          <w:rFonts w:ascii="Arial" w:cs="Arial" w:eastAsia="Arial" w:hAnsi="Arial"/>
          <w:sz w:val="20"/>
          <w:szCs w:val="20"/>
          <w:color w:val="auto"/>
        </w:rPr>
        <w:t>. The effectiveness of any Additional Commitment Amendment shall, unless otherwise agreed to by the Administrative Agent and each Additional Lender, be subject to the satisfaction on the Additional Commitments Closing Date of each of the following conditions:</w:t>
      </w:r>
    </w:p>
    <w:p>
      <w:pPr>
        <w:spacing w:after="0" w:line="182" w:lineRule="exact"/>
        <w:rPr>
          <w:rFonts w:ascii="Arial" w:cs="Arial" w:eastAsia="Arial" w:hAnsi="Arial"/>
          <w:sz w:val="20"/>
          <w:szCs w:val="20"/>
          <w:color w:val="auto"/>
        </w:rPr>
      </w:pPr>
    </w:p>
    <w:p>
      <w:pPr>
        <w:jc w:val="both"/>
        <w:ind w:left="1020" w:firstLine="757"/>
        <w:spacing w:after="0" w:line="263" w:lineRule="auto"/>
        <w:tabs>
          <w:tab w:leader="none" w:pos="250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in each of the other Loan Documents shall be true and correct on and as of the Additional Commitments Closing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1020" w:firstLine="757"/>
        <w:spacing w:after="0" w:line="237" w:lineRule="auto"/>
        <w:tabs>
          <w:tab w:leader="none" w:pos="2509" w:val="left"/>
        </w:tabs>
        <w:numPr>
          <w:ilvl w:val="1"/>
          <w:numId w:val="163"/>
        </w:numPr>
        <w:rPr>
          <w:rFonts w:ascii="Arial" w:cs="Arial" w:eastAsia="Arial" w:hAnsi="Arial"/>
          <w:sz w:val="20"/>
          <w:szCs w:val="20"/>
          <w:color w:val="auto"/>
        </w:rPr>
      </w:pPr>
      <w:r>
        <w:rPr>
          <w:rFonts w:ascii="Arial" w:cs="Arial" w:eastAsia="Arial" w:hAnsi="Arial"/>
          <w:sz w:val="20"/>
          <w:szCs w:val="20"/>
          <w:color w:val="auto"/>
        </w:rPr>
        <w:t>no Default shall exist as of the Additional Commitments Closing Date, and no Default shall occur on the Additional Commitments Closing Date as a result of making any Credit Extension in connection with the Additional Commitments or from the application of the proceeds thereof;</w:t>
      </w:r>
    </w:p>
    <w:p>
      <w:pPr>
        <w:spacing w:after="0" w:line="169" w:lineRule="exact"/>
        <w:rPr>
          <w:rFonts w:ascii="Arial" w:cs="Arial" w:eastAsia="Arial" w:hAnsi="Arial"/>
          <w:sz w:val="20"/>
          <w:szCs w:val="20"/>
          <w:color w:val="auto"/>
        </w:rPr>
      </w:pPr>
    </w:p>
    <w:p>
      <w:pPr>
        <w:jc w:val="both"/>
        <w:ind w:left="1020" w:firstLine="757"/>
        <w:spacing w:after="0" w:line="230" w:lineRule="auto"/>
        <w:tabs>
          <w:tab w:leader="none" w:pos="2509" w:val="left"/>
        </w:tabs>
        <w:numPr>
          <w:ilvl w:val="1"/>
          <w:numId w:val="163"/>
        </w:numPr>
        <w:rPr>
          <w:rFonts w:ascii="Arial" w:cs="Arial" w:eastAsia="Arial" w:hAnsi="Arial"/>
          <w:sz w:val="20"/>
          <w:szCs w:val="20"/>
          <w:color w:val="auto"/>
        </w:rPr>
      </w:pPr>
      <w:r>
        <w:rPr>
          <w:rFonts w:ascii="Arial" w:cs="Arial" w:eastAsia="Arial" w:hAnsi="Arial"/>
          <w:sz w:val="20"/>
          <w:szCs w:val="20"/>
          <w:color w:val="auto"/>
        </w:rPr>
        <w:t xml:space="preserve">after giving effect to such Additional Commitment Amendment, the Indebtedness to be incurred in connection therewith (assuming, in the case of any increase in the Aggregate Revolving Credit Commitments, that such Additional Commitments and all other Revolving Credit Commitments are fully drawn) and, if applicable, the Permitted Acquisition consummated in connection therewith, the Company and its Restricted Subsidiaries shall be in </w:t>
      </w:r>
      <w:r>
        <w:rPr>
          <w:rFonts w:ascii="Arial" w:cs="Arial" w:eastAsia="Arial" w:hAnsi="Arial"/>
          <w:sz w:val="20"/>
          <w:szCs w:val="20"/>
          <w:u w:val="single" w:color="auto"/>
          <w:color w:val="auto"/>
        </w:rPr>
        <w:t>pro forma</w:t>
      </w:r>
      <w:r>
        <w:rPr>
          <w:rFonts w:ascii="Arial" w:cs="Arial" w:eastAsia="Arial" w:hAnsi="Arial"/>
          <w:sz w:val="20"/>
          <w:szCs w:val="20"/>
          <w:color w:val="auto"/>
        </w:rPr>
        <w:t xml:space="preserve"> compliance with all of the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such compliance to be determined on the basis of financial information for the fiscal period most recently ended for which financial information is available and calculated in accordance with </w:t>
      </w:r>
      <w:r>
        <w:rPr>
          <w:rFonts w:ascii="Arial" w:cs="Arial" w:eastAsia="Arial" w:hAnsi="Arial"/>
          <w:sz w:val="20"/>
          <w:szCs w:val="20"/>
          <w:u w:val="single" w:color="auto"/>
          <w:color w:val="auto"/>
        </w:rPr>
        <w:t>Section1.07</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jc w:val="both"/>
        <w:ind w:left="1020" w:firstLine="757"/>
        <w:spacing w:after="0" w:line="258" w:lineRule="auto"/>
        <w:tabs>
          <w:tab w:leader="none" w:pos="250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Administrative Agent shall have received each of the following, each dated the applicable Additional Commitments Closing Date unless otherwise indicated or agreed to by the Administrative Agent and each in form and substance reasonably satisfactory to the Administrative Agent: (A) the applicable Additional Commitment Amendment (and such other documents contemplated to be delivered in connection therewith); and (B) a certificate of each Loan Party signed by a Responsible Officer of such Loan Party certifying and attaching the resolutions adopted by the board of directors (or other appropriate governing body) of such Loan Party approving or consenting to the Additional Commitment Amendment and the Additional Commitments provided thereby, and in the case of the Company, certifying as to the satisfaction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76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2" w:name="page203"/>
    <w:bookmarkEnd w:id="202"/>
    <w:p>
      <w:pPr>
        <w:ind w:left="1020" w:right="20"/>
        <w:spacing w:after="0" w:line="272" w:lineRule="auto"/>
        <w:rPr>
          <w:sz w:val="20"/>
          <w:szCs w:val="20"/>
          <w:color w:val="auto"/>
        </w:rPr>
      </w:pPr>
      <w:r>
        <w:rPr>
          <w:rFonts w:ascii="Arial" w:cs="Arial" w:eastAsia="Arial" w:hAnsi="Arial"/>
          <w:sz w:val="19"/>
          <w:szCs w:val="19"/>
          <w:color w:val="auto"/>
        </w:rPr>
        <w:t xml:space="preserve">of the conditions set forth in the foregoing </w:t>
      </w:r>
      <w:r>
        <w:rPr>
          <w:rFonts w:ascii="Arial" w:cs="Arial" w:eastAsia="Arial" w:hAnsi="Arial"/>
          <w:sz w:val="19"/>
          <w:szCs w:val="19"/>
          <w:u w:val="single" w:color="auto"/>
          <w:color w:val="auto"/>
        </w:rPr>
        <w:t>subsections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certifying that such Additional Commitments do not exceed the Additional Commitments Limit (and, if applicable, providing the calculations in support thereof);</w:t>
      </w:r>
    </w:p>
    <w:p>
      <w:pPr>
        <w:spacing w:after="0" w:line="153" w:lineRule="exact"/>
        <w:rPr>
          <w:sz w:val="20"/>
          <w:szCs w:val="20"/>
          <w:color w:val="auto"/>
        </w:rPr>
      </w:pPr>
    </w:p>
    <w:p>
      <w:pPr>
        <w:jc w:val="both"/>
        <w:ind w:left="1020" w:firstLine="757"/>
        <w:spacing w:after="0" w:line="232" w:lineRule="auto"/>
        <w:tabs>
          <w:tab w:leader="none" w:pos="2509" w:val="left"/>
        </w:tabs>
        <w:numPr>
          <w:ilvl w:val="1"/>
          <w:numId w:val="164"/>
        </w:numPr>
        <w:rPr>
          <w:rFonts w:ascii="Arial" w:cs="Arial" w:eastAsia="Arial" w:hAnsi="Arial"/>
          <w:sz w:val="20"/>
          <w:szCs w:val="20"/>
          <w:color w:val="auto"/>
        </w:rPr>
      </w:pPr>
      <w:r>
        <w:rPr>
          <w:rFonts w:ascii="Arial" w:cs="Arial" w:eastAsia="Arial" w:hAnsi="Arial"/>
          <w:sz w:val="20"/>
          <w:szCs w:val="20"/>
          <w:color w:val="auto"/>
        </w:rPr>
        <w:t>there shall have been paid to the Administrative Agent, for the account of the Administrative Agent and the Lenders (including any Person becoming a Lender as part of such Additional Commitment Amendment on the related Additional Commitments Closing Date), as applicable, all fees and expenses (including reasonable and documented out-of-pocket fees, charges and disbursements of counsel) that are due and payable on or before the Additional Commitments Closing Date; and</w:t>
      </w:r>
    </w:p>
    <w:p>
      <w:pPr>
        <w:spacing w:after="0" w:line="197" w:lineRule="exact"/>
        <w:rPr>
          <w:rFonts w:ascii="Arial" w:cs="Arial" w:eastAsia="Arial" w:hAnsi="Arial"/>
          <w:sz w:val="20"/>
          <w:szCs w:val="20"/>
          <w:color w:val="auto"/>
        </w:rPr>
      </w:pPr>
    </w:p>
    <w:p>
      <w:pPr>
        <w:jc w:val="both"/>
        <w:ind w:left="1020" w:firstLine="757"/>
        <w:spacing w:after="0" w:line="258" w:lineRule="auto"/>
        <w:tabs>
          <w:tab w:leader="none" w:pos="2509"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 upon the reasonable request of any Lender made at least five Business Days prior to the Additional Commitments Closing Date, the Company shall have provided to such Lender, and such Lender shall be reasonably satisfied with, the documentation and other information so requested in connection with applicable “know your customer” and anti-money- laundering rules and regulations, including, without limitation, the Act, in each case at least three Business Days prior to the Increase Effective Date and (B) at least three Business Days prior to the Additional Commitments Closing Date, any Loan Party that qualifies as a “legal entity customer” under the Beneficial Ownership Regulation shall have delivered, to each Lender that so requests, a Beneficial Ownership Certification in relation to such Loan Party.</w:t>
      </w:r>
    </w:p>
    <w:p>
      <w:pPr>
        <w:spacing w:after="0" w:line="170" w:lineRule="exact"/>
        <w:rPr>
          <w:rFonts w:ascii="Arial" w:cs="Arial" w:eastAsia="Arial" w:hAnsi="Arial"/>
          <w:sz w:val="18"/>
          <w:szCs w:val="18"/>
          <w:color w:val="auto"/>
        </w:rPr>
      </w:pPr>
    </w:p>
    <w:p>
      <w:pPr>
        <w:ind w:left="1760" w:hanging="732"/>
        <w:spacing w:after="0"/>
        <w:tabs>
          <w:tab w:leader="none" w:pos="1760" w:val="left"/>
        </w:tabs>
        <w:numPr>
          <w:ilvl w:val="0"/>
          <w:numId w:val="165"/>
        </w:numPr>
        <w:rPr>
          <w:rFonts w:ascii="Arial" w:cs="Arial" w:eastAsia="Arial" w:hAnsi="Arial"/>
          <w:sz w:val="19"/>
          <w:szCs w:val="19"/>
          <w:color w:val="auto"/>
        </w:rPr>
      </w:pPr>
      <w:r>
        <w:rPr>
          <w:rFonts w:ascii="Arial" w:cs="Arial" w:eastAsia="Arial" w:hAnsi="Arial"/>
          <w:sz w:val="19"/>
          <w:szCs w:val="19"/>
          <w:u w:val="single" w:color="auto"/>
          <w:color w:val="auto"/>
        </w:rPr>
        <w:t>Effect of Additional Commitment Amendment</w:t>
      </w:r>
      <w:r>
        <w:rPr>
          <w:rFonts w:ascii="Arial" w:cs="Arial" w:eastAsia="Arial" w:hAnsi="Arial"/>
          <w:sz w:val="19"/>
          <w:szCs w:val="19"/>
          <w:color w:val="auto"/>
        </w:rPr>
        <w:t>. On each Additional Commitments Closing Date, (i) each Eligible</w:t>
      </w:r>
    </w:p>
    <w:p>
      <w:pPr>
        <w:spacing w:after="0" w:line="14" w:lineRule="exact"/>
        <w:rPr>
          <w:sz w:val="20"/>
          <w:szCs w:val="20"/>
          <w:color w:val="auto"/>
        </w:rPr>
      </w:pPr>
    </w:p>
    <w:p>
      <w:pPr>
        <w:jc w:val="both"/>
        <w:ind w:left="280"/>
        <w:spacing w:after="0" w:line="237" w:lineRule="auto"/>
        <w:rPr>
          <w:sz w:val="20"/>
          <w:szCs w:val="20"/>
          <w:color w:val="auto"/>
        </w:rPr>
      </w:pPr>
      <w:r>
        <w:rPr>
          <w:rFonts w:ascii="Arial" w:cs="Arial" w:eastAsia="Arial" w:hAnsi="Arial"/>
          <w:sz w:val="19"/>
          <w:szCs w:val="19"/>
          <w:color w:val="auto"/>
        </w:rPr>
        <w:t>Assignee which is providing an Additional Commitment shall become a “Lender” for all purposes of this Agreement and the other Loan Documents, (ii) each Additional Commitment shall become “Commitments” hereunder, (iii) each loan provided pursuant to an Additional Commitment shall be a “Loan” for all purposes of this Agreement and the other Loan Documents, and</w:t>
      </w:r>
    </w:p>
    <w:p>
      <w:pPr>
        <w:spacing w:after="0" w:line="1" w:lineRule="exact"/>
        <w:rPr>
          <w:sz w:val="20"/>
          <w:szCs w:val="20"/>
          <w:color w:val="auto"/>
        </w:rPr>
      </w:pPr>
    </w:p>
    <w:p>
      <w:pPr>
        <w:jc w:val="both"/>
        <w:ind w:left="280"/>
        <w:spacing w:after="0" w:line="230" w:lineRule="auto"/>
        <w:rPr>
          <w:sz w:val="20"/>
          <w:szCs w:val="20"/>
          <w:color w:val="auto"/>
        </w:rPr>
      </w:pPr>
      <w:r>
        <w:rPr>
          <w:rFonts w:ascii="Arial" w:cs="Arial" w:eastAsia="Arial" w:hAnsi="Arial"/>
          <w:sz w:val="20"/>
          <w:szCs w:val="20"/>
          <w:color w:val="auto"/>
        </w:rPr>
        <w:t xml:space="preserve">(iv)in the case of any increase of the Aggregate Revolving Credit Commitments, the Company shall prepay any Revolving Credit Loans outstanding (and pay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to the extent necessary to keep the outstanding Revolving Credit Loans ratable with any revised Applicable Revolving Credit Percentages arising from any nonratable increase in the Revolving Credit Commitments under this Section.</w:t>
      </w:r>
    </w:p>
    <w:p>
      <w:pPr>
        <w:spacing w:after="0" w:line="196" w:lineRule="exact"/>
        <w:rPr>
          <w:sz w:val="20"/>
          <w:szCs w:val="20"/>
          <w:color w:val="auto"/>
        </w:rPr>
      </w:pPr>
    </w:p>
    <w:p>
      <w:pPr>
        <w:ind w:left="1760" w:hanging="732"/>
        <w:spacing w:after="0"/>
        <w:tabs>
          <w:tab w:leader="none" w:pos="1760"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Conflicting Provisions</w:t>
      </w:r>
      <w:r>
        <w:rPr>
          <w:rFonts w:ascii="Arial" w:cs="Arial" w:eastAsia="Arial" w:hAnsi="Arial"/>
          <w:sz w:val="19"/>
          <w:szCs w:val="19"/>
          <w:color w:val="auto"/>
        </w:rPr>
        <w:t xml:space="preserve">. This Section shall supersede any provisions in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10.01</w:t>
      </w:r>
      <w:r>
        <w:rPr>
          <w:rFonts w:ascii="Arial" w:cs="Arial" w:eastAsia="Arial" w:hAnsi="Arial"/>
          <w:sz w:val="19"/>
          <w:szCs w:val="19"/>
          <w:color w:val="auto"/>
        </w:rPr>
        <w:t xml:space="preserve"> to the contrary.</w:t>
      </w:r>
    </w:p>
    <w:p>
      <w:pPr>
        <w:spacing w:after="0" w:line="200" w:lineRule="exact"/>
        <w:rPr>
          <w:rFonts w:ascii="Arial" w:cs="Arial" w:eastAsia="Arial" w:hAnsi="Arial"/>
          <w:sz w:val="19"/>
          <w:szCs w:val="19"/>
          <w:color w:val="auto"/>
        </w:rPr>
      </w:pPr>
    </w:p>
    <w:p>
      <w:pPr>
        <w:ind w:left="840"/>
        <w:spacing w:after="0"/>
        <w:rPr>
          <w:rFonts w:ascii="Arial" w:cs="Arial" w:eastAsia="Arial" w:hAnsi="Arial"/>
          <w:sz w:val="19"/>
          <w:szCs w:val="19"/>
          <w:color w:val="auto"/>
        </w:rPr>
      </w:pPr>
      <w:r>
        <w:rPr>
          <w:rFonts w:ascii="Arial" w:cs="Arial" w:eastAsia="Arial" w:hAnsi="Arial"/>
          <w:sz w:val="20"/>
          <w:szCs w:val="20"/>
          <w:color w:val="auto"/>
        </w:rPr>
        <w:t>1.17</w:t>
      </w:r>
      <w:r>
        <w:rPr>
          <w:rFonts w:ascii="Arial" w:cs="Arial" w:eastAsia="Arial" w:hAnsi="Arial"/>
          <w:sz w:val="16"/>
          <w:szCs w:val="16"/>
          <w:color w:val="auto"/>
        </w:rPr>
        <w:t>Cash Collateral.</w:t>
      </w:r>
    </w:p>
    <w:p>
      <w:pPr>
        <w:spacing w:after="0" w:line="216" w:lineRule="exact"/>
        <w:rPr>
          <w:sz w:val="20"/>
          <w:szCs w:val="20"/>
          <w:color w:val="auto"/>
        </w:rPr>
      </w:pPr>
    </w:p>
    <w:p>
      <w:pPr>
        <w:jc w:val="both"/>
        <w:ind w:left="280" w:firstLine="748"/>
        <w:spacing w:after="0" w:line="253" w:lineRule="auto"/>
        <w:tabs>
          <w:tab w:leader="none" w:pos="1769"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any L/C Issuer has honored any full or partial drawing request under any Letter of Credit and such drawing has resulted in an L/C Borrowing, (ii) as of the close of business on the Letter of Credit Expiration Date, any L/C Obligation for any reason remains outstanding, (iii) the Company shall be required to provide Cash Collateral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8.02(c)</w:t>
      </w:r>
      <w:r>
        <w:rPr>
          <w:rFonts w:ascii="Arial" w:cs="Arial" w:eastAsia="Arial" w:hAnsi="Arial"/>
          <w:sz w:val="18"/>
          <w:szCs w:val="18"/>
          <w:color w:val="auto"/>
        </w:rPr>
        <w:t xml:space="preserve">, or (iv) there shall exist a Defaulting Lender, the Company shall immediately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Arial" w:cs="Arial" w:eastAsia="Arial" w:hAnsi="Arial"/>
          <w:sz w:val="18"/>
          <w:szCs w:val="18"/>
          <w:u w:val="single" w:color="auto"/>
          <w:color w:val="auto"/>
        </w:rPr>
        <w:t>clause</w:t>
      </w:r>
    </w:p>
    <w:p>
      <w:pPr>
        <w:spacing w:after="0" w:line="2" w:lineRule="exact"/>
        <w:rPr>
          <w:rFonts w:ascii="Arial" w:cs="Arial" w:eastAsia="Arial" w:hAnsi="Arial"/>
          <w:sz w:val="18"/>
          <w:szCs w:val="18"/>
          <w:color w:val="auto"/>
        </w:rPr>
      </w:pPr>
    </w:p>
    <w:p>
      <w:pPr>
        <w:jc w:val="both"/>
        <w:ind w:left="280" w:hanging="1"/>
        <w:spacing w:after="0" w:line="258" w:lineRule="auto"/>
        <w:tabs>
          <w:tab w:leader="none" w:pos="629" w:val="left"/>
        </w:tabs>
        <w:numPr>
          <w:ilvl w:val="0"/>
          <w:numId w:val="168"/>
        </w:numPr>
        <w:rPr>
          <w:rFonts w:ascii="Arial" w:cs="Arial" w:eastAsia="Arial" w:hAnsi="Arial"/>
          <w:sz w:val="18"/>
          <w:szCs w:val="18"/>
          <w:u w:val="single" w:color="auto"/>
          <w:color w:val="auto"/>
        </w:rPr>
      </w:pPr>
      <w:r>
        <w:rPr>
          <w:rFonts w:ascii="Arial" w:cs="Arial" w:eastAsia="Arial" w:hAnsi="Arial"/>
          <w:sz w:val="18"/>
          <w:szCs w:val="18"/>
          <w:color w:val="auto"/>
        </w:rPr>
        <w:t xml:space="preserve">above, after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and any Cash Collateral provided by the Defaulting Lender) and, in the case of clause (iii) above, if applicable, Cash Collateral in an amount not less than the maximum potential drawings under Secured Permitted Bilateral Letters of Credit. Additionally, if the Administrative Agent notifies the Company at any time that the Outstanding Amount of all L/C Obligations at such time exceeds 103% of the Letter of Credit Sublimit then in effect, then, within two Business Days after receipt of such notice, the Company shall provide Cash Collateral for the Outstanding Amount of the L/C Obligations in</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2"/>
          <w:szCs w:val="22"/>
          <w:color w:val="auto"/>
        </w:rPr>
        <w:t>77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3" w:name="page204"/>
    <w:bookmarkEnd w:id="203"/>
    <w:p>
      <w:pPr>
        <w:ind w:left="280"/>
        <w:spacing w:after="0"/>
        <w:rPr>
          <w:sz w:val="20"/>
          <w:szCs w:val="20"/>
          <w:color w:val="auto"/>
        </w:rPr>
      </w:pPr>
      <w:r>
        <w:rPr>
          <w:rFonts w:ascii="Arial" w:cs="Arial" w:eastAsia="Arial" w:hAnsi="Arial"/>
          <w:sz w:val="18"/>
          <w:szCs w:val="18"/>
          <w:color w:val="auto"/>
        </w:rPr>
        <w:t>an amount not less than the amount by which the Outstanding Amount of all L/C Obligations exceeds the Letter of Credit Sublimit.</w:t>
      </w:r>
    </w:p>
    <w:p>
      <w:pPr>
        <w:spacing w:after="0" w:line="225" w:lineRule="exact"/>
        <w:rPr>
          <w:sz w:val="20"/>
          <w:szCs w:val="20"/>
          <w:color w:val="auto"/>
        </w:rPr>
      </w:pPr>
    </w:p>
    <w:p>
      <w:pPr>
        <w:jc w:val="both"/>
        <w:ind w:left="280" w:firstLine="748"/>
        <w:spacing w:after="0"/>
        <w:tabs>
          <w:tab w:leader="none" w:pos="1770"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The Company, and to the extent provided by any Defaulting Lender, such Defaulting Lender, hereby grants to (and subjects to the control of) the Administrative Agent, for the benefit of the Administrative Agent, the L/C Issuers, the Lenders and the PSLOC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2.16(c)</w:t>
      </w:r>
      <w:r>
        <w:rPr>
          <w:rFonts w:ascii="Arial" w:cs="Arial" w:eastAsia="Arial" w:hAnsi="Arial"/>
          <w:sz w:val="19"/>
          <w:szCs w:val="19"/>
          <w:color w:val="auto"/>
        </w:rPr>
        <w:t>. If at any time the Administrative Agent determines that Cash Collateral is subject to any right or claim of any Person other than the Administrative Agent, the L/C Issuers, the Lenders and the PSLOC Banks as herein provided, or that the total amount of such Cash Collateral is less than the Minimum Collateral Amount or the maximum potential drawings under Secured Permitted Bilateral Letters of Credit, as applicable,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97" w:lineRule="exact"/>
        <w:rPr>
          <w:rFonts w:ascii="Arial" w:cs="Arial" w:eastAsia="Arial" w:hAnsi="Arial"/>
          <w:sz w:val="19"/>
          <w:szCs w:val="19"/>
          <w:color w:val="auto"/>
        </w:rPr>
      </w:pPr>
    </w:p>
    <w:p>
      <w:pPr>
        <w:jc w:val="both"/>
        <w:ind w:left="280" w:firstLine="748"/>
        <w:spacing w:after="0" w:line="244" w:lineRule="auto"/>
        <w:tabs>
          <w:tab w:leader="none" w:pos="1769"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Application</w:t>
      </w:r>
      <w:r>
        <w:rPr>
          <w:rFonts w:ascii="Arial" w:cs="Arial" w:eastAsia="Arial" w:hAnsi="Arial"/>
          <w:sz w:val="19"/>
          <w:szCs w:val="19"/>
          <w:color w:val="auto"/>
        </w:rPr>
        <w:t xml:space="preserve">. Notwithstanding anything to the contrary contained in this Agreement, Cash Collateral provided under any of this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Sections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8.02</w:t>
      </w:r>
      <w:r>
        <w:rPr>
          <w:rFonts w:ascii="Arial" w:cs="Arial" w:eastAsia="Arial" w:hAnsi="Arial"/>
          <w:sz w:val="19"/>
          <w:szCs w:val="19"/>
          <w:color w:val="auto"/>
        </w:rPr>
        <w:t xml:space="preserve"> in respectof Letters of Credit or Secured Permitted Standalone Letters of Credit shall be held and applied to the satisfaction of the specific L/C Obligations, obligations to fund participations therein (including, as to Cash Collateral provided by any Defaulting Lender, any interest accrued on such obligation) and other obligations for which the Cash Collateral was so provided (including obligations under Secured Permitted Standalone Letters of Credit), prior to any other application of such property as may otherwise be provided for herein.</w:t>
      </w:r>
    </w:p>
    <w:p>
      <w:pPr>
        <w:spacing w:after="0" w:line="179" w:lineRule="exact"/>
        <w:rPr>
          <w:rFonts w:ascii="Arial" w:cs="Arial" w:eastAsia="Arial" w:hAnsi="Arial"/>
          <w:sz w:val="19"/>
          <w:szCs w:val="19"/>
          <w:color w:val="auto"/>
        </w:rPr>
      </w:pPr>
    </w:p>
    <w:p>
      <w:pPr>
        <w:jc w:val="both"/>
        <w:ind w:left="280" w:firstLine="748"/>
        <w:spacing w:after="0" w:line="257" w:lineRule="auto"/>
        <w:tabs>
          <w:tab w:leader="none" w:pos="177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8"/>
          <w:szCs w:val="18"/>
          <w:u w:val="single" w:color="auto"/>
          <w:color w:val="auto"/>
        </w:rPr>
        <w:t>Section 10.06(b)(vi)</w:t>
      </w:r>
      <w:r>
        <w:rPr>
          <w:rFonts w:ascii="Arial" w:cs="Arial" w:eastAsia="Arial" w:hAnsi="Arial"/>
          <w:sz w:val="18"/>
          <w:szCs w:val="18"/>
          <w:color w:val="auto"/>
        </w:rPr>
        <w:t xml:space="preserve">)) or (ii) the determination by the Administrative Agent and the L/C Issuers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Issuers may agree that Cash Collateral shall not be released but instead held to support future anticipated Fronting Exposure or otherobligations.</w:t>
      </w:r>
    </w:p>
    <w:p>
      <w:pPr>
        <w:spacing w:after="0" w:line="184"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Defaulting Lenders.</w:t>
      </w:r>
    </w:p>
    <w:p>
      <w:pPr>
        <w:spacing w:after="0" w:line="202" w:lineRule="exact"/>
        <w:rPr>
          <w:sz w:val="20"/>
          <w:szCs w:val="20"/>
          <w:color w:val="auto"/>
        </w:rPr>
      </w:pPr>
    </w:p>
    <w:p>
      <w:pPr>
        <w:ind w:left="280" w:right="20" w:firstLine="748"/>
        <w:spacing w:after="0" w:line="300" w:lineRule="auto"/>
        <w:tabs>
          <w:tab w:leader="none" w:pos="1768"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30" w:lineRule="exact"/>
        <w:rPr>
          <w:rFonts w:ascii="Arial" w:cs="Arial" w:eastAsia="Arial" w:hAnsi="Arial"/>
          <w:sz w:val="18"/>
          <w:szCs w:val="18"/>
          <w:color w:val="auto"/>
        </w:rPr>
      </w:pPr>
    </w:p>
    <w:p>
      <w:pPr>
        <w:jc w:val="both"/>
        <w:ind w:left="1020" w:firstLine="757"/>
        <w:spacing w:after="0" w:line="237" w:lineRule="auto"/>
        <w:tabs>
          <w:tab w:leader="none" w:pos="2509" w:val="left"/>
        </w:tabs>
        <w:numPr>
          <w:ilvl w:val="1"/>
          <w:numId w:val="170"/>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xml:space="preserve">. Such Defaulting Lender’s right to approve or disapprove any amendment, waiver or consent with respect to this Agreement shall be restricted as set forth in the definition of “Required Lenders”, “Required Revolving Credit Lenders”, “Required Term Loan Lenders” and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78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4" w:name="page205"/>
    <w:bookmarkEnd w:id="204"/>
    <w:p>
      <w:pPr>
        <w:jc w:val="both"/>
        <w:ind w:left="1020" w:firstLine="757"/>
        <w:spacing w:after="0" w:line="252" w:lineRule="auto"/>
        <w:tabs>
          <w:tab w:leader="none" w:pos="250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L/C Issuer or Swing Line Lender hereunder; third, to Cash Collateralize the L/C Issuers’ Fronting Exposure with respect to such Defaulting Lender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fourth, as the Company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sixth,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seventh,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eighth,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2.17(a)(ii)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62" w:lineRule="exact"/>
        <w:rPr>
          <w:rFonts w:ascii="Arial" w:cs="Arial" w:eastAsia="Arial" w:hAnsi="Arial"/>
          <w:sz w:val="18"/>
          <w:szCs w:val="18"/>
          <w:color w:val="auto"/>
        </w:rPr>
      </w:pPr>
    </w:p>
    <w:p>
      <w:pPr>
        <w:ind w:left="2520" w:hanging="743"/>
        <w:spacing w:after="0"/>
        <w:tabs>
          <w:tab w:leader="none" w:pos="2520"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780" w:firstLine="746"/>
        <w:spacing w:after="0" w:line="237" w:lineRule="auto"/>
        <w:tabs>
          <w:tab w:leader="none" w:pos="3268" w:val="left"/>
        </w:tabs>
        <w:numPr>
          <w:ilvl w:val="1"/>
          <w:numId w:val="171"/>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96" w:lineRule="exact"/>
        <w:rPr>
          <w:rFonts w:ascii="Arial" w:cs="Arial" w:eastAsia="Arial" w:hAnsi="Arial"/>
          <w:sz w:val="20"/>
          <w:szCs w:val="20"/>
          <w:color w:val="auto"/>
        </w:rPr>
      </w:pPr>
    </w:p>
    <w:p>
      <w:pPr>
        <w:jc w:val="both"/>
        <w:ind w:left="1780" w:right="20" w:firstLine="746"/>
        <w:spacing w:after="0" w:line="237" w:lineRule="auto"/>
        <w:tabs>
          <w:tab w:leader="none" w:pos="3268" w:val="left"/>
        </w:tabs>
        <w:numPr>
          <w:ilvl w:val="1"/>
          <w:numId w:val="171"/>
        </w:numPr>
        <w:rPr>
          <w:rFonts w:ascii="Arial" w:cs="Arial" w:eastAsia="Arial" w:hAnsi="Arial"/>
          <w:sz w:val="20"/>
          <w:szCs w:val="20"/>
          <w:color w:val="auto"/>
        </w:rPr>
      </w:pPr>
      <w:r>
        <w:rPr>
          <w:rFonts w:ascii="Arial" w:cs="Arial" w:eastAsia="Arial" w:hAnsi="Arial"/>
          <w:sz w:val="20"/>
          <w:szCs w:val="20"/>
          <w:color w:val="auto"/>
        </w:rPr>
        <w:t>Each Defaulting Lender which is a Revolving Credit Lender shall be entitled to receive Letter of Credit Fees for any period during which that Lender is a Defaulting Lender only to the extent allocable to its Applicable Revolving Credit</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color w:val="auto"/>
        </w:rPr>
        <w:t>79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5" w:name="page206"/>
    <w:bookmarkEnd w:id="205"/>
    <w:p>
      <w:pPr>
        <w:ind w:left="1780" w:right="980"/>
        <w:spacing w:after="0" w:line="246" w:lineRule="auto"/>
        <w:rPr>
          <w:sz w:val="20"/>
          <w:szCs w:val="20"/>
          <w:color w:val="auto"/>
        </w:rPr>
      </w:pPr>
      <w:r>
        <w:rPr>
          <w:rFonts w:ascii="Arial" w:cs="Arial" w:eastAsia="Arial" w:hAnsi="Arial"/>
          <w:sz w:val="20"/>
          <w:szCs w:val="20"/>
          <w:color w:val="auto"/>
        </w:rPr>
        <w:t xml:space="preserve">Percentage of the stated amount of Letters of Credit for which it has provided Cash Collateral pursuant to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63" w:lineRule="exact"/>
        <w:rPr>
          <w:sz w:val="20"/>
          <w:szCs w:val="20"/>
          <w:color w:val="auto"/>
        </w:rPr>
      </w:pPr>
    </w:p>
    <w:p>
      <w:pPr>
        <w:jc w:val="both"/>
        <w:ind w:left="1780" w:firstLine="745"/>
        <w:spacing w:after="0" w:line="257" w:lineRule="auto"/>
        <w:tabs>
          <w:tab w:leader="none" w:pos="3268" w:val="left"/>
        </w:tabs>
        <w:numPr>
          <w:ilvl w:val="2"/>
          <w:numId w:val="172"/>
        </w:numPr>
        <w:rPr>
          <w:rFonts w:ascii="Arial" w:cs="Arial" w:eastAsia="Arial" w:hAnsi="Arial"/>
          <w:sz w:val="18"/>
          <w:szCs w:val="18"/>
          <w:color w:val="auto"/>
        </w:rPr>
      </w:pPr>
      <w:r>
        <w:rPr>
          <w:rFonts w:ascii="Arial" w:cs="Arial" w:eastAsia="Arial" w:hAnsi="Arial"/>
          <w:sz w:val="18"/>
          <w:szCs w:val="18"/>
          <w:color w:val="auto"/>
        </w:rPr>
        <w:t xml:space="preserve">With respect to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or any Letter of Credit Fee not required to be paid to any Defaulting Lender pursuant to clause (A) or (B) above, the Company shall (x) pay to each Non-Defaulting Lender which is a Revolving Credit Lender that portion of any such fee otherwise payable to such Defaulting Lender with respect to such Defaulting Lender’s participation in L/C Obligations or Swing Line Loans that has been reallocated to such Non-Defaulting Lender pursuant to clause (iv) below, (y) pay to the Swing Line Lender and the applicable L/C Issuer, as applicable, the amount of any such fee otherwise payable to such Defaulting Lender to the extent allocable to such L/C Issuer’s or the Swing Line Lender’s Fronting Exposure to such Defaulting Lender, and (z) not be required to pay the remaining amount of any such fee.</w:t>
      </w:r>
    </w:p>
    <w:p>
      <w:pPr>
        <w:spacing w:after="0" w:line="184" w:lineRule="exact"/>
        <w:rPr>
          <w:rFonts w:ascii="Arial" w:cs="Arial" w:eastAsia="Arial" w:hAnsi="Arial"/>
          <w:sz w:val="18"/>
          <w:szCs w:val="18"/>
          <w:color w:val="auto"/>
        </w:rPr>
      </w:pPr>
    </w:p>
    <w:p>
      <w:pPr>
        <w:jc w:val="both"/>
        <w:ind w:left="1020" w:firstLine="757"/>
        <w:spacing w:after="0" w:line="241" w:lineRule="auto"/>
        <w:tabs>
          <w:tab w:leader="none" w:pos="2509" w:val="left"/>
        </w:tabs>
        <w:numPr>
          <w:ilvl w:val="1"/>
          <w:numId w:val="173"/>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Revolving Credit Percentages to Reduce Fronting Exposure</w:t>
      </w:r>
      <w:r>
        <w:rPr>
          <w:rFonts w:ascii="Arial" w:cs="Arial" w:eastAsia="Arial" w:hAnsi="Arial"/>
          <w:sz w:val="19"/>
          <w:szCs w:val="19"/>
          <w:color w:val="auto"/>
        </w:rPr>
        <w:t xml:space="preserve">. All or any part of such Defaulting Lender’s participation in L/C Obligations and Swing Line Loans shall be reallocated among the Non-Defaulting Lenders which are Revolving Credit Lenders in accordance with their respective Applicable Revolving Credit Percentages (calculated without regard to such Defaulting Lender’s Revolving Credit Commitment) but only to the extent that such reallocation does not cause the aggregate Revolving Credit Exposure of any Non- Defaulting Lender to exceed such Non-Defaulting Lender’s Revolving Credit Commitment. Subject to </w:t>
      </w:r>
      <w:r>
        <w:rPr>
          <w:rFonts w:ascii="Arial" w:cs="Arial" w:eastAsia="Arial" w:hAnsi="Arial"/>
          <w:sz w:val="19"/>
          <w:szCs w:val="19"/>
          <w:u w:val="single" w:color="auto"/>
          <w:color w:val="auto"/>
        </w:rPr>
        <w:t>Section 10.22</w:t>
      </w:r>
      <w:r>
        <w:rPr>
          <w:rFonts w:ascii="Arial" w:cs="Arial" w:eastAsia="Arial" w:hAnsi="Arial"/>
          <w:sz w:val="19"/>
          <w:szCs w:val="19"/>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 Defaulting Lender’s increased exposure following suchreallocation.</w:t>
      </w:r>
    </w:p>
    <w:p>
      <w:pPr>
        <w:spacing w:after="0" w:line="185" w:lineRule="exact"/>
        <w:rPr>
          <w:rFonts w:ascii="Arial" w:cs="Arial" w:eastAsia="Arial" w:hAnsi="Arial"/>
          <w:sz w:val="19"/>
          <w:szCs w:val="19"/>
          <w:color w:val="auto"/>
        </w:rPr>
      </w:pPr>
    </w:p>
    <w:p>
      <w:pPr>
        <w:jc w:val="both"/>
        <w:ind w:left="1020" w:firstLine="757"/>
        <w:spacing w:after="0" w:line="229" w:lineRule="auto"/>
        <w:tabs>
          <w:tab w:leader="none" w:pos="2508" w:val="left"/>
        </w:tabs>
        <w:numPr>
          <w:ilvl w:val="1"/>
          <w:numId w:val="173"/>
        </w:numPr>
        <w:rPr>
          <w:rFonts w:ascii="Arial" w:cs="Arial" w:eastAsia="Arial" w:hAnsi="Arial"/>
          <w:sz w:val="20"/>
          <w:szCs w:val="20"/>
          <w:color w:val="auto"/>
        </w:rPr>
      </w:pPr>
      <w:r>
        <w:rPr>
          <w:rFonts w:ascii="Arial" w:cs="Arial" w:eastAsia="Arial" w:hAnsi="Arial"/>
          <w:sz w:val="20"/>
          <w:szCs w:val="20"/>
          <w:u w:val="single" w:color="auto"/>
          <w:color w:val="auto"/>
        </w:rPr>
        <w:t>Cash Collateral, Repayment of Swing Line Loans</w:t>
      </w:r>
      <w:r>
        <w:rPr>
          <w:rFonts w:ascii="Arial" w:cs="Arial" w:eastAsia="Arial" w:hAnsi="Arial"/>
          <w:sz w:val="20"/>
          <w:szCs w:val="20"/>
          <w:color w:val="auto"/>
        </w:rPr>
        <w:t xml:space="preserve">. If the reallocation described in </w:t>
      </w:r>
      <w:r>
        <w:rPr>
          <w:rFonts w:ascii="Arial" w:cs="Arial" w:eastAsia="Arial" w:hAnsi="Arial"/>
          <w:sz w:val="20"/>
          <w:szCs w:val="20"/>
          <w:u w:val="single" w:color="auto"/>
          <w:color w:val="auto"/>
        </w:rPr>
        <w:t>clause (a)(iv)</w:t>
      </w:r>
      <w:r>
        <w:rPr>
          <w:rFonts w:ascii="Arial" w:cs="Arial" w:eastAsia="Arial" w:hAnsi="Arial"/>
          <w:sz w:val="20"/>
          <w:szCs w:val="20"/>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w:t>
      </w:r>
    </w:p>
    <w:p>
      <w:pPr>
        <w:spacing w:after="0" w:line="2" w:lineRule="exact"/>
        <w:rPr>
          <w:rFonts w:ascii="Arial" w:cs="Arial" w:eastAsia="Arial" w:hAnsi="Arial"/>
          <w:sz w:val="20"/>
          <w:szCs w:val="20"/>
          <w:color w:val="auto"/>
        </w:rPr>
      </w:pPr>
    </w:p>
    <w:p>
      <w:pPr>
        <w:ind w:left="1300" w:hanging="273"/>
        <w:spacing w:after="0" w:line="225" w:lineRule="auto"/>
        <w:tabs>
          <w:tab w:leader="none" w:pos="130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second, Cash Collateralize the L/C Issuers’ Fronting Exposure in accordance with the procedures set forth in</w:t>
      </w:r>
    </w:p>
    <w:p>
      <w:pPr>
        <w:ind w:left="1020"/>
        <w:spacing w:after="0"/>
        <w:rPr>
          <w:sz w:val="20"/>
          <w:szCs w:val="20"/>
          <w:color w:val="auto"/>
        </w:rPr>
      </w:pP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186" w:lineRule="exact"/>
        <w:rPr>
          <w:sz w:val="20"/>
          <w:szCs w:val="20"/>
          <w:color w:val="auto"/>
        </w:rPr>
      </w:pPr>
    </w:p>
    <w:p>
      <w:pPr>
        <w:jc w:val="both"/>
        <w:ind w:left="280" w:firstLine="748"/>
        <w:spacing w:after="0"/>
        <w:tabs>
          <w:tab w:leader="none" w:pos="1770"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Company, the Administrative Agent, and, in the case that a Defaulting Lender is a Revolving Credit Lender, the Swing Line Lender and the L/C Issuers agree in writing in their sole discretion that a Lender under any Facility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under such Facility or take such other actions as the Administrative Agent may determine to be necessary to cause the Loans under such Facility and, in the case of the Revolving Credit Facility, the funded and unfunded participations in Letters of Credit and Swing Line Loans to be held on a pro rata basis by the Lenders under such Facility in accordance with their Applicable Percentages (without giving effect to </w:t>
      </w:r>
      <w:r>
        <w:rPr>
          <w:rFonts w:ascii="Arial" w:cs="Arial" w:eastAsia="Arial" w:hAnsi="Arial"/>
          <w:sz w:val="19"/>
          <w:szCs w:val="19"/>
          <w:u w:val="single" w:color="auto"/>
          <w:color w:val="auto"/>
        </w:rPr>
        <w:t>Section 2.17(a)(iv)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adjustments will be made retroactively with respect to fees accrued or payments made by or on behalf of the Company while that Lender was a Defaulting Lender;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80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6" w:name="page207"/>
    <w:bookmarkEnd w:id="206"/>
    <w:p>
      <w:pPr>
        <w:jc w:val="both"/>
        <w:ind w:left="280" w:firstLine="755"/>
        <w:spacing w:after="0" w:line="248" w:lineRule="auto"/>
        <w:tabs>
          <w:tab w:leader="none" w:pos="1769"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New Swing Line Loans/Letters of Credit</w:t>
      </w:r>
      <w:r>
        <w:rPr>
          <w:rFonts w:ascii="Arial" w:cs="Arial" w:eastAsia="Arial" w:hAnsi="Arial"/>
          <w:sz w:val="19"/>
          <w:szCs w:val="19"/>
          <w:color w:val="auto"/>
        </w:rPr>
        <w:t>. So long as any Revolving Credit Lender is a Defaulting Lender, (i) the Swing Line Lender shall not be required to fund any Swing Line Loans unless it is satisfied that it will have no Fronting Exposure after giving effect to such Swing Line Loan and (ii) no L/C Issuer shall be required to issue, extend, increase, reinstate or renew any Letter of Credit unless it is satisfied that it will have no Fronting Exposure after giving effect thereto.</w:t>
      </w:r>
    </w:p>
    <w:p>
      <w:pPr>
        <w:spacing w:after="0" w:line="177"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6"/>
          <w:szCs w:val="16"/>
          <w:color w:val="auto"/>
        </w:rPr>
        <w:t>Designation of Unrestricted and Restricted Subsidiaries.</w:t>
      </w:r>
    </w:p>
    <w:p>
      <w:pPr>
        <w:spacing w:after="0" w:line="202" w:lineRule="exact"/>
        <w:rPr>
          <w:sz w:val="20"/>
          <w:szCs w:val="20"/>
          <w:color w:val="auto"/>
        </w:rPr>
      </w:pPr>
    </w:p>
    <w:p>
      <w:pPr>
        <w:jc w:val="both"/>
        <w:ind w:left="280" w:right="20" w:firstLine="748"/>
        <w:spacing w:after="0" w:line="227" w:lineRule="auto"/>
        <w:tabs>
          <w:tab w:leader="none" w:pos="1769" w:val="left"/>
        </w:tabs>
        <w:numPr>
          <w:ilvl w:val="1"/>
          <w:numId w:val="177"/>
        </w:numPr>
        <w:rPr>
          <w:rFonts w:ascii="Arial" w:cs="Arial" w:eastAsia="Arial" w:hAnsi="Arial"/>
          <w:sz w:val="20"/>
          <w:szCs w:val="20"/>
          <w:color w:val="auto"/>
        </w:rPr>
      </w:pPr>
      <w:r>
        <w:rPr>
          <w:rFonts w:ascii="Arial" w:cs="Arial" w:eastAsia="Arial" w:hAnsi="Arial"/>
          <w:sz w:val="20"/>
          <w:szCs w:val="20"/>
          <w:color w:val="auto"/>
        </w:rPr>
        <w:t xml:space="preserve">At any time on or after the Closing Date, upon written notice to the Administrative Agent (which written notice shall contain a certification as to the matters set forth in this </w:t>
      </w:r>
      <w:r>
        <w:rPr>
          <w:rFonts w:ascii="Arial" w:cs="Arial" w:eastAsia="Arial" w:hAnsi="Arial"/>
          <w:sz w:val="20"/>
          <w:szCs w:val="20"/>
          <w:u w:val="single" w:color="auto"/>
          <w:color w:val="auto"/>
        </w:rPr>
        <w:t>Section 2.18(a)</w:t>
      </w:r>
      <w:r>
        <w:rPr>
          <w:rFonts w:ascii="Arial" w:cs="Arial" w:eastAsia="Arial" w:hAnsi="Arial"/>
          <w:sz w:val="20"/>
          <w:szCs w:val="20"/>
          <w:color w:val="auto"/>
        </w:rPr>
        <w:t xml:space="preserve">), the Company may designate any Restricted Subsidiary (along with all Subsidiaries of such Restricted Subsidiary) as an “Unrestricted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both immediately before and immediately after giving effect to such designation, no Default or Event of Default shall have occurred and be continuing, (ii) the Investment in such Unrestricted Subsidiary must be permitted at such time under </w:t>
      </w:r>
      <w:r>
        <w:rPr>
          <w:rFonts w:ascii="Arial" w:cs="Arial" w:eastAsia="Arial" w:hAnsi="Arial"/>
          <w:sz w:val="20"/>
          <w:szCs w:val="20"/>
          <w:u w:val="single" w:color="auto"/>
          <w:color w:val="auto"/>
        </w:rPr>
        <w:t>Section 7.02(f)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(with the amount of such Investment being deemed to be the fair market value of the net assets of such Subsidiary at the time such Subsidiary is designated an Unrestricted Subsidiary),</w:t>
      </w:r>
    </w:p>
    <w:p>
      <w:pPr>
        <w:spacing w:after="0" w:line="5" w:lineRule="exact"/>
        <w:rPr>
          <w:rFonts w:ascii="Arial" w:cs="Arial" w:eastAsia="Arial" w:hAnsi="Arial"/>
          <w:sz w:val="20"/>
          <w:szCs w:val="20"/>
          <w:color w:val="auto"/>
        </w:rPr>
      </w:pPr>
    </w:p>
    <w:p>
      <w:pPr>
        <w:jc w:val="both"/>
        <w:ind w:left="280" w:hanging="2"/>
        <w:spacing w:after="0" w:line="252" w:lineRule="auto"/>
        <w:tabs>
          <w:tab w:leader="none" w:pos="66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once designated as an Unrestricted Subsidiary, the Company may re-designate such Subsidiary as a “Restricted Subsidiary”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but, thereafter, the Company shall not re-designate such Subsidiary as an “Unrestricted Subsidiary” pursuant to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(iv) no Subsidiarymay be designated as an Unrestricted Subsidiary or continue as an Unrestricted Subsidiary (A) if it is a Borrower or a Subsidiary Guarantor (unless, in the case of a Subsidiary Guarantor, concurrently with such designation it ceases to be a Subsidiary Guarantor) or (B) unless each of its direct and indirect Subsidiaries is also designated an Unrestricted Subsidiary pursuant to this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(v) after giving effect to such designation, the Company and its Restricted Subsidiaries shall be in pro forma compliance with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compliance to be determined on the basis of financial information for the fiscal period most recently ended for which financial information is available and calculated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and (vi) the Company and its Restricted Subsidiaries (excluding the proposed Unrestricted Subsidiary) shall at the time of the designation represent, on a consolidated basis (and without taking into account the assets or revenues of any Unrestricted Subsidiary (including the proposed Unrestricted Subsidiary) or the value of any Investment therein) at least 90% of the Consolidated Total Assets and 90% of the consolidated total revenues of the Company and its Subsidiaries. The designation of any Subsidiary as an Unrestricted Subsidiary on or after the Closing Date shall constitute an Investment (with the amount of such Investment being deemed to be the fair market value of the net assets of such Subsidiary at the time such Subsidiary is designated an Unrestricted Subsidiary) by the Company or a Restricted Subsidiary therein at the date of designation.</w:t>
      </w:r>
    </w:p>
    <w:p>
      <w:pPr>
        <w:spacing w:after="0" w:line="193" w:lineRule="exact"/>
        <w:rPr>
          <w:rFonts w:ascii="Arial" w:cs="Arial" w:eastAsia="Arial" w:hAnsi="Arial"/>
          <w:sz w:val="18"/>
          <w:szCs w:val="18"/>
          <w:color w:val="auto"/>
        </w:rPr>
      </w:pPr>
    </w:p>
    <w:p>
      <w:pPr>
        <w:ind w:left="280" w:firstLine="748"/>
        <w:spacing w:after="0" w:line="233" w:lineRule="auto"/>
        <w:tabs>
          <w:tab w:leader="none" w:pos="176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At any time after the Closing Date and upon written notice to the Administrative Agent, the Company may re-designate any Unrestricted Subsidiary as a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 w:lineRule="exact"/>
        <w:rPr>
          <w:rFonts w:ascii="Arial" w:cs="Arial" w:eastAsia="Arial" w:hAnsi="Arial"/>
          <w:sz w:val="20"/>
          <w:szCs w:val="20"/>
          <w:color w:val="auto"/>
        </w:rPr>
      </w:pPr>
    </w:p>
    <w:p>
      <w:pPr>
        <w:jc w:val="both"/>
        <w:ind w:left="280"/>
        <w:spacing w:after="0" w:line="255" w:lineRule="auto"/>
        <w:rPr>
          <w:rFonts w:ascii="Arial" w:cs="Arial" w:eastAsia="Arial" w:hAnsi="Arial"/>
          <w:sz w:val="20"/>
          <w:szCs w:val="20"/>
          <w:color w:val="auto"/>
        </w:rPr>
      </w:pPr>
      <w:r>
        <w:rPr>
          <w:rFonts w:ascii="Arial" w:cs="Arial" w:eastAsia="Arial" w:hAnsi="Arial"/>
          <w:sz w:val="18"/>
          <w:szCs w:val="18"/>
          <w:color w:val="auto"/>
        </w:rPr>
        <w:t>(i)no Subsidiary holding or owning Equity Interests in such re-designated Restricted Subsidiary shall be an Unrestricted Subsidiary (unless also being re-designated at such time) and (ii) both before and after giving effect to such designation, no Event of Default shall have occurred and be continuing. The re- designation of any Unrestricted Subsidiary as a Restricted Subsidiary shall constitute (i) the incurrence at the time of such re-designation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re-designation of the Company’s or its Restricted Subsidiary’s (as applicable) Investment in such re-designated Restricted Subsidiary.</w:t>
      </w:r>
    </w:p>
    <w:p>
      <w:pPr>
        <w:spacing w:after="0" w:line="159" w:lineRule="exact"/>
        <w:rPr>
          <w:rFonts w:ascii="Arial" w:cs="Arial" w:eastAsia="Arial" w:hAnsi="Arial"/>
          <w:sz w:val="20"/>
          <w:szCs w:val="20"/>
          <w:color w:val="auto"/>
        </w:rPr>
      </w:pPr>
    </w:p>
    <w:p>
      <w:pPr>
        <w:jc w:val="both"/>
        <w:ind w:left="280" w:firstLine="748"/>
        <w:spacing w:after="0" w:line="237" w:lineRule="auto"/>
        <w:tabs>
          <w:tab w:leader="none" w:pos="177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Any designation of a Subsidiary as an Unrestricted Subsidiary or a Restricted Subsidiary shall be deemed a representation and warranty by the Company that each of the requirements in </w:t>
      </w:r>
      <w:r>
        <w:rPr>
          <w:rFonts w:ascii="Arial" w:cs="Arial" w:eastAsia="Arial" w:hAnsi="Arial"/>
          <w:sz w:val="20"/>
          <w:szCs w:val="20"/>
          <w:u w:val="single" w:color="auto"/>
          <w:color w:val="auto"/>
        </w:rPr>
        <w:t>Section 2.18(a)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2.18(b)</w:t>
      </w:r>
      <w:r>
        <w:rPr>
          <w:rFonts w:ascii="Arial" w:cs="Arial" w:eastAsia="Arial" w:hAnsi="Arial"/>
          <w:sz w:val="20"/>
          <w:szCs w:val="20"/>
          <w:color w:val="auto"/>
        </w:rPr>
        <w:t>, as applicable, are satisfied in all respects.</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81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7" w:name="page208"/>
    <w:bookmarkEnd w:id="207"/>
    <w:p>
      <w:pPr>
        <w:ind w:left="1780" w:hanging="752"/>
        <w:spacing w:after="0"/>
        <w:tabs>
          <w:tab w:leader="none" w:pos="178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The Unrestricted Subsidiaries as of the Closing Date are set forth on </w:t>
      </w:r>
      <w:r>
        <w:rPr>
          <w:rFonts w:ascii="Arial" w:cs="Arial" w:eastAsia="Arial" w:hAnsi="Arial"/>
          <w:sz w:val="20"/>
          <w:szCs w:val="20"/>
          <w:u w:val="single" w:color="auto"/>
          <w:color w:val="auto"/>
        </w:rPr>
        <w:t>Schedule 2.18</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280" w:firstLine="748"/>
        <w:spacing w:after="0" w:line="260" w:lineRule="auto"/>
        <w:tabs>
          <w:tab w:leader="none" w:pos="176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Notwithstanding anything in this Agreement or any other Loan Document to the contrary, in no event shall (i) any Subsidiary be designated as an Unrestricted Subsidiary if it, or if any of its Subsidiaries, owns or holds (including by way of an exclusive license or otherwise) any intellectual property or any other assets material to any Loan Party’s business or (ii) (A) any Unrestricted Subsidiary, or any of its Subsidiaries, own or hold (including by way of an exclusive license or otherwise) or (B) the Company or any Restricted Subsidiary transfer (including by way of an exclusive license or otherwise) to any Unrestricted Subsidiary, or any of its Subsidiaries, any material intellectual property or any other assets material to any Loan Party’s business.</w:t>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III.</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TAXES, YIELD PROTECTION AND ILLEGALITY</w:t>
      </w:r>
    </w:p>
    <w:p>
      <w:pPr>
        <w:spacing w:after="0" w:line="186"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Taxes.</w:t>
      </w:r>
    </w:p>
    <w:p>
      <w:pPr>
        <w:spacing w:after="0" w:line="216" w:lineRule="exact"/>
        <w:rPr>
          <w:sz w:val="20"/>
          <w:szCs w:val="20"/>
          <w:color w:val="auto"/>
        </w:rPr>
      </w:pPr>
    </w:p>
    <w:p>
      <w:pPr>
        <w:ind w:left="1780" w:hanging="752"/>
        <w:spacing w:after="0"/>
        <w:tabs>
          <w:tab w:leader="none" w:pos="178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020" w:firstLine="757"/>
        <w:spacing w:after="0" w:line="231" w:lineRule="auto"/>
        <w:tabs>
          <w:tab w:leader="none" w:pos="2509"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or such Loan Party shall be entitled to make such deduction or withholding, upon the basis of the information and documentation it has received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 if any.</w:t>
      </w:r>
    </w:p>
    <w:p>
      <w:pPr>
        <w:spacing w:after="0" w:line="170" w:lineRule="exact"/>
        <w:rPr>
          <w:rFonts w:ascii="Arial" w:cs="Arial" w:eastAsia="Arial" w:hAnsi="Arial"/>
          <w:sz w:val="20"/>
          <w:szCs w:val="20"/>
          <w:color w:val="auto"/>
        </w:rPr>
      </w:pPr>
    </w:p>
    <w:p>
      <w:pPr>
        <w:jc w:val="both"/>
        <w:ind w:left="1020" w:firstLine="757"/>
        <w:spacing w:after="0" w:line="256" w:lineRule="auto"/>
        <w:tabs>
          <w:tab w:leader="none" w:pos="250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if any, (B) the Administrative Agent shall timely pay the full amount withheld or deducted to the relevant Governmental Authority in accordance with the Code,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2" w:lineRule="exact"/>
        <w:rPr>
          <w:rFonts w:ascii="Arial" w:cs="Arial" w:eastAsia="Arial" w:hAnsi="Arial"/>
          <w:sz w:val="18"/>
          <w:szCs w:val="18"/>
          <w:color w:val="auto"/>
        </w:rPr>
      </w:pPr>
    </w:p>
    <w:p>
      <w:pPr>
        <w:ind w:left="2520" w:hanging="743"/>
        <w:spacing w:after="0"/>
        <w:tabs>
          <w:tab w:leader="none" w:pos="252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If any Loan Party or the Administrative Agent shall be required by any applicable Laws other than the Code</w:t>
      </w:r>
    </w:p>
    <w:p>
      <w:pPr>
        <w:spacing w:after="0" w:line="11"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to withhold or deduct any Taxes from any payment,  then</w:t>
      </w:r>
    </w:p>
    <w:p>
      <w:pPr>
        <w:jc w:val="both"/>
        <w:ind w:left="1020" w:firstLine="7"/>
        <w:spacing w:after="0" w:line="237" w:lineRule="auto"/>
        <w:tabs>
          <w:tab w:leader="none" w:pos="136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 (B) such Loan Party or the Administrative Agent, to the extent required by such Laws, shall timely pay the full amount withheld or deducted to the relevant Governmental Authority in accordance with such Laws, and</w:t>
      </w:r>
    </w:p>
    <w:p>
      <w:pPr>
        <w:jc w:val="both"/>
        <w:ind w:left="1020" w:firstLine="7"/>
        <w:spacing w:after="0" w:line="231" w:lineRule="auto"/>
        <w:tabs>
          <w:tab w:leader="none" w:pos="133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to the extent that the withholding or deduction is made on account of Indemnified Taxes, the sum payable by the applicable Borrower shall be increased as necessary so that after any required withholding or the making of all required deductions (including deductions applicable to</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82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8" w:name="page209"/>
    <w:bookmarkEnd w:id="208"/>
    <w:p>
      <w:pPr>
        <w:ind w:left="1020" w:right="620"/>
        <w:spacing w:after="0" w:line="246" w:lineRule="auto"/>
        <w:rPr>
          <w:sz w:val="20"/>
          <w:szCs w:val="20"/>
          <w:color w:val="auto"/>
        </w:rPr>
      </w:pPr>
      <w:r>
        <w:rPr>
          <w:rFonts w:ascii="Arial" w:cs="Arial" w:eastAsia="Arial" w:hAnsi="Arial"/>
          <w:sz w:val="20"/>
          <w:szCs w:val="20"/>
          <w:color w:val="auto"/>
        </w:rPr>
        <w:t xml:space="preserve">additional sums payable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applicable Recipient receives an amount equal to the sum it would have received had no such withholding or deduction been made.</w:t>
      </w:r>
    </w:p>
    <w:p>
      <w:pPr>
        <w:spacing w:after="0" w:line="177" w:lineRule="exact"/>
        <w:rPr>
          <w:sz w:val="20"/>
          <w:szCs w:val="20"/>
          <w:color w:val="auto"/>
        </w:rPr>
      </w:pPr>
    </w:p>
    <w:p>
      <w:pPr>
        <w:ind w:left="1780" w:hanging="752"/>
        <w:spacing w:after="0"/>
        <w:tabs>
          <w:tab w:leader="none" w:pos="1780"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w:t>
      </w:r>
    </w:p>
    <w:p>
      <w:pPr>
        <w:spacing w:after="0" w:line="2" w:lineRule="exact"/>
        <w:rPr>
          <w:sz w:val="20"/>
          <w:szCs w:val="20"/>
          <w:color w:val="auto"/>
        </w:rPr>
      </w:pPr>
    </w:p>
    <w:p>
      <w:pPr>
        <w:ind w:left="280" w:right="20"/>
        <w:spacing w:after="0" w:line="234" w:lineRule="auto"/>
        <w:rPr>
          <w:sz w:val="20"/>
          <w:szCs w:val="20"/>
          <w:color w:val="auto"/>
        </w:rPr>
      </w:pPr>
      <w:r>
        <w:rPr>
          <w:rFonts w:ascii="Arial" w:cs="Arial" w:eastAsia="Arial" w:hAnsi="Arial"/>
          <w:sz w:val="20"/>
          <w:szCs w:val="20"/>
          <w:u w:val="single" w:color="auto"/>
          <w:color w:val="auto"/>
        </w:rPr>
        <w:t>(a)</w:t>
      </w:r>
      <w:r>
        <w:rPr>
          <w:rFonts w:ascii="Arial" w:cs="Arial" w:eastAsia="Arial" w:hAnsi="Arial"/>
          <w:sz w:val="20"/>
          <w:szCs w:val="20"/>
          <w:color w:val="auto"/>
        </w:rPr>
        <w:t>above, each Borrower shall timely pay to the relevant Governmental Authority in accordance with applicable law, or at the option of the Administrative Agent timely reimburse it for the payment of, any Other Taxes.</w:t>
      </w:r>
    </w:p>
    <w:p>
      <w:pPr>
        <w:spacing w:after="0" w:line="184" w:lineRule="exact"/>
        <w:rPr>
          <w:sz w:val="20"/>
          <w:szCs w:val="20"/>
          <w:color w:val="auto"/>
        </w:rPr>
      </w:pPr>
    </w:p>
    <w:p>
      <w:pPr>
        <w:ind w:left="1780" w:hanging="752"/>
        <w:spacing w:after="0"/>
        <w:tabs>
          <w:tab w:leader="none" w:pos="1780"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020" w:firstLine="757"/>
        <w:spacing w:after="0"/>
        <w:tabs>
          <w:tab w:leader="none" w:pos="2509" w:val="left"/>
        </w:tabs>
        <w:numPr>
          <w:ilvl w:val="1"/>
          <w:numId w:val="184"/>
        </w:numPr>
        <w:rPr>
          <w:rFonts w:ascii="Arial" w:cs="Arial" w:eastAsia="Arial" w:hAnsi="Arial"/>
          <w:sz w:val="19"/>
          <w:szCs w:val="19"/>
          <w:color w:val="auto"/>
        </w:rPr>
      </w:pPr>
      <w:r>
        <w:rPr>
          <w:rFonts w:ascii="Arial" w:cs="Arial" w:eastAsia="Arial" w:hAnsi="Arial"/>
          <w:sz w:val="19"/>
          <w:szCs w:val="19"/>
          <w:color w:val="auto"/>
        </w:rPr>
        <w:t xml:space="preserve">The Company shall, and does hereby, indemnify each Recipient, and shall make payment in respect thereof within 10 Business Days after demand therefor, for the full amount of any Indemnified Taxes (including Indemnified Taxes imposed or asserted on or attributable to amounts payable 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reasonably detailed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Each Borrower shall, and does hereby, indemnify the Administrative Agent, and shall make payment in respect thereof within 10 Business Days after demand therefor, for any amount which a Lender or an L/C Issuer for any reason fails to pay indefeasibly to the Administrative Agent as required pursuant to </w:t>
      </w:r>
      <w:r>
        <w:rPr>
          <w:rFonts w:ascii="Arial" w:cs="Arial" w:eastAsia="Arial" w:hAnsi="Arial"/>
          <w:sz w:val="19"/>
          <w:szCs w:val="19"/>
          <w:u w:val="single" w:color="auto"/>
          <w:color w:val="auto"/>
        </w:rPr>
        <w:t>Section 3.01(c)(ii)</w:t>
      </w:r>
      <w:r>
        <w:rPr>
          <w:rFonts w:ascii="Arial" w:cs="Arial" w:eastAsia="Arial" w:hAnsi="Arial"/>
          <w:sz w:val="19"/>
          <w:szCs w:val="19"/>
          <w:color w:val="auto"/>
        </w:rPr>
        <w:t xml:space="preserve"> below.</w:t>
      </w:r>
    </w:p>
    <w:p>
      <w:pPr>
        <w:spacing w:after="0" w:line="175" w:lineRule="exact"/>
        <w:rPr>
          <w:rFonts w:ascii="Arial" w:cs="Arial" w:eastAsia="Arial" w:hAnsi="Arial"/>
          <w:sz w:val="19"/>
          <w:szCs w:val="19"/>
          <w:color w:val="auto"/>
        </w:rPr>
      </w:pPr>
    </w:p>
    <w:p>
      <w:pPr>
        <w:jc w:val="both"/>
        <w:ind w:left="1020" w:firstLine="757"/>
        <w:spacing w:after="0" w:line="254" w:lineRule="auto"/>
        <w:tabs>
          <w:tab w:leader="none" w:pos="250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Each Lender and each L/C Issuer shall, and does hereby, severally indemnify, and shall make payment in respect thereof within 10 Business Days after demand therefor, (x) the Administrative Agent against any Indemnified Taxes attributable to such Lender or such L/C Issuer (but only to the extent that any Borrower has not already indemnified the Administrative Agent for such Indemnified Taxes and without limiting the obligation of each Borrower to do so), (y) the Administrative Agent and the Borrowers, as applicable, against any Taxes attributable to such Lender’s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280" w:firstLine="748"/>
        <w:spacing w:after="0" w:line="231" w:lineRule="auto"/>
        <w:tabs>
          <w:tab w:leader="none" w:pos="1769"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Upon request by the Company or the Administrative Agent, as the case may be, after any payment of Taxes by any Borrower or by the Administrative Agent to a Governmental Authority as provided in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83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09" w:name="page210"/>
    <w:bookmarkEnd w:id="209"/>
    <w:p>
      <w:pPr>
        <w:ind w:left="1780" w:hanging="752"/>
        <w:spacing w:after="0"/>
        <w:tabs>
          <w:tab w:leader="none" w:pos="1780" w:val="left"/>
        </w:tabs>
        <w:numPr>
          <w:ilvl w:val="0"/>
          <w:numId w:val="185"/>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1020" w:firstLine="757"/>
        <w:spacing w:after="0" w:line="254" w:lineRule="auto"/>
        <w:tabs>
          <w:tab w:leader="none" w:pos="250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and at the time prescribed by applicable Law,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Arial" w:cs="Arial" w:eastAsia="Arial" w:hAnsi="Arial"/>
          <w:sz w:val="18"/>
          <w:szCs w:val="18"/>
          <w:u w:val="single" w:color="auto"/>
          <w:color w:val="auto"/>
        </w:rPr>
        <w:t>Section 3.01(e)(ii)(A)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3" w:lineRule="exact"/>
        <w:rPr>
          <w:rFonts w:ascii="Arial" w:cs="Arial" w:eastAsia="Arial" w:hAnsi="Arial"/>
          <w:sz w:val="18"/>
          <w:szCs w:val="18"/>
          <w:color w:val="auto"/>
        </w:rPr>
      </w:pPr>
    </w:p>
    <w:p>
      <w:pPr>
        <w:ind w:left="2520" w:hanging="743"/>
        <w:spacing w:after="0"/>
        <w:tabs>
          <w:tab w:leader="none" w:pos="252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Without limiting the generality of the foregoing,</w:t>
      </w:r>
    </w:p>
    <w:p>
      <w:pPr>
        <w:spacing w:after="0" w:line="202" w:lineRule="exact"/>
        <w:rPr>
          <w:rFonts w:ascii="Arial" w:cs="Arial" w:eastAsia="Arial" w:hAnsi="Arial"/>
          <w:sz w:val="20"/>
          <w:szCs w:val="20"/>
          <w:color w:val="auto"/>
        </w:rPr>
      </w:pPr>
    </w:p>
    <w:p>
      <w:pPr>
        <w:jc w:val="both"/>
        <w:ind w:left="1780" w:firstLine="746"/>
        <w:spacing w:after="0" w:line="248" w:lineRule="auto"/>
        <w:tabs>
          <w:tab w:leader="none" w:pos="3268" w:val="left"/>
        </w:tabs>
        <w:numPr>
          <w:ilvl w:val="2"/>
          <w:numId w:val="185"/>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190" w:lineRule="exact"/>
        <w:rPr>
          <w:rFonts w:ascii="Arial" w:cs="Arial" w:eastAsia="Arial" w:hAnsi="Arial"/>
          <w:sz w:val="19"/>
          <w:szCs w:val="19"/>
          <w:color w:val="auto"/>
        </w:rPr>
      </w:pPr>
    </w:p>
    <w:p>
      <w:pPr>
        <w:jc w:val="both"/>
        <w:ind w:left="1780" w:firstLine="745"/>
        <w:spacing w:after="0" w:line="267" w:lineRule="auto"/>
        <w:tabs>
          <w:tab w:leader="none" w:pos="3268" w:val="left"/>
        </w:tabs>
        <w:numPr>
          <w:ilvl w:val="2"/>
          <w:numId w:val="18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58" w:lineRule="exact"/>
        <w:rPr>
          <w:rFonts w:ascii="Arial" w:cs="Arial" w:eastAsia="Arial" w:hAnsi="Arial"/>
          <w:sz w:val="18"/>
          <w:szCs w:val="18"/>
          <w:color w:val="auto"/>
        </w:rPr>
      </w:pPr>
    </w:p>
    <w:p>
      <w:pPr>
        <w:jc w:val="both"/>
        <w:ind w:left="2340" w:firstLine="775"/>
        <w:spacing w:after="0" w:line="243" w:lineRule="auto"/>
        <w:tabs>
          <w:tab w:leader="none" w:pos="3869" w:val="left"/>
        </w:tabs>
        <w:numPr>
          <w:ilvl w:val="3"/>
          <w:numId w:val="185"/>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 or W- 8BEN-E,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66" w:lineRule="exact"/>
        <w:rPr>
          <w:sz w:val="20"/>
          <w:szCs w:val="20"/>
          <w:color w:val="auto"/>
        </w:rPr>
      </w:pPr>
    </w:p>
    <w:p>
      <w:pPr>
        <w:ind w:left="3840" w:hanging="752"/>
        <w:spacing w:after="0"/>
        <w:tabs>
          <w:tab w:leader="none" w:pos="38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84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0" w:name="page211"/>
    <w:bookmarkEnd w:id="210"/>
    <w:p>
      <w:pPr>
        <w:jc w:val="both"/>
        <w:ind w:left="2340" w:firstLine="748"/>
        <w:spacing w:after="0" w:line="254" w:lineRule="auto"/>
        <w:tabs>
          <w:tab w:leader="none" w:pos="383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w:t>
      </w:r>
    </w:p>
    <w:p>
      <w:pPr>
        <w:ind w:left="2620" w:hanging="282"/>
        <w:spacing w:after="0"/>
        <w:tabs>
          <w:tab w:leader="none" w:pos="262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executed copies of IRS Form W-8BEN or W-8BEN-E, as applicable; or</w:t>
      </w:r>
    </w:p>
    <w:p>
      <w:pPr>
        <w:spacing w:after="0" w:line="186" w:lineRule="exact"/>
        <w:rPr>
          <w:sz w:val="20"/>
          <w:szCs w:val="20"/>
          <w:color w:val="auto"/>
        </w:rPr>
      </w:pPr>
    </w:p>
    <w:p>
      <w:pPr>
        <w:jc w:val="both"/>
        <w:ind w:left="2340" w:firstLine="750"/>
        <w:spacing w:after="0" w:line="243" w:lineRule="auto"/>
        <w:rPr>
          <w:sz w:val="20"/>
          <w:szCs w:val="20"/>
          <w:color w:val="auto"/>
        </w:rPr>
      </w:pPr>
      <w:r>
        <w:rPr>
          <w:rFonts w:ascii="Arial" w:cs="Arial" w:eastAsia="Arial" w:hAnsi="Arial"/>
          <w:sz w:val="19"/>
          <w:szCs w:val="19"/>
          <w:color w:val="auto"/>
        </w:rPr>
        <w:t xml:space="preserve">(IV) to the extent a Foreign Lender is not the beneficial owner, executed copies of IRS Form W-8IMY, accompanied by IRS Form W-8ECI, IRS Form W-8BEN or W-8BEN-E, as applicable, a U.S. Tax Compliance Certificate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F-3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F-4</w:t>
      </w:r>
      <w:r>
        <w:rPr>
          <w:rFonts w:ascii="Arial" w:cs="Arial" w:eastAsia="Arial" w:hAnsi="Arial"/>
          <w:sz w:val="19"/>
          <w:szCs w:val="19"/>
          <w:color w:val="auto"/>
        </w:rPr>
        <w:t xml:space="preserve"> on behalf of each such direct and indirect partner;</w:t>
      </w:r>
    </w:p>
    <w:p>
      <w:pPr>
        <w:spacing w:after="0" w:line="193" w:lineRule="exact"/>
        <w:rPr>
          <w:sz w:val="20"/>
          <w:szCs w:val="20"/>
          <w:color w:val="auto"/>
        </w:rPr>
      </w:pPr>
    </w:p>
    <w:p>
      <w:pPr>
        <w:jc w:val="both"/>
        <w:ind w:left="1580" w:firstLine="758"/>
        <w:spacing w:after="0" w:line="258" w:lineRule="auto"/>
        <w:tabs>
          <w:tab w:leader="none" w:pos="3068" w:val="left"/>
        </w:tabs>
        <w:numPr>
          <w:ilvl w:val="2"/>
          <w:numId w:val="18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70" w:lineRule="exact"/>
        <w:rPr>
          <w:rFonts w:ascii="Arial" w:cs="Arial" w:eastAsia="Arial" w:hAnsi="Arial"/>
          <w:sz w:val="18"/>
          <w:szCs w:val="18"/>
          <w:color w:val="auto"/>
        </w:rPr>
      </w:pPr>
    </w:p>
    <w:p>
      <w:pPr>
        <w:jc w:val="both"/>
        <w:ind w:left="1580" w:firstLine="758"/>
        <w:spacing w:after="0" w:line="256" w:lineRule="auto"/>
        <w:tabs>
          <w:tab w:leader="none" w:pos="3068" w:val="left"/>
        </w:tabs>
        <w:numPr>
          <w:ilvl w:val="2"/>
          <w:numId w:val="189"/>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68" w:lineRule="exact"/>
        <w:rPr>
          <w:rFonts w:ascii="Arial" w:cs="Arial" w:eastAsia="Arial" w:hAnsi="Arial"/>
          <w:sz w:val="18"/>
          <w:szCs w:val="18"/>
          <w:color w:val="auto"/>
        </w:rPr>
      </w:pPr>
    </w:p>
    <w:p>
      <w:pPr>
        <w:jc w:val="both"/>
        <w:ind w:left="840" w:firstLine="750"/>
        <w:spacing w:after="0" w:line="237" w:lineRule="auto"/>
        <w:tabs>
          <w:tab w:leader="none" w:pos="2329" w:val="left"/>
        </w:tabs>
        <w:numPr>
          <w:ilvl w:val="1"/>
          <w:numId w:val="190"/>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96" w:lineRule="exact"/>
        <w:rPr>
          <w:rFonts w:ascii="Arial" w:cs="Arial" w:eastAsia="Arial" w:hAnsi="Arial"/>
          <w:sz w:val="20"/>
          <w:szCs w:val="20"/>
          <w:color w:val="auto"/>
        </w:rPr>
      </w:pPr>
    </w:p>
    <w:p>
      <w:pPr>
        <w:ind w:left="280" w:right="240" w:firstLine="748"/>
        <w:spacing w:after="0" w:line="246" w:lineRule="auto"/>
        <w:tabs>
          <w:tab w:leader="none" w:pos="1766"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Treatment of Certain Refunds</w:t>
      </w:r>
      <w:r>
        <w:rPr>
          <w:rFonts w:ascii="Arial" w:cs="Arial" w:eastAsia="Arial" w:hAnsi="Arial"/>
          <w:sz w:val="20"/>
          <w:szCs w:val="20"/>
          <w:color w:val="auto"/>
        </w:rPr>
        <w:t>. Unless required by applicable Laws, at no time shall the Administrative Agent have any obligation to file for or otherwise pursue on behalf of a Lender or an L/C</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85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1" w:name="page212"/>
    <w:bookmarkEnd w:id="211"/>
    <w:p>
      <w:pPr>
        <w:jc w:val="both"/>
        <w:ind w:left="280"/>
        <w:spacing w:after="0" w:line="254" w:lineRule="auto"/>
        <w:rPr>
          <w:sz w:val="20"/>
          <w:szCs w:val="20"/>
          <w:color w:val="auto"/>
        </w:rPr>
      </w:pPr>
      <w:r>
        <w:rPr>
          <w:rFonts w:ascii="Arial" w:cs="Arial" w:eastAsia="Arial" w:hAnsi="Arial"/>
          <w:sz w:val="18"/>
          <w:szCs w:val="18"/>
          <w:color w:val="auto"/>
        </w:rPr>
        <w:t xml:space="preserve">Issuer, or have any obligation to pay to any Lender or any L/C Issuer, any refund of Taxes withheld or deducted from funds paid for the account of such Lender or such L/C Issuer, as the case may be. If any Recipient determines that it has received a refund of any Taxes as to which it has been indemnified by any Borrower or with respect to which any Borrower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such Borrower an amount equal to such refund (but only to the extent of indemnity payments made, or additional amounts paid, by a Borrower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Borrower, upon the request of the Recipient, agrees to repay the amount paid over to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Borrower or any other Person.</w:t>
      </w:r>
    </w:p>
    <w:p>
      <w:pPr>
        <w:spacing w:after="0" w:line="170" w:lineRule="exact"/>
        <w:rPr>
          <w:sz w:val="20"/>
          <w:szCs w:val="20"/>
          <w:color w:val="auto"/>
        </w:rPr>
      </w:pPr>
    </w:p>
    <w:p>
      <w:pPr>
        <w:jc w:val="both"/>
        <w:ind w:left="280" w:firstLine="748"/>
        <w:spacing w:after="0" w:line="237" w:lineRule="auto"/>
        <w:tabs>
          <w:tab w:leader="none" w:pos="1769"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96" w:lineRule="exact"/>
        <w:rPr>
          <w:sz w:val="20"/>
          <w:szCs w:val="20"/>
          <w:color w:val="auto"/>
        </w:rPr>
      </w:pPr>
    </w:p>
    <w:p>
      <w:pPr>
        <w:jc w:val="both"/>
        <w:ind w:left="100" w:firstLine="749"/>
        <w:spacing w:after="0" w:line="252" w:lineRule="auto"/>
        <w:rPr>
          <w:sz w:val="20"/>
          <w:szCs w:val="20"/>
          <w:color w:val="auto"/>
        </w:rPr>
      </w:pPr>
      <w:r>
        <w:rPr>
          <w:rFonts w:ascii="Arial" w:cs="Arial" w:eastAsia="Arial" w:hAnsi="Arial"/>
          <w:sz w:val="18"/>
          <w:szCs w:val="18"/>
          <w:color w:val="auto"/>
        </w:rPr>
        <w:t>1.2 Illegality. If any Lender determines in good faith that any Law has made it unlawful, or that any Governmental Authority has asserted that it is unlawful, for any Lender or its applicable Lending Office to make, maintain or fund Loans whose interest is determined by reference to a Relevant Rate or any Governmental Authority has imposed material restrictions on the authority of such Lender to engage in reverse repurchase of U.S. Treasury securities transactions of the type included in the determination of SOFR, or to determine or charge interest rates based upon a Relevant Rate or to purchase or sell, or to take deposits of, any Alternative Currency in the applicable interbank market, then, on notice thereof by such Lender to the Company (through the Administrative Agent), (a) any obligation of such Lender to make or maintain Alternative Currency Loans in the affected currency or currencies or, in the case of Loans denominated in Dollars, to make or maintain Daily Simple SOFR Loans or Term SOFR Loans or to convert Base Rate Loans to Daily Simple SOFR Loans or Term SOFR Loans shall be, in each case, suspended, and</w:t>
      </w:r>
    </w:p>
    <w:p>
      <w:pPr>
        <w:spacing w:after="0" w:line="4" w:lineRule="exact"/>
        <w:rPr>
          <w:sz w:val="20"/>
          <w:szCs w:val="20"/>
          <w:color w:val="auto"/>
        </w:rPr>
      </w:pPr>
    </w:p>
    <w:p>
      <w:pPr>
        <w:jc w:val="both"/>
        <w:ind w:left="100"/>
        <w:spacing w:after="0" w:line="253" w:lineRule="auto"/>
        <w:rPr>
          <w:sz w:val="20"/>
          <w:szCs w:val="20"/>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if such notice asserts the illegality of such Lender making or maintaining Base Rate Loans the interest rate on which is determined by reference to the Daily Simple SOFR component of the Base Rate, the interest rate on which Base Rate Loans of such Lender shall, if necessary to avoid such illegality, be determined by the Administrative Agent without reference to the Daily Simple SOFR component of the Base Rate, in each case until such Lender notifies the Administrative Agent and the Company that the circumstances giving rise to such determination no longer exist. Upon receipt of such notice, (i) the Borrowers shall, upon demand from such Lender (with a copy to the Administrative Agent), prepay all Daily Simple SOFR Loans, Term SOFR Loans or Alternative Currency Loans, as applicable, in the affected currency or currencies or, if applicable and such Loans are denominated in Dollars, convert all Daily Simple SOFR Loans or Term SOFR Loans of such Lender to Base Rate Loans (the interest rate on which Base Rate Loans of such Lender shall, if necessary to avoid such illegality, be determined by the Administrative Agent without reference to the Daily Simple SOFR component of the Base Rate), in each case, immediately, or, in the case of Term SOFR Loans or Alternative Currency Term Rate Loans, on the last day of the Interest Period therefor if such Lender may lawfully continue to maintain such Loans to such day and (ii) if such notice asserts the illegality of such Lender determining or charging interest rates based upon SOFR or Daily Simple SOFR,</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2"/>
          <w:szCs w:val="22"/>
          <w:color w:val="auto"/>
        </w:rPr>
        <w:t>86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2" w:name="page213"/>
    <w:bookmarkEnd w:id="212"/>
    <w:p>
      <w:pPr>
        <w:jc w:val="both"/>
        <w:ind w:left="100"/>
        <w:spacing w:after="0" w:line="248" w:lineRule="auto"/>
        <w:rPr>
          <w:sz w:val="20"/>
          <w:szCs w:val="20"/>
          <w:color w:val="auto"/>
        </w:rPr>
      </w:pPr>
      <w:r>
        <w:rPr>
          <w:rFonts w:ascii="Arial" w:cs="Arial" w:eastAsia="Arial" w:hAnsi="Arial"/>
          <w:sz w:val="19"/>
          <w:szCs w:val="19"/>
          <w:color w:val="auto"/>
        </w:rPr>
        <w:t>as applicable, the Administrative Agent shall during the period of such suspension compute the Base Rate applicable to such Lender without reference to the Daily Simple SOFR component thereof until the Administrative Agent is advised in writing by such Lender that it is no longer illegal for such Lender to determine or charge interest rates based upon Daily Simple SOFR or SOFR. Upon any such prepayment or conversion, the Borrowers shall also pay accrued interest on the amount so prepaid or converted.</w:t>
      </w:r>
    </w:p>
    <w:p>
      <w:pPr>
        <w:spacing w:after="0" w:line="163"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Inability to Determine Rates.</w:t>
      </w:r>
    </w:p>
    <w:p>
      <w:pPr>
        <w:spacing w:after="0" w:line="202" w:lineRule="exact"/>
        <w:rPr>
          <w:sz w:val="20"/>
          <w:szCs w:val="20"/>
          <w:color w:val="auto"/>
        </w:rPr>
      </w:pPr>
    </w:p>
    <w:p>
      <w:pPr>
        <w:jc w:val="both"/>
        <w:ind w:left="280" w:firstLine="748"/>
        <w:spacing w:after="0" w:line="251" w:lineRule="auto"/>
        <w:tabs>
          <w:tab w:leader="none" w:pos="176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If in connection with any request for a Term SOFR Loan, a Daily Simple SOFR Loan or an Alternative Currency Loan or a conversion of Base Rate Loans to Term SOFR Loans or Daily Simple SOFR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and the circumstances under clause (i) of </w:t>
      </w:r>
      <w:r>
        <w:rPr>
          <w:rFonts w:ascii="Arial" w:cs="Arial" w:eastAsia="Arial" w:hAnsi="Arial"/>
          <w:sz w:val="18"/>
          <w:szCs w:val="18"/>
          <w:u w:val="single" w:color="auto"/>
          <w:color w:val="auto"/>
        </w:rPr>
        <w:t>Section 3.03(b)</w:t>
      </w:r>
      <w:r>
        <w:rPr>
          <w:rFonts w:ascii="Arial" w:cs="Arial" w:eastAsia="Arial" w:hAnsi="Arial"/>
          <w:sz w:val="18"/>
          <w:szCs w:val="18"/>
          <w:color w:val="auto"/>
        </w:rPr>
        <w:t xml:space="preserve"> or the Scheduled Unavailability Date has occurred with respect to such Relevant Rate (as applicable), or (B) adequate and reasonable means do not otherwise exist for determining Daily Simple SOFR, Term SOFR or the Relevant Rate for the applicable Agreed Currency, in each case, for any determination date(s) or requested Interest Period, as applicable, with respect to a proposed Daily Simple SOFR Loan, Term SOFR Loan or Alternative Currency Loan or in connection with an existing or proposed Base Rate Loan, or (ii) the Administrative Agent or the Required Lenders determine that for any reason that Daily Simple SOFR, Term SOFR or the Relevant Rate with respect to a proposed Loan denominated in an Agreed Currency, in each case, for any requested Interest Period or determination date(s) does not adequately and fairly reflect the cost to such Lenders of funding such Loan, the Administrative Agent will promptly so notify the Company and each Lender. Thereafter, (x) the obligation of the Lenders to make or maintain Daily Simple SOFR Loans, Term SOFR Loans or Loans in the affected currencies, as applicable, or to convert Base Rate Loans to Daily Simple SOFR Loans or Term SOFR Loans, shall be suspended in each case to the extent of the affected Daily Simple SOFR Loans, Term SOFR Loans or Alternative Currency Loans or Interest Period or determination date(s), as applicable, and (y) in the event of a determination described in the preceding sentence with respect to the Daily Simple SOFR component of the Base Rate, the utilization of the Daily Simple SOFR component in determining the Base Rate shall be suspended, in each case until the Administrative Agent (or, in the case of a determination by the Required Lenders described in clause</w:t>
      </w:r>
    </w:p>
    <w:p>
      <w:pPr>
        <w:spacing w:after="0" w:line="7" w:lineRule="exact"/>
        <w:rPr>
          <w:rFonts w:ascii="Arial" w:cs="Arial" w:eastAsia="Arial" w:hAnsi="Arial"/>
          <w:sz w:val="18"/>
          <w:szCs w:val="18"/>
          <w:color w:val="auto"/>
        </w:rPr>
      </w:pPr>
    </w:p>
    <w:p>
      <w:pPr>
        <w:jc w:val="both"/>
        <w:ind w:left="280"/>
        <w:spacing w:after="0" w:line="287" w:lineRule="auto"/>
        <w:rPr>
          <w:rFonts w:ascii="Arial" w:cs="Arial" w:eastAsia="Arial" w:hAnsi="Arial"/>
          <w:sz w:val="18"/>
          <w:szCs w:val="18"/>
          <w:color w:val="auto"/>
        </w:rPr>
      </w:pPr>
      <w:r>
        <w:rPr>
          <w:rFonts w:ascii="Arial" w:cs="Arial" w:eastAsia="Arial" w:hAnsi="Arial"/>
          <w:sz w:val="16"/>
          <w:szCs w:val="16"/>
          <w:color w:val="auto"/>
        </w:rPr>
        <w:t xml:space="preserve">(ii)of this </w:t>
      </w:r>
      <w:r>
        <w:rPr>
          <w:rFonts w:ascii="Arial" w:cs="Arial" w:eastAsia="Arial" w:hAnsi="Arial"/>
          <w:sz w:val="16"/>
          <w:szCs w:val="16"/>
          <w:u w:val="single" w:color="auto"/>
          <w:color w:val="auto"/>
        </w:rPr>
        <w:t>Section 3.03(a)</w:t>
      </w:r>
      <w:r>
        <w:rPr>
          <w:rFonts w:ascii="Arial" w:cs="Arial" w:eastAsia="Arial" w:hAnsi="Arial"/>
          <w:sz w:val="16"/>
          <w:szCs w:val="16"/>
          <w:color w:val="auto"/>
        </w:rPr>
        <w:t xml:space="preserve">, until the Administrative Agent upon instruction of the Required Lenders) revokes such notice. Upon receipt of such notice, (i) the Borrowers may revoke any pending request for a Borrowing of, or conversion to, or continuation of Daily Simple SOFR Loans, Term SOFR Loans or Alternative Currency Loans to the extent of the affected Daily Simple SOFR Loans, Term SOFR Loans or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 any outstanding Term SOFR Loans shall be deemed to have been converted to Base Rate Loans immediately and (B) any outstanding affected Alternative Currency Loans, at the Company’s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election is made by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22"/>
          <w:szCs w:val="22"/>
          <w:color w:val="auto"/>
        </w:rPr>
        <w:t>87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3" w:name="page214"/>
    <w:bookmarkEnd w:id="213"/>
    <w:p>
      <w:pPr>
        <w:jc w:val="both"/>
        <w:ind w:left="280" w:firstLine="748"/>
        <w:spacing w:after="0" w:line="248" w:lineRule="auto"/>
        <w:tabs>
          <w:tab w:leader="none" w:pos="1769"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Replacement of Relevant Rate or Successor Rate</w:t>
      </w:r>
      <w:r>
        <w:rPr>
          <w:rFonts w:ascii="Arial" w:cs="Arial" w:eastAsia="Arial" w:hAnsi="Arial"/>
          <w:sz w:val="19"/>
          <w:szCs w:val="19"/>
          <w:color w:val="auto"/>
        </w:rPr>
        <w:t>. Notwithstanding anything to the contrary in this Agreement or any other Loan Documents, if the Administrative Agent determines (which determination shall be conclusive absent manifest error), or the Company or the Required Lenders notify the Administrative Agent in writing (with, in the case of the Required Lenders, a copy to the Company) that the Company or the Required Lenders (as applicable) have determined, that:</w:t>
      </w:r>
    </w:p>
    <w:p>
      <w:pPr>
        <w:spacing w:after="0" w:line="176" w:lineRule="exact"/>
        <w:rPr>
          <w:rFonts w:ascii="Arial" w:cs="Arial" w:eastAsia="Arial" w:hAnsi="Arial"/>
          <w:sz w:val="19"/>
          <w:szCs w:val="19"/>
          <w:color w:val="auto"/>
        </w:rPr>
      </w:pPr>
    </w:p>
    <w:p>
      <w:pPr>
        <w:jc w:val="both"/>
        <w:ind w:left="1020" w:firstLine="757"/>
        <w:spacing w:after="0" w:line="237" w:lineRule="auto"/>
        <w:tabs>
          <w:tab w:leader="none" w:pos="2509" w:val="left"/>
        </w:tabs>
        <w:numPr>
          <w:ilvl w:val="1"/>
          <w:numId w:val="194"/>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the Relevant Rate for an Agreed Currency because none of the tenors of such Relevant Rate (including any forward- looking term rate thereof) is available or published on a current basis and such circumstances are unlikely to be temporary; or</w:t>
      </w:r>
    </w:p>
    <w:p>
      <w:pPr>
        <w:spacing w:after="0" w:line="196" w:lineRule="exact"/>
        <w:rPr>
          <w:rFonts w:ascii="Arial" w:cs="Arial" w:eastAsia="Arial" w:hAnsi="Arial"/>
          <w:sz w:val="20"/>
          <w:szCs w:val="20"/>
          <w:color w:val="auto"/>
        </w:rPr>
      </w:pPr>
    </w:p>
    <w:p>
      <w:pPr>
        <w:jc w:val="both"/>
        <w:ind w:left="1020" w:firstLine="757"/>
        <w:spacing w:after="0" w:line="229" w:lineRule="auto"/>
        <w:tabs>
          <w:tab w:leader="none" w:pos="2509" w:val="left"/>
        </w:tabs>
        <w:numPr>
          <w:ilvl w:val="1"/>
          <w:numId w:val="194"/>
        </w:numPr>
        <w:rPr>
          <w:rFonts w:ascii="Arial" w:cs="Arial" w:eastAsia="Arial" w:hAnsi="Arial"/>
          <w:sz w:val="20"/>
          <w:szCs w:val="20"/>
          <w:color w:val="auto"/>
        </w:rPr>
      </w:pPr>
      <w:r>
        <w:rPr>
          <w:rFonts w:ascii="Arial" w:cs="Arial" w:eastAsia="Arial" w:hAnsi="Arial"/>
          <w:sz w:val="20"/>
          <w:szCs w:val="20"/>
          <w:color w:val="auto"/>
        </w:rPr>
        <w:t>the Applicable Authority has made a public statement identifying a specific date after which all tenors of the Relevant Rate for an Agreed Currency (including any forward- looking term rate thereof) shall or will no longer be representative or made available, or used for determining the interest rate of loans denominated in such Agreed Currency, or shall or will otherwise cease, provided that, in each case, at the time of such statement, there is no successor administrator that is satisfactory to the Administrative Agent that will continue to provide such representative tenor(s) of the Relevant Rate for such Agreed Currency (the latest date on which all tenors of the Relevant Rate for such Agreed Currency (including any forward-looking term rate thereof) are no longer representative or available permanently or indefinitely, the “</w:t>
      </w:r>
      <w:r>
        <w:rPr>
          <w:rFonts w:ascii="Arial" w:cs="Arial" w:eastAsia="Arial" w:hAnsi="Arial"/>
          <w:sz w:val="20"/>
          <w:szCs w:val="20"/>
          <w:u w:val="single" w:color="auto"/>
          <w:color w:val="auto"/>
        </w:rPr>
        <w:t>Scheduled</w:t>
      </w:r>
      <w:r>
        <w:rPr>
          <w:rFonts w:ascii="Arial" w:cs="Arial" w:eastAsia="Arial" w:hAnsi="Arial"/>
          <w:sz w:val="20"/>
          <w:szCs w:val="20"/>
          <w:color w:val="auto"/>
        </w:rPr>
        <w:t xml:space="preserve"> </w:t>
      </w:r>
      <w:r>
        <w:rPr>
          <w:rFonts w:ascii="Arial" w:cs="Arial" w:eastAsia="Arial" w:hAnsi="Arial"/>
          <w:sz w:val="20"/>
          <w:szCs w:val="20"/>
          <w:u w:val="single" w:color="auto"/>
          <w:color w:val="auto"/>
        </w:rPr>
        <w:t>Unavailability Date</w:t>
      </w:r>
      <w:r>
        <w:rPr>
          <w:rFonts w:ascii="Arial" w:cs="Arial" w:eastAsia="Arial" w:hAnsi="Arial"/>
          <w:sz w:val="20"/>
          <w:szCs w:val="20"/>
          <w:color w:val="auto"/>
        </w:rPr>
        <w:t>”); or</w:t>
      </w:r>
    </w:p>
    <w:p>
      <w:pPr>
        <w:spacing w:after="0" w:line="175" w:lineRule="exact"/>
        <w:rPr>
          <w:rFonts w:ascii="Arial" w:cs="Arial" w:eastAsia="Arial" w:hAnsi="Arial"/>
          <w:sz w:val="20"/>
          <w:szCs w:val="20"/>
          <w:color w:val="auto"/>
        </w:rPr>
      </w:pPr>
    </w:p>
    <w:p>
      <w:pPr>
        <w:ind w:left="1020" w:right="20" w:firstLine="757"/>
        <w:spacing w:after="0" w:line="300" w:lineRule="auto"/>
        <w:tabs>
          <w:tab w:leader="none" w:pos="250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syndicated loans currently being executed and agented in the U.S., are being executed or amended (as applicable) to incorporate or adopt a new benchmark interest rate to replace the Relevant Rate for an Agreed Currency;</w:t>
      </w:r>
    </w:p>
    <w:p>
      <w:pPr>
        <w:spacing w:after="0" w:line="144" w:lineRule="exact"/>
        <w:rPr>
          <w:sz w:val="20"/>
          <w:szCs w:val="20"/>
          <w:color w:val="auto"/>
        </w:rPr>
      </w:pPr>
    </w:p>
    <w:p>
      <w:pPr>
        <w:jc w:val="both"/>
        <w:ind w:left="100"/>
        <w:spacing w:after="0" w:line="239" w:lineRule="auto"/>
        <w:rPr>
          <w:sz w:val="20"/>
          <w:szCs w:val="20"/>
          <w:color w:val="auto"/>
        </w:rPr>
      </w:pPr>
      <w:r>
        <w:rPr>
          <w:rFonts w:ascii="Arial" w:cs="Arial" w:eastAsia="Arial" w:hAnsi="Arial"/>
          <w:sz w:val="19"/>
          <w:szCs w:val="19"/>
          <w:color w:val="auto"/>
        </w:rPr>
        <w:t xml:space="preserve">or if the events or circumstances of the type described in </w:t>
      </w:r>
      <w:r>
        <w:rPr>
          <w:rFonts w:ascii="Arial" w:cs="Arial" w:eastAsia="Arial" w:hAnsi="Arial"/>
          <w:sz w:val="19"/>
          <w:szCs w:val="19"/>
          <w:u w:val="single" w:color="auto"/>
          <w:color w:val="auto"/>
        </w:rPr>
        <w:t>Section 3.03(b)(i)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have occurred with respect to the Successor Rate then in effect, then, reasonably promptly after such determination by the Administrative Agent or receipt by the Administrative Agent of such notice, as applicable, the Administrative Agent and the Company may amend this Agreement solely for the purpose of replacing the Relevant Rate for an Agreed Currency or any then current Successor Rate for an Agreed Currency in accordance with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Arial" w:cs="Arial" w:eastAsia="Arial" w:hAnsi="Arial"/>
          <w:sz w:val="19"/>
          <w:szCs w:val="19"/>
          <w:u w:val="single" w:color="auto"/>
          <w:color w:val="auto"/>
        </w:rPr>
        <w:t>Successor Rate</w:t>
      </w:r>
      <w:r>
        <w:rPr>
          <w:rFonts w:ascii="Arial" w:cs="Arial" w:eastAsia="Arial" w:hAnsi="Arial"/>
          <w:sz w:val="19"/>
          <w:szCs w:val="19"/>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94"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The Administrative Agent will promptly (in one or more notices) notify the Company and each Lender of the implementation of any Successor Rate.</w:t>
      </w:r>
    </w:p>
    <w:p>
      <w:pPr>
        <w:spacing w:after="0" w:line="177"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 xml:space="preserve">Any Successor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88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4" w:name="page215"/>
    <w:bookmarkEnd w:id="214"/>
    <w:p>
      <w:pPr>
        <w:jc w:val="both"/>
        <w:ind w:left="100" w:right="20" w:firstLine="747"/>
        <w:spacing w:after="0" w:line="272" w:lineRule="auto"/>
        <w:rPr>
          <w:sz w:val="20"/>
          <w:szCs w:val="20"/>
          <w:color w:val="auto"/>
        </w:rPr>
      </w:pPr>
      <w:r>
        <w:rPr>
          <w:rFonts w:ascii="Arial" w:cs="Arial" w:eastAsia="Arial" w:hAnsi="Arial"/>
          <w:sz w:val="19"/>
          <w:szCs w:val="19"/>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53" w:lineRule="exact"/>
        <w:rPr>
          <w:sz w:val="20"/>
          <w:szCs w:val="20"/>
          <w:color w:val="auto"/>
        </w:rPr>
      </w:pPr>
    </w:p>
    <w:p>
      <w:pPr>
        <w:jc w:val="both"/>
        <w:ind w:left="100" w:firstLine="747"/>
        <w:spacing w:after="0" w:line="263" w:lineRule="auto"/>
        <w:rPr>
          <w:sz w:val="20"/>
          <w:szCs w:val="20"/>
          <w:color w:val="auto"/>
        </w:rPr>
      </w:pPr>
      <w:r>
        <w:rPr>
          <w:rFonts w:ascii="Arial" w:cs="Arial" w:eastAsia="Arial" w:hAnsi="Arial"/>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75"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Increased Costs.</w:t>
      </w:r>
    </w:p>
    <w:p>
      <w:pPr>
        <w:spacing w:after="0" w:line="216" w:lineRule="exact"/>
        <w:rPr>
          <w:sz w:val="20"/>
          <w:szCs w:val="20"/>
          <w:color w:val="auto"/>
        </w:rPr>
      </w:pPr>
    </w:p>
    <w:p>
      <w:pPr>
        <w:ind w:left="1780" w:hanging="752"/>
        <w:spacing w:after="0"/>
        <w:tabs>
          <w:tab w:leader="none" w:pos="1780"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188" w:lineRule="exact"/>
        <w:rPr>
          <w:rFonts w:ascii="Arial" w:cs="Arial" w:eastAsia="Arial" w:hAnsi="Arial"/>
          <w:sz w:val="20"/>
          <w:szCs w:val="20"/>
          <w:color w:val="auto"/>
        </w:rPr>
      </w:pPr>
    </w:p>
    <w:p>
      <w:pPr>
        <w:jc w:val="both"/>
        <w:ind w:left="1020" w:firstLine="757"/>
        <w:spacing w:after="0" w:line="237" w:lineRule="auto"/>
        <w:tabs>
          <w:tab w:leader="none" w:pos="2508" w:val="left"/>
        </w:tabs>
        <w:numPr>
          <w:ilvl w:val="1"/>
          <w:numId w:val="195"/>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or any L/C Issuer;</w:t>
      </w:r>
    </w:p>
    <w:p>
      <w:pPr>
        <w:spacing w:after="0" w:line="182" w:lineRule="exact"/>
        <w:rPr>
          <w:rFonts w:ascii="Arial" w:cs="Arial" w:eastAsia="Arial" w:hAnsi="Arial"/>
          <w:sz w:val="20"/>
          <w:szCs w:val="20"/>
          <w:color w:val="auto"/>
        </w:rPr>
      </w:pPr>
    </w:p>
    <w:p>
      <w:pPr>
        <w:jc w:val="both"/>
        <w:ind w:left="1020" w:firstLine="757"/>
        <w:spacing w:after="0" w:line="254" w:lineRule="auto"/>
        <w:tabs>
          <w:tab w:leader="none" w:pos="2509" w:val="left"/>
        </w:tabs>
        <w:numPr>
          <w:ilvl w:val="1"/>
          <w:numId w:val="195"/>
        </w:numPr>
        <w:rPr>
          <w:rFonts w:ascii="Arial" w:cs="Arial" w:eastAsia="Arial" w:hAnsi="Arial"/>
          <w:sz w:val="19"/>
          <w:szCs w:val="19"/>
          <w:color w:val="auto"/>
        </w:rPr>
      </w:pPr>
      <w:r>
        <w:rPr>
          <w:rFonts w:ascii="Arial" w:cs="Arial" w:eastAsia="Arial" w:hAnsi="Arial"/>
          <w:sz w:val="19"/>
          <w:szCs w:val="19"/>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83" w:lineRule="exact"/>
        <w:rPr>
          <w:rFonts w:ascii="Arial" w:cs="Arial" w:eastAsia="Arial" w:hAnsi="Arial"/>
          <w:sz w:val="19"/>
          <w:szCs w:val="19"/>
          <w:color w:val="auto"/>
        </w:rPr>
      </w:pPr>
    </w:p>
    <w:p>
      <w:pPr>
        <w:jc w:val="both"/>
        <w:ind w:left="1020" w:firstLine="757"/>
        <w:spacing w:after="0" w:line="237" w:lineRule="auto"/>
        <w:tabs>
          <w:tab w:leader="none" w:pos="2509" w:val="left"/>
        </w:tabs>
        <w:numPr>
          <w:ilvl w:val="1"/>
          <w:numId w:val="195"/>
        </w:numPr>
        <w:rPr>
          <w:rFonts w:ascii="Arial" w:cs="Arial" w:eastAsia="Arial" w:hAnsi="Arial"/>
          <w:sz w:val="20"/>
          <w:szCs w:val="20"/>
          <w:color w:val="auto"/>
        </w:rPr>
      </w:pPr>
      <w:r>
        <w:rPr>
          <w:rFonts w:ascii="Arial" w:cs="Arial" w:eastAsia="Arial" w:hAnsi="Arial"/>
          <w:sz w:val="20"/>
          <w:szCs w:val="20"/>
          <w:color w:val="auto"/>
        </w:rPr>
        <w:t>impose on any Lender or any L/C Issuer or any applicable interbank market any other condition, cost or expense affecting this Agreement or Daily Simple SOFR Loans, Term SOFR Loans or Alternative Currency Loans made by such Lender or any Letter of Credit or participation therein;</w:t>
      </w:r>
    </w:p>
    <w:p>
      <w:pPr>
        <w:spacing w:after="0" w:line="183" w:lineRule="exact"/>
        <w:rPr>
          <w:sz w:val="20"/>
          <w:szCs w:val="20"/>
          <w:color w:val="auto"/>
        </w:rPr>
      </w:pPr>
    </w:p>
    <w:p>
      <w:pPr>
        <w:jc w:val="both"/>
        <w:ind w:left="100"/>
        <w:spacing w:after="0" w:line="242" w:lineRule="auto"/>
        <w:rPr>
          <w:sz w:val="20"/>
          <w:szCs w:val="20"/>
          <w:color w:val="auto"/>
        </w:rPr>
      </w:pPr>
      <w:r>
        <w:rPr>
          <w:rFonts w:ascii="Arial" w:cs="Arial" w:eastAsia="Arial" w:hAnsi="Arial"/>
          <w:sz w:val="19"/>
          <w:szCs w:val="19"/>
          <w:color w:val="auto"/>
        </w:rPr>
        <w:t>and the result of any of the foregoing shall be to increase the cost to such Lender of making, converting to, continuing or maintaining any Loan (or of maintaining its obligation to make any Loan), or to increasethe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in each of the foregoing cases, by an amount deemed material by such Lender or such L/C Issuer, as applicable,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w:t>
      </w:r>
    </w:p>
    <w:p>
      <w:pPr>
        <w:spacing w:after="0" w:line="195" w:lineRule="exact"/>
        <w:rPr>
          <w:sz w:val="20"/>
          <w:szCs w:val="20"/>
          <w:color w:val="auto"/>
        </w:rPr>
      </w:pPr>
    </w:p>
    <w:p>
      <w:pPr>
        <w:jc w:val="both"/>
        <w:ind w:left="280" w:firstLine="748"/>
        <w:spacing w:after="0" w:line="257" w:lineRule="auto"/>
        <w:tabs>
          <w:tab w:leader="none" w:pos="1769"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22"/>
          <w:szCs w:val="22"/>
          <w:color w:val="auto"/>
        </w:rPr>
        <w:t>89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5" w:name="page216"/>
    <w:bookmarkEnd w:id="215"/>
    <w:p>
      <w:pPr>
        <w:jc w:val="both"/>
        <w:ind w:left="280"/>
        <w:spacing w:after="0" w:line="234" w:lineRule="auto"/>
        <w:rPr>
          <w:sz w:val="20"/>
          <w:szCs w:val="20"/>
          <w:color w:val="auto"/>
        </w:rPr>
      </w:pPr>
      <w:r>
        <w:rPr>
          <w:rFonts w:ascii="Arial" w:cs="Arial" w:eastAsia="Arial" w:hAnsi="Arial"/>
          <w:sz w:val="20"/>
          <w:szCs w:val="20"/>
          <w:color w:val="auto"/>
        </w:rPr>
        <w:t>adequacy), in each of the foregoing cases, by an amount deemed material by such Lender or such L/C Issuer, as applicable, then from time to time the Company will pay (or cause the applicable Designated Borrower to pay) such Lender or such L/C Issuer, as the case may be, such additional amount or amounts as will compensate such Lender or such L/C Issuer or such Lender’s or such L/C Issuer’s holding company for any such reduction suffered.</w:t>
      </w:r>
    </w:p>
    <w:p>
      <w:pPr>
        <w:spacing w:after="0" w:line="183" w:lineRule="exact"/>
        <w:rPr>
          <w:sz w:val="20"/>
          <w:szCs w:val="20"/>
          <w:color w:val="auto"/>
        </w:rPr>
      </w:pPr>
    </w:p>
    <w:p>
      <w:pPr>
        <w:jc w:val="both"/>
        <w:ind w:left="280" w:firstLine="748"/>
        <w:spacing w:after="0" w:line="232" w:lineRule="auto"/>
        <w:tabs>
          <w:tab w:leader="none" w:pos="1770"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Certificates for Reimbursement</w:t>
      </w:r>
      <w:r>
        <w:rPr>
          <w:rFonts w:ascii="Arial" w:cs="Arial" w:eastAsia="Arial" w:hAnsi="Arial"/>
          <w:sz w:val="20"/>
          <w:szCs w:val="20"/>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and delivered to the Company shall be conclusive absent manifest error. The Company shall pay (or cause the applicable Designated Borrower to pay) such Lender or such L/C Issuer, as the case may be, the amount shown as due on any such certificate within 10 days after receipt thereof.</w:t>
      </w:r>
    </w:p>
    <w:p>
      <w:pPr>
        <w:spacing w:after="0" w:line="197" w:lineRule="exact"/>
        <w:rPr>
          <w:rFonts w:ascii="Arial" w:cs="Arial" w:eastAsia="Arial" w:hAnsi="Arial"/>
          <w:sz w:val="20"/>
          <w:szCs w:val="20"/>
          <w:color w:val="auto"/>
        </w:rPr>
      </w:pPr>
    </w:p>
    <w:p>
      <w:pPr>
        <w:jc w:val="both"/>
        <w:ind w:left="280" w:firstLine="748"/>
        <w:spacing w:after="0" w:line="229" w:lineRule="auto"/>
        <w:tabs>
          <w:tab w:leader="none" w:pos="1770"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any L/C Issuer to demand compensation pursuant to the foregoing provisions of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shall not constitute a waiver of such Lender’s or such L/C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Borrower shall be required to compensate a Lender or an L/C Issuer pursuant to the foregoing provisions of this Section for any increased costs incurred or reductions suffered more than nine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9" w:lineRule="exact"/>
        <w:rPr>
          <w:sz w:val="20"/>
          <w:szCs w:val="20"/>
          <w:color w:val="auto"/>
        </w:rPr>
      </w:pPr>
    </w:p>
    <w:p>
      <w:pPr>
        <w:jc w:val="both"/>
        <w:ind w:left="100" w:firstLine="749"/>
        <w:spacing w:after="0" w:line="275" w:lineRule="auto"/>
        <w:rPr>
          <w:sz w:val="20"/>
          <w:szCs w:val="20"/>
          <w:color w:val="auto"/>
        </w:rPr>
      </w:pPr>
      <w:r>
        <w:rPr>
          <w:rFonts w:ascii="Arial" w:cs="Arial" w:eastAsia="Arial" w:hAnsi="Arial"/>
          <w:sz w:val="18"/>
          <w:szCs w:val="18"/>
          <w:color w:val="auto"/>
        </w:rPr>
        <w:t>1.6 Compensation for Losses. Upon demand of any Lender (with a copy to the Administrative Agent) from time to time, the Company shall promptly compensate (or cause the applicable Designated Borrower to compensate) such Lender for and hold such Lender harmless from any loss, cost or reasonable and documented out-of-pocket expense actually incurred by it as a result of:</w:t>
      </w:r>
    </w:p>
    <w:p>
      <w:pPr>
        <w:spacing w:after="0" w:line="152" w:lineRule="exact"/>
        <w:rPr>
          <w:sz w:val="20"/>
          <w:szCs w:val="20"/>
          <w:color w:val="auto"/>
        </w:rPr>
      </w:pPr>
    </w:p>
    <w:p>
      <w:pPr>
        <w:jc w:val="both"/>
        <w:ind w:left="280" w:firstLine="748"/>
        <w:spacing w:after="0" w:line="237" w:lineRule="auto"/>
        <w:tabs>
          <w:tab w:leader="none" w:pos="176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any continuation, conversion, payment or prepayment of any Loan other than a Base Rate Loan on a day other than the last day of the Interest Period, relevant interest payment date or payment period, as applicable, for such Loan, if applicable (whether voluntary, mandatory, automatic, by reason of acceleration, or otherwise);</w:t>
      </w:r>
    </w:p>
    <w:p>
      <w:pPr>
        <w:spacing w:after="0" w:line="196" w:lineRule="exact"/>
        <w:rPr>
          <w:rFonts w:ascii="Arial" w:cs="Arial" w:eastAsia="Arial" w:hAnsi="Arial"/>
          <w:sz w:val="20"/>
          <w:szCs w:val="20"/>
          <w:color w:val="auto"/>
        </w:rPr>
      </w:pPr>
    </w:p>
    <w:p>
      <w:pPr>
        <w:jc w:val="both"/>
        <w:ind w:left="280" w:firstLine="748"/>
        <w:spacing w:after="0" w:line="237" w:lineRule="auto"/>
        <w:tabs>
          <w:tab w:leader="none" w:pos="176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w:t>
      </w:r>
    </w:p>
    <w:p>
      <w:pPr>
        <w:spacing w:after="0" w:line="182" w:lineRule="exact"/>
        <w:rPr>
          <w:rFonts w:ascii="Arial" w:cs="Arial" w:eastAsia="Arial" w:hAnsi="Arial"/>
          <w:sz w:val="20"/>
          <w:szCs w:val="20"/>
          <w:color w:val="auto"/>
        </w:rPr>
      </w:pPr>
    </w:p>
    <w:p>
      <w:pPr>
        <w:ind w:left="280" w:right="20" w:firstLine="748"/>
        <w:spacing w:after="0" w:line="300" w:lineRule="auto"/>
        <w:tabs>
          <w:tab w:leader="none" w:pos="176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17" w:lineRule="exact"/>
        <w:rPr>
          <w:rFonts w:ascii="Arial" w:cs="Arial" w:eastAsia="Arial" w:hAnsi="Arial"/>
          <w:sz w:val="18"/>
          <w:szCs w:val="18"/>
          <w:color w:val="auto"/>
        </w:rPr>
      </w:pPr>
    </w:p>
    <w:p>
      <w:pPr>
        <w:ind w:left="280" w:firstLine="748"/>
        <w:spacing w:after="0" w:line="246" w:lineRule="auto"/>
        <w:tabs>
          <w:tab w:leader="none" w:pos="1769"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any assignment of a Term SOFR Loan or Alternative Currency Term Rate Loan on a day other than the last day of the Interest Period therefor as a result of a request by the Company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90" w:lineRule="exact"/>
        <w:rPr>
          <w:sz w:val="20"/>
          <w:szCs w:val="20"/>
          <w:color w:val="auto"/>
        </w:rPr>
      </w:pPr>
    </w:p>
    <w:p>
      <w:pPr>
        <w:jc w:val="both"/>
        <w:ind w:left="100"/>
        <w:spacing w:after="0" w:line="248" w:lineRule="auto"/>
        <w:rPr>
          <w:sz w:val="20"/>
          <w:szCs w:val="20"/>
          <w:color w:val="auto"/>
        </w:rPr>
      </w:pPr>
      <w:r>
        <w:rPr>
          <w:rFonts w:ascii="Arial" w:cs="Arial" w:eastAsia="Arial" w:hAnsi="Arial"/>
          <w:sz w:val="19"/>
          <w:szCs w:val="19"/>
          <w:color w:val="auto"/>
        </w:rPr>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90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6" w:name="page217"/>
    <w:bookmarkEnd w:id="216"/>
    <w:p>
      <w:pPr>
        <w:jc w:val="both"/>
        <w:ind w:left="100"/>
        <w:spacing w:after="0" w:line="232" w:lineRule="auto"/>
        <w:rPr>
          <w:sz w:val="20"/>
          <w:szCs w:val="20"/>
          <w:color w:val="auto"/>
        </w:rPr>
      </w:pPr>
      <w:r>
        <w:rPr>
          <w:rFonts w:ascii="Arial" w:cs="Arial" w:eastAsia="Arial" w:hAnsi="Arial"/>
          <w:sz w:val="20"/>
          <w:szCs w:val="20"/>
          <w:color w:val="auto"/>
        </w:rPr>
        <w:t xml:space="preserve">For purposes of calculating amounts payable by the Company (or applicable Designated Borrower) to the Lenders under this </w:t>
      </w:r>
      <w:r>
        <w:rPr>
          <w:rFonts w:ascii="Arial" w:cs="Arial" w:eastAsia="Arial" w:hAnsi="Arial"/>
          <w:sz w:val="20"/>
          <w:szCs w:val="20"/>
          <w:u w:val="single" w:color="auto"/>
          <w:color w:val="auto"/>
        </w:rPr>
        <w:t>Section 3.05</w:t>
      </w:r>
      <w:r>
        <w:rPr>
          <w:rFonts w:ascii="Arial" w:cs="Arial" w:eastAsia="Arial" w:hAnsi="Arial"/>
          <w:sz w:val="20"/>
          <w:szCs w:val="20"/>
          <w:color w:val="auto"/>
        </w:rPr>
        <w:t>, each Lender shall be deemed to have funded each Alternative Currency Term Rate Loan or Term SOFR Loan made by it at the Alternative Currency Term Rate or Term SOFR, as applicable, for such Loan by a matching deposit or other borrowing in the offshore interbank market for such currency for a comparable amount and for a comparable period, whether or not such Alternative Currency Term Rate Loan or Term SOFR Loan was in fact so funded.</w:t>
      </w:r>
    </w:p>
    <w:p>
      <w:pPr>
        <w:spacing w:after="0" w:line="184"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Mitigation Obligations; Replacement of Lenders.</w:t>
      </w:r>
    </w:p>
    <w:p>
      <w:pPr>
        <w:spacing w:after="0" w:line="216" w:lineRule="exact"/>
        <w:rPr>
          <w:sz w:val="20"/>
          <w:szCs w:val="20"/>
          <w:color w:val="auto"/>
        </w:rPr>
      </w:pPr>
    </w:p>
    <w:p>
      <w:pPr>
        <w:jc w:val="both"/>
        <w:ind w:left="280" w:firstLine="748"/>
        <w:spacing w:after="0" w:line="252" w:lineRule="auto"/>
        <w:tabs>
          <w:tab w:leader="none" w:pos="1770" w:val="left"/>
        </w:tabs>
        <w:numPr>
          <w:ilvl w:val="1"/>
          <w:numId w:val="199"/>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Each Lender may make any Credit Extension to a Borrower through any Lending Office,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of this option shall not affect the obligation of any Borrower to repay the Credit Extension in accordance with the terms of this Agreement.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requires any Borrower to pay any Indemnified Taxes or additional amounts to any Lender, any L/C Issuer, or any Governmental Authority for the account of any Lender or any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w:t>
      </w:r>
    </w:p>
    <w:p>
      <w:pPr>
        <w:spacing w:after="0" w:line="4" w:lineRule="exact"/>
        <w:rPr>
          <w:rFonts w:ascii="Arial" w:cs="Arial" w:eastAsia="Arial" w:hAnsi="Arial"/>
          <w:sz w:val="18"/>
          <w:szCs w:val="18"/>
          <w:color w:val="auto"/>
        </w:rPr>
      </w:pPr>
    </w:p>
    <w:p>
      <w:pPr>
        <w:jc w:val="both"/>
        <w:ind w:left="280" w:hanging="1"/>
        <w:spacing w:after="0" w:line="230" w:lineRule="auto"/>
        <w:tabs>
          <w:tab w:leader="none" w:pos="576"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in each case, would not subject such Lender or such L/C Issuer, as the case may be, to any unreimbursed cost or expense and would not otherwise be disadvantageous to such Lender or such L/C Issuer, as the case may be. The Company hereby agrees to pay (or cause the applicable Designated Borrower to pay) all reasonable costs and out- of-pocket expenses incurred by any Lender or any L/C Issuer in connection with any such designation or assignment.</w:t>
      </w:r>
    </w:p>
    <w:p>
      <w:pPr>
        <w:spacing w:after="0" w:line="182" w:lineRule="exact"/>
        <w:rPr>
          <w:rFonts w:ascii="Arial" w:cs="Arial" w:eastAsia="Arial" w:hAnsi="Arial"/>
          <w:sz w:val="20"/>
          <w:szCs w:val="20"/>
          <w:color w:val="auto"/>
        </w:rPr>
      </w:pPr>
    </w:p>
    <w:p>
      <w:pPr>
        <w:jc w:val="both"/>
        <w:ind w:left="280" w:firstLine="748"/>
        <w:spacing w:after="0" w:line="248" w:lineRule="auto"/>
        <w:tabs>
          <w:tab w:leader="none" w:pos="1769"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and, in each case, such Lender has declined or is unable to designate a different lending office in accordance with </w:t>
      </w:r>
      <w:r>
        <w:rPr>
          <w:rFonts w:ascii="Arial" w:cs="Arial" w:eastAsia="Arial" w:hAnsi="Arial"/>
          <w:sz w:val="19"/>
          <w:szCs w:val="19"/>
          <w:u w:val="single" w:color="auto"/>
          <w:color w:val="auto"/>
        </w:rPr>
        <w:t>Section 3.06(a)</w:t>
      </w:r>
      <w:r>
        <w:rPr>
          <w:rFonts w:ascii="Arial" w:cs="Arial" w:eastAsia="Arial" w:hAnsi="Arial"/>
          <w:sz w:val="19"/>
          <w:szCs w:val="19"/>
          <w:color w:val="auto"/>
        </w:rPr>
        <w:t xml:space="preserve">, the Company may replace such Lender in accordance with </w:t>
      </w:r>
      <w:r>
        <w:rPr>
          <w:rFonts w:ascii="Arial" w:cs="Arial" w:eastAsia="Arial" w:hAnsi="Arial"/>
          <w:sz w:val="19"/>
          <w:szCs w:val="19"/>
          <w:u w:val="single" w:color="auto"/>
          <w:color w:val="auto"/>
        </w:rPr>
        <w:t>Section 10.13</w:t>
      </w:r>
      <w:r>
        <w:rPr>
          <w:rFonts w:ascii="Arial" w:cs="Arial" w:eastAsia="Arial" w:hAnsi="Arial"/>
          <w:sz w:val="19"/>
          <w:szCs w:val="19"/>
          <w:color w:val="auto"/>
        </w:rPr>
        <w:t>.</w:t>
      </w:r>
    </w:p>
    <w:p>
      <w:pPr>
        <w:spacing w:after="0" w:line="163" w:lineRule="exact"/>
        <w:rPr>
          <w:sz w:val="20"/>
          <w:szCs w:val="20"/>
          <w:color w:val="auto"/>
        </w:rPr>
      </w:pPr>
    </w:p>
    <w:p>
      <w:pPr>
        <w:ind w:left="100" w:firstLine="749"/>
        <w:spacing w:after="0" w:line="246" w:lineRule="auto"/>
        <w:rPr>
          <w:sz w:val="20"/>
          <w:szCs w:val="20"/>
          <w:color w:val="auto"/>
        </w:rPr>
      </w:pPr>
      <w:r>
        <w:rPr>
          <w:rFonts w:ascii="Arial" w:cs="Arial" w:eastAsia="Arial" w:hAnsi="Arial"/>
          <w:sz w:val="20"/>
          <w:szCs w:val="20"/>
          <w:color w:val="auto"/>
        </w:rPr>
        <w:t xml:space="preserve">1.7 Survival. 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Commitments, repayment of all other Obligations hereunder, and resignation of the Administrative Agent.</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IV.</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CONDITIONS PRECEDENT TO CREDIT EXTENSIONS</w:t>
      </w:r>
    </w:p>
    <w:p>
      <w:pPr>
        <w:spacing w:after="0" w:line="200" w:lineRule="exact"/>
        <w:rPr>
          <w:sz w:val="20"/>
          <w:szCs w:val="20"/>
          <w:color w:val="auto"/>
        </w:rPr>
      </w:pPr>
    </w:p>
    <w:p>
      <w:pPr>
        <w:ind w:left="100" w:firstLine="749"/>
        <w:spacing w:after="0" w:line="246" w:lineRule="auto"/>
        <w:rPr>
          <w:sz w:val="20"/>
          <w:szCs w:val="20"/>
          <w:color w:val="auto"/>
        </w:rPr>
      </w:pPr>
      <w:r>
        <w:rPr>
          <w:rFonts w:ascii="Arial" w:cs="Arial" w:eastAsia="Arial" w:hAnsi="Arial"/>
          <w:sz w:val="20"/>
          <w:szCs w:val="20"/>
          <w:color w:val="auto"/>
        </w:rPr>
        <w:t>1.1 Conditions of Initial Credit Extension. The obligation of each L/C Issuer and each Lender to make its initial Credit Extension hereunder is subject to satisfaction of the following conditions precedent:</w:t>
      </w:r>
    </w:p>
    <w:p>
      <w:pPr>
        <w:spacing w:after="0" w:line="177" w:lineRule="exact"/>
        <w:rPr>
          <w:sz w:val="20"/>
          <w:szCs w:val="20"/>
          <w:color w:val="auto"/>
        </w:rPr>
      </w:pPr>
    </w:p>
    <w:p>
      <w:pPr>
        <w:jc w:val="both"/>
        <w:ind w:left="280" w:firstLine="748"/>
        <w:spacing w:after="0" w:line="248" w:lineRule="auto"/>
        <w:tabs>
          <w:tab w:leader="none" w:pos="1769"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Documentation</w:t>
      </w:r>
      <w:r>
        <w:rPr>
          <w:rFonts w:ascii="Arial" w:cs="Arial" w:eastAsia="Arial" w:hAnsi="Arial"/>
          <w:sz w:val="19"/>
          <w:szCs w:val="19"/>
          <w:color w:val="auto"/>
        </w:rPr>
        <w:t>. 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22"/>
          <w:szCs w:val="22"/>
          <w:color w:val="auto"/>
        </w:rPr>
        <w:t>91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7" w:name="page218"/>
    <w:bookmarkEnd w:id="217"/>
    <w:p>
      <w:pPr>
        <w:ind w:left="2520" w:hanging="743"/>
        <w:spacing w:after="0"/>
        <w:tabs>
          <w:tab w:leader="none" w:pos="2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executed counterparts of this Agreement, the Guaranties, the U.S. Security Agreement and the U.S. Pledge</w:t>
      </w:r>
    </w:p>
    <w:p>
      <w:pPr>
        <w:spacing w:after="0" w:line="25"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20"/>
          <w:szCs w:val="20"/>
          <w:color w:val="auto"/>
        </w:rPr>
        <w:t>Agreement;</w:t>
      </w:r>
    </w:p>
    <w:p>
      <w:pPr>
        <w:spacing w:after="0" w:line="186" w:lineRule="exact"/>
        <w:rPr>
          <w:rFonts w:ascii="Arial" w:cs="Arial" w:eastAsia="Arial" w:hAnsi="Arial"/>
          <w:sz w:val="18"/>
          <w:szCs w:val="18"/>
          <w:color w:val="auto"/>
        </w:rPr>
      </w:pPr>
    </w:p>
    <w:p>
      <w:pPr>
        <w:ind w:left="2520" w:hanging="743"/>
        <w:spacing w:after="0"/>
        <w:tabs>
          <w:tab w:leader="none" w:pos="252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Notes executed by the Borrowers in favor of each Lender requesting Notes;</w:t>
      </w:r>
    </w:p>
    <w:p>
      <w:pPr>
        <w:spacing w:after="0" w:line="215" w:lineRule="exact"/>
        <w:rPr>
          <w:rFonts w:ascii="Arial" w:cs="Arial" w:eastAsia="Arial" w:hAnsi="Arial"/>
          <w:sz w:val="20"/>
          <w:szCs w:val="20"/>
          <w:color w:val="auto"/>
        </w:rPr>
      </w:pPr>
    </w:p>
    <w:p>
      <w:pPr>
        <w:jc w:val="both"/>
        <w:ind w:left="1020" w:firstLine="757"/>
        <w:spacing w:after="0" w:line="234" w:lineRule="auto"/>
        <w:tabs>
          <w:tab w:leader="none" w:pos="250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83" w:lineRule="exact"/>
        <w:rPr>
          <w:rFonts w:ascii="Arial" w:cs="Arial" w:eastAsia="Arial" w:hAnsi="Arial"/>
          <w:sz w:val="20"/>
          <w:szCs w:val="20"/>
          <w:color w:val="auto"/>
        </w:rPr>
      </w:pPr>
    </w:p>
    <w:p>
      <w:pPr>
        <w:jc w:val="both"/>
        <w:ind w:left="1020" w:firstLine="757"/>
        <w:spacing w:after="0" w:line="237" w:lineRule="auto"/>
        <w:tabs>
          <w:tab w:leader="none" w:pos="250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such documents and certifications as the Administrative Agent may reasonably require to evidence that each Loan Party is duly organized or formed, and that each Loan Party is validly existing, in good standing and qualified to engage in business in its jurisdiction of organization;</w:t>
      </w:r>
    </w:p>
    <w:p>
      <w:pPr>
        <w:spacing w:after="0" w:line="196" w:lineRule="exact"/>
        <w:rPr>
          <w:rFonts w:ascii="Arial" w:cs="Arial" w:eastAsia="Arial" w:hAnsi="Arial"/>
          <w:sz w:val="20"/>
          <w:szCs w:val="20"/>
          <w:color w:val="auto"/>
        </w:rPr>
      </w:pPr>
    </w:p>
    <w:p>
      <w:pPr>
        <w:ind w:left="1020" w:firstLine="757"/>
        <w:spacing w:after="0" w:line="300" w:lineRule="auto"/>
        <w:tabs>
          <w:tab w:leader="none" w:pos="250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favorable opinions of counsel to the Loan Parties addressed to the Administrative Agent and each Lender, as to the matters concerning the Loan Parties and the Loan Documents as the Administrative Agent may reasonably request;</w:t>
      </w:r>
    </w:p>
    <w:p>
      <w:pPr>
        <w:spacing w:after="0" w:line="130" w:lineRule="exact"/>
        <w:rPr>
          <w:rFonts w:ascii="Arial" w:cs="Arial" w:eastAsia="Arial" w:hAnsi="Arial"/>
          <w:sz w:val="18"/>
          <w:szCs w:val="18"/>
          <w:color w:val="auto"/>
        </w:rPr>
      </w:pPr>
    </w:p>
    <w:p>
      <w:pPr>
        <w:ind w:left="2520" w:hanging="743"/>
        <w:spacing w:after="0"/>
        <w:tabs>
          <w:tab w:leader="none" w:pos="2520" w:val="left"/>
        </w:tabs>
        <w:numPr>
          <w:ilvl w:val="0"/>
          <w:numId w:val="202"/>
        </w:numPr>
        <w:rPr>
          <w:rFonts w:ascii="Arial" w:cs="Arial" w:eastAsia="Arial" w:hAnsi="Arial"/>
          <w:sz w:val="20"/>
          <w:szCs w:val="20"/>
          <w:color w:val="auto"/>
        </w:rPr>
      </w:pPr>
      <w:r>
        <w:rPr>
          <w:rFonts w:ascii="Arial" w:cs="Arial" w:eastAsia="Arial" w:hAnsi="Arial"/>
          <w:sz w:val="20"/>
          <w:szCs w:val="20"/>
          <w:color w:val="auto"/>
        </w:rPr>
        <w:t>[reserved];</w:t>
      </w:r>
    </w:p>
    <w:p>
      <w:pPr>
        <w:spacing w:after="0" w:line="215" w:lineRule="exact"/>
        <w:rPr>
          <w:rFonts w:ascii="Arial" w:cs="Arial" w:eastAsia="Arial" w:hAnsi="Arial"/>
          <w:sz w:val="20"/>
          <w:szCs w:val="20"/>
          <w:color w:val="auto"/>
        </w:rPr>
      </w:pPr>
    </w:p>
    <w:p>
      <w:pPr>
        <w:jc w:val="both"/>
        <w:ind w:left="1020" w:firstLine="757"/>
        <w:spacing w:after="0" w:line="234" w:lineRule="auto"/>
        <w:tabs>
          <w:tab w:leader="none" w:pos="250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a certificate signed by a Responsible Officer of the Company certifying (A) that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(B) that there has been no event or circumstance since December 31, 2018 that has had or could be reasonably expected to have, either individually or in the aggregate, a Material Adverse Effect and (C) a calculation of the Consolidated Net Leverage Ratio as of the Closing Date;</w:t>
      </w:r>
    </w:p>
    <w:p>
      <w:pPr>
        <w:spacing w:after="0" w:line="183" w:lineRule="exact"/>
        <w:rPr>
          <w:rFonts w:ascii="Arial" w:cs="Arial" w:eastAsia="Arial" w:hAnsi="Arial"/>
          <w:sz w:val="20"/>
          <w:szCs w:val="20"/>
          <w:color w:val="auto"/>
        </w:rPr>
      </w:pPr>
    </w:p>
    <w:p>
      <w:pPr>
        <w:jc w:val="both"/>
        <w:ind w:left="1020" w:firstLine="757"/>
        <w:spacing w:after="0" w:line="237" w:lineRule="auto"/>
        <w:tabs>
          <w:tab w:leader="none" w:pos="250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a certificate of the chief financial officer of the Company as to the Solvency of the Company and the Company and its Restricted Subsidiaries, taken as a whole, after giving effect to the transactions contemplated on the Closing Date and the Indebtedness incurred in connection therewith;</w:t>
      </w:r>
    </w:p>
    <w:p>
      <w:pPr>
        <w:spacing w:after="0" w:line="196" w:lineRule="exact"/>
        <w:rPr>
          <w:rFonts w:ascii="Arial" w:cs="Arial" w:eastAsia="Arial" w:hAnsi="Arial"/>
          <w:sz w:val="20"/>
          <w:szCs w:val="20"/>
          <w:color w:val="auto"/>
        </w:rPr>
      </w:pPr>
    </w:p>
    <w:p>
      <w:pPr>
        <w:ind w:left="1020" w:firstLine="757"/>
        <w:spacing w:after="0" w:line="246" w:lineRule="auto"/>
        <w:tabs>
          <w:tab w:leader="none" w:pos="250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searches of UCC filings in the jurisdiction of incorporation or formation, as applicable, of each Loan Party and copies of the financing statements on file in such jurisdictions;</w:t>
      </w:r>
    </w:p>
    <w:p>
      <w:pPr>
        <w:spacing w:after="0" w:line="176" w:lineRule="exact"/>
        <w:rPr>
          <w:rFonts w:ascii="Arial" w:cs="Arial" w:eastAsia="Arial" w:hAnsi="Arial"/>
          <w:sz w:val="20"/>
          <w:szCs w:val="20"/>
          <w:color w:val="auto"/>
        </w:rPr>
      </w:pPr>
    </w:p>
    <w:p>
      <w:pPr>
        <w:jc w:val="both"/>
        <w:ind w:left="1020" w:firstLine="757"/>
        <w:spacing w:after="0" w:line="229" w:lineRule="auto"/>
        <w:tabs>
          <w:tab w:leader="none" w:pos="2509" w:val="left"/>
        </w:tabs>
        <w:numPr>
          <w:ilvl w:val="0"/>
          <w:numId w:val="202"/>
        </w:numPr>
        <w:rPr>
          <w:rFonts w:ascii="Arial" w:cs="Arial" w:eastAsia="Arial" w:hAnsi="Arial"/>
          <w:sz w:val="20"/>
          <w:szCs w:val="20"/>
          <w:color w:val="auto"/>
        </w:rPr>
      </w:pPr>
      <w:r>
        <w:rPr>
          <w:rFonts w:ascii="Arial" w:cs="Arial" w:eastAsia="Arial" w:hAnsi="Arial"/>
          <w:sz w:val="20"/>
          <w:szCs w:val="20"/>
          <w:color w:val="auto"/>
        </w:rPr>
        <w:t>delivery of Uniform Commercial Code financing statements suitable in form and substance for filing in all places required by applicable Law to perfect the Liens of the Administrative Agent under the Collateral Documents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Collateral Documents as a first priority Lien (subject only to Permitted Liens) in and to such other Collateral as the Administrative Agent may require including without limitation the delivery by the Loan Parties of stock or membership certificates, if any, evidencing the Equity Interests pledged pursuant to the Collateral Documents and undated stock or transfer powers duly executed in blank; in each case to the extent such Equity Interests are certificated; and</w:t>
      </w:r>
    </w:p>
    <w:p>
      <w:pPr>
        <w:spacing w:after="0" w:line="198" w:lineRule="exact"/>
        <w:rPr>
          <w:rFonts w:ascii="Arial" w:cs="Arial" w:eastAsia="Arial" w:hAnsi="Arial"/>
          <w:sz w:val="20"/>
          <w:szCs w:val="20"/>
          <w:color w:val="auto"/>
        </w:rPr>
      </w:pPr>
    </w:p>
    <w:p>
      <w:pPr>
        <w:ind w:left="1020" w:firstLine="757"/>
        <w:spacing w:after="0" w:line="246" w:lineRule="auto"/>
        <w:tabs>
          <w:tab w:leader="none" w:pos="250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each L/C Issuer, the Swing Line Lender or the Lenders reasonably may require.</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92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8" w:name="page219"/>
    <w:bookmarkEnd w:id="218"/>
    <w:p>
      <w:pPr>
        <w:jc w:val="both"/>
        <w:ind w:left="280" w:right="20" w:firstLine="748"/>
        <w:spacing w:after="0" w:line="254" w:lineRule="auto"/>
        <w:tabs>
          <w:tab w:leader="none" w:pos="1769"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Company shall have delivered to the Administrative Agent evidence of insurance coverage on the Company’s and each Restricted Subsidiary’s property satisfying the requirements of </w:t>
      </w:r>
      <w:r>
        <w:rPr>
          <w:rFonts w:ascii="Arial" w:cs="Arial" w:eastAsia="Arial" w:hAnsi="Arial"/>
          <w:sz w:val="19"/>
          <w:szCs w:val="19"/>
          <w:u w:val="single" w:color="auto"/>
          <w:color w:val="auto"/>
        </w:rPr>
        <w:t>Section 6.07</w:t>
      </w:r>
      <w:r>
        <w:rPr>
          <w:rFonts w:ascii="Arial" w:cs="Arial" w:eastAsia="Arial" w:hAnsi="Arial"/>
          <w:sz w:val="19"/>
          <w:szCs w:val="19"/>
          <w:color w:val="auto"/>
        </w:rPr>
        <w:t>, and where required by the Administrative Agent, with loss payable endorsements in favor of the Administrative Agent for the benefit of the Secured Parties.</w:t>
      </w:r>
    </w:p>
    <w:p>
      <w:pPr>
        <w:spacing w:after="0" w:line="170" w:lineRule="exact"/>
        <w:rPr>
          <w:rFonts w:ascii="Arial" w:cs="Arial" w:eastAsia="Arial" w:hAnsi="Arial"/>
          <w:sz w:val="19"/>
          <w:szCs w:val="19"/>
          <w:color w:val="auto"/>
        </w:rPr>
      </w:pPr>
    </w:p>
    <w:p>
      <w:pPr>
        <w:jc w:val="both"/>
        <w:ind w:left="280" w:firstLine="748"/>
        <w:spacing w:after="0" w:line="246" w:lineRule="auto"/>
        <w:tabs>
          <w:tab w:leader="none" w:pos="1769"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PATRIOT Act, etc</w:t>
      </w:r>
      <w:r>
        <w:rPr>
          <w:rFonts w:ascii="Arial" w:cs="Arial" w:eastAsia="Arial" w:hAnsi="Arial"/>
          <w:sz w:val="19"/>
          <w:szCs w:val="19"/>
          <w:color w:val="auto"/>
        </w:rPr>
        <w:t>. The Administrative Agent and each Lender shall have received at least five Business Days prior to the Closing Date (i) all documentation and other information requested by the Administrative Agent or such Lender, as applicable, in order to comply with its obligations under applicable “know your customer” and anti-money laundering rules and regulations, including, without limitation, the Act, and (ii) with respect to any Loan Party that qualifies as a “legal entity customer” under the Beneficial Ownership Regulation, a Beneficial Ownership Certification in relation to such Loan Party.</w:t>
      </w:r>
    </w:p>
    <w:p>
      <w:pPr>
        <w:spacing w:after="0" w:line="189" w:lineRule="exact"/>
        <w:rPr>
          <w:rFonts w:ascii="Arial" w:cs="Arial" w:eastAsia="Arial" w:hAnsi="Arial"/>
          <w:sz w:val="19"/>
          <w:szCs w:val="19"/>
          <w:color w:val="auto"/>
        </w:rPr>
      </w:pPr>
    </w:p>
    <w:p>
      <w:pPr>
        <w:jc w:val="both"/>
        <w:ind w:left="280" w:firstLine="748"/>
        <w:spacing w:after="0" w:line="267" w:lineRule="auto"/>
        <w:tabs>
          <w:tab w:leader="none" w:pos="177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are no actions, suits, proceedings, claims or disputes pending or, to the actual knowledge of the Company after reasonable inquiry, threatened in writing, at law, in equity, in arbitration or before any Governmental Authority, by or against the Company or any of its Restricted Subsidiaries or against any of their properties or revenues that could reasonably be expected to materially adversely affect the Loan Documents or any of the transactions contemplated thereby.</w:t>
      </w:r>
    </w:p>
    <w:p>
      <w:pPr>
        <w:spacing w:after="0" w:line="158" w:lineRule="exact"/>
        <w:rPr>
          <w:rFonts w:ascii="Arial" w:cs="Arial" w:eastAsia="Arial" w:hAnsi="Arial"/>
          <w:sz w:val="18"/>
          <w:szCs w:val="18"/>
          <w:color w:val="auto"/>
        </w:rPr>
      </w:pPr>
    </w:p>
    <w:p>
      <w:pPr>
        <w:jc w:val="both"/>
        <w:ind w:left="280" w:firstLine="748"/>
        <w:spacing w:after="0" w:line="234" w:lineRule="auto"/>
        <w:tabs>
          <w:tab w:leader="none" w:pos="1769"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Financial Information</w:t>
      </w:r>
      <w:r>
        <w:rPr>
          <w:rFonts w:ascii="Arial" w:cs="Arial" w:eastAsia="Arial" w:hAnsi="Arial"/>
          <w:sz w:val="20"/>
          <w:szCs w:val="20"/>
          <w:color w:val="auto"/>
        </w:rPr>
        <w:t>. The Administrative Agent shall have received (i) the Audited Financial Statements, (ii) all interim financial statements of the Company and its Subsidiaries from and the after the Audited Financial Statements through the most recent quarter for which financial statements are available and (iii) such projections and forecasts prepared by management of the Company as may be reasonably requested by the Administrative Agent.</w:t>
      </w:r>
    </w:p>
    <w:p>
      <w:pPr>
        <w:spacing w:after="0" w:line="196" w:lineRule="exact"/>
        <w:rPr>
          <w:rFonts w:ascii="Arial" w:cs="Arial" w:eastAsia="Arial" w:hAnsi="Arial"/>
          <w:sz w:val="20"/>
          <w:szCs w:val="20"/>
          <w:color w:val="auto"/>
        </w:rPr>
      </w:pPr>
    </w:p>
    <w:p>
      <w:pPr>
        <w:jc w:val="both"/>
        <w:ind w:left="280" w:right="20" w:firstLine="748"/>
        <w:spacing w:after="0" w:line="246" w:lineRule="auto"/>
        <w:tabs>
          <w:tab w:leader="none" w:pos="1769" w:val="left"/>
        </w:tabs>
        <w:numPr>
          <w:ilvl w:val="0"/>
          <w:numId w:val="203"/>
        </w:numPr>
        <w:rPr>
          <w:rFonts w:ascii="Arial" w:cs="Arial" w:eastAsia="Arial" w:hAnsi="Arial"/>
          <w:sz w:val="19"/>
          <w:szCs w:val="19"/>
          <w:color w:val="auto"/>
        </w:rPr>
      </w:pP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The Administrative Agent shall have received evidence reasonably satisfactory to it that, concurrently with the closing, (i) all outstanding principal and accrued and unpaid interest with respect to the term loan under the Existing Credit Agreement have been paid in full, (ii) all amounts owing under the Existing Credit Agreement to lenders thereunder who elect not to become Lenders hereunder, if any, has been paid in full and (iii) all accrued and unpaid interest andfees owing to the Lenders and the L/C Issuers under the Existing Credit Agreement have been paid infull.</w:t>
      </w:r>
    </w:p>
    <w:p>
      <w:pPr>
        <w:spacing w:after="0" w:line="176" w:lineRule="exact"/>
        <w:rPr>
          <w:rFonts w:ascii="Arial" w:cs="Arial" w:eastAsia="Arial" w:hAnsi="Arial"/>
          <w:sz w:val="19"/>
          <w:szCs w:val="19"/>
          <w:color w:val="auto"/>
        </w:rPr>
      </w:pPr>
    </w:p>
    <w:p>
      <w:pPr>
        <w:ind w:left="280" w:right="20" w:firstLine="748"/>
        <w:spacing w:after="0" w:line="260" w:lineRule="auto"/>
        <w:tabs>
          <w:tab w:leader="none" w:pos="1769"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Any fees required to be paid to the Administrative Agent, the Arranger or the Lenders on or before the Closing Date shall have been paid.</w:t>
      </w:r>
    </w:p>
    <w:p>
      <w:pPr>
        <w:spacing w:after="0" w:line="163" w:lineRule="exact"/>
        <w:rPr>
          <w:rFonts w:ascii="Arial" w:cs="Arial" w:eastAsia="Arial" w:hAnsi="Arial"/>
          <w:sz w:val="20"/>
          <w:szCs w:val="20"/>
          <w:color w:val="auto"/>
        </w:rPr>
      </w:pPr>
    </w:p>
    <w:p>
      <w:pPr>
        <w:ind w:left="2840" w:hanging="956"/>
        <w:spacing w:after="0"/>
        <w:tabs>
          <w:tab w:leader="none" w:pos="284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Legal Fees and Expenses</w:t>
      </w:r>
      <w:r>
        <w:rPr>
          <w:rFonts w:ascii="Arial" w:cs="Arial" w:eastAsia="Arial" w:hAnsi="Arial"/>
          <w:sz w:val="18"/>
          <w:szCs w:val="18"/>
          <w:color w:val="auto"/>
        </w:rPr>
        <w:t>. Unless waived by the Administrative Agent, the Company shall have paid all</w:t>
      </w:r>
    </w:p>
    <w:p>
      <w:pPr>
        <w:spacing w:after="0" w:line="25" w:lineRule="exact"/>
        <w:rPr>
          <w:sz w:val="20"/>
          <w:szCs w:val="20"/>
          <w:color w:val="auto"/>
        </w:rPr>
      </w:pPr>
    </w:p>
    <w:p>
      <w:pPr>
        <w:jc w:val="right"/>
        <w:ind w:left="300"/>
        <w:spacing w:after="0" w:line="228" w:lineRule="auto"/>
        <w:rPr>
          <w:sz w:val="20"/>
          <w:szCs w:val="20"/>
          <w:color w:val="auto"/>
        </w:rPr>
      </w:pPr>
      <w:r>
        <w:rPr>
          <w:rFonts w:ascii="Arial" w:cs="Arial" w:eastAsia="Arial" w:hAnsi="Arial"/>
          <w:sz w:val="20"/>
          <w:szCs w:val="20"/>
          <w:color w:val="auto"/>
        </w:rPr>
        <w:t>reasonable and documented out-of-pocket fees, charges and disbursementsof counsel to the Administrative Agent (directly to such counsel if requested by the Administrative Agent) to the extent invoiced at least two Business Days prior to the Closing Date (or otherwise reflected in a settlement statement approved by the Company),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estimate shall not thereafter preclude a final settling of accounts between the Company and the Administrative Agent or itscounsel).</w:t>
      </w:r>
    </w:p>
    <w:p>
      <w:pPr>
        <w:spacing w:after="0" w:line="185"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color w:val="auto"/>
        </w:rPr>
        <w:t xml:space="preserve">Without limiting the generality of the provisions of the last paragraph of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2"/>
          <w:szCs w:val="22"/>
          <w:color w:val="auto"/>
        </w:rPr>
        <w:t>93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19" w:name="page220"/>
    <w:bookmarkEnd w:id="219"/>
    <w:p>
      <w:pPr>
        <w:jc w:val="both"/>
        <w:ind w:left="100" w:firstLine="749"/>
        <w:spacing w:after="0" w:line="237" w:lineRule="auto"/>
        <w:rPr>
          <w:sz w:val="20"/>
          <w:szCs w:val="20"/>
          <w:color w:val="auto"/>
        </w:rPr>
      </w:pPr>
      <w:r>
        <w:rPr>
          <w:rFonts w:ascii="Arial" w:cs="Arial" w:eastAsia="Arial" w:hAnsi="Arial"/>
          <w:sz w:val="20"/>
          <w:szCs w:val="20"/>
          <w:color w:val="auto"/>
        </w:rPr>
        <w:t>1.2 Conditions to all Credit Extensions. The obligation of each Lender and each L/C Issuer to honor any Request for Credit Extension (other than a Loan Notice requesting only a conversion of Loans to the other Type, or a continuation of Alternative Currency Term Rate Loans or Term SOFR Loans) is subject to the following conditions precedent:</w:t>
      </w:r>
    </w:p>
    <w:p>
      <w:pPr>
        <w:spacing w:after="0" w:line="183" w:lineRule="exact"/>
        <w:rPr>
          <w:sz w:val="20"/>
          <w:szCs w:val="20"/>
          <w:color w:val="auto"/>
        </w:rPr>
      </w:pPr>
    </w:p>
    <w:p>
      <w:pPr>
        <w:jc w:val="both"/>
        <w:ind w:left="280" w:firstLine="748"/>
        <w:spacing w:after="0" w:line="257" w:lineRule="auto"/>
        <w:tabs>
          <w:tab w:leader="none" w:pos="177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Borrowers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any other Loan Document or in any document furnished at any time under or in connection herewith or therewith, shall be true and correct in all material respects (or, in the case of any such representation and warranty that is subject to materiality or Material Adverse Effect qualifications, in all respects) on and as of the date of such Credit Extension, except to the extent that such representations and warranties specifically refer to an earlier date, in which case they shall be true and correct in all material respects (or, in the case of any such representation and warranty that is subject to materiality or Material Adverse Effect qualifications, in all respects) as of such earlier date,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70" w:lineRule="exact"/>
        <w:rPr>
          <w:rFonts w:ascii="Arial" w:cs="Arial" w:eastAsia="Arial" w:hAnsi="Arial"/>
          <w:sz w:val="18"/>
          <w:szCs w:val="18"/>
          <w:color w:val="auto"/>
        </w:rPr>
      </w:pPr>
    </w:p>
    <w:p>
      <w:pPr>
        <w:ind w:left="1760" w:hanging="732"/>
        <w:spacing w:after="0"/>
        <w:tabs>
          <w:tab w:leader="none" w:pos="176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No Default shall exist or would result from such proposed Credit Extension or the application of the proceeds</w:t>
      </w:r>
    </w:p>
    <w:p>
      <w:pPr>
        <w:spacing w:after="0" w:line="27" w:lineRule="exact"/>
        <w:rPr>
          <w:rFonts w:ascii="Arial" w:cs="Arial" w:eastAsia="Arial" w:hAnsi="Arial"/>
          <w:sz w:val="19"/>
          <w:szCs w:val="19"/>
          <w:color w:val="auto"/>
        </w:rPr>
      </w:pPr>
    </w:p>
    <w:p>
      <w:pPr>
        <w:ind w:left="280"/>
        <w:spacing w:after="0"/>
        <w:rPr>
          <w:rFonts w:ascii="Arial" w:cs="Arial" w:eastAsia="Arial" w:hAnsi="Arial"/>
          <w:sz w:val="19"/>
          <w:szCs w:val="19"/>
          <w:color w:val="auto"/>
        </w:rPr>
      </w:pPr>
      <w:r>
        <w:rPr>
          <w:rFonts w:ascii="Arial" w:cs="Arial" w:eastAsia="Arial" w:hAnsi="Arial"/>
          <w:sz w:val="20"/>
          <w:szCs w:val="20"/>
          <w:color w:val="auto"/>
        </w:rPr>
        <w:t>thereof.</w:t>
      </w:r>
    </w:p>
    <w:p>
      <w:pPr>
        <w:spacing w:after="0" w:line="172" w:lineRule="exact"/>
        <w:rPr>
          <w:rFonts w:ascii="Arial" w:cs="Arial" w:eastAsia="Arial" w:hAnsi="Arial"/>
          <w:sz w:val="19"/>
          <w:szCs w:val="19"/>
          <w:color w:val="auto"/>
        </w:rPr>
      </w:pPr>
    </w:p>
    <w:p>
      <w:pPr>
        <w:ind w:left="280" w:right="20" w:firstLine="748"/>
        <w:spacing w:after="0" w:line="246" w:lineRule="auto"/>
        <w:tabs>
          <w:tab w:leader="none" w:pos="1769"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Administrative Agent and, if applicable, the applicable L/C Issuer or the Swing Line Lender shall have received a Request for Credit Extension in accordance with the requirementshereof.</w:t>
      </w:r>
    </w:p>
    <w:p>
      <w:pPr>
        <w:spacing w:after="0" w:line="190" w:lineRule="exact"/>
        <w:rPr>
          <w:rFonts w:ascii="Arial" w:cs="Arial" w:eastAsia="Arial" w:hAnsi="Arial"/>
          <w:sz w:val="20"/>
          <w:szCs w:val="20"/>
          <w:color w:val="auto"/>
        </w:rPr>
      </w:pPr>
    </w:p>
    <w:p>
      <w:pPr>
        <w:ind w:left="280" w:right="20" w:firstLine="748"/>
        <w:spacing w:after="0" w:line="272" w:lineRule="auto"/>
        <w:tabs>
          <w:tab w:leader="none" w:pos="1769" w:val="left"/>
        </w:tabs>
        <w:numPr>
          <w:ilvl w:val="0"/>
          <w:numId w:val="204"/>
        </w:numPr>
        <w:rPr>
          <w:rFonts w:ascii="Arial" w:cs="Arial" w:eastAsia="Arial" w:hAnsi="Arial"/>
          <w:sz w:val="19"/>
          <w:szCs w:val="19"/>
          <w:color w:val="auto"/>
        </w:rPr>
      </w:pPr>
      <w:r>
        <w:rPr>
          <w:rFonts w:ascii="Arial" w:cs="Arial" w:eastAsia="Arial" w:hAnsi="Arial"/>
          <w:sz w:val="19"/>
          <w:szCs w:val="19"/>
          <w:color w:val="auto"/>
        </w:rPr>
        <w:t xml:space="preserve">If the applicable Borrower is a Designated Borrower, then the conditions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to the designation of such Borrower as a Designated Borrower shall have been met to the satisfaction of the Administrative Agent.</w:t>
      </w:r>
    </w:p>
    <w:p>
      <w:pPr>
        <w:spacing w:after="0" w:line="139" w:lineRule="exact"/>
        <w:rPr>
          <w:rFonts w:ascii="Arial" w:cs="Arial" w:eastAsia="Arial" w:hAnsi="Arial"/>
          <w:sz w:val="19"/>
          <w:szCs w:val="19"/>
          <w:color w:val="auto"/>
        </w:rPr>
      </w:pPr>
    </w:p>
    <w:p>
      <w:pPr>
        <w:ind w:left="1760" w:hanging="732"/>
        <w:spacing w:after="0"/>
        <w:tabs>
          <w:tab w:leader="none" w:pos="17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such currency remains an Eligible</w:t>
      </w:r>
    </w:p>
    <w:p>
      <w:pPr>
        <w:spacing w:after="0" w:line="2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20"/>
          <w:szCs w:val="20"/>
          <w:color w:val="auto"/>
        </w:rPr>
        <w:t>Currency.</w:t>
      </w:r>
    </w:p>
    <w:p>
      <w:pPr>
        <w:spacing w:after="0" w:line="186"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 xml:space="preserve">Each Request for Credit Extension (other than a Loan Notice requesting only a conversion of Loans to the other Type or a continuation of Alternative Currency Term Rate Loans or Term SOFR Loans) submitted by the Company shall be deemed to be a representation and warranty that the conditions specified in </w:t>
      </w:r>
      <w:r>
        <w:rPr>
          <w:rFonts w:ascii="Arial" w:cs="Arial" w:eastAsia="Arial" w:hAnsi="Arial"/>
          <w:sz w:val="20"/>
          <w:szCs w:val="20"/>
          <w:u w:val="single" w:color="auto"/>
          <w:color w:val="auto"/>
        </w:rPr>
        <w:t>Sections 4.02(a)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have been satisfied on and as of the date of the applicable Credit Extension.</w:t>
      </w:r>
    </w:p>
    <w:p>
      <w:pPr>
        <w:spacing w:after="0" w:line="200" w:lineRule="exact"/>
        <w:rPr>
          <w:sz w:val="20"/>
          <w:szCs w:val="20"/>
          <w:color w:val="auto"/>
        </w:rPr>
      </w:pPr>
    </w:p>
    <w:p>
      <w:pPr>
        <w:spacing w:after="0" w:line="321"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ARTICLE V. REPRESENTATIONS AND</w:t>
      </w:r>
    </w:p>
    <w:p>
      <w:pPr>
        <w:spacing w:after="0" w:line="2" w:lineRule="exact"/>
        <w:rPr>
          <w:sz w:val="20"/>
          <w:szCs w:val="20"/>
          <w:color w:val="auto"/>
        </w:rPr>
      </w:pPr>
    </w:p>
    <w:p>
      <w:pPr>
        <w:ind w:left="2740"/>
        <w:spacing w:after="0"/>
        <w:rPr>
          <w:sz w:val="20"/>
          <w:szCs w:val="20"/>
          <w:color w:val="auto"/>
        </w:rPr>
      </w:pPr>
      <w:r>
        <w:rPr>
          <w:rFonts w:ascii="Arial" w:cs="Arial" w:eastAsia="Arial" w:hAnsi="Arial"/>
          <w:sz w:val="20"/>
          <w:szCs w:val="20"/>
          <w:color w:val="auto"/>
        </w:rPr>
        <w:t>WARRANTIES</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9"/>
          <w:szCs w:val="19"/>
          <w:color w:val="auto"/>
        </w:rPr>
        <w:t xml:space="preserve">Except as otherwise provided in </w:t>
      </w:r>
      <w:r>
        <w:rPr>
          <w:rFonts w:ascii="Arial" w:cs="Arial" w:eastAsia="Arial" w:hAnsi="Arial"/>
          <w:sz w:val="19"/>
          <w:szCs w:val="19"/>
          <w:u w:val="single" w:color="auto"/>
          <w:color w:val="auto"/>
        </w:rPr>
        <w:t>Section 5.23</w:t>
      </w:r>
      <w:r>
        <w:rPr>
          <w:rFonts w:ascii="Arial" w:cs="Arial" w:eastAsia="Arial" w:hAnsi="Arial"/>
          <w:sz w:val="19"/>
          <w:szCs w:val="19"/>
          <w:color w:val="auto"/>
        </w:rPr>
        <w:t>, each Borrower represents and warrants to the Administrative Agent and the</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Lenders that:</w:t>
      </w:r>
    </w:p>
    <w:p>
      <w:pPr>
        <w:spacing w:after="0" w:line="200" w:lineRule="exact"/>
        <w:rPr>
          <w:sz w:val="20"/>
          <w:szCs w:val="20"/>
          <w:color w:val="auto"/>
        </w:rPr>
      </w:pPr>
    </w:p>
    <w:p>
      <w:pPr>
        <w:jc w:val="both"/>
        <w:ind w:left="100" w:firstLine="749"/>
        <w:spacing w:after="0" w:line="255" w:lineRule="auto"/>
        <w:rPr>
          <w:sz w:val="20"/>
          <w:szCs w:val="20"/>
          <w:color w:val="auto"/>
        </w:rPr>
      </w:pPr>
      <w:r>
        <w:rPr>
          <w:rFonts w:ascii="Arial" w:cs="Arial" w:eastAsia="Arial" w:hAnsi="Arial"/>
          <w:sz w:val="18"/>
          <w:szCs w:val="18"/>
          <w:color w:val="auto"/>
        </w:rPr>
        <w:t>1.1 Existence, Qualification and Power. Each Loan Party and each Restricted Subsidiary thereof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w:t>
      </w:r>
    </w:p>
    <w:p>
      <w:pPr>
        <w:jc w:val="both"/>
        <w:ind w:left="100" w:hanging="8"/>
        <w:spacing w:after="0" w:line="245" w:lineRule="auto"/>
        <w:tabs>
          <w:tab w:leader="none" w:pos="376"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9"/>
          <w:szCs w:val="19"/>
          <w:u w:val="single" w:color="auto"/>
          <w:color w:val="auto"/>
        </w:rPr>
        <w:t>clause (b)(i)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to the extent that failure to do so could not reasonably be expected to have a Material Adverse Effect.</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2"/>
          <w:szCs w:val="22"/>
          <w:color w:val="auto"/>
        </w:rPr>
        <w:t>94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0" w:name="page221"/>
    <w:bookmarkEnd w:id="220"/>
    <w:p>
      <w:pPr>
        <w:jc w:val="both"/>
        <w:ind w:left="100" w:firstLine="749"/>
        <w:spacing w:after="0" w:line="241" w:lineRule="auto"/>
        <w:rPr>
          <w:sz w:val="20"/>
          <w:szCs w:val="20"/>
          <w:color w:val="auto"/>
        </w:rPr>
      </w:pPr>
      <w:r>
        <w:rPr>
          <w:rFonts w:ascii="Arial" w:cs="Arial" w:eastAsia="Arial" w:hAnsi="Arial"/>
          <w:sz w:val="19"/>
          <w:szCs w:val="19"/>
          <w:color w:val="auto"/>
        </w:rPr>
        <w:t xml:space="preserve">1.2 Authorization; No Contravention.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(other than the creation of a Lien in favor of the Administrative Agent under the Collateral Documents) under, or require any payment to be made under (i) any Contractual Obligation to which such Person is a party or affecting such Person or the properties of such Person or any of its Restricted Subsidiaries or any arbitral award to which such Person or its property is subject, except in each case referred to in this </w:t>
      </w:r>
      <w:r>
        <w:rPr>
          <w:rFonts w:ascii="Arial" w:cs="Arial" w:eastAsia="Arial" w:hAnsi="Arial"/>
          <w:sz w:val="19"/>
          <w:szCs w:val="19"/>
          <w:u w:val="single" w:color="auto"/>
          <w:color w:val="auto"/>
        </w:rPr>
        <w:t>clause (b)(i)</w:t>
      </w:r>
      <w:r>
        <w:rPr>
          <w:rFonts w:ascii="Arial" w:cs="Arial" w:eastAsia="Arial" w:hAnsi="Arial"/>
          <w:sz w:val="19"/>
          <w:szCs w:val="19"/>
          <w:color w:val="auto"/>
        </w:rPr>
        <w:t xml:space="preserve"> where such breach or contravention could not, individually or in the aggregate, reasonably be expected to have a Material Adverse Effect, or (ii) any order, injunction, writ or decree of any Governmental Authority; or (c) violate any Law in any material respect.</w:t>
      </w:r>
    </w:p>
    <w:p>
      <w:pPr>
        <w:spacing w:after="0" w:line="185" w:lineRule="exact"/>
        <w:rPr>
          <w:sz w:val="20"/>
          <w:szCs w:val="20"/>
          <w:color w:val="auto"/>
        </w:rPr>
      </w:pPr>
    </w:p>
    <w:p>
      <w:pPr>
        <w:jc w:val="both"/>
        <w:ind w:left="100" w:firstLine="749"/>
        <w:spacing w:after="0" w:line="241" w:lineRule="auto"/>
        <w:rPr>
          <w:sz w:val="20"/>
          <w:szCs w:val="20"/>
          <w:color w:val="auto"/>
        </w:rPr>
      </w:pPr>
      <w:r>
        <w:rPr>
          <w:rFonts w:ascii="Arial" w:cs="Arial" w:eastAsia="Arial" w:hAnsi="Arial"/>
          <w:sz w:val="19"/>
          <w:szCs w:val="19"/>
          <w:color w:val="auto"/>
        </w:rPr>
        <w:t>1.3 Governmental Authorization; Other Consents.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subject to Permitted Liens) or (d) the exercise by the Administrative Agent or any Lender of its rights under the Loan Documents or the remedies in respect of the Collateral pursuant to the Collateral Documents, in each case, other than (i) such as have been obtained or made and are in full force and effect and (ii) for approvals, consents, exemptions, authorizations, other actions, notices or filings, the failure of which to obtain or make could not, individually or in the aggregate, reasonably be expected to have a Material Adverse Effect.</w:t>
      </w:r>
    </w:p>
    <w:p>
      <w:pPr>
        <w:spacing w:after="0" w:line="199" w:lineRule="exact"/>
        <w:rPr>
          <w:sz w:val="20"/>
          <w:szCs w:val="20"/>
          <w:color w:val="auto"/>
        </w:rPr>
      </w:pPr>
    </w:p>
    <w:p>
      <w:pPr>
        <w:jc w:val="both"/>
        <w:ind w:left="100" w:firstLine="749"/>
        <w:spacing w:after="0" w:line="231" w:lineRule="auto"/>
        <w:rPr>
          <w:sz w:val="20"/>
          <w:szCs w:val="20"/>
          <w:color w:val="auto"/>
        </w:rPr>
      </w:pPr>
      <w:r>
        <w:rPr>
          <w:rFonts w:ascii="Arial" w:cs="Arial" w:eastAsia="Arial" w:hAnsi="Arial"/>
          <w:sz w:val="20"/>
          <w:szCs w:val="20"/>
          <w:color w:val="auto"/>
        </w:rPr>
        <w:t>1.4 Binding Effect.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84"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8"/>
          <w:szCs w:val="18"/>
          <w:color w:val="auto"/>
        </w:rPr>
        <w:t>Financial Statements; No Material Adverse Effect.</w:t>
      </w:r>
    </w:p>
    <w:p>
      <w:pPr>
        <w:spacing w:after="0" w:line="216" w:lineRule="exact"/>
        <w:rPr>
          <w:sz w:val="20"/>
          <w:szCs w:val="20"/>
          <w:color w:val="auto"/>
        </w:rPr>
      </w:pPr>
    </w:p>
    <w:p>
      <w:pPr>
        <w:ind w:left="280" w:right="20" w:firstLine="748"/>
        <w:spacing w:after="0" w:line="233" w:lineRule="auto"/>
        <w:tabs>
          <w:tab w:leader="none" w:pos="1768"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The Audited Financial Statements (i) were prepared in accordance with GAAP consistently applied throughout the period covered thereby, except as otherwise expressly noted therein;</w:t>
      </w:r>
    </w:p>
    <w:p>
      <w:pPr>
        <w:spacing w:after="0" w:line="1" w:lineRule="exact"/>
        <w:rPr>
          <w:rFonts w:ascii="Arial" w:cs="Arial" w:eastAsia="Arial" w:hAnsi="Arial"/>
          <w:sz w:val="20"/>
          <w:szCs w:val="20"/>
          <w:color w:val="auto"/>
        </w:rPr>
      </w:pPr>
    </w:p>
    <w:p>
      <w:pPr>
        <w:jc w:val="both"/>
        <w:ind w:left="280" w:hanging="2"/>
        <w:spacing w:after="0" w:line="241" w:lineRule="auto"/>
        <w:tabs>
          <w:tab w:leader="none" w:pos="579" w:val="left"/>
        </w:tabs>
        <w:numPr>
          <w:ilvl w:val="0"/>
          <w:numId w:val="207"/>
        </w:numPr>
        <w:rPr>
          <w:rFonts w:ascii="Arial" w:cs="Arial" w:eastAsia="Arial" w:hAnsi="Arial"/>
          <w:sz w:val="19"/>
          <w:szCs w:val="19"/>
          <w:color w:val="auto"/>
        </w:rPr>
      </w:pPr>
      <w:r>
        <w:rPr>
          <w:rFonts w:ascii="Arial" w:cs="Arial" w:eastAsia="Arial" w:hAnsi="Arial"/>
          <w:sz w:val="19"/>
          <w:szCs w:val="19"/>
          <w:color w:val="auto"/>
        </w:rPr>
        <w:t>fairly present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 that would be required to be disclosed in accordance with GAAP.</w:t>
      </w:r>
    </w:p>
    <w:p>
      <w:pPr>
        <w:spacing w:after="0" w:line="169" w:lineRule="exact"/>
        <w:rPr>
          <w:rFonts w:ascii="Arial" w:cs="Arial" w:eastAsia="Arial" w:hAnsi="Arial"/>
          <w:sz w:val="19"/>
          <w:szCs w:val="19"/>
          <w:color w:val="auto"/>
        </w:rPr>
      </w:pPr>
    </w:p>
    <w:p>
      <w:pPr>
        <w:jc w:val="both"/>
        <w:ind w:left="280" w:firstLine="748"/>
        <w:spacing w:after="0" w:line="246" w:lineRule="auto"/>
        <w:tabs>
          <w:tab w:leader="none" w:pos="1769" w:val="left"/>
        </w:tabs>
        <w:numPr>
          <w:ilvl w:val="1"/>
          <w:numId w:val="207"/>
        </w:numPr>
        <w:rPr>
          <w:rFonts w:ascii="Arial" w:cs="Arial" w:eastAsia="Arial" w:hAnsi="Arial"/>
          <w:sz w:val="19"/>
          <w:szCs w:val="19"/>
          <w:color w:val="auto"/>
        </w:rPr>
      </w:pPr>
      <w:r>
        <w:rPr>
          <w:rFonts w:ascii="Arial" w:cs="Arial" w:eastAsia="Arial" w:hAnsi="Arial"/>
          <w:sz w:val="19"/>
          <w:szCs w:val="19"/>
          <w:color w:val="auto"/>
        </w:rPr>
        <w:t>The unaudited consolidated balance sheet of the Company and its Subsidiaries dated March 31, 2019,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cash flows and changes in shareholders’ equity for the period covered</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2"/>
          <w:szCs w:val="22"/>
          <w:color w:val="auto"/>
        </w:rPr>
        <w:t>95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1" w:name="page222"/>
    <w:bookmarkEnd w:id="221"/>
    <w:p>
      <w:pPr>
        <w:ind w:left="280"/>
        <w:spacing w:after="0"/>
        <w:rPr>
          <w:sz w:val="20"/>
          <w:szCs w:val="20"/>
          <w:color w:val="auto"/>
        </w:rPr>
      </w:pPr>
      <w:r>
        <w:rPr>
          <w:rFonts w:ascii="Arial" w:cs="Arial" w:eastAsia="Arial" w:hAnsi="Arial"/>
          <w:sz w:val="20"/>
          <w:szCs w:val="20"/>
          <w:color w:val="auto"/>
        </w:rPr>
        <w:t xml:space="preserve">thereby, subject, in the case of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to the absence of footnotes and to normal year-end audit adjustments.</w:t>
      </w:r>
    </w:p>
    <w:p>
      <w:pPr>
        <w:spacing w:after="0" w:line="202" w:lineRule="exact"/>
        <w:rPr>
          <w:sz w:val="20"/>
          <w:szCs w:val="20"/>
          <w:color w:val="auto"/>
        </w:rPr>
      </w:pPr>
    </w:p>
    <w:p>
      <w:pPr>
        <w:ind w:left="280" w:right="20" w:firstLine="748"/>
        <w:spacing w:after="0" w:line="260" w:lineRule="auto"/>
        <w:tabs>
          <w:tab w:leader="none" w:pos="1769" w:val="left"/>
        </w:tabs>
        <w:numPr>
          <w:ilvl w:val="0"/>
          <w:numId w:val="208"/>
        </w:numPr>
        <w:rPr>
          <w:rFonts w:ascii="Arial" w:cs="Arial" w:eastAsia="Arial" w:hAnsi="Arial"/>
          <w:sz w:val="20"/>
          <w:szCs w:val="20"/>
          <w:color w:val="auto"/>
        </w:rPr>
      </w:pPr>
      <w:r>
        <w:rPr>
          <w:rFonts w:ascii="Arial" w:cs="Arial" w:eastAsia="Arial" w:hAnsi="Arial"/>
          <w:sz w:val="20"/>
          <w:szCs w:val="20"/>
          <w:color w:val="auto"/>
        </w:rPr>
        <w:t>Since December 31, 2020, there has been no event or circumstance, either individually or in the aggregate, that has had or could reasonably be expected to have a Material Adverse Effect.</w:t>
      </w:r>
    </w:p>
    <w:p>
      <w:pPr>
        <w:spacing w:after="0" w:line="163" w:lineRule="exact"/>
        <w:rPr>
          <w:rFonts w:ascii="Arial" w:cs="Arial" w:eastAsia="Arial" w:hAnsi="Arial"/>
          <w:sz w:val="20"/>
          <w:szCs w:val="20"/>
          <w:color w:val="auto"/>
        </w:rPr>
      </w:pPr>
    </w:p>
    <w:p>
      <w:pPr>
        <w:jc w:val="both"/>
        <w:ind w:left="280" w:firstLine="748"/>
        <w:spacing w:after="0" w:line="263" w:lineRule="auto"/>
        <w:tabs>
          <w:tab w:leader="none" w:pos="176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consolidated forecasted balance sheet and statements of income and cash flows of the Company and its Restricted Subsidiaries delivered pursuant to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were prepared in good faith on the basis of the assumptions stated therein, which assumptions were believed to be reasonable at the time of delivery of such forecasts (it being understood that such forecasts are subject to uncertainties and contingencies, some of which are beyond the control of the Company, that no assurance can be given that any particular forecast will be realized, that actual results may differ and that such differences may be material).</w:t>
      </w:r>
    </w:p>
    <w:p>
      <w:pPr>
        <w:spacing w:after="0" w:line="162" w:lineRule="exact"/>
        <w:rPr>
          <w:sz w:val="20"/>
          <w:szCs w:val="20"/>
          <w:color w:val="auto"/>
        </w:rPr>
      </w:pPr>
    </w:p>
    <w:p>
      <w:pPr>
        <w:jc w:val="both"/>
        <w:ind w:left="100" w:firstLine="749"/>
        <w:spacing w:after="0" w:line="246" w:lineRule="auto"/>
        <w:rPr>
          <w:sz w:val="20"/>
          <w:szCs w:val="20"/>
          <w:color w:val="auto"/>
        </w:rPr>
      </w:pPr>
      <w:r>
        <w:rPr>
          <w:rFonts w:ascii="Arial" w:cs="Arial" w:eastAsia="Arial" w:hAnsi="Arial"/>
          <w:sz w:val="19"/>
          <w:szCs w:val="19"/>
          <w:color w:val="auto"/>
        </w:rPr>
        <w:t>1.7 Litigation. There are no actions, suits, proceedings, claims or disputes pending or, to the actual knowledge of the Company after reasonable inquiry, threatened or contemplated, at law, in equity, in arbitration or before any Governmental Authority, by or against the Company or any of its Restricted Subsidiaries or against any of their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90"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1.8 No Default. Neither any Loan Party nor any Restricted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83" w:lineRule="exact"/>
        <w:rPr>
          <w:sz w:val="20"/>
          <w:szCs w:val="20"/>
          <w:color w:val="auto"/>
        </w:rPr>
      </w:pPr>
    </w:p>
    <w:p>
      <w:pPr>
        <w:jc w:val="both"/>
        <w:ind w:left="100" w:firstLine="749"/>
        <w:spacing w:after="0" w:line="248" w:lineRule="auto"/>
        <w:rPr>
          <w:sz w:val="20"/>
          <w:szCs w:val="20"/>
          <w:color w:val="auto"/>
        </w:rPr>
      </w:pPr>
      <w:r>
        <w:rPr>
          <w:rFonts w:ascii="Arial" w:cs="Arial" w:eastAsia="Arial" w:hAnsi="Arial"/>
          <w:sz w:val="19"/>
          <w:szCs w:val="19"/>
          <w:color w:val="auto"/>
        </w:rPr>
        <w:t xml:space="preserve">1.9 Ownership of Property; Liens. Each of the Company and each Restricted Subsidiary has good record and marketable title in fee simple to, or valid leasehold interests in, all real property necessary or material to the conduct of its business, except as could not, individually or in the aggregate, reasonably be expected to have a Material Adverse Effect. The property of the Company and its Restricted Subsidiaries is subject to no Liens, other than Liens permitted by </w:t>
      </w:r>
      <w:r>
        <w:rPr>
          <w:rFonts w:ascii="Arial" w:cs="Arial" w:eastAsia="Arial" w:hAnsi="Arial"/>
          <w:sz w:val="19"/>
          <w:szCs w:val="19"/>
          <w:u w:val="single" w:color="auto"/>
          <w:color w:val="auto"/>
        </w:rPr>
        <w:t>Section 7.01</w:t>
      </w:r>
      <w:r>
        <w:rPr>
          <w:rFonts w:ascii="Arial" w:cs="Arial" w:eastAsia="Arial" w:hAnsi="Arial"/>
          <w:sz w:val="19"/>
          <w:szCs w:val="19"/>
          <w:color w:val="auto"/>
        </w:rPr>
        <w:t>.</w:t>
      </w:r>
    </w:p>
    <w:p>
      <w:pPr>
        <w:spacing w:after="0" w:line="177" w:lineRule="exact"/>
        <w:rPr>
          <w:sz w:val="20"/>
          <w:szCs w:val="20"/>
          <w:color w:val="auto"/>
        </w:rPr>
      </w:pPr>
    </w:p>
    <w:p>
      <w:pPr>
        <w:jc w:val="both"/>
        <w:ind w:left="100" w:firstLine="749"/>
        <w:spacing w:after="0" w:line="232" w:lineRule="auto"/>
        <w:rPr>
          <w:sz w:val="20"/>
          <w:szCs w:val="20"/>
          <w:color w:val="auto"/>
        </w:rPr>
      </w:pPr>
      <w:r>
        <w:rPr>
          <w:rFonts w:ascii="Arial" w:cs="Arial" w:eastAsia="Arial" w:hAnsi="Arial"/>
          <w:sz w:val="20"/>
          <w:szCs w:val="20"/>
          <w:color w:val="auto"/>
        </w:rPr>
        <w:t>1.10 Environmental Compliance. The Company and its Restricted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184"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1.11 Insurance. The properties of the Company and its Restricted Subsidiaries are insured with financially sound and reputable insurance companies not Affiliates of any Borrower, in such amounts, with such deductibles and covering such risks as are customarily carried by companies engaged in similar businesses and owning similar properties in localities where the Company or the applicable Restricted Subsidiary operates.</w:t>
      </w:r>
    </w:p>
    <w:p>
      <w:pPr>
        <w:spacing w:after="0" w:line="183"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1.12 Taxes. The Company and its Restricted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96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2" w:name="page223"/>
    <w:bookmarkEnd w:id="222"/>
    <w:p>
      <w:pPr>
        <w:jc w:val="both"/>
        <w:ind w:left="100"/>
        <w:spacing w:after="0" w:line="263" w:lineRule="auto"/>
        <w:rPr>
          <w:sz w:val="20"/>
          <w:szCs w:val="20"/>
          <w:color w:val="auto"/>
        </w:rPr>
      </w:pPr>
      <w:r>
        <w:rPr>
          <w:rFonts w:ascii="Arial" w:cs="Arial" w:eastAsia="Arial" w:hAnsi="Arial"/>
          <w:sz w:val="18"/>
          <w:szCs w:val="18"/>
          <w:color w:val="auto"/>
        </w:rPr>
        <w:t>proceedings diligently conducted and for which adequate reserves have been provided in accordance with GAAP. There is no written proposed tax assessment against the Company or any Subsidiary that would, if made, have a Material Adverse Effect. Neither any Loan Party nor any Subsidiary thereof is party to any tax sharing agreement by or among any one or more other Loan Parties or Subsidiaries that has not been disclosed to the Administrative Agent and the Lenders, excluding, for the avoidance of doubt, commercial agreements with third parties entered into in the ordinary course of business one of the principal purposes of which is not tax.</w:t>
      </w:r>
    </w:p>
    <w:p>
      <w:pPr>
        <w:spacing w:after="0" w:line="162"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ERISA Compliance.</w:t>
      </w:r>
    </w:p>
    <w:p>
      <w:pPr>
        <w:spacing w:after="0" w:line="216" w:lineRule="exact"/>
        <w:rPr>
          <w:sz w:val="20"/>
          <w:szCs w:val="20"/>
          <w:color w:val="auto"/>
        </w:rPr>
      </w:pPr>
    </w:p>
    <w:p>
      <w:pPr>
        <w:jc w:val="both"/>
        <w:ind w:left="280" w:firstLine="748"/>
        <w:spacing w:after="0" w:line="243" w:lineRule="auto"/>
        <w:tabs>
          <w:tab w:leader="none" w:pos="1769" w:val="left"/>
        </w:tabs>
        <w:numPr>
          <w:ilvl w:val="0"/>
          <w:numId w:val="209"/>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or is permitted to rely on an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determination letter is currently being processed by the Internal Revenue Service. To the best knowledge of the Company, nothing has occurred that would prevent or cause the loss of such tax-qualified status.</w:t>
      </w:r>
    </w:p>
    <w:p>
      <w:pPr>
        <w:spacing w:after="0" w:line="179" w:lineRule="exact"/>
        <w:rPr>
          <w:rFonts w:ascii="Arial" w:cs="Arial" w:eastAsia="Arial" w:hAnsi="Arial"/>
          <w:sz w:val="19"/>
          <w:szCs w:val="19"/>
          <w:color w:val="auto"/>
        </w:rPr>
      </w:pPr>
    </w:p>
    <w:p>
      <w:pPr>
        <w:jc w:val="both"/>
        <w:ind w:left="280" w:firstLine="748"/>
        <w:spacing w:after="0" w:line="234" w:lineRule="auto"/>
        <w:tabs>
          <w:tab w:leader="none" w:pos="1769" w:val="left"/>
        </w:tabs>
        <w:numPr>
          <w:ilvl w:val="0"/>
          <w:numId w:val="209"/>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96" w:lineRule="exact"/>
        <w:rPr>
          <w:rFonts w:ascii="Arial" w:cs="Arial" w:eastAsia="Arial" w:hAnsi="Arial"/>
          <w:sz w:val="20"/>
          <w:szCs w:val="20"/>
          <w:color w:val="auto"/>
        </w:rPr>
      </w:pPr>
    </w:p>
    <w:p>
      <w:pPr>
        <w:jc w:val="both"/>
        <w:ind w:left="280" w:firstLine="748"/>
        <w:spacing w:after="0" w:line="253" w:lineRule="auto"/>
        <w:tabs>
          <w:tab w:leader="none" w:pos="177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No ERISA Event has occurred, and neither the Company nor any ERISA Affiliate is aware of any fact, event or circumstance that could reasonably be expected to constitute or result in an ERISA Event with respect to any Pension Plan, which has resulted or could reasonably be expected to result in liability of the Company or any of its Restricted Subsidiaries under Title IV of ERISA to the Pension Plan, Multiemployer Plan or the PBGC in an aggregate amount in excess of the Threshold Amount; (ii) the Company and each ERISA Affiliate has met all applicable requirements under the Pension Funding Rules in respect of each Pension Plan, except as could not, either individually or in the aggregate, reasonably be expected to result in a Material Adverse Effect,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which has resulted or could reasonably be expected to result in liability of the Company or any of its Restricted Subsidiaries under Title IV of ERISA to the Pension Plan or the PBGC in an aggregate amount in excess of the Threshold Amount and no Pension Plan has been terminated by the PBGC, and no event or circumstance has occurred or exists that could reasonably be expected to cause the PBGC to institute proceedings under Title IV of ERISA to terminate any Pension Plan.</w:t>
      </w:r>
    </w:p>
    <w:p>
      <w:pPr>
        <w:spacing w:after="0" w:line="178" w:lineRule="exact"/>
        <w:rPr>
          <w:rFonts w:ascii="Arial" w:cs="Arial" w:eastAsia="Arial" w:hAnsi="Arial"/>
          <w:sz w:val="18"/>
          <w:szCs w:val="18"/>
          <w:color w:val="auto"/>
        </w:rPr>
      </w:pPr>
    </w:p>
    <w:p>
      <w:pPr>
        <w:ind w:left="280" w:right="20" w:firstLine="748"/>
        <w:spacing w:after="0" w:line="246" w:lineRule="auto"/>
        <w:tabs>
          <w:tab w:leader="none" w:pos="1768" w:val="left"/>
        </w:tabs>
        <w:numPr>
          <w:ilvl w:val="0"/>
          <w:numId w:val="209"/>
        </w:numPr>
        <w:rPr>
          <w:rFonts w:ascii="Arial" w:cs="Arial" w:eastAsia="Arial" w:hAnsi="Arial"/>
          <w:sz w:val="20"/>
          <w:szCs w:val="20"/>
          <w:color w:val="auto"/>
        </w:rPr>
      </w:pPr>
      <w:r>
        <w:rPr>
          <w:rFonts w:ascii="Arial" w:cs="Arial" w:eastAsia="Arial" w:hAnsi="Arial"/>
          <w:sz w:val="20"/>
          <w:szCs w:val="20"/>
          <w:color w:val="auto"/>
        </w:rPr>
        <w:t>Neither the Company nor any ERISA Affiliate maintains or contributes to, or has any unsatisfied obligation to contribute to, or liability under, any active or terminated Pension Plan other than</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97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3" w:name="page224"/>
    <w:bookmarkEnd w:id="223"/>
    <w:p>
      <w:pPr>
        <w:ind w:left="280"/>
        <w:spacing w:after="0"/>
        <w:rPr>
          <w:sz w:val="20"/>
          <w:szCs w:val="20"/>
          <w:color w:val="auto"/>
        </w:rPr>
      </w:pPr>
      <w:r>
        <w:rPr>
          <w:rFonts w:ascii="Arial" w:cs="Arial" w:eastAsia="Arial" w:hAnsi="Arial"/>
          <w:sz w:val="18"/>
          <w:szCs w:val="18"/>
          <w:color w:val="auto"/>
        </w:rPr>
        <w:t xml:space="preserve">(i)on the Closing Date, those listed on </w:t>
      </w:r>
      <w:r>
        <w:rPr>
          <w:rFonts w:ascii="Arial" w:cs="Arial" w:eastAsia="Arial" w:hAnsi="Arial"/>
          <w:sz w:val="18"/>
          <w:szCs w:val="18"/>
          <w:u w:val="single" w:color="auto"/>
          <w:color w:val="auto"/>
        </w:rPr>
        <w:t>Schedule 5.12(d)</w:t>
      </w:r>
      <w:r>
        <w:rPr>
          <w:rFonts w:ascii="Arial" w:cs="Arial" w:eastAsia="Arial" w:hAnsi="Arial"/>
          <w:sz w:val="18"/>
          <w:szCs w:val="18"/>
          <w:color w:val="auto"/>
        </w:rPr>
        <w:t xml:space="preserve"> and (ii) thereafter, Pension Plans not otherwise prohibited by this Agreement.</w:t>
      </w:r>
    </w:p>
    <w:p>
      <w:pPr>
        <w:spacing w:after="0" w:line="225" w:lineRule="exact"/>
        <w:rPr>
          <w:sz w:val="20"/>
          <w:szCs w:val="20"/>
          <w:color w:val="auto"/>
        </w:rPr>
      </w:pPr>
    </w:p>
    <w:p>
      <w:pPr>
        <w:jc w:val="both"/>
        <w:ind w:left="280" w:firstLine="748"/>
        <w:spacing w:after="0" w:line="237" w:lineRule="auto"/>
        <w:tabs>
          <w:tab w:leader="none" w:pos="1769" w:val="left"/>
        </w:tabs>
        <w:numPr>
          <w:ilvl w:val="0"/>
          <w:numId w:val="210"/>
        </w:numPr>
        <w:rPr>
          <w:rFonts w:ascii="Arial" w:cs="Arial" w:eastAsia="Arial" w:hAnsi="Arial"/>
          <w:sz w:val="20"/>
          <w:szCs w:val="20"/>
          <w:color w:val="auto"/>
        </w:rPr>
      </w:pPr>
      <w:r>
        <w:rPr>
          <w:rFonts w:ascii="Arial" w:cs="Arial" w:eastAsia="Arial" w:hAnsi="Arial"/>
          <w:sz w:val="20"/>
          <w:szCs w:val="20"/>
          <w:color w:val="auto"/>
        </w:rPr>
        <w:t>With respect to each scheme or arrangement mandated by a government other than the United States (a “</w:t>
      </w:r>
      <w:r>
        <w:rPr>
          <w:rFonts w:ascii="Arial" w:cs="Arial" w:eastAsia="Arial" w:hAnsi="Arial"/>
          <w:sz w:val="20"/>
          <w:szCs w:val="20"/>
          <w:u w:val="single" w:color="auto"/>
          <w:color w:val="auto"/>
        </w:rPr>
        <w:t>Foreign</w:t>
      </w:r>
      <w:r>
        <w:rPr>
          <w:rFonts w:ascii="Arial" w:cs="Arial" w:eastAsia="Arial" w:hAnsi="Arial"/>
          <w:sz w:val="20"/>
          <w:szCs w:val="20"/>
          <w:color w:val="auto"/>
        </w:rPr>
        <w:t xml:space="preserve"> </w:t>
      </w:r>
      <w:r>
        <w:rPr>
          <w:rFonts w:ascii="Arial" w:cs="Arial" w:eastAsia="Arial" w:hAnsi="Arial"/>
          <w:sz w:val="20"/>
          <w:szCs w:val="20"/>
          <w:u w:val="single" w:color="auto"/>
          <w:color w:val="auto"/>
        </w:rPr>
        <w:t>Government Scheme or Arrangement</w:t>
      </w:r>
      <w:r>
        <w:rPr>
          <w:rFonts w:ascii="Arial" w:cs="Arial" w:eastAsia="Arial" w:hAnsi="Arial"/>
          <w:sz w:val="20"/>
          <w:szCs w:val="20"/>
          <w:color w:val="auto"/>
        </w:rPr>
        <w:t>”) and with respect to each employee benefit plan maintained or contributed to by the Company or any Restricted Subsidiary that is not subject to United States law (a “</w:t>
      </w:r>
      <w:r>
        <w:rPr>
          <w:rFonts w:ascii="Arial" w:cs="Arial" w:eastAsia="Arial" w:hAnsi="Arial"/>
          <w:sz w:val="20"/>
          <w:szCs w:val="20"/>
          <w:u w:val="single" w:color="auto"/>
          <w:color w:val="auto"/>
        </w:rPr>
        <w:t>Foreign Plan</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left="1020" w:firstLine="757"/>
        <w:spacing w:after="0" w:line="237" w:lineRule="auto"/>
        <w:tabs>
          <w:tab w:leader="none" w:pos="2509" w:val="left"/>
        </w:tabs>
        <w:numPr>
          <w:ilvl w:val="1"/>
          <w:numId w:val="210"/>
        </w:numPr>
        <w:rPr>
          <w:rFonts w:ascii="Arial" w:cs="Arial" w:eastAsia="Arial" w:hAnsi="Arial"/>
          <w:sz w:val="20"/>
          <w:szCs w:val="20"/>
          <w:color w:val="auto"/>
        </w:rPr>
      </w:pPr>
      <w:r>
        <w:rPr>
          <w:rFonts w:ascii="Arial" w:cs="Arial" w:eastAsia="Arial" w:hAnsi="Arial"/>
          <w:sz w:val="20"/>
          <w:szCs w:val="20"/>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82" w:lineRule="exact"/>
        <w:rPr>
          <w:rFonts w:ascii="Arial" w:cs="Arial" w:eastAsia="Arial" w:hAnsi="Arial"/>
          <w:sz w:val="20"/>
          <w:szCs w:val="20"/>
          <w:color w:val="auto"/>
        </w:rPr>
      </w:pPr>
    </w:p>
    <w:p>
      <w:pPr>
        <w:jc w:val="both"/>
        <w:ind w:left="1020" w:firstLine="757"/>
        <w:spacing w:after="0" w:line="260" w:lineRule="auto"/>
        <w:tabs>
          <w:tab w:leader="none" w:pos="2509" w:val="left"/>
        </w:tabs>
        <w:numPr>
          <w:ilvl w:val="1"/>
          <w:numId w:val="210"/>
        </w:numPr>
        <w:rPr>
          <w:rFonts w:ascii="Arial" w:cs="Arial" w:eastAsia="Arial" w:hAnsi="Arial"/>
          <w:sz w:val="18"/>
          <w:szCs w:val="18"/>
          <w:color w:val="auto"/>
        </w:rPr>
      </w:pPr>
      <w:r>
        <w:rPr>
          <w:rFonts w:ascii="Arial" w:cs="Arial" w:eastAsia="Arial" w:hAnsi="Arial"/>
          <w:sz w:val="18"/>
          <w:szCs w:val="18"/>
          <w:color w:val="auto"/>
        </w:rPr>
        <w:t>except as could not, either individually or in the aggregate, reasonably be expected to result in a Material Adverse Effect,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166" w:lineRule="exact"/>
        <w:rPr>
          <w:rFonts w:ascii="Arial" w:cs="Arial" w:eastAsia="Arial" w:hAnsi="Arial"/>
          <w:sz w:val="18"/>
          <w:szCs w:val="18"/>
          <w:color w:val="auto"/>
        </w:rPr>
      </w:pPr>
    </w:p>
    <w:p>
      <w:pPr>
        <w:ind w:left="1020" w:right="20" w:firstLine="757"/>
        <w:spacing w:after="0" w:line="260" w:lineRule="auto"/>
        <w:tabs>
          <w:tab w:leader="none" w:pos="2508" w:val="left"/>
        </w:tabs>
        <w:numPr>
          <w:ilvl w:val="1"/>
          <w:numId w:val="210"/>
        </w:numPr>
        <w:rPr>
          <w:rFonts w:ascii="Arial" w:cs="Arial" w:eastAsia="Arial" w:hAnsi="Arial"/>
          <w:sz w:val="20"/>
          <w:szCs w:val="20"/>
          <w:color w:val="auto"/>
        </w:rPr>
      </w:pPr>
      <w:r>
        <w:rPr>
          <w:rFonts w:ascii="Arial" w:cs="Arial" w:eastAsia="Arial" w:hAnsi="Arial"/>
          <w:sz w:val="20"/>
          <w:szCs w:val="20"/>
          <w:color w:val="auto"/>
        </w:rPr>
        <w:t>each Foreign Plan required to be registered has been registered and has been maintained in good standing with applicable regulatory authorities.</w:t>
      </w:r>
    </w:p>
    <w:p>
      <w:pPr>
        <w:spacing w:after="0" w:line="163" w:lineRule="exact"/>
        <w:rPr>
          <w:sz w:val="20"/>
          <w:szCs w:val="20"/>
          <w:color w:val="auto"/>
        </w:rPr>
      </w:pPr>
    </w:p>
    <w:p>
      <w:pPr>
        <w:jc w:val="both"/>
        <w:ind w:left="100" w:firstLine="749"/>
        <w:spacing w:after="0" w:line="227" w:lineRule="auto"/>
        <w:rPr>
          <w:sz w:val="20"/>
          <w:szCs w:val="20"/>
          <w:color w:val="auto"/>
        </w:rPr>
      </w:pPr>
      <w:r>
        <w:rPr>
          <w:rFonts w:ascii="Arial" w:cs="Arial" w:eastAsia="Arial" w:hAnsi="Arial"/>
          <w:sz w:val="20"/>
          <w:szCs w:val="20"/>
          <w:color w:val="auto"/>
        </w:rPr>
        <w:t xml:space="preserve">1.14 Subsidiaries; Equity Investments; Loan Parties. As of the Closing Date, the Company has no Subsidiaries other than those specifically disclosed in </w:t>
      </w:r>
      <w:r>
        <w:rPr>
          <w:rFonts w:ascii="Arial" w:cs="Arial" w:eastAsia="Arial" w:hAnsi="Arial"/>
          <w:sz w:val="20"/>
          <w:szCs w:val="20"/>
          <w:u w:val="single" w:color="auto"/>
          <w:color w:val="auto"/>
        </w:rPr>
        <w:t>Part (a)</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and all of the outstanding Equity Interests of each Restricted Subsidiary have been validly issued, are fully paid and nonassessable (to the extent such concept is applicable) and are owned by a Loan Party in the amounts specified on </w:t>
      </w:r>
      <w:r>
        <w:rPr>
          <w:rFonts w:ascii="Arial" w:cs="Arial" w:eastAsia="Arial" w:hAnsi="Arial"/>
          <w:sz w:val="20"/>
          <w:szCs w:val="20"/>
          <w:u w:val="single" w:color="auto"/>
          <w:color w:val="auto"/>
        </w:rPr>
        <w:t>Part (a)</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free and clear of all Liens except those created under the Collateral Documents. As of the Closing Date, the Company has no equity investments in any other corporation or entity other than those specifically disclosed in </w:t>
      </w:r>
      <w:r>
        <w:rPr>
          <w:rFonts w:ascii="Arial" w:cs="Arial" w:eastAsia="Arial" w:hAnsi="Arial"/>
          <w:sz w:val="20"/>
          <w:szCs w:val="20"/>
          <w:u w:val="single" w:color="auto"/>
          <w:color w:val="auto"/>
        </w:rPr>
        <w:t>Part (b)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All of the outstanding Equity Interests in the Company have been validly issued and are fully paid and nonassessable. Part (c) of </w:t>
      </w:r>
      <w:r>
        <w:rPr>
          <w:rFonts w:ascii="Arial" w:cs="Arial" w:eastAsia="Arial" w:hAnsi="Arial"/>
          <w:sz w:val="20"/>
          <w:szCs w:val="20"/>
          <w:u w:val="single" w:color="auto"/>
          <w:color w:val="auto"/>
        </w:rPr>
        <w:t>Schedule</w:t>
      </w:r>
    </w:p>
    <w:p>
      <w:pPr>
        <w:spacing w:after="0" w:line="5" w:lineRule="exact"/>
        <w:rPr>
          <w:sz w:val="20"/>
          <w:szCs w:val="20"/>
          <w:color w:val="auto"/>
        </w:rPr>
      </w:pPr>
    </w:p>
    <w:p>
      <w:pPr>
        <w:jc w:val="both"/>
        <w:ind w:left="100"/>
        <w:spacing w:after="0" w:line="231" w:lineRule="auto"/>
        <w:rPr>
          <w:sz w:val="20"/>
          <w:szCs w:val="20"/>
          <w:color w:val="auto"/>
        </w:rPr>
      </w:pPr>
      <w:r>
        <w:rPr>
          <w:rFonts w:ascii="Arial" w:cs="Arial" w:eastAsia="Arial" w:hAnsi="Arial"/>
          <w:sz w:val="20"/>
          <w:szCs w:val="20"/>
          <w:u w:val="single" w:color="auto"/>
          <w:color w:val="auto"/>
        </w:rPr>
        <w:t>1.13</w:t>
      </w:r>
      <w:r>
        <w:rPr>
          <w:rFonts w:ascii="Arial" w:cs="Arial" w:eastAsia="Arial" w:hAnsi="Arial"/>
          <w:sz w:val="20"/>
          <w:szCs w:val="20"/>
          <w:color w:val="auto"/>
        </w:rPr>
        <w:t>sets forth the name, jurisdiction of organization and U.S. taxpayer identification number of each Loan Party (or, in the case of any Foreign Obligor, the unique identification number of such Person that has been issued by its jurisdiction of organization) as of the Closing Date.</w:t>
      </w:r>
    </w:p>
    <w:p>
      <w:pPr>
        <w:spacing w:after="0" w:line="197"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u w:val="single" w:color="auto"/>
          <w:color w:val="auto"/>
        </w:rPr>
        <w:t>1.14</w:t>
      </w:r>
      <w:r>
        <w:rPr>
          <w:sz w:val="20"/>
          <w:szCs w:val="20"/>
          <w:color w:val="auto"/>
        </w:rPr>
        <w:tab/>
      </w:r>
      <w:r>
        <w:rPr>
          <w:rFonts w:ascii="Arial" w:cs="Arial" w:eastAsia="Arial" w:hAnsi="Arial"/>
          <w:sz w:val="18"/>
          <w:szCs w:val="18"/>
          <w:color w:val="auto"/>
        </w:rPr>
        <w:t>Margin Regulations; Investment Company Act.</w:t>
      </w:r>
    </w:p>
    <w:p>
      <w:pPr>
        <w:spacing w:after="0" w:line="189" w:lineRule="exact"/>
        <w:rPr>
          <w:sz w:val="20"/>
          <w:szCs w:val="20"/>
          <w:color w:val="auto"/>
        </w:rPr>
      </w:pPr>
    </w:p>
    <w:p>
      <w:pPr>
        <w:jc w:val="both"/>
        <w:ind w:left="280" w:firstLine="748"/>
        <w:spacing w:after="0" w:line="237" w:lineRule="auto"/>
        <w:tabs>
          <w:tab w:leader="none" w:pos="1769" w:val="left"/>
        </w:tabs>
        <w:numPr>
          <w:ilvl w:val="0"/>
          <w:numId w:val="211"/>
        </w:numPr>
        <w:rPr>
          <w:rFonts w:ascii="Arial" w:cs="Arial" w:eastAsia="Arial" w:hAnsi="Arial"/>
          <w:sz w:val="20"/>
          <w:szCs w:val="20"/>
          <w:color w:val="auto"/>
        </w:rPr>
      </w:pPr>
      <w:r>
        <w:rPr>
          <w:rFonts w:ascii="Arial" w:cs="Arial" w:eastAsia="Arial" w:hAnsi="Arial"/>
          <w:sz w:val="20"/>
          <w:szCs w:val="20"/>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96" w:lineRule="exact"/>
        <w:rPr>
          <w:rFonts w:ascii="Arial" w:cs="Arial" w:eastAsia="Arial" w:hAnsi="Arial"/>
          <w:sz w:val="20"/>
          <w:szCs w:val="20"/>
          <w:color w:val="auto"/>
        </w:rPr>
      </w:pPr>
    </w:p>
    <w:p>
      <w:pPr>
        <w:ind w:left="280" w:firstLine="748"/>
        <w:spacing w:after="0" w:line="246" w:lineRule="auto"/>
        <w:tabs>
          <w:tab w:leader="none" w:pos="1769" w:val="left"/>
        </w:tabs>
        <w:numPr>
          <w:ilvl w:val="0"/>
          <w:numId w:val="211"/>
        </w:numPr>
        <w:rPr>
          <w:rFonts w:ascii="Arial" w:cs="Arial" w:eastAsia="Arial" w:hAnsi="Arial"/>
          <w:sz w:val="20"/>
          <w:szCs w:val="20"/>
          <w:color w:val="auto"/>
        </w:rPr>
      </w:pPr>
      <w:r>
        <w:rPr>
          <w:rFonts w:ascii="Arial" w:cs="Arial" w:eastAsia="Arial" w:hAnsi="Arial"/>
          <w:sz w:val="20"/>
          <w:szCs w:val="20"/>
          <w:color w:val="auto"/>
        </w:rPr>
        <w:t>None of the Company, any Person Controlling the Company, or any Restricted Subsidiary is or is required to be registered as an “investment company” under the Investment Company Act of 1940.</w:t>
      </w:r>
    </w:p>
    <w:p>
      <w:pPr>
        <w:spacing w:after="0" w:line="177" w:lineRule="exact"/>
        <w:rPr>
          <w:sz w:val="20"/>
          <w:szCs w:val="20"/>
          <w:color w:val="auto"/>
        </w:rPr>
      </w:pPr>
    </w:p>
    <w:p>
      <w:pPr>
        <w:jc w:val="both"/>
        <w:ind w:left="100" w:firstLine="749"/>
        <w:spacing w:after="0" w:line="246" w:lineRule="auto"/>
        <w:rPr>
          <w:sz w:val="20"/>
          <w:szCs w:val="20"/>
          <w:color w:val="auto"/>
        </w:rPr>
      </w:pPr>
      <w:r>
        <w:rPr>
          <w:rFonts w:ascii="Arial" w:cs="Arial" w:eastAsia="Arial" w:hAnsi="Arial"/>
          <w:sz w:val="19"/>
          <w:szCs w:val="19"/>
          <w:u w:val="single" w:color="auto"/>
          <w:color w:val="auto"/>
        </w:rPr>
        <w:t>1.15</w:t>
      </w:r>
      <w:r>
        <w:rPr>
          <w:rFonts w:ascii="Arial" w:cs="Arial" w:eastAsia="Arial" w:hAnsi="Arial"/>
          <w:sz w:val="19"/>
          <w:szCs w:val="19"/>
          <w:color w:val="auto"/>
        </w:rPr>
        <w:t xml:space="preserve"> Disclosure. No report, financial statement, certificate or other written information furnished by or on behalf of any Loan Party to the Administrative Agent or any Lender in connectionwith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98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4" w:name="page225"/>
    <w:bookmarkEnd w:id="224"/>
    <w:p>
      <w:pPr>
        <w:jc w:val="both"/>
        <w:ind w:left="100"/>
        <w:spacing w:after="0" w:line="246" w:lineRule="auto"/>
        <w:rPr>
          <w:sz w:val="20"/>
          <w:szCs w:val="20"/>
          <w:color w:val="auto"/>
        </w:rPr>
      </w:pPr>
      <w:r>
        <w:rPr>
          <w:rFonts w:ascii="Arial" w:cs="Arial" w:eastAsia="Arial" w:hAnsi="Arial"/>
          <w:sz w:val="19"/>
          <w:szCs w:val="19"/>
          <w:color w:val="auto"/>
        </w:rPr>
        <w:t xml:space="preserve">not misleading in any material respect;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the Company represents only that such information was prepared in good faith based upon assumptions believed, when taken as a whole, to be reasonable at the time delivered (it being understood that any projected financial information is subject to uncertainties and contingencies, some of which are beyond the control of the Company, that no assurance can be given that any particular projected financial information will be realized, that actual results may differ and that such differences may be material).</w:t>
      </w:r>
    </w:p>
    <w:p>
      <w:pPr>
        <w:spacing w:after="0" w:line="176" w:lineRule="exact"/>
        <w:rPr>
          <w:sz w:val="20"/>
          <w:szCs w:val="20"/>
          <w:color w:val="auto"/>
        </w:rPr>
      </w:pPr>
    </w:p>
    <w:p>
      <w:pPr>
        <w:jc w:val="both"/>
        <w:ind w:left="100" w:firstLine="749"/>
        <w:spacing w:after="0" w:line="232" w:lineRule="auto"/>
        <w:rPr>
          <w:sz w:val="20"/>
          <w:szCs w:val="20"/>
          <w:color w:val="auto"/>
        </w:rPr>
      </w:pPr>
      <w:r>
        <w:rPr>
          <w:rFonts w:ascii="Arial" w:cs="Arial" w:eastAsia="Arial" w:hAnsi="Arial"/>
          <w:sz w:val="20"/>
          <w:szCs w:val="20"/>
          <w:u w:val="single" w:color="auto"/>
          <w:color w:val="auto"/>
        </w:rPr>
        <w:t>1.16</w:t>
      </w:r>
      <w:r>
        <w:rPr>
          <w:rFonts w:ascii="Arial" w:cs="Arial" w:eastAsia="Arial" w:hAnsi="Arial"/>
          <w:sz w:val="20"/>
          <w:szCs w:val="20"/>
          <w:color w:val="auto"/>
        </w:rPr>
        <w:t xml:space="preserve"> Compliance with Laws. Each Loan Party and each Restricted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98" w:lineRule="exact"/>
        <w:rPr>
          <w:sz w:val="20"/>
          <w:szCs w:val="20"/>
          <w:color w:val="auto"/>
        </w:rPr>
      </w:pPr>
    </w:p>
    <w:p>
      <w:pPr>
        <w:jc w:val="both"/>
        <w:ind w:left="100" w:firstLine="749"/>
        <w:spacing w:after="0" w:line="229" w:lineRule="auto"/>
        <w:rPr>
          <w:sz w:val="20"/>
          <w:szCs w:val="20"/>
          <w:color w:val="auto"/>
        </w:rPr>
      </w:pPr>
      <w:r>
        <w:rPr>
          <w:rFonts w:ascii="Arial" w:cs="Arial" w:eastAsia="Arial" w:hAnsi="Arial"/>
          <w:sz w:val="20"/>
          <w:szCs w:val="20"/>
          <w:u w:val="single" w:color="auto"/>
          <w:color w:val="auto"/>
        </w:rPr>
        <w:t>1.17</w:t>
      </w:r>
      <w:r>
        <w:rPr>
          <w:rFonts w:ascii="Arial" w:cs="Arial" w:eastAsia="Arial" w:hAnsi="Arial"/>
          <w:sz w:val="20"/>
          <w:szCs w:val="20"/>
          <w:color w:val="auto"/>
        </w:rPr>
        <w:t xml:space="preserve"> Intellectual Property; Licenses, Etc. The Company and its Restricted Subsidiaries own, or possess the right to use, all of the material trademarks, service marks, trade names, copyrights, patents, patent rights, franchises, licenses and other intellectual property rights (collectively, “</w:t>
      </w:r>
      <w:r>
        <w:rPr>
          <w:rFonts w:ascii="Arial" w:cs="Arial" w:eastAsia="Arial" w:hAnsi="Arial"/>
          <w:sz w:val="20"/>
          <w:szCs w:val="20"/>
          <w:u w:val="single" w:color="auto"/>
          <w:color w:val="auto"/>
        </w:rPr>
        <w:t>IP Rights</w:t>
      </w:r>
      <w:r>
        <w:rPr>
          <w:rFonts w:ascii="Arial" w:cs="Arial" w:eastAsia="Arial" w:hAnsi="Arial"/>
          <w:sz w:val="20"/>
          <w:szCs w:val="20"/>
          <w:color w:val="auto"/>
        </w:rPr>
        <w:t>”) that are reasonably necessary for the operation of their respective businesses, without infringing upon the rights of any other Person. To the best knowledge of the Company,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189" w:lineRule="exact"/>
        <w:rPr>
          <w:sz w:val="20"/>
          <w:szCs w:val="20"/>
          <w:color w:val="auto"/>
        </w:rPr>
      </w:pPr>
    </w:p>
    <w:p>
      <w:pPr>
        <w:jc w:val="both"/>
        <w:ind w:left="100" w:firstLine="749"/>
        <w:spacing w:after="0" w:line="229" w:lineRule="auto"/>
        <w:rPr>
          <w:sz w:val="20"/>
          <w:szCs w:val="20"/>
          <w:color w:val="auto"/>
        </w:rPr>
      </w:pPr>
      <w:r>
        <w:rPr>
          <w:rFonts w:ascii="Arial" w:cs="Arial" w:eastAsia="Arial" w:hAnsi="Arial"/>
          <w:sz w:val="20"/>
          <w:szCs w:val="20"/>
          <w:u w:val="single" w:color="auto"/>
          <w:color w:val="auto"/>
        </w:rPr>
        <w:t>1.18</w:t>
      </w:r>
      <w:r>
        <w:rPr>
          <w:rFonts w:ascii="Arial" w:cs="Arial" w:eastAsia="Arial" w:hAnsi="Arial"/>
          <w:sz w:val="20"/>
          <w:szCs w:val="20"/>
          <w:color w:val="auto"/>
        </w:rPr>
        <w:t xml:space="preserve"> OFAC. Neither the Company, nor any of its Subsidiaries, nor, to the knowledge of the Company and its Subsidiaries, any director, officer, employee, agent, affiliate or representative thereof, is an individual or entity that is, or is owned or controlled by one or more individuals or entities that are (a) currently the subject or target of any Sanctions, (b) included on OFAC’s List of Specially Designated Nationals or HMT’s Consolidated List of Financial Sanctions Targets and the Investment Ban List, or any similar list enforced by any other relevant sanctions authority or (c) located, organized or resident in a Designated Jurisdiction. The Company and its Subsidiaries have conducted their businesses in compliance in all material respects with all applicable Sanctions and have, in their reasonable business judgment, instituted and maintained policies and procedures designed to promote and achieve compliance with such Sanctions.</w:t>
      </w:r>
    </w:p>
    <w:p>
      <w:pPr>
        <w:spacing w:after="0" w:line="202"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u w:val="single" w:color="auto"/>
          <w:color w:val="auto"/>
        </w:rPr>
        <w:t>1.19</w:t>
      </w:r>
      <w:r>
        <w:rPr>
          <w:sz w:val="20"/>
          <w:szCs w:val="20"/>
          <w:color w:val="auto"/>
        </w:rPr>
        <w:tab/>
      </w:r>
      <w:r>
        <w:rPr>
          <w:rFonts w:ascii="Arial" w:cs="Arial" w:eastAsia="Arial" w:hAnsi="Arial"/>
          <w:sz w:val="16"/>
          <w:szCs w:val="16"/>
          <w:color w:val="auto"/>
        </w:rPr>
        <w:t>Solvency. The Loan Parties, on a consolidated basis, are Solvent.</w:t>
      </w:r>
    </w:p>
    <w:p>
      <w:pPr>
        <w:spacing w:after="0" w:line="189"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u w:val="single" w:color="auto"/>
          <w:color w:val="auto"/>
        </w:rPr>
        <w:t>1.20</w:t>
      </w:r>
      <w:r>
        <w:rPr>
          <w:sz w:val="20"/>
          <w:szCs w:val="20"/>
          <w:color w:val="auto"/>
        </w:rPr>
        <w:tab/>
      </w:r>
      <w:r>
        <w:rPr>
          <w:rFonts w:ascii="Arial" w:cs="Arial" w:eastAsia="Arial" w:hAnsi="Arial"/>
          <w:sz w:val="16"/>
          <w:szCs w:val="16"/>
          <w:color w:val="auto"/>
        </w:rPr>
        <w:t>[Reserved.]</w:t>
      </w:r>
    </w:p>
    <w:p>
      <w:pPr>
        <w:spacing w:after="0" w:line="189"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u w:val="single" w:color="auto"/>
          <w:color w:val="auto"/>
        </w:rPr>
        <w:t>1.21</w:t>
      </w:r>
      <w:r>
        <w:rPr>
          <w:rFonts w:ascii="Arial" w:cs="Arial" w:eastAsia="Arial" w:hAnsi="Arial"/>
          <w:sz w:val="20"/>
          <w:szCs w:val="20"/>
          <w:color w:val="auto"/>
        </w:rPr>
        <w:t xml:space="preserve"> Labor Matters. Except for those listed on </w:t>
      </w:r>
      <w:r>
        <w:rPr>
          <w:rFonts w:ascii="Arial" w:cs="Arial" w:eastAsia="Arial" w:hAnsi="Arial"/>
          <w:sz w:val="20"/>
          <w:szCs w:val="20"/>
          <w:u w:val="single" w:color="auto"/>
          <w:color w:val="auto"/>
        </w:rPr>
        <w:t>Schedule 5.21</w:t>
      </w:r>
      <w:r>
        <w:rPr>
          <w:rFonts w:ascii="Arial" w:cs="Arial" w:eastAsia="Arial" w:hAnsi="Arial"/>
          <w:sz w:val="20"/>
          <w:szCs w:val="20"/>
          <w:color w:val="auto"/>
        </w:rPr>
        <w:t>, there are no collective bargaining agreements or Multiemployer Plans covering the employees of the Company or any of its Restricted Subsidiaries as of the Closing Date. Neither the Company nor any Restricted Subsidiary has suffered any strikes, walkouts, work stoppages or other material labor difficulty within the last fiveyears.</w:t>
      </w:r>
    </w:p>
    <w:p>
      <w:pPr>
        <w:spacing w:after="0" w:line="170" w:lineRule="exact"/>
        <w:rPr>
          <w:sz w:val="20"/>
          <w:szCs w:val="20"/>
          <w:color w:val="auto"/>
        </w:rPr>
      </w:pPr>
    </w:p>
    <w:p>
      <w:pPr>
        <w:jc w:val="both"/>
        <w:ind w:left="100" w:firstLine="749"/>
        <w:spacing w:after="0" w:line="267" w:lineRule="auto"/>
        <w:rPr>
          <w:sz w:val="20"/>
          <w:szCs w:val="20"/>
          <w:color w:val="auto"/>
        </w:rPr>
      </w:pPr>
      <w:r>
        <w:rPr>
          <w:rFonts w:ascii="Arial" w:cs="Arial" w:eastAsia="Arial" w:hAnsi="Arial"/>
          <w:sz w:val="18"/>
          <w:szCs w:val="18"/>
          <w:u w:val="single" w:color="auto"/>
          <w:color w:val="auto"/>
        </w:rPr>
        <w:t>1.22</w:t>
      </w:r>
      <w:r>
        <w:rPr>
          <w:rFonts w:ascii="Arial" w:cs="Arial" w:eastAsia="Arial" w:hAnsi="Arial"/>
          <w:sz w:val="18"/>
          <w:szCs w:val="18"/>
          <w:color w:val="auto"/>
        </w:rPr>
        <w:t xml:space="preserve"> Collateral Documents. The provisions of the Collateral Documents are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completed on or prior to the Closing Date and as contemplated hereby and by the Collateral Documents, no filing or other action will be necessary to perfect or protect such Liens.</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2"/>
          <w:szCs w:val="22"/>
          <w:color w:val="auto"/>
        </w:rPr>
        <w:t>99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5" w:name="page226"/>
    <w:bookmarkEnd w:id="225"/>
    <w:p>
      <w:pPr>
        <w:ind w:left="100" w:right="420" w:firstLine="749"/>
        <w:spacing w:after="0" w:line="246" w:lineRule="auto"/>
        <w:rPr>
          <w:sz w:val="20"/>
          <w:szCs w:val="20"/>
          <w:color w:val="auto"/>
        </w:rPr>
      </w:pPr>
      <w:r>
        <w:rPr>
          <w:rFonts w:ascii="Arial" w:cs="Arial" w:eastAsia="Arial" w:hAnsi="Arial"/>
          <w:sz w:val="20"/>
          <w:szCs w:val="20"/>
          <w:u w:val="single" w:color="auto"/>
          <w:color w:val="auto"/>
        </w:rPr>
        <w:t>1.23</w:t>
      </w:r>
      <w:r>
        <w:rPr>
          <w:rFonts w:ascii="Arial" w:cs="Arial" w:eastAsia="Arial" w:hAnsi="Arial"/>
          <w:sz w:val="20"/>
          <w:szCs w:val="20"/>
          <w:color w:val="auto"/>
        </w:rPr>
        <w:t xml:space="preserve"> Representations as to Foreign Obligors. Each of the Company and each Foreign Obligor represents and warrants to the Administrative Agent and the Lenders that:</w:t>
      </w:r>
    </w:p>
    <w:p>
      <w:pPr>
        <w:spacing w:after="0" w:line="177" w:lineRule="exact"/>
        <w:rPr>
          <w:sz w:val="20"/>
          <w:szCs w:val="20"/>
          <w:color w:val="auto"/>
        </w:rPr>
      </w:pPr>
    </w:p>
    <w:p>
      <w:pPr>
        <w:jc w:val="both"/>
        <w:ind w:left="280" w:firstLine="748"/>
        <w:spacing w:after="0" w:line="258" w:lineRule="auto"/>
        <w:tabs>
          <w:tab w:leader="none" w:pos="176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Such Foreign Obligor is subject to civil and commercial Laws with respect to its obligations under this Agreement and the other Loan Documents to which it is a party (collectively as to such Foreign Obligor, the “</w:t>
      </w:r>
      <w:r>
        <w:rPr>
          <w:rFonts w:ascii="Arial" w:cs="Arial" w:eastAsia="Arial" w:hAnsi="Arial"/>
          <w:sz w:val="18"/>
          <w:szCs w:val="18"/>
          <w:u w:val="single" w:color="auto"/>
          <w:color w:val="auto"/>
        </w:rPr>
        <w:t>Applicable Foreign Obligor</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83" w:lineRule="exact"/>
        <w:rPr>
          <w:rFonts w:ascii="Arial" w:cs="Arial" w:eastAsia="Arial" w:hAnsi="Arial"/>
          <w:sz w:val="18"/>
          <w:szCs w:val="18"/>
          <w:color w:val="auto"/>
        </w:rPr>
      </w:pPr>
    </w:p>
    <w:p>
      <w:pPr>
        <w:jc w:val="both"/>
        <w:ind w:left="280" w:firstLine="748"/>
        <w:spacing w:after="0" w:line="256" w:lineRule="auto"/>
        <w:tabs>
          <w:tab w:leader="none" w:pos="176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72" w:lineRule="exact"/>
        <w:rPr>
          <w:rFonts w:ascii="Arial" w:cs="Arial" w:eastAsia="Arial" w:hAnsi="Arial"/>
          <w:sz w:val="18"/>
          <w:szCs w:val="18"/>
          <w:color w:val="auto"/>
        </w:rPr>
      </w:pPr>
    </w:p>
    <w:p>
      <w:pPr>
        <w:jc w:val="both"/>
        <w:ind w:left="280" w:firstLine="748"/>
        <w:spacing w:after="0" w:line="267" w:lineRule="auto"/>
        <w:tabs>
          <w:tab w:leader="none" w:pos="177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72" w:lineRule="exact"/>
        <w:rPr>
          <w:rFonts w:ascii="Arial" w:cs="Arial" w:eastAsia="Arial" w:hAnsi="Arial"/>
          <w:sz w:val="18"/>
          <w:szCs w:val="18"/>
          <w:color w:val="auto"/>
        </w:rPr>
      </w:pPr>
    </w:p>
    <w:p>
      <w:pPr>
        <w:jc w:val="both"/>
        <w:ind w:left="280" w:firstLine="748"/>
        <w:spacing w:after="0" w:line="232" w:lineRule="auto"/>
        <w:tabs>
          <w:tab w:leader="none" w:pos="1769" w:val="left"/>
        </w:tabs>
        <w:numPr>
          <w:ilvl w:val="0"/>
          <w:numId w:val="212"/>
        </w:numPr>
        <w:rPr>
          <w:rFonts w:ascii="Arial" w:cs="Arial" w:eastAsia="Arial" w:hAnsi="Arial"/>
          <w:sz w:val="20"/>
          <w:szCs w:val="20"/>
          <w:color w:val="auto"/>
        </w:rPr>
      </w:pPr>
      <w:r>
        <w:rPr>
          <w:rFonts w:ascii="Arial" w:cs="Arial" w:eastAsia="Arial" w:hAnsi="Arial"/>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notification or authorization described in clause (ii) shall be made or obtained as soon as is reasonably practicable).</w:t>
      </w:r>
    </w:p>
    <w:p>
      <w:pPr>
        <w:spacing w:after="0" w:line="171"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u w:val="single" w:color="auto"/>
          <w:color w:val="auto"/>
        </w:rPr>
        <w:t>1.24</w:t>
      </w:r>
      <w:r>
        <w:rPr>
          <w:sz w:val="20"/>
          <w:szCs w:val="20"/>
          <w:color w:val="auto"/>
        </w:rPr>
        <w:tab/>
      </w:r>
      <w:r>
        <w:rPr>
          <w:rFonts w:ascii="Arial" w:cs="Arial" w:eastAsia="Arial" w:hAnsi="Arial"/>
          <w:sz w:val="18"/>
          <w:szCs w:val="18"/>
          <w:color w:val="auto"/>
        </w:rPr>
        <w:t>Anti-Corruption Laws; Sanctions; Useof Proceeds.</w:t>
      </w:r>
    </w:p>
    <w:p>
      <w:pPr>
        <w:spacing w:after="0" w:line="202" w:lineRule="exact"/>
        <w:rPr>
          <w:sz w:val="20"/>
          <w:szCs w:val="20"/>
          <w:color w:val="auto"/>
        </w:rPr>
      </w:pPr>
    </w:p>
    <w:p>
      <w:pPr>
        <w:jc w:val="both"/>
        <w:ind w:left="280" w:firstLine="748"/>
        <w:spacing w:after="0" w:line="234" w:lineRule="auto"/>
        <w:tabs>
          <w:tab w:leader="none" w:pos="1769"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Company and its Subsidiaries have conducted their businesses in compliance with the United States Foreign Corrupt Practices Act of 1977, the UK Bribery Act 2010, and other similar anti- corruption legislation in other jurisdictions to which the Company and its Subsidiaries are subject, and have instituted and maintained policies and procedures designed to promote and achieve compliance with such laws.</w:t>
      </w:r>
    </w:p>
    <w:p>
      <w:pPr>
        <w:spacing w:after="0" w:line="183" w:lineRule="exact"/>
        <w:rPr>
          <w:rFonts w:ascii="Arial" w:cs="Arial" w:eastAsia="Arial" w:hAnsi="Arial"/>
          <w:sz w:val="20"/>
          <w:szCs w:val="20"/>
          <w:color w:val="auto"/>
        </w:rPr>
      </w:pPr>
    </w:p>
    <w:p>
      <w:pPr>
        <w:jc w:val="both"/>
        <w:ind w:left="280" w:right="20" w:firstLine="748"/>
        <w:spacing w:after="0" w:line="237" w:lineRule="auto"/>
        <w:tabs>
          <w:tab w:leader="none" w:pos="1769" w:val="left"/>
        </w:tabs>
        <w:numPr>
          <w:ilvl w:val="0"/>
          <w:numId w:val="213"/>
        </w:numPr>
        <w:rPr>
          <w:rFonts w:ascii="Arial" w:cs="Arial" w:eastAsia="Arial" w:hAnsi="Arial"/>
          <w:sz w:val="20"/>
          <w:szCs w:val="20"/>
          <w:color w:val="auto"/>
        </w:rPr>
      </w:pPr>
      <w:r>
        <w:rPr>
          <w:rFonts w:ascii="Arial" w:cs="Arial" w:eastAsia="Arial" w:hAnsi="Arial"/>
          <w:sz w:val="20"/>
          <w:szCs w:val="20"/>
          <w:color w:val="auto"/>
        </w:rPr>
        <w:t>The Company will not and will not permit any Subsidiary, directly or indirectly, to use the proceeds of any Credit Extension, or lend, contribute or otherwise make available such proceeds to any Subsidiary, joint venture partner or other individual or entity, to fund any activities of or business with</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6" w:name="page227"/>
    <w:bookmarkEnd w:id="226"/>
    <w:p>
      <w:pPr>
        <w:jc w:val="both"/>
        <w:ind w:left="280" w:right="20"/>
        <w:spacing w:after="0" w:line="275" w:lineRule="auto"/>
        <w:rPr>
          <w:sz w:val="20"/>
          <w:szCs w:val="20"/>
          <w:color w:val="auto"/>
        </w:rPr>
      </w:pPr>
      <w:r>
        <w:rPr>
          <w:rFonts w:ascii="Arial" w:cs="Arial" w:eastAsia="Arial" w:hAnsi="Arial"/>
          <w:sz w:val="18"/>
          <w:szCs w:val="18"/>
          <w:color w:val="auto"/>
        </w:rPr>
        <w:t>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 the Administrative Agent, the L/C Issuers, the Swing Line Lender, or otherwise) of Sanctions.</w:t>
      </w:r>
    </w:p>
    <w:p>
      <w:pPr>
        <w:spacing w:after="0" w:line="152" w:lineRule="exact"/>
        <w:rPr>
          <w:sz w:val="20"/>
          <w:szCs w:val="20"/>
          <w:color w:val="auto"/>
        </w:rPr>
      </w:pPr>
    </w:p>
    <w:p>
      <w:pPr>
        <w:jc w:val="both"/>
        <w:ind w:left="280" w:right="20" w:firstLine="748"/>
        <w:spacing w:after="0" w:line="275" w:lineRule="auto"/>
        <w:tabs>
          <w:tab w:leader="none" w:pos="176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Company will not and will not permit any Subsidiary, to directly or indirectly use the proceeds of any Credit Extension for any purpose which would breach the United States Foreign Corrupt Practices Act of 1977, the UK Bribery Act 2010, and other similar anti-corruption legislation in other jurisdictions to which the Company and its Subsidiaries are subject.</w:t>
      </w:r>
    </w:p>
    <w:p>
      <w:pPr>
        <w:spacing w:after="0" w:line="139"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u w:val="single" w:color="auto"/>
          <w:color w:val="auto"/>
        </w:rPr>
        <w:t>1.25</w:t>
      </w:r>
      <w:r>
        <w:rPr>
          <w:sz w:val="20"/>
          <w:szCs w:val="20"/>
          <w:color w:val="auto"/>
        </w:rPr>
        <w:tab/>
      </w:r>
      <w:r>
        <w:rPr>
          <w:rFonts w:ascii="Arial" w:cs="Arial" w:eastAsia="Arial" w:hAnsi="Arial"/>
          <w:sz w:val="18"/>
          <w:szCs w:val="18"/>
          <w:color w:val="auto"/>
        </w:rPr>
        <w:t>Affected Financial Institution.  No Loan Party is an Affected Financial Institution.</w:t>
      </w:r>
    </w:p>
    <w:p>
      <w:pPr>
        <w:spacing w:after="0" w:line="202"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u w:val="single" w:color="auto"/>
          <w:color w:val="auto"/>
        </w:rPr>
        <w:t>1.26</w:t>
      </w:r>
      <w:r>
        <w:rPr>
          <w:rFonts w:ascii="Arial" w:cs="Arial" w:eastAsia="Arial" w:hAnsi="Arial"/>
          <w:sz w:val="20"/>
          <w:szCs w:val="20"/>
          <w:color w:val="auto"/>
        </w:rPr>
        <w:t xml:space="preserve"> Borrower ERISA Status. Each Borrower represents and warrants as of the Closing Date that such Borrower is not and will not be (a) an employee benefit plan subject to Title I of ERISA, (b) a plan or account subject to Section 4975 of the Code; (c) an entity deemed to hold “plan assets” (within the meaning of Section 3(42) of ERISA or otherwise) of any such plans or accounts for purposes of ERISAor the Code; or (d) a “governmental plan” within the meaning of ERISA.</w:t>
      </w:r>
    </w:p>
    <w:p>
      <w:pPr>
        <w:spacing w:after="0" w:line="183" w:lineRule="exact"/>
        <w:rPr>
          <w:sz w:val="20"/>
          <w:szCs w:val="20"/>
          <w:color w:val="auto"/>
        </w:rPr>
      </w:pPr>
    </w:p>
    <w:p>
      <w:pPr>
        <w:jc w:val="both"/>
        <w:ind w:left="100" w:firstLine="749"/>
        <w:spacing w:after="0" w:line="260" w:lineRule="auto"/>
        <w:rPr>
          <w:sz w:val="20"/>
          <w:szCs w:val="20"/>
          <w:color w:val="auto"/>
        </w:rPr>
      </w:pPr>
      <w:r>
        <w:rPr>
          <w:rFonts w:ascii="Arial" w:cs="Arial" w:eastAsia="Arial" w:hAnsi="Arial"/>
          <w:sz w:val="20"/>
          <w:szCs w:val="20"/>
          <w:u w:val="single" w:color="auto"/>
          <w:color w:val="auto"/>
        </w:rPr>
        <w:t>1.27</w:t>
      </w:r>
      <w:r>
        <w:rPr>
          <w:rFonts w:ascii="Arial" w:cs="Arial" w:eastAsia="Arial" w:hAnsi="Arial"/>
          <w:sz w:val="20"/>
          <w:szCs w:val="20"/>
          <w:color w:val="auto"/>
        </w:rPr>
        <w:t xml:space="preserve"> Beneficial Ownership Certification. As of the Closing Date, the information included in any Beneficial Ownership Certification, if applicable, is true and correct in all respects.</w:t>
      </w:r>
    </w:p>
    <w:p>
      <w:pPr>
        <w:spacing w:after="0" w:line="177"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u w:val="single" w:color="auto"/>
          <w:color w:val="auto"/>
        </w:rPr>
        <w:t>1.28</w:t>
      </w:r>
      <w:r>
        <w:rPr>
          <w:sz w:val="20"/>
          <w:szCs w:val="20"/>
          <w:color w:val="auto"/>
        </w:rPr>
        <w:tab/>
      </w:r>
      <w:r>
        <w:rPr>
          <w:rFonts w:ascii="Arial" w:cs="Arial" w:eastAsia="Arial" w:hAnsi="Arial"/>
          <w:sz w:val="18"/>
          <w:szCs w:val="18"/>
          <w:color w:val="auto"/>
        </w:rPr>
        <w:t xml:space="preserve">Covered Entity. No Loan Party is a Covered Entity (as defined in </w:t>
      </w:r>
      <w:r>
        <w:rPr>
          <w:rFonts w:ascii="Arial" w:cs="Arial" w:eastAsia="Arial" w:hAnsi="Arial"/>
          <w:sz w:val="18"/>
          <w:szCs w:val="18"/>
          <w:u w:val="single" w:color="auto"/>
          <w:color w:val="auto"/>
        </w:rPr>
        <w:t>Section 10.23</w:t>
      </w:r>
      <w:r>
        <w:rPr>
          <w:rFonts w:ascii="Arial" w:cs="Arial" w:eastAsia="Arial" w:hAnsi="Arial"/>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ARTICLE VI. AFFIRMATIVE COVENANTS</w:t>
      </w:r>
    </w:p>
    <w:p>
      <w:pPr>
        <w:spacing w:after="0" w:line="229" w:lineRule="exact"/>
        <w:rPr>
          <w:sz w:val="20"/>
          <w:szCs w:val="20"/>
          <w:color w:val="auto"/>
        </w:rPr>
      </w:pPr>
    </w:p>
    <w:p>
      <w:pPr>
        <w:ind w:left="100" w:right="160" w:firstLine="747"/>
        <w:spacing w:after="0" w:line="260" w:lineRule="auto"/>
        <w:rPr>
          <w:sz w:val="20"/>
          <w:szCs w:val="20"/>
          <w:color w:val="auto"/>
        </w:rPr>
      </w:pPr>
      <w:r>
        <w:rPr>
          <w:rFonts w:ascii="Arial" w:cs="Arial" w:eastAsia="Arial" w:hAnsi="Arial"/>
          <w:sz w:val="20"/>
          <w:szCs w:val="20"/>
          <w:color w:val="auto"/>
        </w:rPr>
        <w:t xml:space="preserve">So long as the Facility Termination Date has not occurred, the Company shall, and shall (except in the case of the covenants set forth in </w:t>
      </w:r>
      <w:r>
        <w:rPr>
          <w:rFonts w:ascii="Arial" w:cs="Arial" w:eastAsia="Arial" w:hAnsi="Arial"/>
          <w:sz w:val="20"/>
          <w:szCs w:val="20"/>
          <w:u w:val="single" w:color="auto"/>
          <w:color w:val="auto"/>
        </w:rPr>
        <w:t>Sections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Restricted Subsidiary to:</w:t>
      </w:r>
    </w:p>
    <w:p>
      <w:pPr>
        <w:spacing w:after="0" w:line="150"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Financial Statements. Deliver to the Administrative Agent, in form and detail reasonably satisfactory to the Required</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Lenders:</w:t>
      </w:r>
    </w:p>
    <w:p>
      <w:pPr>
        <w:spacing w:after="0" w:line="200" w:lineRule="exact"/>
        <w:rPr>
          <w:sz w:val="20"/>
          <w:szCs w:val="20"/>
          <w:color w:val="auto"/>
        </w:rPr>
      </w:pPr>
    </w:p>
    <w:p>
      <w:pPr>
        <w:jc w:val="both"/>
        <w:ind w:left="280" w:firstLine="748"/>
        <w:spacing w:after="0" w:line="257" w:lineRule="auto"/>
        <w:tabs>
          <w:tab w:leader="none" w:pos="17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of the Company (or, if earlier, 15 days after the date required to be filed with the SEC (after giving effect to any extension permitted by the SEC)),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70" w:lineRule="exact"/>
        <w:rPr>
          <w:rFonts w:ascii="Arial" w:cs="Arial" w:eastAsia="Arial" w:hAnsi="Arial"/>
          <w:sz w:val="18"/>
          <w:szCs w:val="18"/>
          <w:color w:val="auto"/>
        </w:rPr>
      </w:pPr>
    </w:p>
    <w:p>
      <w:pPr>
        <w:jc w:val="both"/>
        <w:ind w:left="280" w:firstLine="748"/>
        <w:spacing w:after="0" w:line="246" w:lineRule="auto"/>
        <w:tabs>
          <w:tab w:leader="none" w:pos="176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as soon as available, but in any event within 45 days after the end of each of the first three fiscal quarters of each fiscal year of the Company (or, if earlier, 5 days after the date required to be filed with the SEC (after giving effect to any extension permitted by the SEC)) (commencing with the fiscal quarter ended June 30, 2019), a consolidated balance sheet of the Company and its Subsidiaries as at the end of such fiscal quarter, the related consolidated statements of income or operations for such fiscal quarter and for the portion of the Company’s fiscal year then ended, and the related consolidated</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90" w:right="479" w:bottom="1440" w:gutter="0" w:footer="0" w:header="0"/>
        </w:sectPr>
      </w:pPr>
    </w:p>
    <w:bookmarkStart w:id="227" w:name="page228"/>
    <w:bookmarkEnd w:id="227"/>
    <w:p>
      <w:pPr>
        <w:jc w:val="both"/>
        <w:ind w:left="280"/>
        <w:spacing w:after="0" w:line="231" w:lineRule="auto"/>
        <w:rPr>
          <w:sz w:val="20"/>
          <w:szCs w:val="20"/>
          <w:color w:val="auto"/>
        </w:rPr>
      </w:pPr>
      <w:r>
        <w:rPr>
          <w:rFonts w:ascii="Arial" w:cs="Arial" w:eastAsia="Arial" w:hAnsi="Arial"/>
          <w:sz w:val="20"/>
          <w:szCs w:val="20"/>
          <w:color w:val="auto"/>
        </w:rPr>
        <w:t>statements of changes in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184" w:lineRule="exact"/>
        <w:rPr>
          <w:sz w:val="20"/>
          <w:szCs w:val="20"/>
          <w:color w:val="auto"/>
        </w:rPr>
      </w:pPr>
    </w:p>
    <w:p>
      <w:pPr>
        <w:jc w:val="both"/>
        <w:ind w:left="280" w:firstLine="748"/>
        <w:spacing w:after="0" w:line="248" w:lineRule="auto"/>
        <w:tabs>
          <w:tab w:leader="none" w:pos="177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in the event that any Unrestricted Subsidiaries exist at such time, then simultaneously with the delivery of each set of consolidated financial statements referred to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 summary statement, in form reasonably satisfactory to the Required Lenders, prepared in good faith by a Responsible Officer of the Company, reflecting adjustments necessary to eliminate the accounts of such Unrestricted Subsidiaries from such consolidated financial statements; and</w:t>
      </w:r>
    </w:p>
    <w:p>
      <w:pPr>
        <w:spacing w:after="0" w:line="190" w:lineRule="exact"/>
        <w:rPr>
          <w:rFonts w:ascii="Arial" w:cs="Arial" w:eastAsia="Arial" w:hAnsi="Arial"/>
          <w:sz w:val="19"/>
          <w:szCs w:val="19"/>
          <w:color w:val="auto"/>
        </w:rPr>
      </w:pPr>
    </w:p>
    <w:p>
      <w:pPr>
        <w:jc w:val="both"/>
        <w:ind w:left="280" w:right="20" w:firstLine="748"/>
        <w:spacing w:after="0" w:line="232" w:lineRule="auto"/>
        <w:tabs>
          <w:tab w:leader="none" w:pos="1769" w:val="left"/>
        </w:tabs>
        <w:numPr>
          <w:ilvl w:val="0"/>
          <w:numId w:val="216"/>
        </w:numPr>
        <w:rPr>
          <w:rFonts w:ascii="Arial" w:cs="Arial" w:eastAsia="Arial" w:hAnsi="Arial"/>
          <w:sz w:val="20"/>
          <w:szCs w:val="20"/>
          <w:color w:val="auto"/>
        </w:rPr>
      </w:pPr>
      <w:r>
        <w:rPr>
          <w:rFonts w:ascii="Arial" w:cs="Arial" w:eastAsia="Arial" w:hAnsi="Arial"/>
          <w:sz w:val="20"/>
          <w:szCs w:val="20"/>
          <w:color w:val="auto"/>
        </w:rPr>
        <w:t>within 90 days after the end of each fiscal year of the Company, forecasts prepared by management of the Company, in form reasonably satisfactory to the Required Lenders (it being agreed that the form of forecasts delivered by the Company pursuant to the Existing Credit Agreement are satisfactory), of consolidated balance sheets and statements of income or operations and cash flows of the Company and its Restricted Subsidiaries on an annual basis for the current fiscal year (including the fiscal year in which the Maturity Date occurs).</w:t>
      </w:r>
    </w:p>
    <w:p>
      <w:pPr>
        <w:spacing w:after="0" w:line="184" w:lineRule="exact"/>
        <w:rPr>
          <w:sz w:val="20"/>
          <w:szCs w:val="20"/>
          <w:color w:val="auto"/>
        </w:rPr>
      </w:pPr>
    </w:p>
    <w:p>
      <w:pPr>
        <w:jc w:val="both"/>
        <w:ind w:left="100"/>
        <w:spacing w:after="0" w:line="254"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the Company shallnot be separately required to furnish such information under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but the foregoing shall not be in derogation of the obligation of the Company to furnish the information and materials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at the times specified therein.</w:t>
      </w:r>
    </w:p>
    <w:p>
      <w:pPr>
        <w:spacing w:after="0" w:line="170" w:lineRule="exact"/>
        <w:rPr>
          <w:sz w:val="20"/>
          <w:szCs w:val="20"/>
          <w:color w:val="auto"/>
        </w:rPr>
      </w:pPr>
    </w:p>
    <w:p>
      <w:pPr>
        <w:jc w:val="both"/>
        <w:ind w:left="100" w:right="20" w:firstLine="749"/>
        <w:spacing w:after="0" w:line="254" w:lineRule="auto"/>
        <w:rPr>
          <w:sz w:val="20"/>
          <w:szCs w:val="20"/>
          <w:color w:val="auto"/>
        </w:rPr>
      </w:pPr>
      <w:r>
        <w:rPr>
          <w:rFonts w:ascii="Arial" w:cs="Arial" w:eastAsia="Arial" w:hAnsi="Arial"/>
          <w:sz w:val="19"/>
          <w:szCs w:val="19"/>
          <w:color w:val="auto"/>
        </w:rPr>
        <w:t>1.3 Certificates; Other Information. Deliver to the Administrative Agent, in form and detail reasonably satisfactory to the Required Lenders (which delivery may, unless the Administrative Agent, or a Lender requests executed originals, be by electronic communication including fax or email and shall be deemed to be an original authentic counterpart thereof for all purposes):</w:t>
      </w:r>
    </w:p>
    <w:p>
      <w:pPr>
        <w:spacing w:after="0" w:line="170" w:lineRule="exact"/>
        <w:rPr>
          <w:sz w:val="20"/>
          <w:szCs w:val="20"/>
          <w:color w:val="auto"/>
        </w:rPr>
      </w:pPr>
    </w:p>
    <w:p>
      <w:pPr>
        <w:jc w:val="both"/>
        <w:ind w:left="280" w:firstLine="748"/>
        <w:spacing w:after="0" w:line="237" w:lineRule="auto"/>
        <w:tabs>
          <w:tab w:leader="none" w:pos="1769"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(i) a duly completed Compliance Certificate signed by the chief executive officer, chief financial officer, treasurer or controller of the Company and (ii) a listing of each Subsidiary designated as an Unrestricted Subsidiary as of the date thereof;</w:t>
      </w:r>
    </w:p>
    <w:p>
      <w:pPr>
        <w:spacing w:after="0" w:line="196" w:lineRule="exact"/>
        <w:rPr>
          <w:rFonts w:ascii="Arial" w:cs="Arial" w:eastAsia="Arial" w:hAnsi="Arial"/>
          <w:sz w:val="20"/>
          <w:szCs w:val="20"/>
          <w:color w:val="auto"/>
        </w:rPr>
      </w:pPr>
    </w:p>
    <w:p>
      <w:pPr>
        <w:jc w:val="both"/>
        <w:ind w:left="280" w:firstLine="748"/>
        <w:spacing w:after="0" w:line="234" w:lineRule="auto"/>
        <w:tabs>
          <w:tab w:leader="none" w:pos="1769" w:val="left"/>
        </w:tabs>
        <w:numPr>
          <w:ilvl w:val="0"/>
          <w:numId w:val="217"/>
        </w:numPr>
        <w:rPr>
          <w:rFonts w:ascii="Arial" w:cs="Arial" w:eastAsia="Arial" w:hAnsi="Arial"/>
          <w:sz w:val="20"/>
          <w:szCs w:val="20"/>
          <w:color w:val="auto"/>
        </w:rPr>
      </w:pPr>
      <w:r>
        <w:rPr>
          <w:rFonts w:ascii="Arial" w:cs="Arial" w:eastAsia="Arial" w:hAnsi="Arial"/>
          <w:sz w:val="20"/>
          <w:szCs w:val="20"/>
          <w:color w:val="auto"/>
        </w:rPr>
        <w:t>promptly after any request by the Administrative Agent or any Lender, copies of any final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183" w:lineRule="exact"/>
        <w:rPr>
          <w:rFonts w:ascii="Arial" w:cs="Arial" w:eastAsia="Arial" w:hAnsi="Arial"/>
          <w:sz w:val="20"/>
          <w:szCs w:val="20"/>
          <w:color w:val="auto"/>
        </w:rPr>
      </w:pPr>
    </w:p>
    <w:p>
      <w:pPr>
        <w:jc w:val="both"/>
        <w:ind w:left="280" w:firstLine="748"/>
        <w:spacing w:after="0" w:line="248" w:lineRule="auto"/>
        <w:tabs>
          <w:tab w:leader="none" w:pos="1769" w:val="left"/>
        </w:tabs>
        <w:numPr>
          <w:ilvl w:val="0"/>
          <w:numId w:val="217"/>
        </w:numPr>
        <w:rPr>
          <w:rFonts w:ascii="Arial" w:cs="Arial" w:eastAsia="Arial" w:hAnsi="Arial"/>
          <w:sz w:val="19"/>
          <w:szCs w:val="19"/>
          <w:color w:val="auto"/>
        </w:rPr>
      </w:pPr>
      <w:r>
        <w:rPr>
          <w:rFonts w:ascii="Arial" w:cs="Arial" w:eastAsia="Arial" w:hAnsi="Arial"/>
          <w:sz w:val="19"/>
          <w:szCs w:val="19"/>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90" w:lineRule="exact"/>
        <w:rPr>
          <w:rFonts w:ascii="Arial" w:cs="Arial" w:eastAsia="Arial" w:hAnsi="Arial"/>
          <w:sz w:val="19"/>
          <w:szCs w:val="19"/>
          <w:color w:val="auto"/>
        </w:rPr>
      </w:pPr>
    </w:p>
    <w:p>
      <w:pPr>
        <w:jc w:val="both"/>
        <w:ind w:left="280" w:right="20" w:firstLine="748"/>
        <w:spacing w:after="0" w:line="237" w:lineRule="auto"/>
        <w:tabs>
          <w:tab w:leader="none" w:pos="1769" w:val="left"/>
        </w:tabs>
        <w:numPr>
          <w:ilvl w:val="0"/>
          <w:numId w:val="217"/>
        </w:numPr>
        <w:rPr>
          <w:rFonts w:ascii="Arial" w:cs="Arial" w:eastAsia="Arial" w:hAnsi="Arial"/>
          <w:sz w:val="20"/>
          <w:szCs w:val="20"/>
          <w:color w:val="auto"/>
        </w:rPr>
      </w:pPr>
      <w:r>
        <w:rPr>
          <w:rFonts w:ascii="Arial" w:cs="Arial" w:eastAsia="Arial" w:hAnsi="Arial"/>
          <w:sz w:val="20"/>
          <w:szCs w:val="20"/>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8" w:name="page229"/>
    <w:bookmarkEnd w:id="228"/>
    <w:p>
      <w:pPr>
        <w:ind w:left="280"/>
        <w:spacing w:after="0"/>
        <w:rPr>
          <w:sz w:val="20"/>
          <w:szCs w:val="20"/>
          <w:color w:val="auto"/>
        </w:rPr>
      </w:pPr>
      <w:r>
        <w:rPr>
          <w:rFonts w:ascii="Arial" w:cs="Arial" w:eastAsia="Arial" w:hAnsi="Arial"/>
          <w:sz w:val="20"/>
          <w:szCs w:val="20"/>
          <w:color w:val="auto"/>
        </w:rPr>
        <w:t>investigation by such agency regarding financial or other operational results of any Loan Party or any Subsidiary thereof;</w:t>
      </w:r>
    </w:p>
    <w:p>
      <w:pPr>
        <w:spacing w:after="0" w:line="202" w:lineRule="exact"/>
        <w:rPr>
          <w:sz w:val="20"/>
          <w:szCs w:val="20"/>
          <w:color w:val="auto"/>
        </w:rPr>
      </w:pPr>
    </w:p>
    <w:p>
      <w:pPr>
        <w:jc w:val="both"/>
        <w:ind w:left="280" w:firstLine="748"/>
        <w:spacing w:after="0" w:line="275" w:lineRule="auto"/>
        <w:tabs>
          <w:tab w:leader="none" w:pos="176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“know your customer” and anti-money laundering rules and regulations (including, without limitation, the Act and the Beneficial Ownership Regulation), as from time to time reasonably requested by the Administrative Agent or any Lender; and</w:t>
      </w:r>
    </w:p>
    <w:p>
      <w:pPr>
        <w:spacing w:after="0" w:line="165" w:lineRule="exact"/>
        <w:rPr>
          <w:rFonts w:ascii="Arial" w:cs="Arial" w:eastAsia="Arial" w:hAnsi="Arial"/>
          <w:sz w:val="18"/>
          <w:szCs w:val="18"/>
          <w:color w:val="auto"/>
        </w:rPr>
      </w:pPr>
    </w:p>
    <w:p>
      <w:pPr>
        <w:jc w:val="both"/>
        <w:ind w:left="280" w:right="20" w:firstLine="748"/>
        <w:spacing w:after="0" w:line="237" w:lineRule="auto"/>
        <w:tabs>
          <w:tab w:leader="none" w:pos="176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83" w:lineRule="exact"/>
        <w:rPr>
          <w:sz w:val="20"/>
          <w:szCs w:val="20"/>
          <w:color w:val="auto"/>
        </w:rPr>
      </w:pPr>
    </w:p>
    <w:p>
      <w:pPr>
        <w:jc w:val="both"/>
        <w:ind w:left="100" w:firstLine="747"/>
        <w:spacing w:after="0"/>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9"/>
          <w:szCs w:val="19"/>
          <w:u w:val="single" w:color="auto"/>
          <w:color w:val="auto"/>
        </w:rPr>
        <w:t>Schedule 10.02</w:t>
      </w:r>
      <w:r>
        <w:rPr>
          <w:rFonts w:ascii="Arial" w:cs="Arial" w:eastAsia="Arial" w:hAnsi="Arial"/>
          <w:sz w:val="19"/>
          <w:szCs w:val="19"/>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and each Lender (by facsimile or electronic mail) of the posting of any such documents and provide to the Administrative Agent by electronic mail electronic versions (</w:t>
      </w:r>
      <w:r>
        <w:rPr>
          <w:rFonts w:ascii="Arial" w:cs="Arial" w:eastAsia="Arial" w:hAnsi="Arial"/>
          <w:sz w:val="19"/>
          <w:szCs w:val="19"/>
          <w:u w:val="single" w:color="auto"/>
          <w:color w:val="auto"/>
        </w:rPr>
        <w:t>i.e.</w:t>
      </w:r>
      <w:r>
        <w:rPr>
          <w:rFonts w:ascii="Arial" w:cs="Arial" w:eastAsia="Arial" w:hAnsi="Arial"/>
          <w:sz w:val="19"/>
          <w:szCs w:val="19"/>
          <w:color w:val="auto"/>
        </w:rPr>
        <w:t>,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suchdocuments.</w:t>
      </w:r>
    </w:p>
    <w:p>
      <w:pPr>
        <w:spacing w:after="0" w:line="184" w:lineRule="exact"/>
        <w:rPr>
          <w:sz w:val="20"/>
          <w:szCs w:val="20"/>
          <w:color w:val="auto"/>
        </w:rPr>
      </w:pPr>
    </w:p>
    <w:p>
      <w:pPr>
        <w:jc w:val="both"/>
        <w:ind w:left="100" w:firstLine="747"/>
        <w:spacing w:after="0" w:line="227" w:lineRule="auto"/>
        <w:rPr>
          <w:sz w:val="20"/>
          <w:szCs w:val="20"/>
          <w:color w:val="auto"/>
        </w:rPr>
      </w:pPr>
      <w:r>
        <w:rPr>
          <w:rFonts w:ascii="Arial" w:cs="Arial" w:eastAsia="Arial" w:hAnsi="Arial"/>
          <w:sz w:val="20"/>
          <w:szCs w:val="20"/>
          <w:color w:val="auto"/>
        </w:rPr>
        <w:t>Each Borrower hereby acknowledges that (a) the Administrative Agent and/or the Arranger may, but shall not be obligated to, make available to the Lenders and the L/C Issuers materials and/or information provided by or on behalf of the Borrowers hereunder (collectively, “</w:t>
      </w:r>
      <w:r>
        <w:rPr>
          <w:rFonts w:ascii="Arial" w:cs="Arial" w:eastAsia="Arial" w:hAnsi="Arial"/>
          <w:sz w:val="20"/>
          <w:szCs w:val="20"/>
          <w:u w:val="single" w:color="auto"/>
          <w:color w:val="auto"/>
        </w:rPr>
        <w:t>Borrower Materials</w:t>
      </w:r>
      <w:r>
        <w:rPr>
          <w:rFonts w:ascii="Arial" w:cs="Arial" w:eastAsia="Arial" w:hAnsi="Arial"/>
          <w:sz w:val="20"/>
          <w:szCs w:val="20"/>
          <w:color w:val="auto"/>
        </w:rPr>
        <w:t>”) by posting the Borrower Materials on Debt Domain, IntraLinks, SyndTrak or another similar electronic system (the “</w:t>
      </w:r>
      <w:r>
        <w:rPr>
          <w:rFonts w:ascii="Arial" w:cs="Arial" w:eastAsia="Arial" w:hAnsi="Arial"/>
          <w:sz w:val="20"/>
          <w:szCs w:val="20"/>
          <w:u w:val="single" w:color="auto"/>
          <w:color w:val="auto"/>
        </w:rPr>
        <w:t>Platform</w:t>
      </w:r>
      <w:r>
        <w:rPr>
          <w:rFonts w:ascii="Arial" w:cs="Arial" w:eastAsia="Arial" w:hAnsi="Arial"/>
          <w:sz w:val="20"/>
          <w:szCs w:val="20"/>
          <w:color w:val="auto"/>
        </w:rPr>
        <w:t>”) and (b) certain of the Lenders (each, a “</w:t>
      </w:r>
      <w:r>
        <w:rPr>
          <w:rFonts w:ascii="Arial" w:cs="Arial" w:eastAsia="Arial" w:hAnsi="Arial"/>
          <w:sz w:val="20"/>
          <w:szCs w:val="20"/>
          <w:u w:val="single" w:color="auto"/>
          <w:color w:val="auto"/>
        </w:rPr>
        <w:t>Public Lender</w:t>
      </w:r>
      <w:r>
        <w:rPr>
          <w:rFonts w:ascii="Arial" w:cs="Arial" w:eastAsia="Arial" w:hAnsi="Arial"/>
          <w:sz w:val="20"/>
          <w:szCs w:val="20"/>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w:t>
      </w:r>
    </w:p>
    <w:p>
      <w:pPr>
        <w:spacing w:after="0" w:line="5" w:lineRule="exact"/>
        <w:rPr>
          <w:sz w:val="20"/>
          <w:szCs w:val="20"/>
          <w:color w:val="auto"/>
        </w:rPr>
      </w:pPr>
    </w:p>
    <w:p>
      <w:pPr>
        <w:jc w:val="both"/>
        <w:ind w:left="100" w:hanging="9"/>
        <w:spacing w:after="0" w:line="239" w:lineRule="auto"/>
        <w:tabs>
          <w:tab w:leader="none" w:pos="424"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 the L/C Issuers and the Lenders to treat such Borrower Materials as not containing any material non-public information with respect to such Borrower or its securities for purposes of United States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such Borrower Materials constitute Information, they shall be treated as set forth in Section </w:t>
      </w:r>
      <w:r>
        <w:rPr>
          <w:rFonts w:ascii="Arial" w:cs="Arial" w:eastAsia="Arial" w:hAnsi="Arial"/>
          <w:sz w:val="19"/>
          <w:szCs w:val="19"/>
          <w:u w:val="single" w:color="auto"/>
          <w:color w:val="auto"/>
        </w:rPr>
        <w:t>10.07</w:t>
      </w:r>
      <w:r>
        <w:rPr>
          <w:rFonts w:ascii="Arial" w:cs="Arial" w:eastAsia="Arial" w:hAnsi="Arial"/>
          <w:sz w:val="19"/>
          <w:szCs w:val="19"/>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29" w:name="page230"/>
    <w:bookmarkEnd w:id="229"/>
    <w:p>
      <w:pPr>
        <w:ind w:left="840"/>
        <w:spacing w:after="0"/>
        <w:tabs>
          <w:tab w:leader="none" w:pos="15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Notices. Promptly notify the Administrative Agent:</w:t>
      </w:r>
    </w:p>
    <w:p>
      <w:pPr>
        <w:spacing w:after="0" w:line="189" w:lineRule="exact"/>
        <w:rPr>
          <w:sz w:val="20"/>
          <w:szCs w:val="20"/>
          <w:color w:val="auto"/>
        </w:rPr>
      </w:pPr>
    </w:p>
    <w:p>
      <w:pPr>
        <w:ind w:left="1780" w:hanging="752"/>
        <w:spacing w:after="0"/>
        <w:tabs>
          <w:tab w:leader="none" w:pos="178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of the occurrence of any Default;</w:t>
      </w:r>
    </w:p>
    <w:p>
      <w:pPr>
        <w:spacing w:after="0" w:line="202" w:lineRule="exact"/>
        <w:rPr>
          <w:rFonts w:ascii="Arial" w:cs="Arial" w:eastAsia="Arial" w:hAnsi="Arial"/>
          <w:sz w:val="20"/>
          <w:szCs w:val="20"/>
          <w:color w:val="auto"/>
        </w:rPr>
      </w:pPr>
    </w:p>
    <w:p>
      <w:pPr>
        <w:jc w:val="both"/>
        <w:ind w:left="280" w:firstLine="748"/>
        <w:spacing w:after="0" w:line="244" w:lineRule="auto"/>
        <w:tabs>
          <w:tab w:leader="none" w:pos="177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of any matter that has resulted or could reasonably be expected to result in a Material Adverse Effect, including any such matter arising from (i) a breach or non-performance of, or any default under, a Contractual Obligation of the Company or any Restricted Subsidiary involving more than the Threshold Amount; (ii) a material dispute, litigation, investigation, proceeding or suspension between the Company or any Restricted Subsidiary and any Governmental Authority; or (iii) the commencement of, or any material development in, any litigation or proceeding affecting the Company or any Restricted Subsidiary, including pursuant to any applicable Environmental Laws, involving more than the Threshold Amount;</w:t>
      </w:r>
    </w:p>
    <w:p>
      <w:pPr>
        <w:spacing w:after="0" w:line="192" w:lineRule="exact"/>
        <w:rPr>
          <w:rFonts w:ascii="Arial" w:cs="Arial" w:eastAsia="Arial" w:hAnsi="Arial"/>
          <w:sz w:val="19"/>
          <w:szCs w:val="19"/>
          <w:color w:val="auto"/>
        </w:rPr>
      </w:pPr>
    </w:p>
    <w:p>
      <w:pPr>
        <w:jc w:val="both"/>
        <w:ind w:left="280" w:firstLine="748"/>
        <w:spacing w:after="0" w:line="237" w:lineRule="auto"/>
        <w:tabs>
          <w:tab w:leader="none" w:pos="1769" w:val="left"/>
        </w:tabs>
        <w:numPr>
          <w:ilvl w:val="0"/>
          <w:numId w:val="220"/>
        </w:numPr>
        <w:rPr>
          <w:rFonts w:ascii="Arial" w:cs="Arial" w:eastAsia="Arial" w:hAnsi="Arial"/>
          <w:sz w:val="20"/>
          <w:szCs w:val="20"/>
          <w:color w:val="auto"/>
        </w:rPr>
      </w:pPr>
      <w:r>
        <w:rPr>
          <w:rFonts w:ascii="Arial" w:cs="Arial" w:eastAsia="Arial" w:hAnsi="Arial"/>
          <w:sz w:val="20"/>
          <w:szCs w:val="20"/>
          <w:color w:val="auto"/>
        </w:rPr>
        <w:t>of the occurrence of any ERISA Event with respect to any Pension Plan or Multiemployer Plan which has resulted or could reasonably be expected to result in liability of the Company under Title IV of ERISA to such Pension Plan, such Multiemployer Plan or the PBGC in an aggregate amount in excess of the Threshold Amount;</w:t>
      </w:r>
    </w:p>
    <w:p>
      <w:pPr>
        <w:spacing w:after="0" w:line="182" w:lineRule="exact"/>
        <w:rPr>
          <w:rFonts w:ascii="Arial" w:cs="Arial" w:eastAsia="Arial" w:hAnsi="Arial"/>
          <w:sz w:val="20"/>
          <w:szCs w:val="20"/>
          <w:color w:val="auto"/>
        </w:rPr>
      </w:pPr>
    </w:p>
    <w:p>
      <w:pPr>
        <w:ind w:left="280" w:right="20" w:firstLine="748"/>
        <w:spacing w:after="0" w:line="246" w:lineRule="auto"/>
        <w:tabs>
          <w:tab w:leader="none" w:pos="1769"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of any material change in accounting policies or financial reporting practices by the Company or any Subsidiary, including any determination by the Company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jc w:val="both"/>
        <w:ind w:left="280" w:firstLine="748"/>
        <w:spacing w:after="0" w:line="248" w:lineRule="auto"/>
        <w:tabs>
          <w:tab w:leader="none" w:pos="1769"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of the (i) occurrence of any Disposition of property or assets for which the Company is required to make a mandatory prepayment pursuant to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(ii) incurrence or issuance of any Indebtedness for which the Company is required to make a mandatory prepayment pursuant to </w:t>
      </w:r>
      <w:r>
        <w:rPr>
          <w:rFonts w:ascii="Arial" w:cs="Arial" w:eastAsia="Arial" w:hAnsi="Arial"/>
          <w:sz w:val="19"/>
          <w:szCs w:val="19"/>
          <w:u w:val="single" w:color="auto"/>
          <w:color w:val="auto"/>
        </w:rPr>
        <w:t>Section 2.05(b)(ii)</w:t>
      </w:r>
      <w:r>
        <w:rPr>
          <w:rFonts w:ascii="Arial" w:cs="Arial" w:eastAsia="Arial" w:hAnsi="Arial"/>
          <w:sz w:val="19"/>
          <w:szCs w:val="19"/>
          <w:color w:val="auto"/>
        </w:rPr>
        <w:t xml:space="preserve">, and (iii) the occurrence of any Insurance and Condemnation Event for which the Company is required to make a mandatory prepayment pursuant to </w:t>
      </w:r>
      <w:r>
        <w:rPr>
          <w:rFonts w:ascii="Arial" w:cs="Arial" w:eastAsia="Arial" w:hAnsi="Arial"/>
          <w:sz w:val="19"/>
          <w:szCs w:val="19"/>
          <w:u w:val="single" w:color="auto"/>
          <w:color w:val="auto"/>
        </w:rPr>
        <w:t>Section 2.05(b)(iii)</w:t>
      </w:r>
      <w:r>
        <w:rPr>
          <w:rFonts w:ascii="Arial" w:cs="Arial" w:eastAsia="Arial" w:hAnsi="Arial"/>
          <w:sz w:val="19"/>
          <w:szCs w:val="19"/>
          <w:color w:val="auto"/>
        </w:rPr>
        <w:t>.</w:t>
      </w:r>
    </w:p>
    <w:p>
      <w:pPr>
        <w:spacing w:after="0" w:line="177"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 xml:space="preserve">Each notice pursuant to this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shall describe with particularity any and all provisions of this Agreement and any other Loan Document that have been breached.</w:t>
      </w:r>
    </w:p>
    <w:p>
      <w:pPr>
        <w:spacing w:after="0" w:line="183" w:lineRule="exact"/>
        <w:rPr>
          <w:sz w:val="20"/>
          <w:szCs w:val="20"/>
          <w:color w:val="auto"/>
        </w:rPr>
      </w:pPr>
    </w:p>
    <w:p>
      <w:pPr>
        <w:jc w:val="both"/>
        <w:ind w:left="100" w:firstLine="749"/>
        <w:spacing w:after="0" w:line="260" w:lineRule="auto"/>
        <w:rPr>
          <w:sz w:val="20"/>
          <w:szCs w:val="20"/>
          <w:color w:val="auto"/>
        </w:rPr>
      </w:pPr>
      <w:r>
        <w:rPr>
          <w:rFonts w:ascii="Arial" w:cs="Arial" w:eastAsia="Arial" w:hAnsi="Arial"/>
          <w:sz w:val="18"/>
          <w:szCs w:val="18"/>
          <w:color w:val="auto"/>
        </w:rPr>
        <w:t>1.4 Payment of Obligations. Pay and discharge as the same shall become due and payable, all its material obligations and liabilities, including (a) all Federal, State and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Restricted Subsidiary; (b) all other lawful claims which, if unpaid, would by law become a Lien upon its property; and (c) all Indebtedness, as and when due and payable, but subject to any subordination provisions contained in any instrument or agreement evidencing or governing such Indebtedness.</w:t>
      </w:r>
    </w:p>
    <w:p>
      <w:pPr>
        <w:spacing w:after="0" w:line="180" w:lineRule="exact"/>
        <w:rPr>
          <w:sz w:val="20"/>
          <w:szCs w:val="20"/>
          <w:color w:val="auto"/>
        </w:rPr>
      </w:pPr>
    </w:p>
    <w:p>
      <w:pPr>
        <w:ind w:left="100" w:firstLine="749"/>
        <w:spacing w:after="0" w:line="230" w:lineRule="auto"/>
        <w:rPr>
          <w:sz w:val="20"/>
          <w:szCs w:val="20"/>
          <w:color w:val="auto"/>
        </w:rPr>
      </w:pPr>
      <w:r>
        <w:rPr>
          <w:rFonts w:ascii="Arial" w:cs="Arial" w:eastAsia="Arial" w:hAnsi="Arial"/>
          <w:sz w:val="20"/>
          <w:szCs w:val="20"/>
          <w:color w:val="auto"/>
        </w:rPr>
        <w:t xml:space="preserve">1.5 Preservation of Existence, Etc. (a) (i) Preserve, renew and maintain in full force and effect its legal existence under the Laws of the jurisdiction of its organization except in a transaction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and (ii) preserve, renew and maintain in full force and effect its good standing under the Laws of the jurisdiction of its organization except in a transaction permitted by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7.05</w:t>
      </w:r>
      <w:r>
        <w:rPr>
          <w:rFonts w:ascii="Arial" w:cs="Arial" w:eastAsia="Arial" w:hAnsi="Arial"/>
          <w:sz w:val="20"/>
          <w:szCs w:val="20"/>
          <w:color w:val="auto"/>
        </w:rPr>
        <w:t xml:space="preserve"> and except to the extent that the failure to do so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0" w:name="page231"/>
    <w:bookmarkEnd w:id="230"/>
    <w:p>
      <w:pPr>
        <w:ind w:left="100" w:right="180"/>
        <w:spacing w:after="0" w:line="246" w:lineRule="auto"/>
        <w:rPr>
          <w:sz w:val="20"/>
          <w:szCs w:val="20"/>
          <w:color w:val="auto"/>
        </w:rPr>
      </w:pPr>
      <w:r>
        <w:rPr>
          <w:rFonts w:ascii="Arial" w:cs="Arial" w:eastAsia="Arial" w:hAnsi="Arial"/>
          <w:sz w:val="20"/>
          <w:szCs w:val="20"/>
          <w:color w:val="auto"/>
        </w:rPr>
        <w:t>of its registered patents, trademarks, trade names and service marks, the non-preservation of which could reasonably be expected to have a Material Adverse Effect.</w:t>
      </w:r>
    </w:p>
    <w:p>
      <w:pPr>
        <w:spacing w:after="0" w:line="177"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1.6 Maintenance of Properties. (a) Maintain, preserve and protect all of its material properties and equipment necessary in the operation of its business in good working order and condition, ordinary wear and tear excepted and (b) make all necessary repairs thereto and renewals and replacements thereof except, in each case, where the failure to do so could not reasonably be expected to have a Material Adverse Effect.</w:t>
      </w:r>
    </w:p>
    <w:p>
      <w:pPr>
        <w:spacing w:after="0" w:line="197" w:lineRule="exact"/>
        <w:rPr>
          <w:sz w:val="20"/>
          <w:szCs w:val="20"/>
          <w:color w:val="auto"/>
        </w:rPr>
      </w:pPr>
    </w:p>
    <w:p>
      <w:pPr>
        <w:jc w:val="both"/>
        <w:ind w:left="100" w:firstLine="749"/>
        <w:spacing w:after="0" w:line="242" w:lineRule="auto"/>
        <w:rPr>
          <w:sz w:val="20"/>
          <w:szCs w:val="20"/>
          <w:color w:val="auto"/>
        </w:rPr>
      </w:pPr>
      <w:r>
        <w:rPr>
          <w:rFonts w:ascii="Arial" w:cs="Arial" w:eastAsia="Arial" w:hAnsi="Arial"/>
          <w:sz w:val="19"/>
          <w:szCs w:val="19"/>
          <w:color w:val="auto"/>
        </w:rPr>
        <w:t>1.7 Maintenance of Insurance. Maintain with financially sound and reputable insurance companies not Affiliates of the Company,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 and as may be required by applicable Law and as are required by any Collateral Document. All such insurance shall (unless otherwise agreed to by the Administrative Agent in writing), (a) provide that no cancellation or material modification thereof shall be effective until at least 30 days after receipt by the Administrative Agent of written notice thereof (except in the case of cancellation as a result of non-payment of premium in which case only 10 days’ prior written notice shall be required) and (b) name the Administrative Agent as an additional insured or lender’s loss payee, as applicable.</w:t>
      </w:r>
    </w:p>
    <w:p>
      <w:pPr>
        <w:spacing w:after="0" w:line="182"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1.8 Compliance with Laws.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97" w:lineRule="exact"/>
        <w:rPr>
          <w:sz w:val="20"/>
          <w:szCs w:val="20"/>
          <w:color w:val="auto"/>
        </w:rPr>
      </w:pPr>
    </w:p>
    <w:p>
      <w:pPr>
        <w:jc w:val="both"/>
        <w:ind w:left="100" w:firstLine="749"/>
        <w:spacing w:after="0" w:line="237" w:lineRule="auto"/>
        <w:rPr>
          <w:sz w:val="20"/>
          <w:szCs w:val="20"/>
          <w:color w:val="auto"/>
        </w:rPr>
      </w:pPr>
      <w:r>
        <w:rPr>
          <w:rFonts w:ascii="Arial" w:cs="Arial" w:eastAsia="Arial" w:hAnsi="Arial"/>
          <w:sz w:val="20"/>
          <w:szCs w:val="20"/>
          <w:color w:val="auto"/>
        </w:rPr>
        <w:t>1.9 Books and Records. Maintain proper books of record and account, with entries that are full, true and correct in all material respects in conformity with GAAP consistently applied shall be made of all financial transactions and matters involving the assets and business of the Company or such Restricted Subsidiary, as the case may be.</w:t>
      </w:r>
    </w:p>
    <w:p>
      <w:pPr>
        <w:spacing w:after="0" w:line="183" w:lineRule="exact"/>
        <w:rPr>
          <w:sz w:val="20"/>
          <w:szCs w:val="20"/>
          <w:color w:val="auto"/>
        </w:rPr>
      </w:pPr>
    </w:p>
    <w:p>
      <w:pPr>
        <w:jc w:val="both"/>
        <w:ind w:left="100" w:firstLine="749"/>
        <w:spacing w:after="0" w:line="255" w:lineRule="auto"/>
        <w:rPr>
          <w:sz w:val="20"/>
          <w:szCs w:val="20"/>
          <w:color w:val="auto"/>
        </w:rPr>
      </w:pPr>
      <w:r>
        <w:rPr>
          <w:rFonts w:ascii="Arial" w:cs="Arial" w:eastAsia="Arial" w:hAnsi="Arial"/>
          <w:sz w:val="18"/>
          <w:szCs w:val="18"/>
          <w:color w:val="auto"/>
        </w:rPr>
        <w:t xml:space="preserve">1.10 Inspection Rights. Permit representatives and independent contractors of the Administrative Agent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when no Event of Default exists, the Company shall not be obligated to pay for more than one such visitation and inspection in the period beginning on the Closing Date and ending on the day prior to the first anniversary of the Closing Date, or in any subsequent twelve-month period commencing on an anniversary of the Closing Date and ending twelve months thereafter and (b) when an Event of Default exists the Administrative Agent (or its representatives or independent contractors) may do any of the foregoing at the expense of the Company at any time during normal business hours, without advance notice and as often as may be reasonably deemed necessary or prudent to protect the interests of the Secured Parties. Each Lender shall be provided advance notice by the Administrative Agent of any such inspection and shall be permitted, at such Lender’s expense, to accompany (or to have its representatives or independent contractors accompany) the Administrative Agent (or its representatives or independent contractors) on any such inspection.</w:t>
      </w:r>
    </w:p>
    <w:p>
      <w:pPr>
        <w:spacing w:after="0" w:line="169" w:lineRule="exact"/>
        <w:rPr>
          <w:sz w:val="20"/>
          <w:szCs w:val="20"/>
          <w:color w:val="auto"/>
        </w:rPr>
      </w:pPr>
    </w:p>
    <w:p>
      <w:pPr>
        <w:jc w:val="both"/>
        <w:ind w:left="100" w:firstLine="749"/>
        <w:spacing w:after="0" w:line="246" w:lineRule="auto"/>
        <w:rPr>
          <w:sz w:val="20"/>
          <w:szCs w:val="20"/>
          <w:color w:val="auto"/>
        </w:rPr>
      </w:pPr>
      <w:r>
        <w:rPr>
          <w:rFonts w:ascii="Arial" w:cs="Arial" w:eastAsia="Arial" w:hAnsi="Arial"/>
          <w:sz w:val="20"/>
          <w:szCs w:val="20"/>
          <w:color w:val="auto"/>
        </w:rPr>
        <w:t>1.11 Use of Proceeds. Use the proceeds of the Credit Extensions for general corporate purposes not in contravention of any Law or of any Loan Document.</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1" w:name="page232"/>
    <w:bookmarkEnd w:id="231"/>
    <w:p>
      <w:pPr>
        <w:ind w:left="840"/>
        <w:spacing w:after="0"/>
        <w:tabs>
          <w:tab w:leader="none" w:pos="15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Additional Subsidiaries.</w:t>
      </w:r>
    </w:p>
    <w:p>
      <w:pPr>
        <w:spacing w:after="0" w:line="202" w:lineRule="exact"/>
        <w:rPr>
          <w:sz w:val="20"/>
          <w:szCs w:val="20"/>
          <w:color w:val="auto"/>
        </w:rPr>
      </w:pPr>
    </w:p>
    <w:p>
      <w:pPr>
        <w:jc w:val="both"/>
        <w:ind w:left="280" w:firstLine="748"/>
        <w:spacing w:after="0" w:line="256" w:lineRule="auto"/>
        <w:tabs>
          <w:tab w:leader="none" w:pos="176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 xml:space="preserve">Subject to the limits and exclusions set forth in </w:t>
      </w:r>
      <w:r>
        <w:rPr>
          <w:rFonts w:ascii="Arial" w:cs="Arial" w:eastAsia="Arial" w:hAnsi="Arial"/>
          <w:sz w:val="18"/>
          <w:szCs w:val="18"/>
          <w:u w:val="single" w:color="auto"/>
          <w:color w:val="auto"/>
        </w:rPr>
        <w:t>Section 6.12(c)</w:t>
      </w:r>
      <w:r>
        <w:rPr>
          <w:rFonts w:ascii="Arial" w:cs="Arial" w:eastAsia="Arial" w:hAnsi="Arial"/>
          <w:sz w:val="18"/>
          <w:szCs w:val="18"/>
          <w:color w:val="auto"/>
        </w:rPr>
        <w:t xml:space="preserve"> below, if (1) (i) at any time the Company acquires or forms any additional Subsidiary, merges any Subsidiary into another Person or Disposes of assets from any Subsidiary to another Person and, as a result of such acquisition, formation, merger or Disposition, a Person becomes a Material Subsidiary (other than an Unrestricted Subsidiary), or (ii) as of the end of any fiscal quarter, any Subsidiary that is not already a Subsidiary Guarantor qualifies as a Material Subsidiary (other than an Unrestricted Subsidiary), the Company will promptly notify the Administrative Agent thereof and within thirty days (or such longer period to which the Administrative Agent may agree in its sole discretion) following such acquisition, formation, merger, Disposition or fiscal quarter end, as the case may be, deliver or cause to be delivered to the Administrative Agent each of the following or (2) any Person becomes a Designated Borrower, the Company will concurrently with such Person becoming a Designated Borrower, to the extent such Person has not already complied with this Section as a Subsidiary Guarantor), deliver or cause to be delivered to the Administrative Agent each of the following:</w:t>
      </w:r>
    </w:p>
    <w:p>
      <w:pPr>
        <w:spacing w:after="0" w:line="181" w:lineRule="exact"/>
        <w:rPr>
          <w:rFonts w:ascii="Arial" w:cs="Arial" w:eastAsia="Arial" w:hAnsi="Arial"/>
          <w:sz w:val="18"/>
          <w:szCs w:val="18"/>
          <w:color w:val="auto"/>
        </w:rPr>
      </w:pPr>
    </w:p>
    <w:p>
      <w:pPr>
        <w:ind w:left="1020" w:right="20" w:firstLine="757"/>
        <w:spacing w:after="0" w:line="260" w:lineRule="auto"/>
        <w:tabs>
          <w:tab w:leader="none" w:pos="2509" w:val="left"/>
        </w:tabs>
        <w:numPr>
          <w:ilvl w:val="2"/>
          <w:numId w:val="221"/>
        </w:numPr>
        <w:rPr>
          <w:rFonts w:ascii="Arial" w:cs="Arial" w:eastAsia="Arial" w:hAnsi="Arial"/>
          <w:sz w:val="20"/>
          <w:szCs w:val="20"/>
          <w:color w:val="auto"/>
        </w:rPr>
      </w:pPr>
      <w:r>
        <w:rPr>
          <w:rFonts w:ascii="Arial" w:cs="Arial" w:eastAsia="Arial" w:hAnsi="Arial"/>
          <w:sz w:val="20"/>
          <w:szCs w:val="20"/>
          <w:color w:val="auto"/>
        </w:rPr>
        <w:t>a Subsidiary Guaranty Agreement or a Subsidiary Guaranty Joinder Agreement, as applicable, duly executed by such Subsidiary;</w:t>
      </w:r>
    </w:p>
    <w:p>
      <w:pPr>
        <w:spacing w:after="0" w:line="149" w:lineRule="exact"/>
        <w:rPr>
          <w:rFonts w:ascii="Arial" w:cs="Arial" w:eastAsia="Arial" w:hAnsi="Arial"/>
          <w:sz w:val="20"/>
          <w:szCs w:val="20"/>
          <w:color w:val="auto"/>
        </w:rPr>
      </w:pPr>
    </w:p>
    <w:p>
      <w:pPr>
        <w:ind w:left="1020" w:right="20" w:firstLine="757"/>
        <w:spacing w:after="0" w:line="246" w:lineRule="auto"/>
        <w:tabs>
          <w:tab w:leader="none" w:pos="2508" w:val="left"/>
        </w:tabs>
        <w:numPr>
          <w:ilvl w:val="2"/>
          <w:numId w:val="221"/>
        </w:numPr>
        <w:rPr>
          <w:rFonts w:ascii="Arial" w:cs="Arial" w:eastAsia="Arial" w:hAnsi="Arial"/>
          <w:sz w:val="20"/>
          <w:szCs w:val="20"/>
          <w:color w:val="auto"/>
        </w:rPr>
      </w:pPr>
      <w:r>
        <w:rPr>
          <w:rFonts w:ascii="Arial" w:cs="Arial" w:eastAsia="Arial" w:hAnsi="Arial"/>
          <w:sz w:val="20"/>
          <w:szCs w:val="20"/>
          <w:color w:val="auto"/>
        </w:rPr>
        <w:t>a Security Agreement or a Security Joinder Agreement, as applicable, duly executed by such Subsidiary (with all schedules thereto appropriately completed);</w:t>
      </w:r>
    </w:p>
    <w:p>
      <w:pPr>
        <w:spacing w:after="0" w:line="190" w:lineRule="exact"/>
        <w:rPr>
          <w:rFonts w:ascii="Arial" w:cs="Arial" w:eastAsia="Arial" w:hAnsi="Arial"/>
          <w:sz w:val="20"/>
          <w:szCs w:val="20"/>
          <w:color w:val="auto"/>
        </w:rPr>
      </w:pPr>
    </w:p>
    <w:p>
      <w:pPr>
        <w:jc w:val="both"/>
        <w:ind w:left="1020" w:firstLine="757"/>
        <w:spacing w:after="0" w:line="237" w:lineRule="auto"/>
        <w:tabs>
          <w:tab w:leader="none" w:pos="2509" w:val="left"/>
        </w:tabs>
        <w:numPr>
          <w:ilvl w:val="2"/>
          <w:numId w:val="221"/>
        </w:numPr>
        <w:rPr>
          <w:rFonts w:ascii="Arial" w:cs="Arial" w:eastAsia="Arial" w:hAnsi="Arial"/>
          <w:sz w:val="20"/>
          <w:szCs w:val="20"/>
          <w:color w:val="auto"/>
        </w:rPr>
      </w:pPr>
      <w:r>
        <w:rPr>
          <w:rFonts w:ascii="Arial" w:cs="Arial" w:eastAsia="Arial" w:hAnsi="Arial"/>
          <w:sz w:val="20"/>
          <w:szCs w:val="20"/>
          <w:color w:val="auto"/>
        </w:rPr>
        <w:t>if such Subsidiary owns Equity Interests in any other Subsidiary, which Equity Interests constitute Collateral, a Pledge Agreement or a Pledge Joinder Agreement, as applicable, duly executed by such Subsidiary (with all schedules thereto appropriatelycompleted);</w:t>
      </w:r>
    </w:p>
    <w:p>
      <w:pPr>
        <w:spacing w:after="0" w:line="182" w:lineRule="exact"/>
        <w:rPr>
          <w:rFonts w:ascii="Arial" w:cs="Arial" w:eastAsia="Arial" w:hAnsi="Arial"/>
          <w:sz w:val="20"/>
          <w:szCs w:val="20"/>
          <w:color w:val="auto"/>
        </w:rPr>
      </w:pPr>
    </w:p>
    <w:p>
      <w:pPr>
        <w:jc w:val="both"/>
        <w:ind w:left="1020" w:firstLine="757"/>
        <w:spacing w:after="0" w:line="237" w:lineRule="auto"/>
        <w:tabs>
          <w:tab w:leader="none" w:pos="2508" w:val="left"/>
        </w:tabs>
        <w:numPr>
          <w:ilvl w:val="2"/>
          <w:numId w:val="221"/>
        </w:numPr>
        <w:rPr>
          <w:rFonts w:ascii="Arial" w:cs="Arial" w:eastAsia="Arial" w:hAnsi="Arial"/>
          <w:sz w:val="20"/>
          <w:szCs w:val="20"/>
          <w:color w:val="auto"/>
        </w:rPr>
      </w:pPr>
      <w:r>
        <w:rPr>
          <w:rFonts w:ascii="Arial" w:cs="Arial" w:eastAsia="Arial" w:hAnsi="Arial"/>
          <w:sz w:val="20"/>
          <w:szCs w:val="20"/>
          <w:color w:val="auto"/>
        </w:rPr>
        <w:t>a Pledge Agreement, Pledge Joinder Agreement or Pledge Agreement Supplement, as applicable, duly executed by the Loan Party owning the Equity Interests of such Subsidiary (in either case, with all schedules thereto appropriately completed);</w:t>
      </w:r>
    </w:p>
    <w:p>
      <w:pPr>
        <w:spacing w:after="0" w:line="155" w:lineRule="exact"/>
        <w:rPr>
          <w:rFonts w:ascii="Arial" w:cs="Arial" w:eastAsia="Arial" w:hAnsi="Arial"/>
          <w:sz w:val="20"/>
          <w:szCs w:val="20"/>
          <w:color w:val="auto"/>
        </w:rPr>
      </w:pPr>
    </w:p>
    <w:p>
      <w:pPr>
        <w:jc w:val="both"/>
        <w:ind w:left="1020" w:firstLine="757"/>
        <w:spacing w:after="0" w:line="246" w:lineRule="auto"/>
        <w:tabs>
          <w:tab w:leader="none" w:pos="2509" w:val="left"/>
        </w:tabs>
        <w:numPr>
          <w:ilvl w:val="2"/>
          <w:numId w:val="221"/>
        </w:numPr>
        <w:rPr>
          <w:rFonts w:ascii="Arial" w:cs="Arial" w:eastAsia="Arial" w:hAnsi="Arial"/>
          <w:sz w:val="19"/>
          <w:szCs w:val="19"/>
          <w:color w:val="auto"/>
        </w:rPr>
      </w:pPr>
      <w:r>
        <w:rPr>
          <w:rFonts w:ascii="Arial" w:cs="Arial" w:eastAsia="Arial" w:hAnsi="Arial"/>
          <w:sz w:val="19"/>
          <w:szCs w:val="19"/>
          <w:color w:val="auto"/>
        </w:rPr>
        <w:t xml:space="preserve">if any of the documents referenced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are delivered (or required to be delivered) and if requested by the Administrative Agent, opinions of counsel to the applicable Loan Parties and such Subsidiary with respect to the documents delivered and the transactions contemplated by this </w:t>
      </w:r>
      <w:r>
        <w:rPr>
          <w:rFonts w:ascii="Arial" w:cs="Arial" w:eastAsia="Arial" w:hAnsi="Arial"/>
          <w:sz w:val="19"/>
          <w:szCs w:val="19"/>
          <w:u w:val="single" w:color="auto"/>
          <w:color w:val="auto"/>
        </w:rPr>
        <w:t>Section 6.12(a)</w:t>
      </w:r>
      <w:r>
        <w:rPr>
          <w:rFonts w:ascii="Arial" w:cs="Arial" w:eastAsia="Arial" w:hAnsi="Arial"/>
          <w:sz w:val="19"/>
          <w:szCs w:val="19"/>
          <w:color w:val="auto"/>
        </w:rPr>
        <w:t xml:space="preserve">, in form and substance reasonably acceptable to the Administrative Agent, including opinions, assumptions and qualifications similar to those contained in the opinions of counsel delivered pursuant to </w:t>
      </w:r>
      <w:r>
        <w:rPr>
          <w:rFonts w:ascii="Arial" w:cs="Arial" w:eastAsia="Arial" w:hAnsi="Arial"/>
          <w:sz w:val="19"/>
          <w:szCs w:val="19"/>
          <w:u w:val="single" w:color="auto"/>
          <w:color w:val="auto"/>
        </w:rPr>
        <w:t>Section 4.01(a)</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left="1020" w:firstLine="757"/>
        <w:spacing w:after="0" w:line="248" w:lineRule="auto"/>
        <w:tabs>
          <w:tab w:leader="none" w:pos="2509" w:val="left"/>
        </w:tabs>
        <w:numPr>
          <w:ilvl w:val="2"/>
          <w:numId w:val="221"/>
        </w:numPr>
        <w:rPr>
          <w:rFonts w:ascii="Arial" w:cs="Arial" w:eastAsia="Arial" w:hAnsi="Arial"/>
          <w:sz w:val="19"/>
          <w:szCs w:val="19"/>
          <w:color w:val="auto"/>
        </w:rPr>
      </w:pPr>
      <w:r>
        <w:rPr>
          <w:rFonts w:ascii="Arial" w:cs="Arial" w:eastAsia="Arial" w:hAnsi="Arial"/>
          <w:sz w:val="19"/>
          <w:szCs w:val="19"/>
          <w:color w:val="auto"/>
        </w:rPr>
        <w:t xml:space="preserve">if any of the documents referenced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are delivered (or required to be delivered), current copies of the documents of the types referred to in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with respect to such Subsidiary, all certified by the applicable Governmental Authority or appropriate officer as the Administrative Agent may elect, all in form and substance reasonably satisfactory to the Administrative Agent; and</w:t>
      </w:r>
    </w:p>
    <w:p>
      <w:pPr>
        <w:spacing w:after="0" w:line="176" w:lineRule="exact"/>
        <w:rPr>
          <w:rFonts w:ascii="Arial" w:cs="Arial" w:eastAsia="Arial" w:hAnsi="Arial"/>
          <w:sz w:val="19"/>
          <w:szCs w:val="19"/>
          <w:color w:val="auto"/>
        </w:rPr>
      </w:pPr>
    </w:p>
    <w:p>
      <w:pPr>
        <w:jc w:val="both"/>
        <w:ind w:left="1020" w:firstLine="757"/>
        <w:spacing w:after="0" w:line="275" w:lineRule="auto"/>
        <w:tabs>
          <w:tab w:leader="none" w:pos="2508" w:val="left"/>
        </w:tabs>
        <w:numPr>
          <w:ilvl w:val="2"/>
          <w:numId w:val="221"/>
        </w:numPr>
        <w:rPr>
          <w:rFonts w:ascii="Arial" w:cs="Arial" w:eastAsia="Arial" w:hAnsi="Arial"/>
          <w:sz w:val="18"/>
          <w:szCs w:val="18"/>
          <w:color w:val="auto"/>
        </w:rPr>
      </w:pPr>
      <w:r>
        <w:rPr>
          <w:rFonts w:ascii="Arial" w:cs="Arial" w:eastAsia="Arial" w:hAnsi="Arial"/>
          <w:sz w:val="18"/>
          <w:szCs w:val="18"/>
          <w:color w:val="auto"/>
        </w:rPr>
        <w:t xml:space="preserve">evidence reasonably satisfactory to the Administrative Agent that all taxes, filing fees and recording fees related to the perfection of the Liens created under any of the documents delivered pursuant to this </w:t>
      </w:r>
      <w:r>
        <w:rPr>
          <w:rFonts w:ascii="Arial" w:cs="Arial" w:eastAsia="Arial" w:hAnsi="Arial"/>
          <w:sz w:val="18"/>
          <w:szCs w:val="18"/>
          <w:u w:val="single" w:color="auto"/>
          <w:color w:val="auto"/>
        </w:rPr>
        <w:t>Section 6.12(a)</w:t>
      </w:r>
      <w:r>
        <w:rPr>
          <w:rFonts w:ascii="Arial" w:cs="Arial" w:eastAsia="Arial" w:hAnsi="Arial"/>
          <w:sz w:val="18"/>
          <w:szCs w:val="18"/>
          <w:color w:val="auto"/>
        </w:rPr>
        <w:t xml:space="preserve"> have been paid and all reasonable costs and expenses of the Administrative Agent in connection therewith have been paid.</w:t>
      </w:r>
    </w:p>
    <w:p>
      <w:pPr>
        <w:spacing w:after="0" w:line="165" w:lineRule="exact"/>
        <w:rPr>
          <w:rFonts w:ascii="Arial" w:cs="Arial" w:eastAsia="Arial" w:hAnsi="Arial"/>
          <w:sz w:val="18"/>
          <w:szCs w:val="18"/>
          <w:color w:val="auto"/>
        </w:rPr>
      </w:pPr>
    </w:p>
    <w:p>
      <w:pPr>
        <w:jc w:val="both"/>
        <w:ind w:left="280" w:firstLine="748"/>
        <w:spacing w:after="0" w:line="259" w:lineRule="auto"/>
        <w:tabs>
          <w:tab w:leader="none" w:pos="1769" w:val="left"/>
        </w:tabs>
        <w:numPr>
          <w:ilvl w:val="1"/>
          <w:numId w:val="221"/>
        </w:numPr>
        <w:rPr>
          <w:rFonts w:ascii="Arial" w:cs="Arial" w:eastAsia="Arial" w:hAnsi="Arial"/>
          <w:sz w:val="18"/>
          <w:szCs w:val="18"/>
          <w:color w:val="auto"/>
        </w:rPr>
      </w:pPr>
      <w:r>
        <w:rPr>
          <w:rFonts w:ascii="Arial" w:cs="Arial" w:eastAsia="Arial" w:hAnsi="Arial"/>
          <w:sz w:val="18"/>
          <w:szCs w:val="18"/>
          <w:color w:val="auto"/>
        </w:rPr>
        <w:t xml:space="preserve">Without limiting the foregoing, within 30 days (or such longer period as approved by the Administrative Agent in its sole discretion) after (i) each delivery or required delivery of financial information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w:t>
      </w:r>
    </w:p>
    <w:p>
      <w:pPr>
        <w:spacing w:after="0" w:line="1" w:lineRule="exact"/>
        <w:rPr>
          <w:rFonts w:ascii="Arial" w:cs="Arial" w:eastAsia="Arial" w:hAnsi="Arial"/>
          <w:sz w:val="18"/>
          <w:szCs w:val="18"/>
          <w:color w:val="auto"/>
        </w:rPr>
      </w:pPr>
    </w:p>
    <w:p>
      <w:pPr>
        <w:ind w:left="580" w:hanging="301"/>
        <w:spacing w:after="0"/>
        <w:tabs>
          <w:tab w:leader="none" w:pos="58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any Disposition of any Restricted</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2" w:name="page233"/>
    <w:bookmarkEnd w:id="232"/>
    <w:p>
      <w:pPr>
        <w:jc w:val="both"/>
        <w:ind w:left="280" w:right="20"/>
        <w:spacing w:after="0" w:line="254" w:lineRule="auto"/>
        <w:rPr>
          <w:sz w:val="20"/>
          <w:szCs w:val="20"/>
          <w:color w:val="auto"/>
        </w:rPr>
      </w:pPr>
      <w:r>
        <w:rPr>
          <w:rFonts w:ascii="Arial" w:cs="Arial" w:eastAsia="Arial" w:hAnsi="Arial"/>
          <w:sz w:val="19"/>
          <w:szCs w:val="19"/>
          <w:color w:val="auto"/>
        </w:rPr>
        <w:t xml:space="preserve">Subsidiary or any material portion of its assets (including via merger or dissolution), cause one or more Subsidiaries to become Subsidiary Guarantors and take such additional actions of the type described in </w:t>
      </w:r>
      <w:r>
        <w:rPr>
          <w:rFonts w:ascii="Arial" w:cs="Arial" w:eastAsia="Arial" w:hAnsi="Arial"/>
          <w:sz w:val="19"/>
          <w:szCs w:val="19"/>
          <w:u w:val="single" w:color="auto"/>
          <w:color w:val="auto"/>
        </w:rPr>
        <w:t>Section 6.12(a)</w:t>
      </w:r>
      <w:r>
        <w:rPr>
          <w:rFonts w:ascii="Arial" w:cs="Arial" w:eastAsia="Arial" w:hAnsi="Arial"/>
          <w:sz w:val="19"/>
          <w:szCs w:val="19"/>
          <w:color w:val="auto"/>
        </w:rPr>
        <w:t xml:space="preserve"> as if such Subsidiaries were Material Subsidiaries, to the extent necessary to cause, subject to the limits and exclusions set forth in </w:t>
      </w:r>
      <w:r>
        <w:rPr>
          <w:rFonts w:ascii="Arial" w:cs="Arial" w:eastAsia="Arial" w:hAnsi="Arial"/>
          <w:sz w:val="19"/>
          <w:szCs w:val="19"/>
          <w:u w:val="single" w:color="auto"/>
          <w:color w:val="auto"/>
        </w:rPr>
        <w:t>Section 6.12(c)</w:t>
      </w:r>
      <w:r>
        <w:rPr>
          <w:rFonts w:ascii="Arial" w:cs="Arial" w:eastAsia="Arial" w:hAnsi="Arial"/>
          <w:sz w:val="19"/>
          <w:szCs w:val="19"/>
          <w:color w:val="auto"/>
        </w:rPr>
        <w:t xml:space="preserve"> below:</w:t>
      </w:r>
    </w:p>
    <w:p>
      <w:pPr>
        <w:spacing w:after="0" w:line="157" w:lineRule="exact"/>
        <w:rPr>
          <w:sz w:val="20"/>
          <w:szCs w:val="20"/>
          <w:color w:val="auto"/>
        </w:rPr>
      </w:pPr>
    </w:p>
    <w:p>
      <w:pPr>
        <w:jc w:val="both"/>
        <w:ind w:left="1020" w:firstLine="757"/>
        <w:spacing w:after="0" w:line="248" w:lineRule="auto"/>
        <w:tabs>
          <w:tab w:leader="none" w:pos="2509"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Obligations of the Company and each other U.S. Borrower to be guaranteed by Domestic Subsidiaries, and secured by the Equity Interests and assets of, Subsidiaries that, together with the Company, account for at least 90% of the Consolidated Total Assets and 90% of the consolidated total revenues of the Company and its Subsidiaries (but excluding from such calculation the assets and revenues of each Foreign Subsidiary); and</w:t>
      </w:r>
    </w:p>
    <w:p>
      <w:pPr>
        <w:spacing w:after="0" w:line="190" w:lineRule="exact"/>
        <w:rPr>
          <w:rFonts w:ascii="Arial" w:cs="Arial" w:eastAsia="Arial" w:hAnsi="Arial"/>
          <w:sz w:val="19"/>
          <w:szCs w:val="19"/>
          <w:color w:val="auto"/>
        </w:rPr>
      </w:pPr>
    </w:p>
    <w:p>
      <w:pPr>
        <w:jc w:val="both"/>
        <w:ind w:left="1020" w:firstLine="757"/>
        <w:spacing w:after="0" w:line="254" w:lineRule="auto"/>
        <w:tabs>
          <w:tab w:leader="none" w:pos="2509"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Obligations of each Designated Borrower that is a Foreign Subsidiary to be guaranteed by, and secured by the Equity Interests and assets of, Subsidiaries that, together with the Company, account for at least 90% of Consolidated Total Assets and 90% of the consolidated total revenues of the Company and its Subsidiaries.</w:t>
      </w:r>
    </w:p>
    <w:p>
      <w:pPr>
        <w:spacing w:after="0" w:line="170" w:lineRule="exact"/>
        <w:rPr>
          <w:sz w:val="20"/>
          <w:szCs w:val="20"/>
          <w:color w:val="auto"/>
        </w:rPr>
      </w:pPr>
    </w:p>
    <w:p>
      <w:pPr>
        <w:jc w:val="both"/>
        <w:ind w:left="280" w:firstLine="747"/>
        <w:spacing w:after="0" w:line="246" w:lineRule="auto"/>
        <w:rPr>
          <w:sz w:val="20"/>
          <w:szCs w:val="20"/>
          <w:color w:val="auto"/>
        </w:rPr>
      </w:pPr>
      <w:r>
        <w:rPr>
          <w:rFonts w:ascii="Arial" w:cs="Arial" w:eastAsia="Arial" w:hAnsi="Arial"/>
          <w:sz w:val="19"/>
          <w:szCs w:val="19"/>
          <w:color w:val="auto"/>
        </w:rPr>
        <w:t xml:space="preserve">For purposes of the foregoing calculations, (x) assets shall be determined as of the last day of the most recently ended fiscal quarter for which financial information is available, (y) revenues shall be determined using the results of the four fiscal quarter period of the Company most recently ended for which financial information is available, but giving effect to any pro forma adjustments, with respect to any Specified Transaction, in a manner consistent with the adjustments described in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and (z) the assets and revenues of a Subsidiary shall not be deemed to include the assets and revenues of its Subsidiaries.</w:t>
      </w:r>
    </w:p>
    <w:p>
      <w:pPr>
        <w:spacing w:after="0" w:line="190" w:lineRule="exact"/>
        <w:rPr>
          <w:sz w:val="20"/>
          <w:szCs w:val="20"/>
          <w:color w:val="auto"/>
        </w:rPr>
      </w:pPr>
    </w:p>
    <w:p>
      <w:pPr>
        <w:jc w:val="both"/>
        <w:ind w:left="280" w:firstLine="748"/>
        <w:spacing w:after="0" w:line="232" w:lineRule="auto"/>
        <w:tabs>
          <w:tab w:leader="none" w:pos="177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to the contrary, it is acknowledged and agreed that (i) in no event shall any Foreign Subsidiary be required to guarantee, or provide collateral security for, any portion of the Obligations of a U.S. Loan Party and (ii) the pledge of any Voting Equity Interests (as defined in the U.S. Pledge Agreement) in Foreign Subsidiaries as collateral security for any portion of the Obligations of a U.S. Loan Party shall be limited as provided in the U.S. Pledge Agreement and the other Loan Documents.</w:t>
      </w:r>
    </w:p>
    <w:p>
      <w:pPr>
        <w:spacing w:after="0" w:line="198" w:lineRule="exact"/>
        <w:rPr>
          <w:sz w:val="20"/>
          <w:szCs w:val="20"/>
          <w:color w:val="auto"/>
        </w:rPr>
      </w:pPr>
    </w:p>
    <w:p>
      <w:pPr>
        <w:jc w:val="both"/>
        <w:ind w:left="100" w:firstLine="749"/>
        <w:spacing w:after="0" w:line="256" w:lineRule="auto"/>
        <w:rPr>
          <w:sz w:val="20"/>
          <w:szCs w:val="20"/>
          <w:color w:val="auto"/>
        </w:rPr>
      </w:pPr>
      <w:r>
        <w:rPr>
          <w:rFonts w:ascii="Arial" w:cs="Arial" w:eastAsia="Arial" w:hAnsi="Arial"/>
          <w:sz w:val="18"/>
          <w:szCs w:val="18"/>
          <w:color w:val="auto"/>
        </w:rPr>
        <w:t xml:space="preserve">1.14 Compliance with Environmental Laws. Comply, and use commercially reasonable efforts to cause all lessees and other Persons operating 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Company nor any of its Restricted Subsidiaries shall be required to undertake any such cleanup, removal, remedial or other action to the extent that (a) its obligation to do so is being contested in good faith and by proper proceedings and appropriate reserves are being maintained with respect to such circumstances in accordance with GAAP, or (b) its failure to undertake any such action, either individually or in the aggregate, could not reasonably be expected to have a Material Adverse Effect or result in a penalty, fine or liability to the Company or any of its Restricted Subsidiaries in excess of the Threshold Amount.</w:t>
      </w:r>
    </w:p>
    <w:p>
      <w:pPr>
        <w:spacing w:after="0" w:line="168" w:lineRule="exact"/>
        <w:rPr>
          <w:sz w:val="20"/>
          <w:szCs w:val="20"/>
          <w:color w:val="auto"/>
        </w:rPr>
      </w:pPr>
    </w:p>
    <w:p>
      <w:pPr>
        <w:jc w:val="both"/>
        <w:ind w:left="100" w:firstLine="749"/>
        <w:spacing w:after="0" w:line="246" w:lineRule="auto"/>
        <w:rPr>
          <w:sz w:val="20"/>
          <w:szCs w:val="20"/>
          <w:color w:val="auto"/>
        </w:rPr>
      </w:pPr>
      <w:r>
        <w:rPr>
          <w:rFonts w:ascii="Arial" w:cs="Arial" w:eastAsia="Arial" w:hAnsi="Arial"/>
          <w:sz w:val="19"/>
          <w:szCs w:val="19"/>
          <w:color w:val="auto"/>
        </w:rPr>
        <w:t>1.15 Further Assurances.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100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3" w:name="page234"/>
    <w:bookmarkEnd w:id="233"/>
    <w:p>
      <w:pPr>
        <w:jc w:val="both"/>
        <w:ind w:left="100"/>
        <w:spacing w:after="0" w:line="243" w:lineRule="auto"/>
        <w:rPr>
          <w:sz w:val="20"/>
          <w:szCs w:val="20"/>
          <w:color w:val="auto"/>
        </w:rPr>
      </w:pPr>
      <w:r>
        <w:rPr>
          <w:rFonts w:ascii="Arial" w:cs="Arial" w:eastAsia="Arial" w:hAnsi="Arial"/>
          <w:sz w:val="19"/>
          <w:szCs w:val="19"/>
          <w:color w:val="auto"/>
        </w:rPr>
        <w:t>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79" w:lineRule="exact"/>
        <w:rPr>
          <w:sz w:val="20"/>
          <w:szCs w:val="20"/>
          <w:color w:val="auto"/>
        </w:rPr>
      </w:pPr>
    </w:p>
    <w:p>
      <w:pPr>
        <w:jc w:val="both"/>
        <w:ind w:left="100" w:firstLine="749"/>
        <w:spacing w:after="0" w:line="248" w:lineRule="auto"/>
        <w:rPr>
          <w:sz w:val="20"/>
          <w:szCs w:val="20"/>
          <w:color w:val="auto"/>
        </w:rPr>
      </w:pPr>
      <w:r>
        <w:rPr>
          <w:rFonts w:ascii="Arial" w:cs="Arial" w:eastAsia="Arial" w:hAnsi="Arial"/>
          <w:sz w:val="19"/>
          <w:szCs w:val="19"/>
          <w:color w:val="auto"/>
        </w:rPr>
        <w:t>1.15 Approvals and Authorizations. Except as would not reasonably be expected to cause a Material Adverse Effect, 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190" w:lineRule="exact"/>
        <w:rPr>
          <w:sz w:val="20"/>
          <w:szCs w:val="20"/>
          <w:color w:val="auto"/>
        </w:rPr>
      </w:pPr>
    </w:p>
    <w:p>
      <w:pPr>
        <w:jc w:val="both"/>
        <w:ind w:left="100" w:right="20" w:firstLine="749"/>
        <w:spacing w:after="0" w:line="267" w:lineRule="auto"/>
        <w:rPr>
          <w:sz w:val="20"/>
          <w:szCs w:val="20"/>
          <w:color w:val="auto"/>
        </w:rPr>
      </w:pPr>
      <w:r>
        <w:rPr>
          <w:rFonts w:ascii="Arial" w:cs="Arial" w:eastAsia="Arial" w:hAnsi="Arial"/>
          <w:sz w:val="18"/>
          <w:szCs w:val="18"/>
          <w:color w:val="auto"/>
        </w:rPr>
        <w:t>1.16 Anti-Corruption Laws; Sanctions. Conduct its businesses in compliance in all material respects with the United States Foreign Corrupt Practices Act of 1977, the UK Bribery Act 2010, and other similar anti-corruption legislation in other jurisdictions applicable to the Company or any of its Restricted Subsidiaries and with all applicable Sanctions and maintain policies and procedures in the Company’s reasonable business judgment designed to promote and achieve compliance with such laws and Sanctions.</w:t>
      </w: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VII. NEGATIVE COVENANTS</w:t>
      </w:r>
    </w:p>
    <w:p>
      <w:pPr>
        <w:spacing w:after="0" w:line="189" w:lineRule="exact"/>
        <w:rPr>
          <w:sz w:val="20"/>
          <w:szCs w:val="20"/>
          <w:color w:val="auto"/>
        </w:rPr>
      </w:pPr>
    </w:p>
    <w:p>
      <w:pPr>
        <w:jc w:val="both"/>
        <w:ind w:left="100" w:right="20" w:firstLine="747"/>
        <w:spacing w:after="0" w:line="246" w:lineRule="auto"/>
        <w:rPr>
          <w:sz w:val="20"/>
          <w:szCs w:val="20"/>
          <w:color w:val="auto"/>
        </w:rPr>
      </w:pPr>
      <w:r>
        <w:rPr>
          <w:rFonts w:ascii="Arial" w:cs="Arial" w:eastAsia="Arial" w:hAnsi="Arial"/>
          <w:sz w:val="20"/>
          <w:szCs w:val="20"/>
          <w:color w:val="auto"/>
        </w:rPr>
        <w:t>So long as the Facility Termination Date has not occurred, the Company shall not, nor shall it permit any Restricted Subsidiary to, directly or indirectly:</w:t>
      </w:r>
    </w:p>
    <w:p>
      <w:pPr>
        <w:spacing w:after="0" w:line="190" w:lineRule="exact"/>
        <w:rPr>
          <w:sz w:val="20"/>
          <w:szCs w:val="20"/>
          <w:color w:val="auto"/>
        </w:rPr>
      </w:pPr>
    </w:p>
    <w:p>
      <w:pPr>
        <w:jc w:val="both"/>
        <w:ind w:left="100" w:right="20" w:firstLine="749"/>
        <w:spacing w:after="0" w:line="246" w:lineRule="auto"/>
        <w:rPr>
          <w:sz w:val="20"/>
          <w:szCs w:val="20"/>
          <w:color w:val="auto"/>
        </w:rPr>
      </w:pPr>
      <w:r>
        <w:rPr>
          <w:rFonts w:ascii="Arial" w:cs="Arial" w:eastAsia="Arial" w:hAnsi="Arial"/>
          <w:sz w:val="20"/>
          <w:szCs w:val="20"/>
          <w:color w:val="auto"/>
        </w:rPr>
        <w:t>1.1 Liens. Create, incur, assume or suffer to exist any Lien upon any of its property, assets or revenues, whether now owned or hereafter acquired, other than the following:</w:t>
      </w:r>
    </w:p>
    <w:p>
      <w:pPr>
        <w:spacing w:after="0" w:line="190" w:lineRule="exact"/>
        <w:rPr>
          <w:sz w:val="20"/>
          <w:szCs w:val="20"/>
          <w:color w:val="auto"/>
        </w:rPr>
      </w:pPr>
    </w:p>
    <w:p>
      <w:pPr>
        <w:ind w:left="1780" w:hanging="752"/>
        <w:spacing w:after="0"/>
        <w:tabs>
          <w:tab w:leader="none" w:pos="178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02" w:lineRule="exact"/>
        <w:rPr>
          <w:rFonts w:ascii="Arial" w:cs="Arial" w:eastAsia="Arial" w:hAnsi="Arial"/>
          <w:sz w:val="20"/>
          <w:szCs w:val="20"/>
          <w:color w:val="auto"/>
        </w:rPr>
      </w:pPr>
    </w:p>
    <w:p>
      <w:pPr>
        <w:ind w:left="1760" w:hanging="732"/>
        <w:spacing w:after="0"/>
        <w:tabs>
          <w:tab w:leader="none" w:pos="17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and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25" w:lineRule="exact"/>
        <w:rPr>
          <w:rFonts w:ascii="Arial" w:cs="Arial" w:eastAsia="Arial" w:hAnsi="Arial"/>
          <w:sz w:val="18"/>
          <w:szCs w:val="18"/>
          <w:color w:val="auto"/>
        </w:rPr>
      </w:pPr>
    </w:p>
    <w:p>
      <w:pPr>
        <w:jc w:val="both"/>
        <w:ind w:left="280" w:hanging="1"/>
        <w:spacing w:after="0" w:line="231" w:lineRule="auto"/>
        <w:tabs>
          <w:tab w:leader="none" w:pos="521"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the property covered thereby is not changed, (ii) the amount secured or benefited thereby is not increased except as contemplated by </w:t>
      </w:r>
      <w:r>
        <w:rPr>
          <w:rFonts w:ascii="Arial" w:cs="Arial" w:eastAsia="Arial" w:hAnsi="Arial"/>
          <w:sz w:val="20"/>
          <w:szCs w:val="20"/>
          <w:u w:val="single" w:color="auto"/>
          <w:color w:val="auto"/>
        </w:rPr>
        <w:t>Section 7.03(b)</w:t>
      </w:r>
      <w:r>
        <w:rPr>
          <w:rFonts w:ascii="Arial" w:cs="Arial" w:eastAsia="Arial" w:hAnsi="Arial"/>
          <w:sz w:val="20"/>
          <w:szCs w:val="20"/>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20"/>
          <w:szCs w:val="20"/>
          <w:u w:val="single" w:color="auto"/>
          <w:color w:val="auto"/>
        </w:rPr>
        <w:t>Section 7.03(b)</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jc w:val="both"/>
        <w:ind w:left="280" w:firstLine="748"/>
        <w:spacing w:after="0" w:line="254" w:lineRule="auto"/>
        <w:tabs>
          <w:tab w:leader="none" w:pos="1769" w:val="left"/>
        </w:tabs>
        <w:numPr>
          <w:ilvl w:val="1"/>
          <w:numId w:val="226"/>
        </w:numPr>
        <w:rPr>
          <w:rFonts w:ascii="Arial" w:cs="Arial" w:eastAsia="Arial" w:hAnsi="Arial"/>
          <w:sz w:val="19"/>
          <w:szCs w:val="19"/>
          <w:color w:val="auto"/>
        </w:rPr>
      </w:pPr>
      <w:r>
        <w:rPr>
          <w:rFonts w:ascii="Arial" w:cs="Arial" w:eastAsia="Arial" w:hAnsi="Arial"/>
          <w:sz w:val="19"/>
          <w:szCs w:val="19"/>
          <w:color w:val="auto"/>
        </w:rPr>
        <w:t>Liens for taxes (i) not yet due or as to which the period of grace (not to exceed thirty (30) days), if any, related thereto has not expired or (ii) which are being contested in good faith and by appropriate proceedings diligently conducted, if adequate reserves with respect thereto are maintained on the books of the applicable Person in accordance with GAAP;</w:t>
      </w:r>
    </w:p>
    <w:p>
      <w:pPr>
        <w:spacing w:after="0" w:line="170" w:lineRule="exact"/>
        <w:rPr>
          <w:rFonts w:ascii="Arial" w:cs="Arial" w:eastAsia="Arial" w:hAnsi="Arial"/>
          <w:sz w:val="19"/>
          <w:szCs w:val="19"/>
          <w:color w:val="auto"/>
        </w:rPr>
      </w:pPr>
    </w:p>
    <w:p>
      <w:pPr>
        <w:jc w:val="both"/>
        <w:ind w:left="280" w:firstLine="748"/>
        <w:spacing w:after="0" w:line="234" w:lineRule="auto"/>
        <w:tabs>
          <w:tab w:leader="none" w:pos="1769" w:val="left"/>
        </w:tabs>
        <w:numPr>
          <w:ilvl w:val="1"/>
          <w:numId w:val="226"/>
        </w:numPr>
        <w:rPr>
          <w:rFonts w:ascii="Arial" w:cs="Arial" w:eastAsia="Arial" w:hAnsi="Arial"/>
          <w:sz w:val="20"/>
          <w:szCs w:val="20"/>
          <w:color w:val="auto"/>
        </w:rPr>
      </w:pPr>
      <w:r>
        <w:rPr>
          <w:rFonts w:ascii="Arial" w:cs="Arial" w:eastAsia="Arial" w:hAnsi="Arial"/>
          <w:sz w:val="20"/>
          <w:szCs w:val="20"/>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4" w:name="page235"/>
    <w:bookmarkEnd w:id="234"/>
    <w:p>
      <w:pPr>
        <w:ind w:left="280" w:right="20" w:firstLine="748"/>
        <w:spacing w:after="0" w:line="246" w:lineRule="auto"/>
        <w:tabs>
          <w:tab w:leader="none" w:pos="176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63" w:lineRule="exact"/>
        <w:rPr>
          <w:rFonts w:ascii="Arial" w:cs="Arial" w:eastAsia="Arial" w:hAnsi="Arial"/>
          <w:sz w:val="20"/>
          <w:szCs w:val="20"/>
          <w:color w:val="auto"/>
        </w:rPr>
      </w:pPr>
    </w:p>
    <w:p>
      <w:pPr>
        <w:ind w:left="280" w:firstLine="748"/>
        <w:spacing w:after="0" w:line="368" w:lineRule="auto"/>
        <w:tabs>
          <w:tab w:leader="none" w:pos="176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83" w:lineRule="exact"/>
        <w:rPr>
          <w:rFonts w:ascii="Arial" w:cs="Arial" w:eastAsia="Arial" w:hAnsi="Arial"/>
          <w:sz w:val="16"/>
          <w:szCs w:val="16"/>
          <w:color w:val="auto"/>
        </w:rPr>
      </w:pPr>
    </w:p>
    <w:p>
      <w:pPr>
        <w:jc w:val="both"/>
        <w:ind w:left="280" w:firstLine="748"/>
        <w:spacing w:after="0" w:line="237" w:lineRule="auto"/>
        <w:tabs>
          <w:tab w:leader="none" w:pos="176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2" w:lineRule="exact"/>
        <w:rPr>
          <w:rFonts w:ascii="Arial" w:cs="Arial" w:eastAsia="Arial" w:hAnsi="Arial"/>
          <w:sz w:val="20"/>
          <w:szCs w:val="20"/>
          <w:color w:val="auto"/>
        </w:rPr>
      </w:pPr>
    </w:p>
    <w:p>
      <w:pPr>
        <w:ind w:left="1760" w:hanging="732"/>
        <w:spacing w:after="0"/>
        <w:tabs>
          <w:tab w:leader="none" w:pos="176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Liens securing judgments for the payment of money not constituting an Event of Default under </w:t>
      </w:r>
      <w:r>
        <w:rPr>
          <w:rFonts w:ascii="Arial" w:cs="Arial" w:eastAsia="Arial" w:hAnsi="Arial"/>
          <w:sz w:val="19"/>
          <w:szCs w:val="19"/>
          <w:u w:val="single" w:color="auto"/>
          <w:color w:val="auto"/>
        </w:rPr>
        <w:t>Section 8.01(h)</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280" w:firstLine="748"/>
        <w:spacing w:after="0" w:line="232" w:lineRule="auto"/>
        <w:tabs>
          <w:tab w:leader="none" w:pos="176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7.03(e)</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7.03(f)</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do not at any time encumber any property other than the property financed by such Indebtedness and, in the case of Indebtedness assumed in connection with a Permitted Acquisition, the property subject thereto immediately prior to such Acquisition and (ii) the Indebtedness secured thereby does not exceed the cost or fair market value, whichever is lower, of the property being acquired on the date of acquisition;</w:t>
      </w:r>
    </w:p>
    <w:p>
      <w:pPr>
        <w:spacing w:after="0" w:line="184" w:lineRule="exact"/>
        <w:rPr>
          <w:rFonts w:ascii="Arial" w:cs="Arial" w:eastAsia="Arial" w:hAnsi="Arial"/>
          <w:sz w:val="20"/>
          <w:szCs w:val="20"/>
          <w:color w:val="auto"/>
        </w:rPr>
      </w:pPr>
    </w:p>
    <w:p>
      <w:pPr>
        <w:jc w:val="both"/>
        <w:ind w:left="280" w:firstLine="748"/>
        <w:spacing w:after="0" w:line="232" w:lineRule="auto"/>
        <w:tabs>
          <w:tab w:leader="none" w:pos="176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Liens, if any, in favor of a surety granted by the Company and/or its Restricted Subsidiaries arising by operation of law or under any indemnity agreement or surety agreement entered into in the ordinary course of business in connection with construction-related bid or performance bonds;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 does not at any time encumber any property other than the applicable bonded contractual obligation and the accounts receivable, material and equipment under such applicable bonded contractual obligation;</w:t>
      </w:r>
    </w:p>
    <w:p>
      <w:pPr>
        <w:spacing w:after="0" w:line="197" w:lineRule="exact"/>
        <w:rPr>
          <w:rFonts w:ascii="Arial" w:cs="Arial" w:eastAsia="Arial" w:hAnsi="Arial"/>
          <w:sz w:val="20"/>
          <w:szCs w:val="20"/>
          <w:color w:val="auto"/>
        </w:rPr>
      </w:pPr>
    </w:p>
    <w:p>
      <w:pPr>
        <w:jc w:val="both"/>
        <w:ind w:left="280" w:firstLine="748"/>
        <w:spacing w:after="0" w:line="237" w:lineRule="auto"/>
        <w:tabs>
          <w:tab w:leader="none" w:pos="176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Liens on cash collateral securing Indebtedness permitted under </w:t>
      </w:r>
      <w:r>
        <w:rPr>
          <w:rFonts w:ascii="Arial" w:cs="Arial" w:eastAsia="Arial" w:hAnsi="Arial"/>
          <w:sz w:val="20"/>
          <w:szCs w:val="20"/>
          <w:u w:val="single" w:color="auto"/>
          <w:color w:val="auto"/>
        </w:rPr>
        <w:t>Section 7.03(j)</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aggregate amount of obligations secured thereby shall not exceed $5,000,000 and (ii) the amount of cash collateral provided shall not exceed 110% of the face amount of the letter of credit or bank guarantee secured thereby;</w:t>
      </w:r>
    </w:p>
    <w:p>
      <w:pPr>
        <w:spacing w:after="0" w:line="182" w:lineRule="exact"/>
        <w:rPr>
          <w:rFonts w:ascii="Arial" w:cs="Arial" w:eastAsia="Arial" w:hAnsi="Arial"/>
          <w:sz w:val="20"/>
          <w:szCs w:val="20"/>
          <w:color w:val="auto"/>
        </w:rPr>
      </w:pPr>
    </w:p>
    <w:p>
      <w:pPr>
        <w:ind w:left="280" w:firstLine="748"/>
        <w:spacing w:after="0" w:line="246" w:lineRule="auto"/>
        <w:tabs>
          <w:tab w:leader="none" w:pos="1769"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Liens on accounts receivable (and related assets customarily included in such transactions) arising under a Qualified Supply Chain Finance Program permitted under </w:t>
      </w:r>
      <w:r>
        <w:rPr>
          <w:rFonts w:ascii="Arial" w:cs="Arial" w:eastAsia="Arial" w:hAnsi="Arial"/>
          <w:sz w:val="20"/>
          <w:szCs w:val="20"/>
          <w:u w:val="single" w:color="auto"/>
          <w:color w:val="auto"/>
        </w:rPr>
        <w:t>Section 7.05(f)(ii)</w:t>
      </w:r>
      <w:r>
        <w:rPr>
          <w:rFonts w:ascii="Arial" w:cs="Arial" w:eastAsia="Arial" w:hAnsi="Arial"/>
          <w:sz w:val="20"/>
          <w:szCs w:val="20"/>
          <w:color w:val="auto"/>
        </w:rPr>
        <w:t>; and</w:t>
      </w:r>
    </w:p>
    <w:p>
      <w:pPr>
        <w:spacing w:after="0" w:line="176" w:lineRule="exact"/>
        <w:rPr>
          <w:rFonts w:ascii="Arial" w:cs="Arial" w:eastAsia="Arial" w:hAnsi="Arial"/>
          <w:sz w:val="20"/>
          <w:szCs w:val="20"/>
          <w:color w:val="auto"/>
        </w:rPr>
      </w:pPr>
    </w:p>
    <w:p>
      <w:pPr>
        <w:ind w:left="1760" w:hanging="732"/>
        <w:spacing w:after="0"/>
        <w:tabs>
          <w:tab w:leader="none" w:pos="176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other Liens securing obligations, which do not exceed $10,000,000 at any time outstanding.</w:t>
      </w:r>
    </w:p>
    <w:p>
      <w:pPr>
        <w:spacing w:after="0" w:line="202"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Investments. Make or hold any Investments, except:</w:t>
      </w:r>
    </w:p>
    <w:p>
      <w:pPr>
        <w:spacing w:after="0" w:line="202" w:lineRule="exact"/>
        <w:rPr>
          <w:sz w:val="20"/>
          <w:szCs w:val="20"/>
          <w:color w:val="auto"/>
        </w:rPr>
      </w:pPr>
    </w:p>
    <w:p>
      <w:pPr>
        <w:ind w:left="1760" w:hanging="732"/>
        <w:spacing w:after="0"/>
        <w:tabs>
          <w:tab w:leader="none" w:pos="176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Investments held by the Company or such Restricted Subsidiary in the form of Cash Equivalents;</w:t>
      </w:r>
    </w:p>
    <w:p>
      <w:pPr>
        <w:spacing w:after="0" w:line="202" w:lineRule="exact"/>
        <w:rPr>
          <w:rFonts w:ascii="Arial" w:cs="Arial" w:eastAsia="Arial" w:hAnsi="Arial"/>
          <w:sz w:val="20"/>
          <w:szCs w:val="20"/>
          <w:color w:val="auto"/>
        </w:rPr>
      </w:pPr>
    </w:p>
    <w:p>
      <w:pPr>
        <w:ind w:left="280" w:firstLine="748"/>
        <w:spacing w:after="0" w:line="246" w:lineRule="auto"/>
        <w:tabs>
          <w:tab w:leader="none" w:pos="1769"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advances to officers, directors and employees of the Company and Restricted Subsidiaries in the ordinary course of business in an aggregate amount not to exceed $1,000,000 at any time outstanding;</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5" w:name="page236"/>
    <w:bookmarkEnd w:id="235"/>
    <w:p>
      <w:pPr>
        <w:ind w:left="1780" w:hanging="752"/>
        <w:spacing w:after="0"/>
        <w:tabs>
          <w:tab w:leader="none" w:pos="178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 Investments existing on the Closing Date in Subsidiaries existing on the Closing Date;</w:t>
      </w:r>
    </w:p>
    <w:p>
      <w:pPr>
        <w:spacing w:after="0" w:line="16" w:lineRule="exact"/>
        <w:rPr>
          <w:sz w:val="20"/>
          <w:szCs w:val="20"/>
          <w:color w:val="auto"/>
        </w:rPr>
      </w:pPr>
    </w:p>
    <w:p>
      <w:pPr>
        <w:jc w:val="both"/>
        <w:ind w:left="280"/>
        <w:spacing w:after="0" w:line="228" w:lineRule="auto"/>
        <w:rPr>
          <w:sz w:val="20"/>
          <w:szCs w:val="20"/>
          <w:color w:val="auto"/>
        </w:rPr>
      </w:pPr>
      <w:r>
        <w:rPr>
          <w:rFonts w:ascii="Arial" w:cs="Arial" w:eastAsia="Arial" w:hAnsi="Arial"/>
          <w:sz w:val="20"/>
          <w:szCs w:val="20"/>
          <w:color w:val="auto"/>
        </w:rPr>
        <w:t xml:space="preserve">(ii)Investments existing on the Closing Date (other than Investments in Subsidiaries existing on the Closing Date) and described on </w:t>
      </w:r>
      <w:r>
        <w:rPr>
          <w:rFonts w:ascii="Arial" w:cs="Arial" w:eastAsia="Arial" w:hAnsi="Arial"/>
          <w:sz w:val="20"/>
          <w:szCs w:val="20"/>
          <w:u w:val="single" w:color="auto"/>
          <w:color w:val="auto"/>
        </w:rPr>
        <w:t>Schedule 7.02</w:t>
      </w:r>
      <w:r>
        <w:rPr>
          <w:rFonts w:ascii="Arial" w:cs="Arial" w:eastAsia="Arial" w:hAnsi="Arial"/>
          <w:sz w:val="20"/>
          <w:szCs w:val="20"/>
          <w:color w:val="auto"/>
        </w:rPr>
        <w:t>; (iii) Investments made after the Closing Date by any Loan Party in any other Loan Party (limited, in the case of U.S. Loan Parties, to Investments in each other and in other Loan Parties that have Guaranteed the Obligations of the Company); (iv) Investments made after the Closing Date by any Restricted Subsidiary that is not a Loan Party in any other Restricted Subsidiary that is not a Loan Party; and (v) Investments made after the Closing Date by any Restricted Subsidiary that is not a Loan Party in any Loan Party;</w:t>
      </w:r>
    </w:p>
    <w:p>
      <w:pPr>
        <w:spacing w:after="0" w:line="185" w:lineRule="exact"/>
        <w:rPr>
          <w:sz w:val="20"/>
          <w:szCs w:val="20"/>
          <w:color w:val="auto"/>
        </w:rPr>
      </w:pPr>
    </w:p>
    <w:p>
      <w:pPr>
        <w:jc w:val="both"/>
        <w:ind w:left="280" w:firstLine="748"/>
        <w:spacing w:after="0" w:line="254" w:lineRule="auto"/>
        <w:tabs>
          <w:tab w:leader="none" w:pos="1769"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3" w:lineRule="exact"/>
        <w:rPr>
          <w:rFonts w:ascii="Arial" w:cs="Arial" w:eastAsia="Arial" w:hAnsi="Arial"/>
          <w:sz w:val="19"/>
          <w:szCs w:val="19"/>
          <w:color w:val="auto"/>
        </w:rPr>
      </w:pPr>
    </w:p>
    <w:p>
      <w:pPr>
        <w:ind w:left="1780" w:hanging="752"/>
        <w:spacing w:after="0"/>
        <w:tabs>
          <w:tab w:leader="none" w:pos="178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Guarantees permitted by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280" w:firstLine="748"/>
        <w:spacing w:after="0" w:line="243" w:lineRule="auto"/>
        <w:tabs>
          <w:tab w:leader="none" w:pos="1769" w:val="left"/>
        </w:tabs>
        <w:numPr>
          <w:ilvl w:val="0"/>
          <w:numId w:val="230"/>
        </w:numPr>
        <w:rPr>
          <w:rFonts w:ascii="Arial" w:cs="Arial" w:eastAsia="Arial" w:hAnsi="Arial"/>
          <w:sz w:val="19"/>
          <w:szCs w:val="19"/>
          <w:color w:val="auto"/>
        </w:rPr>
      </w:pPr>
      <w:r>
        <w:rPr>
          <w:rFonts w:ascii="Arial" w:cs="Arial" w:eastAsia="Arial" w:hAnsi="Arial"/>
          <w:sz w:val="19"/>
          <w:szCs w:val="19"/>
          <w:color w:val="auto"/>
        </w:rPr>
        <w:t xml:space="preserve">Investments by any Loan Party after the Amendment No. 2 Effective Date (i) in any Subsidiary that is either not a Loan Party or is a Loan Party that has not Guaranteed the Obligations of the Company or (ii) in joint ventures;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aggregate amount of all such Investments described in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when taken together with the aggregate amount of Investments made in the form of Permitted Acquisitions pursuant to </w:t>
      </w:r>
      <w:r>
        <w:rPr>
          <w:rFonts w:ascii="Arial" w:cs="Arial" w:eastAsia="Arial" w:hAnsi="Arial"/>
          <w:sz w:val="19"/>
          <w:szCs w:val="19"/>
          <w:u w:val="single" w:color="auto"/>
          <w:color w:val="auto"/>
        </w:rPr>
        <w:t>Section 7.02(g)(ii)</w:t>
      </w:r>
      <w:r>
        <w:rPr>
          <w:rFonts w:ascii="Arial" w:cs="Arial" w:eastAsia="Arial" w:hAnsi="Arial"/>
          <w:sz w:val="19"/>
          <w:szCs w:val="19"/>
          <w:color w:val="auto"/>
        </w:rPr>
        <w:t xml:space="preserve">, shall not at any time exceed the Investment Amount and (B) any Investments in the form of loans or advances made by any Loan Party pursuant to this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shall be evidenced by a demand note in form and substance reasonably satisfactory to the Administrative Agent and shall be pledged and delivered to the Administrative Agent pursuant to the Collateral Documents;</w:t>
      </w:r>
    </w:p>
    <w:p>
      <w:pPr>
        <w:spacing w:after="0" w:line="192" w:lineRule="exact"/>
        <w:rPr>
          <w:rFonts w:ascii="Arial" w:cs="Arial" w:eastAsia="Arial" w:hAnsi="Arial"/>
          <w:sz w:val="19"/>
          <w:szCs w:val="19"/>
          <w:color w:val="auto"/>
        </w:rPr>
      </w:pPr>
    </w:p>
    <w:p>
      <w:pPr>
        <w:ind w:left="1780" w:hanging="752"/>
        <w:spacing w:after="0"/>
        <w:tabs>
          <w:tab w:leader="none" w:pos="178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Investments by the Company or any Restricted Subsidiary in the form of:</w:t>
      </w:r>
    </w:p>
    <w:p>
      <w:pPr>
        <w:spacing w:after="0" w:line="202" w:lineRule="exact"/>
        <w:rPr>
          <w:rFonts w:ascii="Arial" w:cs="Arial" w:eastAsia="Arial" w:hAnsi="Arial"/>
          <w:sz w:val="20"/>
          <w:szCs w:val="20"/>
          <w:color w:val="auto"/>
        </w:rPr>
      </w:pPr>
    </w:p>
    <w:p>
      <w:pPr>
        <w:jc w:val="both"/>
        <w:ind w:left="840" w:firstLine="749"/>
        <w:spacing w:after="0" w:line="275" w:lineRule="auto"/>
        <w:tabs>
          <w:tab w:leader="none" w:pos="232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Permitted Acquisitions to the extent that any Person or property acquired in such Permitted Acquisition becomes a part of the Company or a Loan Party that has Guaranteed the Obligations of the Company or becomes a Subsidiary Guarantor which Guarantees the Obligations of the Company in the manner contemplated by </w:t>
      </w:r>
      <w:r>
        <w:rPr>
          <w:rFonts w:ascii="Arial" w:cs="Arial" w:eastAsia="Arial" w:hAnsi="Arial"/>
          <w:sz w:val="18"/>
          <w:szCs w:val="18"/>
          <w:u w:val="single" w:color="auto"/>
          <w:color w:val="auto"/>
        </w:rPr>
        <w:t>Section 6.12</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jc w:val="both"/>
        <w:ind w:left="840" w:firstLine="749"/>
        <w:spacing w:after="0" w:line="267" w:lineRule="auto"/>
        <w:tabs>
          <w:tab w:leader="none" w:pos="2329"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Permitted Acquisitions after the Amendment No. 2 Effective Date to the extent that any Person or property acquired in such Permitted Acquisition does not become a Loan Party that has Guaranteed the Obligations of the Company or a part of a Loan Party that has Guaranteed the Obligations of the Company in an aggregate amount, when taken together with the aggregate amount of Investments made pursuant to </w:t>
      </w:r>
      <w:r>
        <w:rPr>
          <w:rFonts w:ascii="Arial" w:cs="Arial" w:eastAsia="Arial" w:hAnsi="Arial"/>
          <w:sz w:val="18"/>
          <w:szCs w:val="18"/>
          <w:u w:val="single" w:color="auto"/>
          <w:color w:val="auto"/>
        </w:rPr>
        <w:t>Section 7.02(f)</w:t>
      </w:r>
      <w:r>
        <w:rPr>
          <w:rFonts w:ascii="Arial" w:cs="Arial" w:eastAsia="Arial" w:hAnsi="Arial"/>
          <w:sz w:val="18"/>
          <w:szCs w:val="18"/>
          <w:color w:val="auto"/>
        </w:rPr>
        <w:t>, not to exceed the Investment Amount;</w:t>
      </w:r>
    </w:p>
    <w:p>
      <w:pPr>
        <w:spacing w:after="0" w:line="158" w:lineRule="exact"/>
        <w:rPr>
          <w:rFonts w:ascii="Arial" w:cs="Arial" w:eastAsia="Arial" w:hAnsi="Arial"/>
          <w:sz w:val="18"/>
          <w:szCs w:val="18"/>
          <w:color w:val="auto"/>
        </w:rPr>
      </w:pPr>
    </w:p>
    <w:p>
      <w:pPr>
        <w:jc w:val="both"/>
        <w:ind w:left="280" w:firstLine="748"/>
        <w:spacing w:after="0" w:line="232" w:lineRule="auto"/>
        <w:tabs>
          <w:tab w:leader="none" w:pos="177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Investments of a Person or any of its Restricted Subsidiaries existing at the time such Person becomes a Restricted Subsidiary of the Company or at the time such Person merges or consolidates with the Company or any of its Restricted Subsidiaries, in either case, in connection with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Investments were not made by such Person in connection with, or in anticipation or contemplation of, such Person becoming a Restricted Subsidiary of the Company or such merger or consolidation;</w:t>
      </w:r>
    </w:p>
    <w:p>
      <w:pPr>
        <w:spacing w:after="0" w:line="184" w:lineRule="exact"/>
        <w:rPr>
          <w:rFonts w:ascii="Arial" w:cs="Arial" w:eastAsia="Arial" w:hAnsi="Arial"/>
          <w:sz w:val="20"/>
          <w:szCs w:val="20"/>
          <w:color w:val="auto"/>
        </w:rPr>
      </w:pPr>
    </w:p>
    <w:p>
      <w:pPr>
        <w:jc w:val="both"/>
        <w:ind w:left="280" w:firstLine="748"/>
        <w:spacing w:after="0" w:line="237" w:lineRule="auto"/>
        <w:tabs>
          <w:tab w:leader="none" w:pos="1769"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all Investments existing on the Amendment No. 2 Effective Date that were made pursuant to either of </w:t>
      </w:r>
      <w:r>
        <w:rPr>
          <w:rFonts w:ascii="Arial" w:cs="Arial" w:eastAsia="Arial" w:hAnsi="Arial"/>
          <w:sz w:val="20"/>
          <w:szCs w:val="20"/>
          <w:u w:val="single" w:color="auto"/>
          <w:color w:val="auto"/>
        </w:rPr>
        <w:t>Section 7.02(f)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(g)(ii)</w:t>
      </w:r>
      <w:r>
        <w:rPr>
          <w:rFonts w:ascii="Arial" w:cs="Arial" w:eastAsia="Arial" w:hAnsi="Arial"/>
          <w:sz w:val="20"/>
          <w:szCs w:val="20"/>
          <w:color w:val="auto"/>
        </w:rPr>
        <w:t>, in each case, to the extent permitted pursuant to the terms thereof as in effect immediately prior to the Amendment No. 2 Effective Date;</w:t>
      </w:r>
    </w:p>
    <w:p>
      <w:pPr>
        <w:spacing w:after="0" w:line="182" w:lineRule="exact"/>
        <w:rPr>
          <w:rFonts w:ascii="Arial" w:cs="Arial" w:eastAsia="Arial" w:hAnsi="Arial"/>
          <w:sz w:val="20"/>
          <w:szCs w:val="20"/>
          <w:color w:val="auto"/>
        </w:rPr>
      </w:pPr>
    </w:p>
    <w:p>
      <w:pPr>
        <w:ind w:left="1780" w:hanging="752"/>
        <w:spacing w:after="0"/>
        <w:tabs>
          <w:tab w:leader="none" w:pos="1780" w:val="left"/>
        </w:tabs>
        <w:numPr>
          <w:ilvl w:val="0"/>
          <w:numId w:val="230"/>
        </w:numPr>
        <w:rPr>
          <w:rFonts w:ascii="Arial" w:cs="Arial" w:eastAsia="Arial" w:hAnsi="Arial"/>
          <w:sz w:val="20"/>
          <w:szCs w:val="20"/>
          <w:color w:val="auto"/>
        </w:rPr>
      </w:pPr>
      <w:r>
        <w:rPr>
          <w:rFonts w:ascii="Arial" w:cs="Arial" w:eastAsia="Arial" w:hAnsi="Arial"/>
          <w:sz w:val="20"/>
          <w:szCs w:val="20"/>
          <w:color w:val="auto"/>
        </w:rPr>
        <w:t>the General Rubber Joint Venture Investment; and</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7" w:right="459" w:bottom="1440" w:gutter="0" w:footer="0" w:header="0"/>
        </w:sectPr>
      </w:pPr>
    </w:p>
    <w:bookmarkStart w:id="236" w:name="page237"/>
    <w:bookmarkEnd w:id="236"/>
    <w:p>
      <w:pPr>
        <w:jc w:val="both"/>
        <w:ind w:left="280" w:right="20" w:firstLine="748"/>
        <w:spacing w:after="0" w:line="237" w:lineRule="auto"/>
        <w:tabs>
          <w:tab w:leader="none" w:pos="1768"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other Investments so long as, after giving thereto, the amount of Investments made pursuant to this </w:t>
      </w:r>
      <w:r>
        <w:rPr>
          <w:rFonts w:ascii="Arial" w:cs="Arial" w:eastAsia="Arial" w:hAnsi="Arial"/>
          <w:sz w:val="20"/>
          <w:szCs w:val="20"/>
          <w:u w:val="single" w:color="auto"/>
          <w:color w:val="auto"/>
        </w:rPr>
        <w:t>clause (k)</w:t>
      </w:r>
      <w:r>
        <w:rPr>
          <w:rFonts w:ascii="Arial" w:cs="Arial" w:eastAsia="Arial" w:hAnsi="Arial"/>
          <w:sz w:val="20"/>
          <w:szCs w:val="20"/>
          <w:color w:val="auto"/>
        </w:rPr>
        <w:t xml:space="preserve"> in the fiscal quarter in which such Investment is made and in the three fiscal quarters immediately preceding such fiscal quarter, in the aggregate, does not exceed$5,000,000.</w:t>
      </w:r>
    </w:p>
    <w:p>
      <w:pPr>
        <w:spacing w:after="0" w:line="169"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6"/>
          <w:szCs w:val="16"/>
          <w:color w:val="auto"/>
        </w:rPr>
        <w:t>Indebtedness. Create, incur, assume or suffer to exist any Indebtedness, except:</w:t>
      </w:r>
    </w:p>
    <w:p>
      <w:pPr>
        <w:spacing w:after="0" w:line="202" w:lineRule="exact"/>
        <w:rPr>
          <w:sz w:val="20"/>
          <w:szCs w:val="20"/>
          <w:color w:val="auto"/>
        </w:rPr>
      </w:pPr>
    </w:p>
    <w:p>
      <w:pPr>
        <w:ind w:left="1780" w:hanging="752"/>
        <w:spacing w:after="0"/>
        <w:tabs>
          <w:tab w:leader="none" w:pos="178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215" w:lineRule="exact"/>
        <w:rPr>
          <w:rFonts w:ascii="Arial" w:cs="Arial" w:eastAsia="Arial" w:hAnsi="Arial"/>
          <w:sz w:val="20"/>
          <w:szCs w:val="20"/>
          <w:color w:val="auto"/>
        </w:rPr>
      </w:pPr>
    </w:p>
    <w:p>
      <w:pPr>
        <w:jc w:val="both"/>
        <w:ind w:left="280" w:firstLine="748"/>
        <w:spacing w:after="0" w:line="244" w:lineRule="auto"/>
        <w:tabs>
          <w:tab w:leader="none" w:pos="176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Indebtedness outstanding on the date hereof and listed on </w:t>
      </w:r>
      <w:r>
        <w:rPr>
          <w:rFonts w:ascii="Arial" w:cs="Arial" w:eastAsia="Arial" w:hAnsi="Arial"/>
          <w:sz w:val="19"/>
          <w:szCs w:val="19"/>
          <w:u w:val="single" w:color="auto"/>
          <w:color w:val="auto"/>
        </w:rPr>
        <w:t>Schedule 7.03</w:t>
      </w:r>
      <w:r>
        <w:rPr>
          <w:rFonts w:ascii="Arial" w:cs="Arial" w:eastAsia="Arial" w:hAnsi="Arial"/>
          <w:sz w:val="19"/>
          <w:szCs w:val="19"/>
          <w:color w:val="auto"/>
        </w:rPr>
        <w:t xml:space="preserve"> and any refinancings, refundings,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Indebtedness is not increased at the time of such refinancing, refunding, renewal or extension except by (i) an amount equal to a reasonable premium or other reasonable amount paid, and fees and expenses reasonably incurred, in connection with such refinancing, (ii) an amount equal to any existing commitments unutilized thereunder, and (iii) the amount of Indebtedness incurred pursuant to another subsection of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and allocated by the Company for such purpose in accordance with the final sentence of this </w:t>
      </w:r>
      <w:r>
        <w:rPr>
          <w:rFonts w:ascii="Arial" w:cs="Arial" w:eastAsia="Arial" w:hAnsi="Arial"/>
          <w:sz w:val="19"/>
          <w:szCs w:val="19"/>
          <w:u w:val="single" w:color="auto"/>
          <w:color w:val="auto"/>
        </w:rPr>
        <w:t>Section 7.03</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ind w:left="280" w:right="20" w:firstLine="748"/>
        <w:spacing w:after="0" w:line="233" w:lineRule="auto"/>
        <w:tabs>
          <w:tab w:leader="none" w:pos="1769" w:val="left"/>
        </w:tabs>
        <w:numPr>
          <w:ilvl w:val="0"/>
          <w:numId w:val="232"/>
        </w:numPr>
        <w:rPr>
          <w:rFonts w:ascii="Arial" w:cs="Arial" w:eastAsia="Arial" w:hAnsi="Arial"/>
          <w:sz w:val="20"/>
          <w:szCs w:val="20"/>
          <w:color w:val="auto"/>
        </w:rPr>
      </w:pPr>
      <w:r>
        <w:rPr>
          <w:rFonts w:ascii="Arial" w:cs="Arial" w:eastAsia="Arial" w:hAnsi="Arial"/>
          <w:sz w:val="20"/>
          <w:szCs w:val="20"/>
          <w:color w:val="auto"/>
        </w:rPr>
        <w:t>unsecured (i) Indebtedness of any U.S. Loan Party to another U.S. Loan Party and Guarantees of any U.S. Loan Party in respect of Indebtedness otherwise permitted hereunder of another</w:t>
      </w:r>
    </w:p>
    <w:p>
      <w:pPr>
        <w:spacing w:after="0" w:line="1" w:lineRule="exact"/>
        <w:rPr>
          <w:rFonts w:ascii="Arial" w:cs="Arial" w:eastAsia="Arial" w:hAnsi="Arial"/>
          <w:sz w:val="20"/>
          <w:szCs w:val="20"/>
          <w:color w:val="auto"/>
        </w:rPr>
      </w:pPr>
    </w:p>
    <w:p>
      <w:pPr>
        <w:jc w:val="both"/>
        <w:ind w:left="280"/>
        <w:spacing w:after="0"/>
        <w:rPr>
          <w:rFonts w:ascii="Arial" w:cs="Arial" w:eastAsia="Arial" w:hAnsi="Arial"/>
          <w:sz w:val="20"/>
          <w:szCs w:val="20"/>
          <w:color w:val="auto"/>
        </w:rPr>
      </w:pPr>
      <w:r>
        <w:rPr>
          <w:rFonts w:ascii="Arial" w:cs="Arial" w:eastAsia="Arial" w:hAnsi="Arial"/>
          <w:sz w:val="19"/>
          <w:szCs w:val="19"/>
          <w:color w:val="auto"/>
        </w:rPr>
        <w:t xml:space="preserve">U.S. Loan Party; (ii) Indebtedness of any Restricted Subsidiary that is not a Loan Party to another Restricted Subsidiary that is not a Loan Party and Guarantees of any Restricted Subsidiary that is not a Loan Party in respect of Indebtedness otherwise permitted hereunder of another Restricted Subsidiary that is not a Loan Party; (iii) Indebtedness of a Restricted Subsidiary that is either not a Loan Party or is a Loan Party that has not Guaranteed the Obligations of the Company to the Company or any wholly- owned Restricted Subsidiary that is a Loan Party to the extent such Indebtedness is permitted by </w:t>
      </w:r>
      <w:r>
        <w:rPr>
          <w:rFonts w:ascii="Arial" w:cs="Arial" w:eastAsia="Arial" w:hAnsi="Arial"/>
          <w:sz w:val="19"/>
          <w:szCs w:val="19"/>
          <w:u w:val="single" w:color="auto"/>
          <w:color w:val="auto"/>
        </w:rPr>
        <w:t>Section 7.02(f)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7.02(i)</w:t>
      </w:r>
      <w:r>
        <w:rPr>
          <w:rFonts w:ascii="Arial" w:cs="Arial" w:eastAsia="Arial" w:hAnsi="Arial"/>
          <w:sz w:val="19"/>
          <w:szCs w:val="19"/>
          <w:color w:val="auto"/>
        </w:rPr>
        <w:t>; and (iv) Indebtedness owed by any Loan Party to any Restricted Subsidiary that is not a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shall be subordinated to the Obligations in a manner reasonably satisfactory to the Administrative Agent);</w:t>
      </w:r>
    </w:p>
    <w:p>
      <w:pPr>
        <w:spacing w:after="0" w:line="182" w:lineRule="exact"/>
        <w:rPr>
          <w:rFonts w:ascii="Arial" w:cs="Arial" w:eastAsia="Arial" w:hAnsi="Arial"/>
          <w:sz w:val="20"/>
          <w:szCs w:val="20"/>
          <w:color w:val="auto"/>
        </w:rPr>
      </w:pPr>
    </w:p>
    <w:p>
      <w:pPr>
        <w:jc w:val="both"/>
        <w:ind w:left="280" w:firstLine="748"/>
        <w:spacing w:after="0" w:line="244" w:lineRule="auto"/>
        <w:tabs>
          <w:tab w:leader="none" w:pos="176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obligations (contingent or otherwise) of the Company or any Restricted Subsidiary existing or arising under any Swap Contract,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65" w:lineRule="exact"/>
        <w:rPr>
          <w:rFonts w:ascii="Arial" w:cs="Arial" w:eastAsia="Arial" w:hAnsi="Arial"/>
          <w:sz w:val="19"/>
          <w:szCs w:val="19"/>
          <w:color w:val="auto"/>
        </w:rPr>
      </w:pPr>
    </w:p>
    <w:p>
      <w:pPr>
        <w:jc w:val="both"/>
        <w:ind w:left="280" w:firstLine="748"/>
        <w:spacing w:after="0" w:line="243" w:lineRule="auto"/>
        <w:tabs>
          <w:tab w:leader="none" w:pos="176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Indebtedness in respect of capital leases, Synthetic Lease Obligations and purchase money obligations for fixed or capital assets within the limitations set forth in </w:t>
      </w:r>
      <w:r>
        <w:rPr>
          <w:rFonts w:ascii="Arial" w:cs="Arial" w:eastAsia="Arial" w:hAnsi="Arial"/>
          <w:sz w:val="19"/>
          <w:szCs w:val="19"/>
          <w:u w:val="single" w:color="auto"/>
          <w:color w:val="auto"/>
        </w:rPr>
        <w:t>Section 7.01(i)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amount of all such Indebtedness, at any one time outstanding, when added to the aggregate amount of all outstanding Indebtedness permitted under </w:t>
      </w:r>
      <w:r>
        <w:rPr>
          <w:rFonts w:ascii="Arial" w:cs="Arial" w:eastAsia="Arial" w:hAnsi="Arial"/>
          <w:sz w:val="19"/>
          <w:szCs w:val="19"/>
          <w:u w:val="single" w:color="auto"/>
          <w:color w:val="auto"/>
        </w:rPr>
        <w:t>Section 7.03(f)</w:t>
      </w:r>
      <w:r>
        <w:rPr>
          <w:rFonts w:ascii="Arial" w:cs="Arial" w:eastAsia="Arial" w:hAnsi="Arial"/>
          <w:sz w:val="19"/>
          <w:szCs w:val="19"/>
          <w:color w:val="auto"/>
        </w:rPr>
        <w:t xml:space="preserve"> below, shall not exceed $10,000,000;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up to $15,000,000 in the aggregate of Attributable Indebtedness from additional capital leases arising from sale-leaseback transactions may be incurred and carved out of the preceding combined $10,0000,000 limitation to the extent the Net Cash Proceeds therefrom are used substantially contemporaneously with the receipt thereof to prepay Term Loans outstanding hereunder pursuant to </w:t>
      </w:r>
      <w:r>
        <w:rPr>
          <w:rFonts w:ascii="Arial" w:cs="Arial" w:eastAsia="Arial" w:hAnsi="Arial"/>
          <w:sz w:val="19"/>
          <w:szCs w:val="19"/>
          <w:u w:val="single" w:color="auto"/>
          <w:color w:val="auto"/>
        </w:rPr>
        <w:t>Section 2.05(b)(i)</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jc w:val="both"/>
        <w:ind w:left="280" w:firstLine="748"/>
        <w:spacing w:after="0" w:line="237" w:lineRule="auto"/>
        <w:tabs>
          <w:tab w:leader="none" w:pos="1769" w:val="left"/>
        </w:tabs>
        <w:numPr>
          <w:ilvl w:val="0"/>
          <w:numId w:val="232"/>
        </w:numPr>
        <w:rPr>
          <w:rFonts w:ascii="Arial" w:cs="Arial" w:eastAsia="Arial" w:hAnsi="Arial"/>
          <w:sz w:val="20"/>
          <w:szCs w:val="20"/>
          <w:color w:val="auto"/>
        </w:rPr>
      </w:pPr>
      <w:r>
        <w:rPr>
          <w:rFonts w:ascii="Arial" w:cs="Arial" w:eastAsia="Arial" w:hAnsi="Arial"/>
          <w:sz w:val="20"/>
          <w:szCs w:val="20"/>
          <w:color w:val="auto"/>
        </w:rPr>
        <w:t xml:space="preserve">Indebtedness incurred in connection with Permitted Acquisitions (including existing Indebtedness of a Person acquired in connection with a Permitted Acquisition provided such Indebtedness was not incurred in anticipation of such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aggregate amount of</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7" w:name="page238"/>
    <w:bookmarkEnd w:id="237"/>
    <w:p>
      <w:pPr>
        <w:jc w:val="both"/>
        <w:ind w:left="280" w:right="20"/>
        <w:spacing w:after="0" w:line="237" w:lineRule="auto"/>
        <w:rPr>
          <w:sz w:val="20"/>
          <w:szCs w:val="20"/>
          <w:color w:val="auto"/>
        </w:rPr>
      </w:pPr>
      <w:r>
        <w:rPr>
          <w:rFonts w:ascii="Arial" w:cs="Arial" w:eastAsia="Arial" w:hAnsi="Arial"/>
          <w:sz w:val="20"/>
          <w:szCs w:val="20"/>
          <w:color w:val="auto"/>
        </w:rPr>
        <w:t xml:space="preserve">all such Indebtedness, at any one time outstanding, when added to the aggregate amount of all outstanding Indebtedness permitted under </w:t>
      </w:r>
      <w:r>
        <w:rPr>
          <w:rFonts w:ascii="Arial" w:cs="Arial" w:eastAsia="Arial" w:hAnsi="Arial"/>
          <w:sz w:val="20"/>
          <w:szCs w:val="20"/>
          <w:u w:val="single" w:color="auto"/>
          <w:color w:val="auto"/>
        </w:rPr>
        <w:t>Section 7.03(e)</w:t>
      </w:r>
      <w:r>
        <w:rPr>
          <w:rFonts w:ascii="Arial" w:cs="Arial" w:eastAsia="Arial" w:hAnsi="Arial"/>
          <w:sz w:val="20"/>
          <w:szCs w:val="20"/>
          <w:color w:val="auto"/>
        </w:rPr>
        <w:t xml:space="preserve"> above (excluding Attributable Indebtedness of the type described in the second proviso of </w:t>
      </w:r>
      <w:r>
        <w:rPr>
          <w:rFonts w:ascii="Arial" w:cs="Arial" w:eastAsia="Arial" w:hAnsi="Arial"/>
          <w:sz w:val="20"/>
          <w:szCs w:val="20"/>
          <w:u w:val="single" w:color="auto"/>
          <w:color w:val="auto"/>
        </w:rPr>
        <w:t>Section 7.03(e)</w:t>
      </w:r>
      <w:r>
        <w:rPr>
          <w:rFonts w:ascii="Arial" w:cs="Arial" w:eastAsia="Arial" w:hAnsi="Arial"/>
          <w:sz w:val="20"/>
          <w:szCs w:val="20"/>
          <w:color w:val="auto"/>
        </w:rPr>
        <w:t xml:space="preserve"> above), shall not exceed $10,000,000;</w:t>
      </w:r>
    </w:p>
    <w:p>
      <w:pPr>
        <w:spacing w:after="0" w:line="169" w:lineRule="exact"/>
        <w:rPr>
          <w:sz w:val="20"/>
          <w:szCs w:val="20"/>
          <w:color w:val="auto"/>
        </w:rPr>
      </w:pPr>
    </w:p>
    <w:p>
      <w:pPr>
        <w:ind w:left="280" w:right="20" w:firstLine="748"/>
        <w:spacing w:after="0" w:line="246" w:lineRule="auto"/>
        <w:tabs>
          <w:tab w:leader="none" w:pos="1769" w:val="left"/>
        </w:tabs>
        <w:numPr>
          <w:ilvl w:val="1"/>
          <w:numId w:val="233"/>
        </w:numPr>
        <w:rPr>
          <w:rFonts w:ascii="Arial" w:cs="Arial" w:eastAsia="Arial" w:hAnsi="Arial"/>
          <w:sz w:val="20"/>
          <w:szCs w:val="20"/>
          <w:color w:val="auto"/>
        </w:rPr>
      </w:pPr>
      <w:r>
        <w:rPr>
          <w:rFonts w:ascii="Arial" w:cs="Arial" w:eastAsia="Arial" w:hAnsi="Arial"/>
          <w:sz w:val="20"/>
          <w:szCs w:val="20"/>
          <w:color w:val="auto"/>
        </w:rPr>
        <w:t>“earn-out” and similar payments and obligations to make purchase price adjustments, indemnities and the like in connection with Acquisitions permitted hereby;</w:t>
      </w:r>
    </w:p>
    <w:p>
      <w:pPr>
        <w:spacing w:after="0" w:line="190" w:lineRule="exact"/>
        <w:rPr>
          <w:rFonts w:ascii="Arial" w:cs="Arial" w:eastAsia="Arial" w:hAnsi="Arial"/>
          <w:sz w:val="20"/>
          <w:szCs w:val="20"/>
          <w:color w:val="auto"/>
        </w:rPr>
      </w:pPr>
    </w:p>
    <w:p>
      <w:pPr>
        <w:ind w:left="280" w:firstLine="748"/>
        <w:spacing w:after="0" w:line="300" w:lineRule="auto"/>
        <w:tabs>
          <w:tab w:leader="none" w:pos="1769"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Indebtedness of Restricted Subsidiaries that are Foreign Subsidiaries and Guarantees by the Company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amount of all such Indebtedness, at any one time outstanding, shall not exceed $20,000,000;</w:t>
      </w:r>
    </w:p>
    <w:p>
      <w:pPr>
        <w:spacing w:after="0" w:line="117" w:lineRule="exact"/>
        <w:rPr>
          <w:rFonts w:ascii="Arial" w:cs="Arial" w:eastAsia="Arial" w:hAnsi="Arial"/>
          <w:sz w:val="18"/>
          <w:szCs w:val="18"/>
          <w:color w:val="auto"/>
        </w:rPr>
      </w:pPr>
    </w:p>
    <w:p>
      <w:pPr>
        <w:ind w:left="1780" w:hanging="752"/>
        <w:spacing w:after="0"/>
        <w:tabs>
          <w:tab w:leader="none" w:pos="178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Indebtedness in respect of Permitted Standalone Letters of Credit;</w:t>
      </w:r>
    </w:p>
    <w:p>
      <w:pPr>
        <w:spacing w:after="0" w:line="202" w:lineRule="exact"/>
        <w:rPr>
          <w:rFonts w:ascii="Arial" w:cs="Arial" w:eastAsia="Arial" w:hAnsi="Arial"/>
          <w:sz w:val="20"/>
          <w:szCs w:val="20"/>
          <w:color w:val="auto"/>
        </w:rPr>
      </w:pPr>
    </w:p>
    <w:p>
      <w:pPr>
        <w:jc w:val="both"/>
        <w:ind w:left="280" w:firstLine="748"/>
        <w:spacing w:after="0" w:line="237" w:lineRule="auto"/>
        <w:tabs>
          <w:tab w:leader="none" w:pos="1770" w:val="left"/>
        </w:tabs>
        <w:numPr>
          <w:ilvl w:val="1"/>
          <w:numId w:val="233"/>
        </w:numPr>
        <w:rPr>
          <w:rFonts w:ascii="Arial" w:cs="Arial" w:eastAsia="Arial" w:hAnsi="Arial"/>
          <w:sz w:val="20"/>
          <w:szCs w:val="20"/>
          <w:color w:val="auto"/>
        </w:rPr>
      </w:pPr>
      <w:r>
        <w:rPr>
          <w:rFonts w:ascii="Arial" w:cs="Arial" w:eastAsia="Arial" w:hAnsi="Arial"/>
          <w:sz w:val="20"/>
          <w:szCs w:val="20"/>
          <w:color w:val="auto"/>
        </w:rPr>
        <w:t xml:space="preserve">Indebtedness in respect of other letters of credit and bank guarantees supporting the operations in China or India of the Company or any of its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face amount of all such letters of credit and bank guarantees shall not exceed $5,000,000 at any time;</w:t>
      </w:r>
    </w:p>
    <w:p>
      <w:pPr>
        <w:spacing w:after="0" w:line="196" w:lineRule="exact"/>
        <w:rPr>
          <w:rFonts w:ascii="Arial" w:cs="Arial" w:eastAsia="Arial" w:hAnsi="Arial"/>
          <w:sz w:val="20"/>
          <w:szCs w:val="20"/>
          <w:color w:val="auto"/>
        </w:rPr>
      </w:pPr>
    </w:p>
    <w:p>
      <w:pPr>
        <w:ind w:left="280" w:right="20" w:firstLine="748"/>
        <w:spacing w:after="0" w:line="246" w:lineRule="auto"/>
        <w:tabs>
          <w:tab w:leader="none" w:pos="1769" w:val="left"/>
        </w:tabs>
        <w:numPr>
          <w:ilvl w:val="1"/>
          <w:numId w:val="233"/>
        </w:numPr>
        <w:rPr>
          <w:rFonts w:ascii="Arial" w:cs="Arial" w:eastAsia="Arial" w:hAnsi="Arial"/>
          <w:sz w:val="20"/>
          <w:szCs w:val="20"/>
          <w:color w:val="auto"/>
        </w:rPr>
      </w:pPr>
      <w:r>
        <w:rPr>
          <w:rFonts w:ascii="Arial" w:cs="Arial" w:eastAsia="Arial" w:hAnsi="Arial"/>
          <w:sz w:val="20"/>
          <w:szCs w:val="20"/>
          <w:color w:val="auto"/>
        </w:rPr>
        <w:t>Indebtedness under bid, performance or surety, appeal or similar bonds and completion guarantees, in each case incurred in the ordinary course of business;</w:t>
      </w:r>
    </w:p>
    <w:p>
      <w:pPr>
        <w:spacing w:after="0" w:line="176" w:lineRule="exact"/>
        <w:rPr>
          <w:rFonts w:ascii="Arial" w:cs="Arial" w:eastAsia="Arial" w:hAnsi="Arial"/>
          <w:sz w:val="20"/>
          <w:szCs w:val="20"/>
          <w:color w:val="auto"/>
        </w:rPr>
      </w:pPr>
    </w:p>
    <w:p>
      <w:pPr>
        <w:ind w:left="1760" w:hanging="732"/>
        <w:spacing w:after="0"/>
        <w:tabs>
          <w:tab w:leader="none" w:pos="176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Indebtedness incurred pursuant to a Qualified Supply Chain Finance Program permitted pursuant to </w:t>
      </w:r>
      <w:r>
        <w:rPr>
          <w:rFonts w:ascii="Arial" w:cs="Arial" w:eastAsia="Arial" w:hAnsi="Arial"/>
          <w:sz w:val="18"/>
          <w:szCs w:val="18"/>
          <w:u w:val="single" w:color="auto"/>
          <w:color w:val="auto"/>
        </w:rPr>
        <w:t>Section 7.05(f)</w:t>
      </w:r>
    </w:p>
    <w:p>
      <w:pPr>
        <w:spacing w:after="0" w:line="25" w:lineRule="exact"/>
        <w:rPr>
          <w:rFonts w:ascii="Arial" w:cs="Arial" w:eastAsia="Arial" w:hAnsi="Arial"/>
          <w:sz w:val="18"/>
          <w:szCs w:val="18"/>
          <w:color w:val="auto"/>
        </w:rPr>
      </w:pPr>
    </w:p>
    <w:p>
      <w:pPr>
        <w:ind w:left="280" w:hanging="1"/>
        <w:spacing w:after="0" w:line="234" w:lineRule="auto"/>
        <w:tabs>
          <w:tab w:leader="none" w:pos="571" w:val="left"/>
        </w:tabs>
        <w:numPr>
          <w:ilvl w:val="0"/>
          <w:numId w:val="234"/>
        </w:numPr>
        <w:rPr>
          <w:rFonts w:ascii="Arial" w:cs="Arial" w:eastAsia="Arial" w:hAnsi="Arial"/>
          <w:sz w:val="20"/>
          <w:szCs w:val="20"/>
          <w:u w:val="single" w:color="auto"/>
          <w:color w:val="auto"/>
        </w:rPr>
      </w:pPr>
      <w:r>
        <w:rPr>
          <w:rFonts w:ascii="Arial" w:cs="Arial" w:eastAsia="Arial" w:hAnsi="Arial"/>
          <w:sz w:val="20"/>
          <w:szCs w:val="20"/>
          <w:color w:val="auto"/>
        </w:rPr>
        <w:t>(solely to the extent the sales of accounts receivable under such Qualified Supply Chain Finance Program are intended to be “true sales” but include precautionary financing provisions); and</w:t>
      </w:r>
    </w:p>
    <w:p>
      <w:pPr>
        <w:spacing w:after="0" w:line="197" w:lineRule="exact"/>
        <w:rPr>
          <w:rFonts w:ascii="Arial" w:cs="Arial" w:eastAsia="Arial" w:hAnsi="Arial"/>
          <w:sz w:val="20"/>
          <w:szCs w:val="20"/>
          <w:u w:val="single" w:color="auto"/>
          <w:color w:val="auto"/>
        </w:rPr>
      </w:pPr>
    </w:p>
    <w:p>
      <w:pPr>
        <w:ind w:left="1760" w:hanging="732"/>
        <w:spacing w:after="0"/>
        <w:tabs>
          <w:tab w:leader="none" w:pos="1760" w:val="left"/>
        </w:tabs>
        <w:numPr>
          <w:ilvl w:val="1"/>
          <w:numId w:val="234"/>
        </w:numPr>
        <w:rPr>
          <w:rFonts w:ascii="Arial" w:cs="Arial" w:eastAsia="Arial" w:hAnsi="Arial"/>
          <w:sz w:val="20"/>
          <w:szCs w:val="20"/>
          <w:color w:val="auto"/>
        </w:rPr>
      </w:pPr>
      <w:r>
        <w:rPr>
          <w:rFonts w:ascii="Arial" w:cs="Arial" w:eastAsia="Arial" w:hAnsi="Arial"/>
          <w:sz w:val="20"/>
          <w:szCs w:val="20"/>
          <w:color w:val="auto"/>
        </w:rPr>
        <w:t>other Indebtedness in an aggregate principal amount not to exceed $10,000,000 at any time outstanding.</w:t>
      </w:r>
    </w:p>
    <w:p>
      <w:pPr>
        <w:spacing w:after="0" w:line="202" w:lineRule="exact"/>
        <w:rPr>
          <w:sz w:val="20"/>
          <w:szCs w:val="20"/>
          <w:color w:val="auto"/>
        </w:rPr>
      </w:pPr>
    </w:p>
    <w:p>
      <w:pPr>
        <w:jc w:val="both"/>
        <w:ind w:left="280" w:right="20"/>
        <w:spacing w:after="0" w:line="237" w:lineRule="auto"/>
        <w:rPr>
          <w:sz w:val="20"/>
          <w:szCs w:val="20"/>
          <w:color w:val="auto"/>
        </w:rPr>
      </w:pPr>
      <w:r>
        <w:rPr>
          <w:rFonts w:ascii="Arial" w:cs="Arial" w:eastAsia="Arial" w:hAnsi="Arial"/>
          <w:sz w:val="20"/>
          <w:szCs w:val="20"/>
          <w:color w:val="auto"/>
        </w:rPr>
        <w:t xml:space="preserve">To the extent that the creation, incurrence or assumption of any Indebtedness could be attributable to more than one subsection of this </w:t>
      </w:r>
      <w:r>
        <w:rPr>
          <w:rFonts w:ascii="Arial" w:cs="Arial" w:eastAsia="Arial" w:hAnsi="Arial"/>
          <w:sz w:val="20"/>
          <w:szCs w:val="20"/>
          <w:u w:val="single" w:color="auto"/>
          <w:color w:val="auto"/>
        </w:rPr>
        <w:t>Section 7.03</w:t>
      </w:r>
      <w:r>
        <w:rPr>
          <w:rFonts w:ascii="Arial" w:cs="Arial" w:eastAsia="Arial" w:hAnsi="Arial"/>
          <w:sz w:val="20"/>
          <w:szCs w:val="20"/>
          <w:color w:val="auto"/>
        </w:rPr>
        <w:t>, the Company may allocate such Indebtedness to any one or more of such subsections and in no event shall the same portion of Indebtedness be deemed to utilize or be attributable to more than one item.</w:t>
      </w:r>
    </w:p>
    <w:p>
      <w:pPr>
        <w:spacing w:after="0" w:line="183"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1.5 Fundamental Changes.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Delaware LLC Division), except that, so long as no Event of Default exists or would result therefrom:</w:t>
      </w:r>
    </w:p>
    <w:p>
      <w:pPr>
        <w:spacing w:after="0" w:line="197" w:lineRule="exact"/>
        <w:rPr>
          <w:sz w:val="20"/>
          <w:szCs w:val="20"/>
          <w:color w:val="auto"/>
        </w:rPr>
      </w:pPr>
    </w:p>
    <w:p>
      <w:pPr>
        <w:jc w:val="both"/>
        <w:ind w:left="280" w:firstLine="748"/>
        <w:spacing w:after="0" w:line="244" w:lineRule="auto"/>
        <w:tabs>
          <w:tab w:leader="none" w:pos="1769"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any Restricted Subsidiary may merge with (i)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be the continuing or surviving Person, or (ii) any one or more other Restricted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when any Restricted Subsidiary that is a Loan Party is merging with another Restricted Subsidiary that is not a Loan Party, the Restricted Subsidiary that is a Loan Party shall be the continuing or surviving Person and (ii) when any Restricted Subsidiary that is a Loan Party that has Guaranteed the Obligations of the Company is merging with another Restricted Subsidiary, the Restricted Subsidiary that is a Loan Party that has Guaranteed the Obligations of the Company shall be the continuing or surviving Person;</w:t>
      </w:r>
    </w:p>
    <w:p>
      <w:pPr>
        <w:spacing w:after="0" w:line="179" w:lineRule="exact"/>
        <w:rPr>
          <w:rFonts w:ascii="Arial" w:cs="Arial" w:eastAsia="Arial" w:hAnsi="Arial"/>
          <w:sz w:val="19"/>
          <w:szCs w:val="19"/>
          <w:color w:val="auto"/>
        </w:rPr>
      </w:pPr>
    </w:p>
    <w:p>
      <w:pPr>
        <w:jc w:val="both"/>
        <w:ind w:left="280" w:firstLine="748"/>
        <w:spacing w:after="0" w:line="234" w:lineRule="auto"/>
        <w:tabs>
          <w:tab w:leader="none" w:pos="1769" w:val="left"/>
        </w:tabs>
        <w:numPr>
          <w:ilvl w:val="0"/>
          <w:numId w:val="235"/>
        </w:numPr>
        <w:rPr>
          <w:rFonts w:ascii="Arial" w:cs="Arial" w:eastAsia="Arial" w:hAnsi="Arial"/>
          <w:sz w:val="20"/>
          <w:szCs w:val="20"/>
          <w:color w:val="auto"/>
        </w:rPr>
      </w:pPr>
      <w:r>
        <w:rPr>
          <w:rFonts w:ascii="Arial" w:cs="Arial" w:eastAsia="Arial" w:hAnsi="Arial"/>
          <w:sz w:val="20"/>
          <w:szCs w:val="20"/>
          <w:color w:val="auto"/>
        </w:rPr>
        <w:t xml:space="preserve">any Restricted Subsidiary may Dispose of all or substantially all of its assets (upon voluntary liquidation or otherwise) to the Company or to another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if the transferor in such a transaction is a Loan Party, then the transferee must either be the Company or another Loan Party and (ii) if the transferor of such property is a Loan Party that has Guaranteed the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8" w:name="page239"/>
    <w:bookmarkEnd w:id="238"/>
    <w:p>
      <w:pPr>
        <w:ind w:left="280" w:right="160"/>
        <w:spacing w:after="0" w:line="246" w:lineRule="auto"/>
        <w:rPr>
          <w:sz w:val="20"/>
          <w:szCs w:val="20"/>
          <w:color w:val="auto"/>
        </w:rPr>
      </w:pPr>
      <w:r>
        <w:rPr>
          <w:rFonts w:ascii="Arial" w:cs="Arial" w:eastAsia="Arial" w:hAnsi="Arial"/>
          <w:sz w:val="20"/>
          <w:szCs w:val="20"/>
          <w:color w:val="auto"/>
        </w:rPr>
        <w:t>Obligations of the Company, the transferee thereof must either be the Company or a Loan Party that has Guaranteed the Obligations of the Company; and</w:t>
      </w:r>
    </w:p>
    <w:p>
      <w:pPr>
        <w:spacing w:after="0" w:line="177" w:lineRule="exact"/>
        <w:rPr>
          <w:sz w:val="20"/>
          <w:szCs w:val="20"/>
          <w:color w:val="auto"/>
        </w:rPr>
      </w:pPr>
    </w:p>
    <w:p>
      <w:pPr>
        <w:jc w:val="both"/>
        <w:ind w:left="280" w:firstLine="748"/>
        <w:spacing w:after="0" w:line="267" w:lineRule="auto"/>
        <w:tabs>
          <w:tab w:leader="none" w:pos="177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 xml:space="preserve">in connection with any acquisition permitted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any Restricted Subsidiary may merge into or consolidate with any other Person or permit any other Person to merge into or consolidate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immediately after giving effect thereto (i) the Person surviving such merger shall be a wholly-owned Restricted Subsidiary and (ii) in the case of any such merger to which any Loan Party (other than the Company) is a party, such Loan Party is the surviving Person.</w:t>
      </w:r>
    </w:p>
    <w:p>
      <w:pPr>
        <w:spacing w:after="0" w:line="145"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8"/>
          <w:szCs w:val="18"/>
          <w:color w:val="auto"/>
        </w:rPr>
        <w:t>Dispositions. Make any Disposition, except:</w:t>
      </w:r>
    </w:p>
    <w:p>
      <w:pPr>
        <w:spacing w:after="0" w:line="216" w:lineRule="exact"/>
        <w:rPr>
          <w:sz w:val="20"/>
          <w:szCs w:val="20"/>
          <w:color w:val="auto"/>
        </w:rPr>
      </w:pPr>
    </w:p>
    <w:p>
      <w:pPr>
        <w:ind w:left="280" w:firstLine="748"/>
        <w:spacing w:after="0" w:line="272" w:lineRule="auto"/>
        <w:tabs>
          <w:tab w:leader="none" w:pos="1769" w:val="left"/>
        </w:tabs>
        <w:numPr>
          <w:ilvl w:val="1"/>
          <w:numId w:val="237"/>
        </w:numPr>
        <w:rPr>
          <w:rFonts w:ascii="Arial" w:cs="Arial" w:eastAsia="Arial" w:hAnsi="Arial"/>
          <w:sz w:val="19"/>
          <w:szCs w:val="19"/>
          <w:color w:val="auto"/>
        </w:rPr>
      </w:pPr>
      <w:r>
        <w:rPr>
          <w:rFonts w:ascii="Arial" w:cs="Arial" w:eastAsia="Arial" w:hAnsi="Arial"/>
          <w:sz w:val="19"/>
          <w:szCs w:val="19"/>
          <w:color w:val="auto"/>
        </w:rPr>
        <w:t>Dispositions of obsolete or worn out assets or assets no longer used or useful to the business in the reasonable business judgment of the Company, whether now owned or hereafter acquired, in the ordinary course of business;</w:t>
      </w:r>
    </w:p>
    <w:p>
      <w:pPr>
        <w:spacing w:after="0" w:line="152" w:lineRule="exact"/>
        <w:rPr>
          <w:rFonts w:ascii="Arial" w:cs="Arial" w:eastAsia="Arial" w:hAnsi="Arial"/>
          <w:sz w:val="19"/>
          <w:szCs w:val="19"/>
          <w:color w:val="auto"/>
        </w:rPr>
      </w:pPr>
    </w:p>
    <w:p>
      <w:pPr>
        <w:ind w:left="1780" w:hanging="752"/>
        <w:spacing w:after="0"/>
        <w:tabs>
          <w:tab w:leader="none" w:pos="1780" w:val="left"/>
        </w:tabs>
        <w:numPr>
          <w:ilvl w:val="1"/>
          <w:numId w:val="237"/>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215" w:lineRule="exact"/>
        <w:rPr>
          <w:rFonts w:ascii="Arial" w:cs="Arial" w:eastAsia="Arial" w:hAnsi="Arial"/>
          <w:sz w:val="20"/>
          <w:szCs w:val="20"/>
          <w:color w:val="auto"/>
        </w:rPr>
      </w:pPr>
    </w:p>
    <w:p>
      <w:pPr>
        <w:jc w:val="both"/>
        <w:ind w:left="280" w:right="20" w:firstLine="748"/>
        <w:spacing w:after="0" w:line="237" w:lineRule="auto"/>
        <w:tabs>
          <w:tab w:leader="none" w:pos="1769" w:val="left"/>
        </w:tabs>
        <w:numPr>
          <w:ilvl w:val="1"/>
          <w:numId w:val="237"/>
        </w:numPr>
        <w:rPr>
          <w:rFonts w:ascii="Arial" w:cs="Arial" w:eastAsia="Arial" w:hAnsi="Arial"/>
          <w:sz w:val="20"/>
          <w:szCs w:val="20"/>
          <w:color w:val="auto"/>
        </w:rPr>
      </w:pPr>
      <w:r>
        <w:rPr>
          <w:rFonts w:ascii="Arial" w:cs="Arial" w:eastAsia="Arial" w:hAnsi="Arial"/>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replacementproperty;</w:t>
      </w:r>
    </w:p>
    <w:p>
      <w:pPr>
        <w:spacing w:after="0" w:line="182" w:lineRule="exact"/>
        <w:rPr>
          <w:rFonts w:ascii="Arial" w:cs="Arial" w:eastAsia="Arial" w:hAnsi="Arial"/>
          <w:sz w:val="20"/>
          <w:szCs w:val="20"/>
          <w:color w:val="auto"/>
        </w:rPr>
      </w:pPr>
    </w:p>
    <w:p>
      <w:pPr>
        <w:jc w:val="both"/>
        <w:ind w:left="280" w:firstLine="748"/>
        <w:spacing w:after="0" w:line="292" w:lineRule="auto"/>
        <w:tabs>
          <w:tab w:leader="none" w:pos="177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 xml:space="preserve">Dispositions of property by any Restricted Subsidiary to the Company or to a wholly- owned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the transferor of such property is a Loan Party, the transferee thereof must either be the Company or a Loan Party and</w:t>
      </w:r>
    </w:p>
    <w:p>
      <w:pPr>
        <w:ind w:left="280" w:hanging="1"/>
        <w:spacing w:after="0" w:line="234" w:lineRule="auto"/>
        <w:tabs>
          <w:tab w:leader="none" w:pos="585" w:val="left"/>
        </w:tabs>
        <w:numPr>
          <w:ilvl w:val="0"/>
          <w:numId w:val="238"/>
        </w:numPr>
        <w:rPr>
          <w:rFonts w:ascii="Arial" w:cs="Arial" w:eastAsia="Arial" w:hAnsi="Arial"/>
          <w:sz w:val="20"/>
          <w:szCs w:val="20"/>
          <w:color w:val="auto"/>
        </w:rPr>
      </w:pPr>
      <w:r>
        <w:rPr>
          <w:rFonts w:ascii="Arial" w:cs="Arial" w:eastAsia="Arial" w:hAnsi="Arial"/>
          <w:sz w:val="20"/>
          <w:szCs w:val="20"/>
          <w:color w:val="auto"/>
        </w:rPr>
        <w:t>if the transferor of such property is a Loan Party that has Guaranteed the Obligations of the Company, the transferee thereof must either be the Company or a Loan Party that has Guaranteed the Obligations of the Company;</w:t>
      </w:r>
    </w:p>
    <w:p>
      <w:pPr>
        <w:spacing w:after="0" w:line="183" w:lineRule="exact"/>
        <w:rPr>
          <w:rFonts w:ascii="Arial" w:cs="Arial" w:eastAsia="Arial" w:hAnsi="Arial"/>
          <w:sz w:val="20"/>
          <w:szCs w:val="20"/>
          <w:color w:val="auto"/>
        </w:rPr>
      </w:pPr>
    </w:p>
    <w:p>
      <w:pPr>
        <w:ind w:left="1780" w:hanging="752"/>
        <w:spacing w:after="0"/>
        <w:tabs>
          <w:tab w:leader="none" w:pos="1780" w:val="left"/>
        </w:tabs>
        <w:numPr>
          <w:ilvl w:val="1"/>
          <w:numId w:val="238"/>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280" w:firstLine="748"/>
        <w:spacing w:after="0" w:line="246" w:lineRule="auto"/>
        <w:tabs>
          <w:tab w:leader="none" w:pos="1769" w:val="left"/>
        </w:tabs>
        <w:numPr>
          <w:ilvl w:val="1"/>
          <w:numId w:val="238"/>
        </w:numPr>
        <w:rPr>
          <w:rFonts w:ascii="Arial" w:cs="Arial" w:eastAsia="Arial" w:hAnsi="Arial"/>
          <w:sz w:val="19"/>
          <w:szCs w:val="19"/>
          <w:color w:val="auto"/>
        </w:rPr>
      </w:pPr>
      <w:r>
        <w:rPr>
          <w:rFonts w:ascii="Arial" w:cs="Arial" w:eastAsia="Arial" w:hAnsi="Arial"/>
          <w:sz w:val="19"/>
          <w:szCs w:val="19"/>
          <w:color w:val="auto"/>
        </w:rPr>
        <w:t xml:space="preserve">(i) Dispositions of accounts receivable that are at least 180 days past due or are owing from obligors that are the subject of proceedings of the types described in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and (ii) Dispositions of accounts receivable (and related assets customarily included in such transactions) in connection with a Qualified Supply Chain Finance Program;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the foregoing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the aggregate amount of accounts receivable sold, assigned, conveyed or otherwise transferred pursuant to the foregoing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not exceed $15,000,000 at any one timeoutstanding;</w:t>
      </w:r>
    </w:p>
    <w:p>
      <w:pPr>
        <w:spacing w:after="0" w:line="162" w:lineRule="exact"/>
        <w:rPr>
          <w:rFonts w:ascii="Arial" w:cs="Arial" w:eastAsia="Arial" w:hAnsi="Arial"/>
          <w:sz w:val="19"/>
          <w:szCs w:val="19"/>
          <w:color w:val="auto"/>
        </w:rPr>
      </w:pPr>
    </w:p>
    <w:p>
      <w:pPr>
        <w:jc w:val="both"/>
        <w:ind w:left="280" w:firstLine="748"/>
        <w:spacing w:after="0" w:line="254" w:lineRule="auto"/>
        <w:tabs>
          <w:tab w:leader="none" w:pos="1769" w:val="left"/>
        </w:tabs>
        <w:numPr>
          <w:ilvl w:val="1"/>
          <w:numId w:val="238"/>
        </w:numPr>
        <w:rPr>
          <w:rFonts w:ascii="Arial" w:cs="Arial" w:eastAsia="Arial" w:hAnsi="Arial"/>
          <w:sz w:val="19"/>
          <w:szCs w:val="19"/>
          <w:color w:val="auto"/>
        </w:rPr>
      </w:pPr>
      <w:r>
        <w:rPr>
          <w:rFonts w:ascii="Arial" w:cs="Arial" w:eastAsia="Arial" w:hAnsi="Arial"/>
          <w:sz w:val="19"/>
          <w:szCs w:val="19"/>
          <w:color w:val="auto"/>
        </w:rPr>
        <w:t xml:space="preserve">Dispositions of non-core assets acquired in a Permitted Acquisition by the Company or any of its Restricted Subsidiaries within 18 months of such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book value of all property Disposed of in reliance on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from the Closing Date through the Facility Termination Date shall not exceed $2,500,000; and</w:t>
      </w:r>
    </w:p>
    <w:p>
      <w:pPr>
        <w:spacing w:after="0" w:line="183" w:lineRule="exact"/>
        <w:rPr>
          <w:rFonts w:ascii="Arial" w:cs="Arial" w:eastAsia="Arial" w:hAnsi="Arial"/>
          <w:sz w:val="19"/>
          <w:szCs w:val="19"/>
          <w:color w:val="auto"/>
        </w:rPr>
      </w:pPr>
    </w:p>
    <w:p>
      <w:pPr>
        <w:jc w:val="both"/>
        <w:ind w:left="280" w:firstLine="748"/>
        <w:spacing w:after="0" w:line="229" w:lineRule="auto"/>
        <w:tabs>
          <w:tab w:leader="none" w:pos="1769" w:val="left"/>
        </w:tabs>
        <w:numPr>
          <w:ilvl w:val="1"/>
          <w:numId w:val="238"/>
        </w:numPr>
        <w:rPr>
          <w:rFonts w:ascii="Arial" w:cs="Arial" w:eastAsia="Arial" w:hAnsi="Arial"/>
          <w:sz w:val="20"/>
          <w:szCs w:val="20"/>
          <w:color w:val="auto"/>
        </w:rPr>
      </w:pPr>
      <w:r>
        <w:rPr>
          <w:rFonts w:ascii="Arial" w:cs="Arial" w:eastAsia="Arial" w:hAnsi="Arial"/>
          <w:sz w:val="20"/>
          <w:szCs w:val="20"/>
          <w:color w:val="auto"/>
        </w:rPr>
        <w:t xml:space="preserve">Dispositions by the Company and its Restricted Subsidiaries not otherwise permitted under this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at the time of such Disposition, no Event of Default shall exist or would result from such Disposition and (ii) the aggregate book value of all property Disposed of in reliance on this </w:t>
      </w:r>
      <w:r>
        <w:rPr>
          <w:rFonts w:ascii="Arial" w:cs="Arial" w:eastAsia="Arial" w:hAnsi="Arial"/>
          <w:sz w:val="20"/>
          <w:szCs w:val="20"/>
          <w:u w:val="single" w:color="auto"/>
          <w:color w:val="auto"/>
        </w:rPr>
        <w:t>clause (h)</w:t>
      </w:r>
      <w:r>
        <w:rPr>
          <w:rFonts w:ascii="Arial" w:cs="Arial" w:eastAsia="Arial" w:hAnsi="Arial"/>
          <w:sz w:val="20"/>
          <w:szCs w:val="20"/>
          <w:color w:val="auto"/>
        </w:rPr>
        <w:t xml:space="preserve"> from the Closing Date through the Facility Termination Date shall not exceed</w:t>
      </w:r>
    </w:p>
    <w:p>
      <w:pPr>
        <w:spacing w:after="0" w:line="2" w:lineRule="exact"/>
        <w:rPr>
          <w:rFonts w:ascii="Arial" w:cs="Arial" w:eastAsia="Arial" w:hAnsi="Arial"/>
          <w:sz w:val="20"/>
          <w:szCs w:val="20"/>
          <w:color w:val="auto"/>
        </w:rPr>
      </w:pPr>
    </w:p>
    <w:p>
      <w:pPr>
        <w:jc w:val="both"/>
        <w:ind w:left="280"/>
        <w:spacing w:after="0" w:line="231" w:lineRule="auto"/>
        <w:rPr>
          <w:rFonts w:ascii="Arial" w:cs="Arial" w:eastAsia="Arial" w:hAnsi="Arial"/>
          <w:sz w:val="20"/>
          <w:szCs w:val="20"/>
          <w:color w:val="auto"/>
        </w:rPr>
      </w:pPr>
      <w:r>
        <w:rPr>
          <w:rFonts w:ascii="Arial" w:cs="Arial" w:eastAsia="Arial" w:hAnsi="Arial"/>
          <w:sz w:val="20"/>
          <w:szCs w:val="20"/>
          <w:color w:val="auto"/>
        </w:rPr>
        <w:t xml:space="preserve">$35,000,000 (excluding from such limitation the book value of any property that is Disposed of in sale- leaseback transactions to the extent the Net Cash Proceeds therefrom are used substantially contemporaneously with the receipt thereof to prepay Term Loans outstanding hereunder pursuant to </w:t>
      </w:r>
      <w:r>
        <w:rPr>
          <w:rFonts w:ascii="Arial" w:cs="Arial" w:eastAsia="Arial" w:hAnsi="Arial"/>
          <w:sz w:val="20"/>
          <w:szCs w:val="20"/>
          <w:u w:val="single" w:color="auto"/>
          <w:color w:val="auto"/>
        </w:rPr>
        <w:t>Section 2.05(b)(i)</w:t>
      </w:r>
      <w:r>
        <w:rPr>
          <w:rFonts w:ascii="Arial" w:cs="Arial" w:eastAsia="Arial" w:hAnsi="Arial"/>
          <w:sz w:val="20"/>
          <w:szCs w:val="20"/>
          <w:color w:val="auto"/>
        </w:rPr>
        <w:t>);</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39" w:name="page240"/>
    <w:bookmarkEnd w:id="239"/>
    <w:p>
      <w:pPr>
        <w:ind w:left="100" w:right="20"/>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Disposition pursuant to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(h)</w:t>
      </w:r>
      <w:r>
        <w:rPr>
          <w:rFonts w:ascii="Arial" w:cs="Arial" w:eastAsia="Arial" w:hAnsi="Arial"/>
          <w:sz w:val="20"/>
          <w:szCs w:val="20"/>
          <w:color w:val="auto"/>
        </w:rPr>
        <w:t xml:space="preserve"> above shall be for fair market value and, in the case of Dispositions pursuant to </w:t>
      </w:r>
      <w:r>
        <w:rPr>
          <w:rFonts w:ascii="Arial" w:cs="Arial" w:eastAsia="Arial" w:hAnsi="Arial"/>
          <w:sz w:val="20"/>
          <w:szCs w:val="20"/>
          <w:u w:val="single" w:color="auto"/>
          <w:color w:val="auto"/>
        </w:rPr>
        <w:t>clause (h)</w:t>
      </w:r>
      <w:r>
        <w:rPr>
          <w:rFonts w:ascii="Arial" w:cs="Arial" w:eastAsia="Arial" w:hAnsi="Arial"/>
          <w:sz w:val="20"/>
          <w:szCs w:val="20"/>
          <w:color w:val="auto"/>
        </w:rPr>
        <w:t xml:space="preserve"> above, shall be for at least 75% cash consideration.</w:t>
      </w:r>
    </w:p>
    <w:p>
      <w:pPr>
        <w:spacing w:after="0" w:line="177" w:lineRule="exact"/>
        <w:rPr>
          <w:sz w:val="20"/>
          <w:szCs w:val="20"/>
          <w:color w:val="auto"/>
        </w:rPr>
      </w:pPr>
    </w:p>
    <w:p>
      <w:pPr>
        <w:ind w:left="100" w:firstLine="749"/>
        <w:spacing w:after="0" w:line="246" w:lineRule="auto"/>
        <w:rPr>
          <w:sz w:val="20"/>
          <w:szCs w:val="20"/>
          <w:color w:val="auto"/>
        </w:rPr>
      </w:pPr>
      <w:r>
        <w:rPr>
          <w:rFonts w:ascii="Arial" w:cs="Arial" w:eastAsia="Arial" w:hAnsi="Arial"/>
          <w:sz w:val="20"/>
          <w:szCs w:val="20"/>
          <w:color w:val="auto"/>
        </w:rPr>
        <w:t>1.6 Restricted Payments. Declare or make, directly or indirectly, any Restricted Payment, or incur any obligation (contingent or otherwise) to do so, except that:</w:t>
      </w:r>
    </w:p>
    <w:p>
      <w:pPr>
        <w:spacing w:after="0" w:line="190" w:lineRule="exact"/>
        <w:rPr>
          <w:sz w:val="20"/>
          <w:szCs w:val="20"/>
          <w:color w:val="auto"/>
        </w:rPr>
      </w:pPr>
    </w:p>
    <w:p>
      <w:pPr>
        <w:jc w:val="both"/>
        <w:ind w:left="280" w:firstLine="748"/>
        <w:spacing w:after="0" w:line="237" w:lineRule="auto"/>
        <w:tabs>
          <w:tab w:leader="none" w:pos="1769" w:val="left"/>
        </w:tabs>
        <w:numPr>
          <w:ilvl w:val="0"/>
          <w:numId w:val="239"/>
        </w:numPr>
        <w:rPr>
          <w:rFonts w:ascii="Arial" w:cs="Arial" w:eastAsia="Arial" w:hAnsi="Arial"/>
          <w:sz w:val="20"/>
          <w:szCs w:val="20"/>
          <w:color w:val="auto"/>
        </w:rPr>
      </w:pPr>
      <w:r>
        <w:rPr>
          <w:rFonts w:ascii="Arial" w:cs="Arial" w:eastAsia="Arial" w:hAnsi="Arial"/>
          <w:sz w:val="20"/>
          <w:szCs w:val="20"/>
          <w:color w:val="auto"/>
        </w:rPr>
        <w:t>each Restricted Subsidiary may make Restricted Payments to the Company, the Subsidiary Guarantors and any other Person that owns an Equity Interest in such Restricted Subsidiary, ratably according to their respective holdings of the type of Equity Interest in respect of which such Restricted Payment is being made;</w:t>
      </w:r>
    </w:p>
    <w:p>
      <w:pPr>
        <w:spacing w:after="0" w:line="182" w:lineRule="exact"/>
        <w:rPr>
          <w:rFonts w:ascii="Arial" w:cs="Arial" w:eastAsia="Arial" w:hAnsi="Arial"/>
          <w:sz w:val="20"/>
          <w:szCs w:val="20"/>
          <w:color w:val="auto"/>
        </w:rPr>
      </w:pPr>
    </w:p>
    <w:p>
      <w:pPr>
        <w:ind w:left="280" w:right="20" w:firstLine="748"/>
        <w:spacing w:after="0" w:line="246" w:lineRule="auto"/>
        <w:tabs>
          <w:tab w:leader="none" w:pos="1769"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Company and each Restricted Subsidiary may declare and make dividend payments or other distributions payable solely in the common stock or other common Equity Interests of such Person;</w:t>
      </w:r>
    </w:p>
    <w:p>
      <w:pPr>
        <w:spacing w:after="0" w:line="190" w:lineRule="exact"/>
        <w:rPr>
          <w:rFonts w:ascii="Arial" w:cs="Arial" w:eastAsia="Arial" w:hAnsi="Arial"/>
          <w:sz w:val="20"/>
          <w:szCs w:val="20"/>
          <w:color w:val="auto"/>
        </w:rPr>
      </w:pPr>
    </w:p>
    <w:p>
      <w:pPr>
        <w:jc w:val="both"/>
        <w:ind w:left="280" w:firstLine="748"/>
        <w:spacing w:after="0" w:line="237" w:lineRule="auto"/>
        <w:tabs>
          <w:tab w:leader="none" w:pos="1769" w:val="left"/>
        </w:tabs>
        <w:numPr>
          <w:ilvl w:val="0"/>
          <w:numId w:val="239"/>
        </w:numPr>
        <w:rPr>
          <w:rFonts w:ascii="Arial" w:cs="Arial" w:eastAsia="Arial" w:hAnsi="Arial"/>
          <w:sz w:val="20"/>
          <w:szCs w:val="20"/>
          <w:color w:val="auto"/>
        </w:rPr>
      </w:pPr>
      <w:r>
        <w:rPr>
          <w:rFonts w:ascii="Arial" w:cs="Arial" w:eastAsia="Arial" w:hAnsi="Arial"/>
          <w:sz w:val="20"/>
          <w:szCs w:val="20"/>
          <w:color w:val="auto"/>
        </w:rPr>
        <w:t>the Company and each Restricted Subsidiary may purchase, redeem or otherwise acquire common Equity Interests issued by it with the proceeds received from the substantially concurrent issue of new shares of its common stock or other common Equity Interests; and</w:t>
      </w:r>
    </w:p>
    <w:p>
      <w:pPr>
        <w:spacing w:after="0" w:line="182" w:lineRule="exact"/>
        <w:rPr>
          <w:rFonts w:ascii="Arial" w:cs="Arial" w:eastAsia="Arial" w:hAnsi="Arial"/>
          <w:sz w:val="20"/>
          <w:szCs w:val="20"/>
          <w:color w:val="auto"/>
        </w:rPr>
      </w:pPr>
    </w:p>
    <w:p>
      <w:pPr>
        <w:jc w:val="both"/>
        <w:ind w:left="280" w:firstLine="748"/>
        <w:spacing w:after="0" w:line="255" w:lineRule="auto"/>
        <w:tabs>
          <w:tab w:leader="none" w:pos="176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so long as no Event of Default exists or would result therefrom and after giving effect thereto the Company is in pro forma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(calculated as of the last day of the four fiscal quarter period most recently ended for which financial information is available, but, in the case of the Consolidated Fixed Charge Coverage Ratio, ignoring all cash dividends, distributions and redemptions made during such period and instead assuming that the particular cash dividend, distribution or redemption and all other cash dividends, distributions and redemptions made pursuant to this clause (d) during the trailing 365-day period immediately preceding the day on which such cash dividend, distribution or redemption is proposed to be made were made on the last day of such four fiscal quarter period), the Company may declare and pay cash dividends and distributions to the holders of its Equity Interests or declare and make redemptions of its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7.06(d)</w:t>
      </w:r>
      <w:r>
        <w:rPr>
          <w:rFonts w:ascii="Arial" w:cs="Arial" w:eastAsia="Arial" w:hAnsi="Arial"/>
          <w:sz w:val="18"/>
          <w:szCs w:val="18"/>
          <w:color w:val="auto"/>
        </w:rPr>
        <w:t xml:space="preserve"> shall operate to prevent the making of a previously declared Restricted Payment by the Company so long as (i) at the declaration date, such Restricted Payment was permitted by the foregoing and (ii) such Restricted Payment is made within the earlier of (A) 60 days following such declaration date and (B) any date under applicable Law on which such Restricted Payment must be made.</w:t>
      </w:r>
    </w:p>
    <w:p>
      <w:pPr>
        <w:spacing w:after="0" w:line="186" w:lineRule="exact"/>
        <w:rPr>
          <w:sz w:val="20"/>
          <w:szCs w:val="20"/>
          <w:color w:val="auto"/>
        </w:rPr>
      </w:pPr>
    </w:p>
    <w:p>
      <w:pPr>
        <w:jc w:val="both"/>
        <w:ind w:left="100" w:firstLine="749"/>
        <w:spacing w:after="0" w:line="237" w:lineRule="auto"/>
        <w:rPr>
          <w:sz w:val="20"/>
          <w:szCs w:val="20"/>
          <w:color w:val="auto"/>
        </w:rPr>
      </w:pPr>
      <w:r>
        <w:rPr>
          <w:rFonts w:ascii="Arial" w:cs="Arial" w:eastAsia="Arial" w:hAnsi="Arial"/>
          <w:sz w:val="20"/>
          <w:szCs w:val="20"/>
          <w:color w:val="auto"/>
        </w:rPr>
        <w:t>1.7 Change in Nature of Business. Engage in any material line of business substantially different from those lines of business conducted by the Company and its Restricted Subsidiaries on the Amendment No. 2 Effective Date or any business substantially related or incidental thereto or reasonable extensions thereof.</w:t>
      </w:r>
    </w:p>
    <w:p>
      <w:pPr>
        <w:spacing w:after="0" w:line="183" w:lineRule="exact"/>
        <w:rPr>
          <w:sz w:val="20"/>
          <w:szCs w:val="20"/>
          <w:color w:val="auto"/>
        </w:rPr>
      </w:pPr>
    </w:p>
    <w:p>
      <w:pPr>
        <w:jc w:val="both"/>
        <w:ind w:left="100" w:firstLine="749"/>
        <w:spacing w:after="0" w:line="263" w:lineRule="auto"/>
        <w:rPr>
          <w:sz w:val="20"/>
          <w:szCs w:val="20"/>
          <w:color w:val="auto"/>
        </w:rPr>
      </w:pPr>
      <w:r>
        <w:rPr>
          <w:rFonts w:ascii="Arial" w:cs="Arial" w:eastAsia="Arial" w:hAnsi="Arial"/>
          <w:sz w:val="18"/>
          <w:szCs w:val="18"/>
          <w:color w:val="auto"/>
        </w:rPr>
        <w:t xml:space="preserve">1.8 Transactions with Affiliates. Enter into any transaction of any kind with any Affiliate of the Company, whether or not in the ordinary course 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 transactions between or among the Company and any Subsidiary Guarantor or Designated Borrower or between and among any Designated Borrowers or Subsidiary Guarantors.</w:t>
      </w:r>
    </w:p>
    <w:p>
      <w:pPr>
        <w:spacing w:after="0" w:line="175" w:lineRule="exact"/>
        <w:rPr>
          <w:sz w:val="20"/>
          <w:szCs w:val="20"/>
          <w:color w:val="auto"/>
        </w:rPr>
      </w:pPr>
    </w:p>
    <w:p>
      <w:pPr>
        <w:jc w:val="both"/>
        <w:ind w:left="100" w:right="20" w:firstLine="749"/>
        <w:spacing w:after="0" w:line="260" w:lineRule="auto"/>
        <w:rPr>
          <w:sz w:val="20"/>
          <w:szCs w:val="20"/>
          <w:color w:val="auto"/>
        </w:rPr>
      </w:pPr>
      <w:r>
        <w:rPr>
          <w:rFonts w:ascii="Arial" w:cs="Arial" w:eastAsia="Arial" w:hAnsi="Arial"/>
          <w:sz w:val="20"/>
          <w:szCs w:val="20"/>
          <w:color w:val="auto"/>
        </w:rPr>
        <w:t>1.9 Burdensome Agreements. Enter into or permit to exist any Contractual Obligation (other than this Agreement or any other Loan Document) that:</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0" w:name="page241"/>
    <w:bookmarkEnd w:id="240"/>
    <w:p>
      <w:pPr>
        <w:jc w:val="both"/>
        <w:ind w:left="280" w:firstLine="748"/>
        <w:spacing w:after="0" w:line="253" w:lineRule="auto"/>
        <w:tabs>
          <w:tab w:leader="none" w:pos="177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limits the ability (i) of any Restricted Subsidiary to make Restricted Payments to the Company or any Restricted Subsidiary or to otherwise transfer property to the Company or any Restricted Subsidiary that is not a Foreign Subsidiary, (ii) of any Restricted Subsidiary to Guarantee the Indebtedness of the Company or (iii) of the Company or any Restricted Subsidiary to create, incur, assume or suffer to exist Liens on property of such Person, in each case, other than (A) customary restrictions and conditions contained in agreements relating to the sale of all or a substantial part of the Equity Interests or assets of such Person pending such sale (provided such restrictions and conditions apply only to such Person pending such sale and such sale is permitted hereunder), (B) customary restrictions in purchase agreements related to a Disposition of property permitted hereunder that limit the transfer of such property pending the consummation of such Disposition, (C) customary restrictions and conditions imposed by any agreement relating to purchase money Indebtedness or capital leases permitted hereunder, but only to the extent such restrictions and conditions apply only to the assets secured pursuant to such Indebtedness or capital lease, (D) customary restrictions and conditions contained in leases and other contracts restricting the assignment thereof, (E) customary provisions in joint venture agreements and other similar agreements applicable to joint ventures permitted hereunder and applicable solely to such joint venture that are entered into in the ordinary course of business but not entered into in contemplation hereof, (F) restrictions or conditions on a Restricted Subsidiary existing prior to such Restricted Subsidiary becoming a Subsidiary of the Company, so long as such restriction or condition only applies to such Restricted Subsidiary and was not entered into in contemplation of such Person becoming a Subsidiary, (G) imposed by any agreement related to Indebtedness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to the extent such restrictions (1) in the Company’s reasonable judgment, are not more restrictive, taken as a whole, than the restrictions contained herein and (2) do not hinder the Loan Parties ability to satisfy their Obligations under the Loan Documents (including, without limitation, the requirements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and (H) restrictions on cash or other deposits imposed by customers under contracts entered into in the ordinary course of business; or</w:t>
      </w:r>
    </w:p>
    <w:p>
      <w:pPr>
        <w:spacing w:after="0" w:line="174" w:lineRule="exact"/>
        <w:rPr>
          <w:rFonts w:ascii="Arial" w:cs="Arial" w:eastAsia="Arial" w:hAnsi="Arial"/>
          <w:sz w:val="18"/>
          <w:szCs w:val="18"/>
          <w:color w:val="auto"/>
        </w:rPr>
      </w:pPr>
    </w:p>
    <w:p>
      <w:pPr>
        <w:ind w:left="1760" w:hanging="732"/>
        <w:spacing w:after="0"/>
        <w:tabs>
          <w:tab w:leader="none" w:pos="17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requires the grant of a Lien to secure an obligation of such Person if a Lien is granted to secure another obligation of</w:t>
      </w:r>
    </w:p>
    <w:p>
      <w:pPr>
        <w:spacing w:after="0" w:line="2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20"/>
          <w:szCs w:val="20"/>
          <w:color w:val="auto"/>
        </w:rPr>
        <w:t>such Person.</w:t>
      </w:r>
    </w:p>
    <w:p>
      <w:pPr>
        <w:spacing w:after="0" w:line="200"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color w:val="auto"/>
        </w:rPr>
        <w:t>Use of Proceeds.</w:t>
      </w:r>
    </w:p>
    <w:p>
      <w:pPr>
        <w:spacing w:after="0" w:line="202" w:lineRule="exact"/>
        <w:rPr>
          <w:sz w:val="20"/>
          <w:szCs w:val="20"/>
          <w:color w:val="auto"/>
        </w:rPr>
      </w:pPr>
    </w:p>
    <w:p>
      <w:pPr>
        <w:jc w:val="both"/>
        <w:ind w:left="280" w:firstLine="748"/>
        <w:spacing w:after="0" w:line="254" w:lineRule="auto"/>
        <w:tabs>
          <w:tab w:leader="none" w:pos="176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3" w:lineRule="exact"/>
        <w:rPr>
          <w:rFonts w:ascii="Arial" w:cs="Arial" w:eastAsia="Arial" w:hAnsi="Arial"/>
          <w:sz w:val="19"/>
          <w:szCs w:val="19"/>
          <w:color w:val="auto"/>
        </w:rPr>
      </w:pPr>
    </w:p>
    <w:p>
      <w:pPr>
        <w:jc w:val="both"/>
        <w:ind w:left="280" w:firstLine="748"/>
        <w:spacing w:after="0" w:line="246" w:lineRule="auto"/>
        <w:tabs>
          <w:tab w:leader="none" w:pos="176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Directly or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 the Administrative Agent, the L/C Issuers, the Swing Line Lender, or otherwise) of Sanctions.</w:t>
      </w:r>
    </w:p>
    <w:p>
      <w:pPr>
        <w:spacing w:after="0" w:line="176" w:lineRule="exact"/>
        <w:rPr>
          <w:rFonts w:ascii="Arial" w:cs="Arial" w:eastAsia="Arial" w:hAnsi="Arial"/>
          <w:sz w:val="19"/>
          <w:szCs w:val="19"/>
          <w:color w:val="auto"/>
        </w:rPr>
      </w:pPr>
    </w:p>
    <w:p>
      <w:pPr>
        <w:ind w:left="280" w:right="20" w:firstLine="748"/>
        <w:spacing w:after="0" w:line="300" w:lineRule="auto"/>
        <w:tabs>
          <w:tab w:leader="none" w:pos="176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Directly or indirectly use the proceeds of any Credit Extension for any purpose which would breach the United States Foreign Corrupt Practices Act of 1977, the UK Bribery Act 2010, and other similar anti-corruption legislation in other jurisdictions.</w:t>
      </w:r>
    </w:p>
    <w:p>
      <w:pPr>
        <w:spacing w:after="0" w:line="144"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color w:val="auto"/>
        </w:rPr>
        <w:t>Financial Covenants.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1" w:name="page242"/>
    <w:bookmarkEnd w:id="241"/>
    <w:p>
      <w:pPr>
        <w:ind w:left="280" w:right="20" w:firstLine="748"/>
        <w:spacing w:after="0" w:line="246" w:lineRule="auto"/>
        <w:tabs>
          <w:tab w:leader="none" w:pos="1769" w:val="left"/>
        </w:tabs>
        <w:numPr>
          <w:ilvl w:val="0"/>
          <w:numId w:val="242"/>
        </w:numPr>
        <w:rPr>
          <w:rFonts w:ascii="Arial" w:cs="Arial" w:eastAsia="Arial" w:hAnsi="Arial"/>
          <w:sz w:val="20"/>
          <w:szCs w:val="20"/>
          <w:color w:val="auto"/>
        </w:rPr>
      </w:pP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Permit the Consolidated Fixed Charge Coverage Ratio as of the last day of any fiscal quarter of the Company to be less than 1.25 to 1.00.</w:t>
      </w:r>
    </w:p>
    <w:p>
      <w:pPr>
        <w:spacing w:after="0" w:line="176" w:lineRule="exact"/>
        <w:rPr>
          <w:rFonts w:ascii="Arial" w:cs="Arial" w:eastAsia="Arial" w:hAnsi="Arial"/>
          <w:sz w:val="20"/>
          <w:szCs w:val="20"/>
          <w:color w:val="auto"/>
        </w:rPr>
      </w:pPr>
    </w:p>
    <w:p>
      <w:pPr>
        <w:ind w:left="280" w:firstLine="748"/>
        <w:spacing w:after="0" w:line="272" w:lineRule="auto"/>
        <w:tabs>
          <w:tab w:leader="none" w:pos="1769"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Consolidated Net Leverage Ratio</w:t>
      </w:r>
      <w:r>
        <w:rPr>
          <w:rFonts w:ascii="Arial" w:cs="Arial" w:eastAsia="Arial" w:hAnsi="Arial"/>
          <w:sz w:val="19"/>
          <w:szCs w:val="19"/>
          <w:color w:val="auto"/>
        </w:rPr>
        <w:t>. Permit the Consolidated Net Leverage Ratio as of the last day of any fiscal quarter of the Company during any period set forth below to be greater than the ratio set forth below opposite such period:</w:t>
      </w:r>
    </w:p>
    <w:p>
      <w:pPr>
        <w:spacing w:after="0" w:line="160" w:lineRule="exact"/>
        <w:rPr>
          <w:sz w:val="20"/>
          <w:szCs w:val="20"/>
          <w:color w:val="auto"/>
        </w:rPr>
      </w:pPr>
    </w:p>
    <w:tbl>
      <w:tblPr>
        <w:tblLayout w:type="fixed"/>
        <w:tblInd w:w="280" w:type="dxa"/>
        <w:tblCellMar>
          <w:top w:w="0" w:type="dxa"/>
          <w:left w:w="0" w:type="dxa"/>
          <w:bottom w:w="0" w:type="dxa"/>
          <w:right w:w="0" w:type="dxa"/>
        </w:tblCellMar>
      </w:tblPr>
      <w:tr>
        <w:trPr>
          <w:trHeight w:val="345"/>
        </w:trPr>
        <w:tc>
          <w:tcPr>
            <w:tcW w:w="340" w:type="dxa"/>
            <w:vAlign w:val="bottom"/>
            <w:tcBorders>
              <w:right w:val="single" w:sz="8" w:color="auto"/>
            </w:tcBorders>
          </w:tcPr>
          <w:p>
            <w:pPr>
              <w:spacing w:after="0"/>
              <w:rPr>
                <w:sz w:val="24"/>
                <w:szCs w:val="24"/>
                <w:color w:val="auto"/>
              </w:rPr>
            </w:pPr>
          </w:p>
        </w:tc>
        <w:tc>
          <w:tcPr>
            <w:tcW w:w="5440" w:type="dxa"/>
            <w:vAlign w:val="bottom"/>
            <w:tcBorders>
              <w:top w:val="single" w:sz="8" w:color="auto"/>
            </w:tcBorders>
            <w:gridSpan w:val="2"/>
            <w:shd w:val="clear" w:color="auto" w:fill="BEBEBE"/>
          </w:tcPr>
          <w:p>
            <w:pPr>
              <w:jc w:val="center"/>
              <w:ind w:left="221"/>
              <w:spacing w:after="0"/>
              <w:rPr>
                <w:sz w:val="20"/>
                <w:szCs w:val="20"/>
                <w:color w:val="auto"/>
              </w:rPr>
            </w:pPr>
            <w:r>
              <w:rPr>
                <w:rFonts w:ascii="Arial" w:cs="Arial" w:eastAsia="Arial" w:hAnsi="Arial"/>
                <w:sz w:val="20"/>
                <w:szCs w:val="20"/>
                <w:color w:val="auto"/>
                <w:w w:val="89"/>
              </w:rPr>
              <w:t>Period</w:t>
            </w:r>
          </w:p>
        </w:tc>
        <w:tc>
          <w:tcPr>
            <w:tcW w:w="420" w:type="dxa"/>
            <w:vAlign w:val="bottom"/>
            <w:tcBorders>
              <w:top w:val="single" w:sz="8" w:color="auto"/>
              <w:right w:val="single" w:sz="8" w:color="auto"/>
            </w:tcBorders>
            <w:shd w:val="clear" w:color="auto" w:fill="BEBEBE"/>
          </w:tcPr>
          <w:p>
            <w:pPr>
              <w:spacing w:after="0"/>
              <w:rPr>
                <w:sz w:val="24"/>
                <w:szCs w:val="24"/>
                <w:color w:val="auto"/>
              </w:rPr>
            </w:pPr>
          </w:p>
        </w:tc>
        <w:tc>
          <w:tcPr>
            <w:tcW w:w="20" w:type="dxa"/>
            <w:vAlign w:val="bottom"/>
            <w:tcBorders>
              <w:top w:val="single" w:sz="8" w:color="auto"/>
            </w:tcBorders>
            <w:shd w:val="clear" w:color="auto" w:fill="BEBEBE"/>
          </w:tcPr>
          <w:p>
            <w:pPr>
              <w:spacing w:after="0"/>
              <w:rPr>
                <w:sz w:val="24"/>
                <w:szCs w:val="24"/>
                <w:color w:val="auto"/>
              </w:rPr>
            </w:pPr>
          </w:p>
        </w:tc>
        <w:tc>
          <w:tcPr>
            <w:tcW w:w="3820" w:type="dxa"/>
            <w:vAlign w:val="bottom"/>
            <w:tcBorders>
              <w:top w:val="single" w:sz="8" w:color="auto"/>
              <w:right w:val="single" w:sz="8" w:color="auto"/>
            </w:tcBorders>
            <w:shd w:val="clear" w:color="auto" w:fill="BEBEBE"/>
          </w:tcPr>
          <w:p>
            <w:pPr>
              <w:ind w:left="560"/>
              <w:spacing w:after="0"/>
              <w:rPr>
                <w:sz w:val="20"/>
                <w:szCs w:val="20"/>
                <w:color w:val="auto"/>
              </w:rPr>
            </w:pPr>
            <w:r>
              <w:rPr>
                <w:rFonts w:ascii="Arial" w:cs="Arial" w:eastAsia="Arial" w:hAnsi="Arial"/>
                <w:sz w:val="20"/>
                <w:szCs w:val="20"/>
                <w:color w:val="auto"/>
              </w:rPr>
              <w:t>Consolidated Net Leverage Ratio</w:t>
            </w:r>
          </w:p>
        </w:tc>
      </w:tr>
      <w:tr>
        <w:trPr>
          <w:trHeight w:val="107"/>
        </w:trPr>
        <w:tc>
          <w:tcPr>
            <w:tcW w:w="340" w:type="dxa"/>
            <w:vAlign w:val="bottom"/>
            <w:tcBorders>
              <w:right w:val="single" w:sz="8" w:color="auto"/>
            </w:tcBorders>
          </w:tcPr>
          <w:p>
            <w:pPr>
              <w:spacing w:after="0"/>
              <w:rPr>
                <w:sz w:val="9"/>
                <w:szCs w:val="9"/>
                <w:color w:val="auto"/>
              </w:rPr>
            </w:pPr>
          </w:p>
        </w:tc>
        <w:tc>
          <w:tcPr>
            <w:tcW w:w="5440" w:type="dxa"/>
            <w:vAlign w:val="bottom"/>
            <w:tcBorders>
              <w:bottom w:val="single" w:sz="8" w:color="auto"/>
            </w:tcBorders>
            <w:gridSpan w:val="2"/>
            <w:shd w:val="clear" w:color="auto" w:fill="BEBEBE"/>
          </w:tcPr>
          <w:p>
            <w:pPr>
              <w:spacing w:after="0"/>
              <w:rPr>
                <w:sz w:val="9"/>
                <w:szCs w:val="9"/>
                <w:color w:val="auto"/>
              </w:rPr>
            </w:pPr>
          </w:p>
        </w:tc>
        <w:tc>
          <w:tcPr>
            <w:tcW w:w="420" w:type="dxa"/>
            <w:vAlign w:val="bottom"/>
            <w:tcBorders>
              <w:bottom w:val="single" w:sz="8" w:color="auto"/>
              <w:right w:val="single" w:sz="8" w:color="auto"/>
            </w:tcBorders>
            <w:shd w:val="clear" w:color="auto" w:fill="BEBEBE"/>
          </w:tcPr>
          <w:p>
            <w:pPr>
              <w:spacing w:after="0"/>
              <w:rPr>
                <w:sz w:val="9"/>
                <w:szCs w:val="9"/>
                <w:color w:val="auto"/>
              </w:rPr>
            </w:pPr>
          </w:p>
        </w:tc>
        <w:tc>
          <w:tcPr>
            <w:tcW w:w="20" w:type="dxa"/>
            <w:vAlign w:val="bottom"/>
            <w:tcBorders>
              <w:bottom w:val="single" w:sz="8" w:color="auto"/>
            </w:tcBorders>
            <w:shd w:val="clear" w:color="auto" w:fill="BEBEBE"/>
          </w:tcPr>
          <w:p>
            <w:pPr>
              <w:spacing w:after="0"/>
              <w:rPr>
                <w:sz w:val="9"/>
                <w:szCs w:val="9"/>
                <w:color w:val="auto"/>
              </w:rPr>
            </w:pPr>
          </w:p>
        </w:tc>
        <w:tc>
          <w:tcPr>
            <w:tcW w:w="3820" w:type="dxa"/>
            <w:vAlign w:val="bottom"/>
            <w:tcBorders>
              <w:bottom w:val="single" w:sz="8" w:color="auto"/>
              <w:right w:val="single" w:sz="8" w:color="auto"/>
            </w:tcBorders>
            <w:shd w:val="clear" w:color="auto" w:fill="BEBEBE"/>
          </w:tcPr>
          <w:p>
            <w:pPr>
              <w:spacing w:after="0"/>
              <w:rPr>
                <w:sz w:val="9"/>
                <w:szCs w:val="9"/>
                <w:color w:val="auto"/>
              </w:rPr>
            </w:pPr>
          </w:p>
        </w:tc>
      </w:tr>
      <w:tr>
        <w:trPr>
          <w:trHeight w:val="237"/>
        </w:trPr>
        <w:tc>
          <w:tcPr>
            <w:tcW w:w="340" w:type="dxa"/>
            <w:vAlign w:val="bottom"/>
            <w:tcBorders>
              <w:right w:val="single" w:sz="8" w:color="auto"/>
            </w:tcBorders>
          </w:tcPr>
          <w:p>
            <w:pPr>
              <w:spacing w:after="0"/>
              <w:rPr>
                <w:sz w:val="20"/>
                <w:szCs w:val="20"/>
                <w:color w:val="auto"/>
              </w:rPr>
            </w:pPr>
          </w:p>
        </w:tc>
        <w:tc>
          <w:tcPr>
            <w:tcW w:w="5440" w:type="dxa"/>
            <w:vAlign w:val="bottom"/>
            <w:gridSpan w:val="2"/>
          </w:tcPr>
          <w:p>
            <w:pPr>
              <w:jc w:val="center"/>
              <w:ind w:left="241"/>
              <w:spacing w:after="0"/>
              <w:rPr>
                <w:sz w:val="20"/>
                <w:szCs w:val="20"/>
                <w:color w:val="auto"/>
              </w:rPr>
            </w:pPr>
            <w:r>
              <w:rPr>
                <w:rFonts w:ascii="Arial" w:cs="Arial" w:eastAsia="Arial" w:hAnsi="Arial"/>
                <w:sz w:val="20"/>
                <w:szCs w:val="20"/>
                <w:color w:val="auto"/>
                <w:w w:val="88"/>
              </w:rPr>
              <w:t>September 30, 2021 through September 30, 2023</w:t>
            </w:r>
          </w:p>
        </w:tc>
        <w:tc>
          <w:tcPr>
            <w:tcW w:w="4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tcBorders>
              <w:right w:val="single" w:sz="8" w:color="auto"/>
            </w:tcBorders>
          </w:tcPr>
          <w:p>
            <w:pPr>
              <w:ind w:left="960"/>
              <w:spacing w:after="0"/>
              <w:rPr>
                <w:sz w:val="20"/>
                <w:szCs w:val="20"/>
                <w:color w:val="auto"/>
              </w:rPr>
            </w:pPr>
            <w:r>
              <w:rPr>
                <w:rFonts w:ascii="Arial" w:cs="Arial" w:eastAsia="Arial" w:hAnsi="Arial"/>
                <w:sz w:val="20"/>
                <w:szCs w:val="20"/>
                <w:color w:val="auto"/>
              </w:rPr>
              <w:t>3.75 to 1.00</w:t>
            </w:r>
          </w:p>
        </w:tc>
      </w:tr>
      <w:tr>
        <w:trPr>
          <w:trHeight w:val="23"/>
        </w:trPr>
        <w:tc>
          <w:tcPr>
            <w:tcW w:w="340" w:type="dxa"/>
            <w:vAlign w:val="bottom"/>
            <w:tcBorders>
              <w:right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268"/>
        </w:trPr>
        <w:tc>
          <w:tcPr>
            <w:tcW w:w="340" w:type="dxa"/>
            <w:vAlign w:val="bottom"/>
            <w:tcBorders>
              <w:right w:val="single" w:sz="8" w:color="auto"/>
            </w:tcBorders>
          </w:tcPr>
          <w:p>
            <w:pPr>
              <w:spacing w:after="0"/>
              <w:rPr>
                <w:sz w:val="23"/>
                <w:szCs w:val="23"/>
                <w:color w:val="auto"/>
              </w:rPr>
            </w:pPr>
          </w:p>
        </w:tc>
        <w:tc>
          <w:tcPr>
            <w:tcW w:w="2680" w:type="dxa"/>
            <w:vAlign w:val="bottom"/>
          </w:tcPr>
          <w:p>
            <w:pPr>
              <w:jc w:val="right"/>
              <w:spacing w:after="0"/>
              <w:rPr>
                <w:sz w:val="20"/>
                <w:szCs w:val="20"/>
                <w:color w:val="auto"/>
              </w:rPr>
            </w:pPr>
            <w:r>
              <w:rPr>
                <w:rFonts w:ascii="Arial" w:cs="Arial" w:eastAsia="Arial" w:hAnsi="Arial"/>
                <w:sz w:val="20"/>
                <w:szCs w:val="20"/>
                <w:color w:val="auto"/>
              </w:rPr>
              <w:t>December 31,</w:t>
            </w:r>
          </w:p>
        </w:tc>
        <w:tc>
          <w:tcPr>
            <w:tcW w:w="2760" w:type="dxa"/>
            <w:vAlign w:val="bottom"/>
          </w:tcPr>
          <w:p>
            <w:pPr>
              <w:ind w:left="20"/>
              <w:spacing w:after="0"/>
              <w:rPr>
                <w:sz w:val="20"/>
                <w:szCs w:val="20"/>
                <w:color w:val="auto"/>
              </w:rPr>
            </w:pPr>
            <w:r>
              <w:rPr>
                <w:rFonts w:ascii="Arial" w:cs="Arial" w:eastAsia="Arial" w:hAnsi="Arial"/>
                <w:sz w:val="20"/>
                <w:szCs w:val="20"/>
                <w:color w:val="auto"/>
              </w:rPr>
              <w:t>2023 and thereafter</w:t>
            </w:r>
          </w:p>
        </w:tc>
        <w:tc>
          <w:tcPr>
            <w:tcW w:w="4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3820" w:type="dxa"/>
            <w:vAlign w:val="bottom"/>
            <w:tcBorders>
              <w:right w:val="single" w:sz="8" w:color="auto"/>
            </w:tcBorders>
          </w:tcPr>
          <w:p>
            <w:pPr>
              <w:ind w:left="960"/>
              <w:spacing w:after="0"/>
              <w:rPr>
                <w:sz w:val="20"/>
                <w:szCs w:val="20"/>
                <w:color w:val="auto"/>
              </w:rPr>
            </w:pPr>
            <w:r>
              <w:rPr>
                <w:rFonts w:ascii="Arial" w:cs="Arial" w:eastAsia="Arial" w:hAnsi="Arial"/>
                <w:sz w:val="20"/>
                <w:szCs w:val="20"/>
                <w:color w:val="auto"/>
              </w:rPr>
              <w:t>3.50 to 1.00</w:t>
            </w:r>
          </w:p>
        </w:tc>
      </w:tr>
      <w:tr>
        <w:trPr>
          <w:trHeight w:val="37"/>
        </w:trPr>
        <w:tc>
          <w:tcPr>
            <w:tcW w:w="340" w:type="dxa"/>
            <w:vAlign w:val="bottom"/>
            <w:tcBorders>
              <w:right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3840" w:type="dxa"/>
            <w:vAlign w:val="bottom"/>
            <w:tcBorders>
              <w:bottom w:val="single" w:sz="8" w:color="auto"/>
              <w:right w:val="single" w:sz="8" w:color="auto"/>
            </w:tcBorders>
            <w:gridSpan w:val="2"/>
          </w:tcPr>
          <w:p>
            <w:pPr>
              <w:spacing w:after="0"/>
              <w:rPr>
                <w:sz w:val="3"/>
                <w:szCs w:val="3"/>
                <w:color w:val="auto"/>
              </w:rPr>
            </w:pPr>
          </w:p>
        </w:tc>
      </w:tr>
      <w:tr>
        <w:trPr>
          <w:trHeight w:val="411"/>
        </w:trPr>
        <w:tc>
          <w:tcPr>
            <w:tcW w:w="3020" w:type="dxa"/>
            <w:vAlign w:val="bottom"/>
            <w:gridSpan w:val="2"/>
          </w:tcPr>
          <w:p>
            <w:pPr>
              <w:jc w:val="right"/>
              <w:spacing w:after="0"/>
              <w:rPr>
                <w:sz w:val="20"/>
                <w:szCs w:val="20"/>
                <w:color w:val="auto"/>
              </w:rPr>
            </w:pPr>
            <w:r>
              <w:rPr>
                <w:rFonts w:ascii="Arial" w:cs="Arial" w:eastAsia="Arial" w:hAnsi="Arial"/>
                <w:sz w:val="20"/>
                <w:szCs w:val="20"/>
                <w:color w:val="auto"/>
                <w:w w:val="97"/>
              </w:rPr>
              <w:t>Notwithstanding the foregoing, if a</w:t>
            </w:r>
          </w:p>
        </w:tc>
        <w:tc>
          <w:tcPr>
            <w:tcW w:w="2760" w:type="dxa"/>
            <w:vAlign w:val="bottom"/>
          </w:tcPr>
          <w:p>
            <w:pPr>
              <w:ind w:left="60"/>
              <w:spacing w:after="0"/>
              <w:rPr>
                <w:sz w:val="20"/>
                <w:szCs w:val="20"/>
                <w:color w:val="auto"/>
              </w:rPr>
            </w:pPr>
            <w:r>
              <w:rPr>
                <w:rFonts w:ascii="Arial" w:cs="Arial" w:eastAsia="Arial" w:hAnsi="Arial"/>
                <w:sz w:val="20"/>
                <w:szCs w:val="20"/>
                <w:color w:val="auto"/>
                <w:w w:val="98"/>
              </w:rPr>
              <w:t>Permitted Acquisition involving</w:t>
            </w:r>
          </w:p>
        </w:tc>
        <w:tc>
          <w:tcPr>
            <w:tcW w:w="4260" w:type="dxa"/>
            <w:vAlign w:val="bottom"/>
            <w:gridSpan w:val="3"/>
          </w:tcPr>
          <w:p>
            <w:pPr>
              <w:ind w:left="40"/>
              <w:spacing w:after="0"/>
              <w:rPr>
                <w:sz w:val="20"/>
                <w:szCs w:val="20"/>
                <w:color w:val="auto"/>
              </w:rPr>
            </w:pPr>
            <w:r>
              <w:rPr>
                <w:rFonts w:ascii="Arial" w:cs="Arial" w:eastAsia="Arial" w:hAnsi="Arial"/>
                <w:sz w:val="20"/>
                <w:szCs w:val="20"/>
                <w:color w:val="auto"/>
              </w:rPr>
              <w:t>aggregate consideration   of</w:t>
            </w:r>
          </w:p>
        </w:tc>
      </w:tr>
    </w:tbl>
    <w:p>
      <w:pPr>
        <w:jc w:val="both"/>
        <w:ind w:left="280"/>
        <w:spacing w:after="0" w:line="254" w:lineRule="auto"/>
        <w:rPr>
          <w:sz w:val="20"/>
          <w:szCs w:val="20"/>
          <w:color w:val="auto"/>
        </w:rPr>
      </w:pPr>
      <w:r>
        <w:rPr>
          <w:rFonts w:ascii="Arial" w:cs="Arial" w:eastAsia="Arial" w:hAnsi="Arial"/>
          <w:sz w:val="18"/>
          <w:szCs w:val="18"/>
          <w:color w:val="auto"/>
        </w:rPr>
        <w:t xml:space="preserve">$15,000,000 or more is consummated during a fiscal quarter ending after the Closing Date, at the request of the Company (which shall be made on or prior to the date of consummation of such Permitted Acquisition), the maximum Consolidated Net Leverage Ratio permitted under this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at any time shall be increased by 0.50 to 1.00 (but in no event shall the maximum permitted Consolidated Net Leverage Ratio exceed 4.00 to 1.00) during such fiscal quarter and the subsequent three fiscal quarters (such four fiscal quarters, an “</w:t>
      </w:r>
      <w:r>
        <w:rPr>
          <w:rFonts w:ascii="Arial" w:cs="Arial" w:eastAsia="Arial" w:hAnsi="Arial"/>
          <w:sz w:val="18"/>
          <w:szCs w:val="18"/>
          <w:u w:val="single" w:color="auto"/>
          <w:color w:val="auto"/>
        </w:rPr>
        <w:t>Elevated Ratio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(i) there shall be at least two consecutive full fiscal quarters between Elevated Ratio Periods during which the Consolidated Net Leverage Ratio is not in excess of the otherwise maximum Consolidated Net Leverage Ratio permitted under this </w:t>
      </w:r>
      <w:r>
        <w:rPr>
          <w:rFonts w:ascii="Arial" w:cs="Arial" w:eastAsia="Arial" w:hAnsi="Arial"/>
          <w:sz w:val="18"/>
          <w:szCs w:val="18"/>
          <w:u w:val="single" w:color="auto"/>
          <w:color w:val="auto"/>
        </w:rPr>
        <w:t>Section 7.11(b)</w:t>
      </w:r>
      <w:r>
        <w:rPr>
          <w:rFonts w:ascii="Arial" w:cs="Arial" w:eastAsia="Arial" w:hAnsi="Arial"/>
          <w:sz w:val="18"/>
          <w:szCs w:val="18"/>
          <w:color w:val="auto"/>
        </w:rPr>
        <w:t xml:space="preserve"> as of the last day thereof and (ii) the Company may in its discretion, by written notice to the Administrative Agent, elect to end an Elevated Ratio Period early.</w:t>
      </w:r>
    </w:p>
    <w:p>
      <w:pPr>
        <w:spacing w:after="0" w:line="189" w:lineRule="exact"/>
        <w:rPr>
          <w:sz w:val="20"/>
          <w:szCs w:val="20"/>
          <w:color w:val="auto"/>
        </w:rPr>
      </w:pPr>
    </w:p>
    <w:p>
      <w:pPr>
        <w:ind w:left="100" w:firstLine="749"/>
        <w:spacing w:after="0" w:line="246" w:lineRule="auto"/>
        <w:rPr>
          <w:sz w:val="20"/>
          <w:szCs w:val="20"/>
          <w:color w:val="auto"/>
        </w:rPr>
      </w:pPr>
      <w:r>
        <w:rPr>
          <w:rFonts w:ascii="Arial" w:cs="Arial" w:eastAsia="Arial" w:hAnsi="Arial"/>
          <w:sz w:val="20"/>
          <w:szCs w:val="20"/>
          <w:color w:val="auto"/>
        </w:rPr>
        <w:t>1.13 Amendment or Modification of Organization Documents. Amend any of its Organization Documents in any manner that is material and adverse to the interests of any Secured Party.</w:t>
      </w:r>
    </w:p>
    <w:p>
      <w:pPr>
        <w:spacing w:after="0" w:line="177" w:lineRule="exact"/>
        <w:rPr>
          <w:sz w:val="20"/>
          <w:szCs w:val="20"/>
          <w:color w:val="auto"/>
        </w:rPr>
      </w:pPr>
    </w:p>
    <w:p>
      <w:pPr>
        <w:ind w:left="100" w:firstLine="749"/>
        <w:spacing w:after="0" w:line="272" w:lineRule="auto"/>
        <w:rPr>
          <w:sz w:val="20"/>
          <w:szCs w:val="20"/>
          <w:color w:val="auto"/>
        </w:rPr>
      </w:pPr>
      <w:r>
        <w:rPr>
          <w:rFonts w:ascii="Arial" w:cs="Arial" w:eastAsia="Arial" w:hAnsi="Arial"/>
          <w:sz w:val="19"/>
          <w:szCs w:val="19"/>
          <w:color w:val="auto"/>
        </w:rPr>
        <w:t>1.14 Accounting Changes. Make any material change in (a) accounting policies or reporting practices, except as required or permitted by GAAP, or (b) fiscal year, except that any Subsidiary can conform its fiscal year to that of the Company.</w:t>
      </w:r>
    </w:p>
    <w:p>
      <w:pPr>
        <w:spacing w:after="0" w:line="166" w:lineRule="exact"/>
        <w:rPr>
          <w:sz w:val="20"/>
          <w:szCs w:val="20"/>
          <w:color w:val="auto"/>
        </w:rPr>
      </w:pPr>
    </w:p>
    <w:p>
      <w:pPr>
        <w:ind w:left="100" w:right="20" w:firstLine="749"/>
        <w:spacing w:after="0" w:line="246" w:lineRule="auto"/>
        <w:rPr>
          <w:sz w:val="20"/>
          <w:szCs w:val="20"/>
          <w:color w:val="auto"/>
        </w:rPr>
      </w:pPr>
      <w:r>
        <w:rPr>
          <w:rFonts w:ascii="Arial" w:cs="Arial" w:eastAsia="Arial" w:hAnsi="Arial"/>
          <w:sz w:val="20"/>
          <w:szCs w:val="20"/>
          <w:color w:val="auto"/>
        </w:rPr>
        <w:t xml:space="preserve">1.15 Post-Closing Actions. Fail to deliver to the Administrative Agent the items described on </w:t>
      </w:r>
      <w:r>
        <w:rPr>
          <w:rFonts w:ascii="Arial" w:cs="Arial" w:eastAsia="Arial" w:hAnsi="Arial"/>
          <w:sz w:val="20"/>
          <w:szCs w:val="20"/>
          <w:u w:val="single" w:color="auto"/>
          <w:color w:val="auto"/>
        </w:rPr>
        <w:t>Schedule 7.14</w:t>
      </w:r>
      <w:r>
        <w:rPr>
          <w:rFonts w:ascii="Arial" w:cs="Arial" w:eastAsia="Arial" w:hAnsi="Arial"/>
          <w:sz w:val="20"/>
          <w:szCs w:val="20"/>
          <w:color w:val="auto"/>
        </w:rPr>
        <w:t xml:space="preserve"> within the applicable time period specified therein.</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VIII.</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EVENTS OF DEFAULT AND REMEDIES</w:t>
      </w:r>
    </w:p>
    <w:p>
      <w:pPr>
        <w:spacing w:after="0" w:line="200"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Events of Default. Any of the following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216" w:lineRule="exact"/>
        <w:rPr>
          <w:sz w:val="20"/>
          <w:szCs w:val="20"/>
          <w:color w:val="auto"/>
        </w:rPr>
      </w:pPr>
    </w:p>
    <w:p>
      <w:pPr>
        <w:jc w:val="both"/>
        <w:ind w:left="280" w:firstLine="748"/>
        <w:spacing w:after="0" w:line="232" w:lineRule="auto"/>
        <w:tabs>
          <w:tab w:leader="none" w:pos="1770" w:val="left"/>
        </w:tabs>
        <w:numPr>
          <w:ilvl w:val="0"/>
          <w:numId w:val="243"/>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Company or any other Loan Party fails to (i) pay when and as required to be paid herein, and in the currency required hereunder,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184" w:lineRule="exact"/>
        <w:rPr>
          <w:rFonts w:ascii="Arial" w:cs="Arial" w:eastAsia="Arial" w:hAnsi="Arial"/>
          <w:sz w:val="20"/>
          <w:szCs w:val="20"/>
          <w:color w:val="auto"/>
        </w:rPr>
      </w:pPr>
    </w:p>
    <w:p>
      <w:pPr>
        <w:ind w:left="280" w:firstLine="748"/>
        <w:spacing w:after="0" w:line="272" w:lineRule="auto"/>
        <w:tabs>
          <w:tab w:leader="none" w:pos="1769" w:val="left"/>
        </w:tabs>
        <w:numPr>
          <w:ilvl w:val="0"/>
          <w:numId w:val="243"/>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 xml:space="preserve">. The Company or Restricted Subsidiary fails to perform or observe any term, covenant or agreement contained in any of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w:t>
      </w:r>
      <w:r>
        <w:rPr>
          <w:rFonts w:ascii="Arial" w:cs="Arial" w:eastAsia="Arial" w:hAnsi="Arial"/>
          <w:sz w:val="19"/>
          <w:szCs w:val="19"/>
          <w:color w:val="auto"/>
        </w:rPr>
        <w:t xml:space="preserve">, </w:t>
      </w:r>
      <w:r>
        <w:rPr>
          <w:rFonts w:ascii="Arial" w:cs="Arial" w:eastAsia="Arial" w:hAnsi="Arial"/>
          <w:sz w:val="19"/>
          <w:szCs w:val="19"/>
          <w:u w:val="single" w:color="auto"/>
          <w:color w:val="auto"/>
        </w:rPr>
        <w:t>6.05(a)</w:t>
      </w:r>
      <w:r>
        <w:rPr>
          <w:rFonts w:ascii="Arial" w:cs="Arial" w:eastAsia="Arial" w:hAnsi="Arial"/>
          <w:sz w:val="19"/>
          <w:szCs w:val="19"/>
          <w:color w:val="auto"/>
        </w:rPr>
        <w:t xml:space="preserve"> (in the case of any Borrower only), </w:t>
      </w:r>
      <w:r>
        <w:rPr>
          <w:rFonts w:ascii="Arial" w:cs="Arial" w:eastAsia="Arial" w:hAnsi="Arial"/>
          <w:sz w:val="19"/>
          <w:szCs w:val="19"/>
          <w:u w:val="single" w:color="auto"/>
          <w:color w:val="auto"/>
        </w:rPr>
        <w:t>6.11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w:t>
      </w:r>
      <w:r>
        <w:rPr>
          <w:rFonts w:ascii="Arial" w:cs="Arial" w:eastAsia="Arial" w:hAnsi="Arial"/>
          <w:sz w:val="19"/>
          <w:szCs w:val="19"/>
          <w:color w:val="auto"/>
        </w:rPr>
        <w:t>; or</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109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2" w:name="page243"/>
    <w:bookmarkEnd w:id="242"/>
    <w:p>
      <w:pPr>
        <w:jc w:val="both"/>
        <w:ind w:left="280" w:firstLine="748"/>
        <w:spacing w:after="0" w:line="275" w:lineRule="auto"/>
        <w:tabs>
          <w:tab w:leader="none" w:pos="1769"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(i) 5 Business Days, in the case of any covenant or agreement contained in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or (ii) 30 days, in all other cases; or</w:t>
      </w:r>
    </w:p>
    <w:p>
      <w:pPr>
        <w:spacing w:after="0" w:line="138" w:lineRule="exact"/>
        <w:rPr>
          <w:rFonts w:ascii="Arial" w:cs="Arial" w:eastAsia="Arial" w:hAnsi="Arial"/>
          <w:sz w:val="18"/>
          <w:szCs w:val="18"/>
          <w:color w:val="auto"/>
        </w:rPr>
      </w:pPr>
    </w:p>
    <w:p>
      <w:pPr>
        <w:jc w:val="both"/>
        <w:ind w:left="280" w:firstLine="748"/>
        <w:spacing w:after="0" w:line="275" w:lineRule="auto"/>
        <w:tabs>
          <w:tab w:leader="none" w:pos="1769"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165" w:lineRule="exact"/>
        <w:rPr>
          <w:rFonts w:ascii="Arial" w:cs="Arial" w:eastAsia="Arial" w:hAnsi="Arial"/>
          <w:sz w:val="18"/>
          <w:szCs w:val="18"/>
          <w:color w:val="auto"/>
        </w:rPr>
      </w:pPr>
    </w:p>
    <w:p>
      <w:pPr>
        <w:jc w:val="both"/>
        <w:ind w:left="280" w:firstLine="748"/>
        <w:spacing w:after="0" w:line="253" w:lineRule="auto"/>
        <w:tabs>
          <w:tab w:leader="none" w:pos="1769" w:val="left"/>
        </w:tabs>
        <w:numPr>
          <w:ilvl w:val="1"/>
          <w:numId w:val="244"/>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The Company or any Restricted Subsidiary (A) fails to make any payment when due (whether by scheduled maturity, required prepayment, acceleration, demand, or otherwise but taking into account any applicable period of grace)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(after taking into account any applicable period of grace)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w:t>
      </w:r>
    </w:p>
    <w:p>
      <w:pPr>
        <w:spacing w:after="0" w:line="178" w:lineRule="exact"/>
        <w:rPr>
          <w:rFonts w:ascii="Arial" w:cs="Arial" w:eastAsia="Arial" w:hAnsi="Arial"/>
          <w:sz w:val="18"/>
          <w:szCs w:val="18"/>
          <w:color w:val="auto"/>
        </w:rPr>
      </w:pPr>
    </w:p>
    <w:p>
      <w:pPr>
        <w:jc w:val="both"/>
        <w:ind w:left="280" w:firstLine="748"/>
        <w:spacing w:after="0" w:line="296" w:lineRule="auto"/>
        <w:tabs>
          <w:tab w:leader="none" w:pos="1769" w:val="left"/>
        </w:tabs>
        <w:numPr>
          <w:ilvl w:val="1"/>
          <w:numId w:val="244"/>
        </w:numPr>
        <w:rPr>
          <w:rFonts w:ascii="Arial" w:cs="Arial" w:eastAsia="Arial" w:hAnsi="Arial"/>
          <w:sz w:val="16"/>
          <w:szCs w:val="16"/>
          <w:color w:val="auto"/>
        </w:rPr>
      </w:pPr>
      <w:r>
        <w:rPr>
          <w:rFonts w:ascii="Arial" w:cs="Arial" w:eastAsia="Arial" w:hAnsi="Arial"/>
          <w:sz w:val="16"/>
          <w:szCs w:val="16"/>
          <w:u w:val="single" w:color="auto"/>
          <w:color w:val="auto"/>
        </w:rPr>
        <w:t>Insolvency Proceedings, Etc.</w:t>
      </w:r>
      <w:r>
        <w:rPr>
          <w:rFonts w:ascii="Arial" w:cs="Arial" w:eastAsia="Arial" w:hAnsi="Arial"/>
          <w:sz w:val="16"/>
          <w:szCs w:val="16"/>
          <w:color w:val="auto"/>
        </w:rPr>
        <w:t xml:space="preserve"> The Company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53" w:lineRule="exact"/>
        <w:rPr>
          <w:rFonts w:ascii="Arial" w:cs="Arial" w:eastAsia="Arial" w:hAnsi="Arial"/>
          <w:sz w:val="16"/>
          <w:szCs w:val="16"/>
          <w:color w:val="auto"/>
        </w:rPr>
      </w:pPr>
    </w:p>
    <w:p>
      <w:pPr>
        <w:ind w:left="280" w:right="20" w:firstLine="748"/>
        <w:spacing w:after="0" w:line="233" w:lineRule="auto"/>
        <w:tabs>
          <w:tab w:leader="none" w:pos="1769" w:val="left"/>
        </w:tabs>
        <w:numPr>
          <w:ilvl w:val="1"/>
          <w:numId w:val="244"/>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The Company or any Restricted Subsidiary becomes unable or admits in writing its inability or fails generally to pay its debts as they become due, or</w:t>
      </w:r>
    </w:p>
    <w:p>
      <w:pPr>
        <w:spacing w:after="0" w:line="1" w:lineRule="exact"/>
        <w:rPr>
          <w:rFonts w:ascii="Arial" w:cs="Arial" w:eastAsia="Arial" w:hAnsi="Arial"/>
          <w:sz w:val="20"/>
          <w:szCs w:val="20"/>
          <w:color w:val="auto"/>
        </w:rPr>
      </w:pPr>
    </w:p>
    <w:p>
      <w:pPr>
        <w:ind w:left="280" w:right="20" w:hanging="2"/>
        <w:spacing w:after="0" w:line="234" w:lineRule="auto"/>
        <w:tabs>
          <w:tab w:leader="none" w:pos="571"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any writ or warrant of attachment or execution or similar process is issued or levied against all or any material part of the property of any such Person and is not released, vacated or fully bonded within 30 days after its issue or levy; or</w:t>
      </w:r>
    </w:p>
    <w:p>
      <w:pPr>
        <w:spacing w:after="0" w:line="183" w:lineRule="exact"/>
        <w:rPr>
          <w:rFonts w:ascii="Arial" w:cs="Arial" w:eastAsia="Arial" w:hAnsi="Arial"/>
          <w:sz w:val="20"/>
          <w:szCs w:val="20"/>
          <w:color w:val="auto"/>
        </w:rPr>
      </w:pPr>
    </w:p>
    <w:p>
      <w:pPr>
        <w:ind w:left="280" w:right="20" w:firstLine="748"/>
        <w:spacing w:after="0" w:line="246" w:lineRule="auto"/>
        <w:tabs>
          <w:tab w:leader="none" w:pos="1769" w:val="left"/>
        </w:tabs>
        <w:numPr>
          <w:ilvl w:val="1"/>
          <w:numId w:val="245"/>
        </w:numPr>
        <w:rPr>
          <w:rFonts w:ascii="Arial" w:cs="Arial" w:eastAsia="Arial" w:hAnsi="Arial"/>
          <w:sz w:val="20"/>
          <w:szCs w:val="20"/>
          <w:color w:val="auto"/>
        </w:rPr>
      </w:pPr>
      <w:r>
        <w:rPr>
          <w:rFonts w:ascii="Arial" w:cs="Arial" w:eastAsia="Arial" w:hAnsi="Arial"/>
          <w:sz w:val="20"/>
          <w:szCs w:val="20"/>
          <w:u w:val="single" w:color="auto"/>
          <w:color w:val="auto"/>
        </w:rPr>
        <w:t>Judgments</w:t>
      </w:r>
      <w:r>
        <w:rPr>
          <w:rFonts w:ascii="Arial" w:cs="Arial" w:eastAsia="Arial" w:hAnsi="Arial"/>
          <w:sz w:val="20"/>
          <w:szCs w:val="20"/>
          <w:color w:val="auto"/>
        </w:rPr>
        <w:t>. There is entered against the Company or any Restricted Subsidiary (i) one or more final judgments or orders for the payment of money in an aggregate amount (as to all such</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3" w:name="page244"/>
    <w:bookmarkEnd w:id="243"/>
    <w:p>
      <w:pPr>
        <w:jc w:val="both"/>
        <w:ind w:left="280"/>
        <w:spacing w:after="0" w:line="246" w:lineRule="auto"/>
        <w:rPr>
          <w:sz w:val="20"/>
          <w:szCs w:val="20"/>
          <w:color w:val="auto"/>
        </w:rPr>
      </w:pPr>
      <w:r>
        <w:rPr>
          <w:rFonts w:ascii="Arial" w:cs="Arial" w:eastAsia="Arial" w:hAnsi="Arial"/>
          <w:sz w:val="19"/>
          <w:szCs w:val="19"/>
          <w:color w:val="auto"/>
        </w:rPr>
        <w:t>judgments or orders) exceeding the Threshold Amount (to the extent not covered by independent third- 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176" w:lineRule="exact"/>
        <w:rPr>
          <w:sz w:val="20"/>
          <w:szCs w:val="20"/>
          <w:color w:val="auto"/>
        </w:rPr>
      </w:pPr>
    </w:p>
    <w:p>
      <w:pPr>
        <w:jc w:val="both"/>
        <w:ind w:left="280" w:firstLine="748"/>
        <w:spacing w:after="0" w:line="231" w:lineRule="auto"/>
        <w:tabs>
          <w:tab w:leader="none" w:pos="1769"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ERISA</w:t>
      </w:r>
      <w:r>
        <w:rPr>
          <w:rFonts w:ascii="Arial" w:cs="Arial" w:eastAsia="Arial" w:hAnsi="Arial"/>
          <w:sz w:val="20"/>
          <w:szCs w:val="20"/>
          <w:color w:val="auto"/>
        </w:rPr>
        <w:t>. (i) An ERISA Event occurs with respect to a Pension Plan or Multiemployer Plan which has resulted or could reasonably be expected to result in liability of the Company or any of its Restricted Subsidiaries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97" w:lineRule="exact"/>
        <w:rPr>
          <w:rFonts w:ascii="Arial" w:cs="Arial" w:eastAsia="Arial" w:hAnsi="Arial"/>
          <w:sz w:val="20"/>
          <w:szCs w:val="20"/>
          <w:color w:val="auto"/>
        </w:rPr>
      </w:pPr>
    </w:p>
    <w:p>
      <w:pPr>
        <w:jc w:val="both"/>
        <w:ind w:left="280" w:firstLine="748"/>
        <w:spacing w:after="0" w:line="246" w:lineRule="auto"/>
        <w:tabs>
          <w:tab w:leader="none" w:pos="1769"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material provision of any Loan Document; or any Loan Party denies that it has any or further liability or obligation under any Loan Document, or purports to revoke, terminate or rescind any provision of any Loan Document; or</w:t>
      </w:r>
    </w:p>
    <w:p>
      <w:pPr>
        <w:spacing w:after="0" w:line="162" w:lineRule="exact"/>
        <w:rPr>
          <w:rFonts w:ascii="Arial" w:cs="Arial" w:eastAsia="Arial" w:hAnsi="Arial"/>
          <w:sz w:val="19"/>
          <w:szCs w:val="19"/>
          <w:color w:val="auto"/>
        </w:rPr>
      </w:pPr>
    </w:p>
    <w:p>
      <w:pPr>
        <w:ind w:left="1780" w:hanging="752"/>
        <w:spacing w:after="0"/>
        <w:tabs>
          <w:tab w:leader="none" w:pos="1780"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 or</w:t>
      </w:r>
    </w:p>
    <w:p>
      <w:pPr>
        <w:spacing w:after="0" w:line="188" w:lineRule="exact"/>
        <w:rPr>
          <w:rFonts w:ascii="Arial" w:cs="Arial" w:eastAsia="Arial" w:hAnsi="Arial"/>
          <w:sz w:val="20"/>
          <w:szCs w:val="20"/>
          <w:color w:val="auto"/>
        </w:rPr>
      </w:pPr>
    </w:p>
    <w:p>
      <w:pPr>
        <w:jc w:val="both"/>
        <w:ind w:left="280" w:firstLine="748"/>
        <w:spacing w:after="0" w:line="237" w:lineRule="auto"/>
        <w:tabs>
          <w:tab w:leader="none" w:pos="1769" w:val="left"/>
        </w:tabs>
        <w:numPr>
          <w:ilvl w:val="0"/>
          <w:numId w:val="246"/>
        </w:numPr>
        <w:rPr>
          <w:rFonts w:ascii="Arial" w:cs="Arial" w:eastAsia="Arial" w:hAnsi="Arial"/>
          <w:sz w:val="20"/>
          <w:szCs w:val="20"/>
          <w:color w:val="auto"/>
        </w:rPr>
      </w:pPr>
      <w:r>
        <w:rPr>
          <w:rFonts w:ascii="Arial" w:cs="Arial" w:eastAsia="Arial" w:hAnsi="Arial"/>
          <w:sz w:val="20"/>
          <w:szCs w:val="20"/>
          <w:u w:val="single" w:color="auto"/>
          <w:color w:val="auto"/>
        </w:rPr>
        <w:t>Collateral Documents</w:t>
      </w:r>
      <w:r>
        <w:rPr>
          <w:rFonts w:ascii="Arial" w:cs="Arial" w:eastAsia="Arial" w:hAnsi="Arial"/>
          <w:sz w:val="20"/>
          <w:szCs w:val="20"/>
          <w:color w:val="auto"/>
        </w:rPr>
        <w:t xml:space="preserve">. Any Collateral Document after delivery thereof pursuant to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6.12</w:t>
      </w:r>
      <w:r>
        <w:rPr>
          <w:rFonts w:ascii="Arial" w:cs="Arial" w:eastAsia="Arial" w:hAnsi="Arial"/>
          <w:sz w:val="20"/>
          <w:szCs w:val="20"/>
          <w:color w:val="auto"/>
        </w:rPr>
        <w:t xml:space="preserve"> shall for any reason (other than pursuant to the terms thereof) cease to create a valid Lien on any portion of the Collateral purported to be covered thereby the aggregate fair market value of which is in excess of $1,000,000.</w:t>
      </w:r>
    </w:p>
    <w:p>
      <w:pPr>
        <w:spacing w:after="0" w:line="196" w:lineRule="exact"/>
        <w:rPr>
          <w:sz w:val="20"/>
          <w:szCs w:val="20"/>
          <w:color w:val="auto"/>
        </w:rPr>
      </w:pPr>
    </w:p>
    <w:p>
      <w:pPr>
        <w:ind w:left="100" w:right="20" w:firstLine="749"/>
        <w:spacing w:after="0" w:line="246" w:lineRule="auto"/>
        <w:rPr>
          <w:sz w:val="20"/>
          <w:szCs w:val="20"/>
          <w:color w:val="auto"/>
        </w:rPr>
      </w:pPr>
      <w:r>
        <w:rPr>
          <w:rFonts w:ascii="Arial" w:cs="Arial" w:eastAsia="Arial" w:hAnsi="Arial"/>
          <w:sz w:val="20"/>
          <w:szCs w:val="20"/>
          <w:color w:val="auto"/>
        </w:rPr>
        <w:t>1.3 Remedies Upon Event of Default. If any Event of Default occurs and is continuing, the Administrative Agent shall, at the request of, or may, with the consent of, the Required Lenders, take any or all of the following actions:</w:t>
      </w:r>
    </w:p>
    <w:p>
      <w:pPr>
        <w:spacing w:after="0" w:line="177" w:lineRule="exact"/>
        <w:rPr>
          <w:sz w:val="20"/>
          <w:szCs w:val="20"/>
          <w:color w:val="auto"/>
        </w:rPr>
      </w:pPr>
    </w:p>
    <w:p>
      <w:pPr>
        <w:ind w:left="280" w:firstLine="748"/>
        <w:spacing w:after="0" w:line="246" w:lineRule="auto"/>
        <w:tabs>
          <w:tab w:leader="none" w:pos="1769" w:val="left"/>
        </w:tabs>
        <w:numPr>
          <w:ilvl w:val="0"/>
          <w:numId w:val="247"/>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each L/C Issuer to make L/C Credit Extensions to be terminated, whereupon such commitments and obligation shall be terminated;</w:t>
      </w:r>
    </w:p>
    <w:p>
      <w:pPr>
        <w:spacing w:after="0" w:line="190" w:lineRule="exact"/>
        <w:rPr>
          <w:rFonts w:ascii="Arial" w:cs="Arial" w:eastAsia="Arial" w:hAnsi="Arial"/>
          <w:sz w:val="20"/>
          <w:szCs w:val="20"/>
          <w:color w:val="auto"/>
        </w:rPr>
      </w:pPr>
    </w:p>
    <w:p>
      <w:pPr>
        <w:jc w:val="both"/>
        <w:ind w:left="280" w:right="20" w:firstLine="748"/>
        <w:spacing w:after="0" w:line="254" w:lineRule="auto"/>
        <w:tabs>
          <w:tab w:leader="none" w:pos="1769" w:val="left"/>
        </w:tabs>
        <w:numPr>
          <w:ilvl w:val="0"/>
          <w:numId w:val="247"/>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0" w:lineRule="exact"/>
        <w:rPr>
          <w:rFonts w:ascii="Arial" w:cs="Arial" w:eastAsia="Arial" w:hAnsi="Arial"/>
          <w:sz w:val="19"/>
          <w:szCs w:val="19"/>
          <w:color w:val="auto"/>
        </w:rPr>
      </w:pPr>
    </w:p>
    <w:p>
      <w:pPr>
        <w:jc w:val="both"/>
        <w:ind w:left="280" w:firstLine="748"/>
        <w:spacing w:after="0" w:line="237" w:lineRule="auto"/>
        <w:tabs>
          <w:tab w:leader="none" w:pos="177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require that the Company Cash Collateralize the L/C Obligations (in an amount equal to the Minimum Collateral Amount with respect thereto) and Cash Collateralize the Secured Permitted Bilateral Letters of Credit (in an amount equal to the maximum potential drawings thereunder); and</w:t>
      </w:r>
    </w:p>
    <w:p>
      <w:pPr>
        <w:spacing w:after="0" w:line="196" w:lineRule="exact"/>
        <w:rPr>
          <w:rFonts w:ascii="Arial" w:cs="Arial" w:eastAsia="Arial" w:hAnsi="Arial"/>
          <w:sz w:val="20"/>
          <w:szCs w:val="20"/>
          <w:color w:val="auto"/>
        </w:rPr>
      </w:pPr>
    </w:p>
    <w:p>
      <w:pPr>
        <w:ind w:left="280" w:firstLine="748"/>
        <w:spacing w:after="0" w:line="246" w:lineRule="auto"/>
        <w:tabs>
          <w:tab w:leader="none" w:pos="1769" w:val="left"/>
        </w:tabs>
        <w:numPr>
          <w:ilvl w:val="0"/>
          <w:numId w:val="247"/>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Issuers all rights and remedies available to it, the Lenders and the L/C Issuers under the Loan Documents;</w:t>
      </w:r>
    </w:p>
    <w:p>
      <w:pPr>
        <w:spacing w:after="0" w:line="177" w:lineRule="exact"/>
        <w:rPr>
          <w:sz w:val="20"/>
          <w:szCs w:val="20"/>
          <w:color w:val="auto"/>
        </w:rPr>
      </w:pPr>
    </w:p>
    <w:p>
      <w:pPr>
        <w:jc w:val="both"/>
        <w:ind w:left="100"/>
        <w:spacing w:after="0" w:line="237"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upon the occurrence of an actual or deemed entry of an order for relief with respect to any Borrower under the Bankruptcy Code of the United States, the obligation of each Lender to make Loans and any obligation of any L/C Issuer to make L/C Credit Extensions shall automatically terminate,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4" w:name="page245"/>
    <w:bookmarkEnd w:id="244"/>
    <w:p>
      <w:pPr>
        <w:jc w:val="both"/>
        <w:ind w:left="100" w:right="20"/>
        <w:spacing w:after="0" w:line="275" w:lineRule="auto"/>
        <w:rPr>
          <w:sz w:val="20"/>
          <w:szCs w:val="20"/>
          <w:color w:val="auto"/>
        </w:rPr>
      </w:pPr>
      <w:r>
        <w:rPr>
          <w:rFonts w:ascii="Arial" w:cs="Arial" w:eastAsia="Arial" w:hAnsi="Arial"/>
          <w:sz w:val="18"/>
          <w:szCs w:val="18"/>
          <w:color w:val="auto"/>
        </w:rPr>
        <w:t>the unpaid principal amount of all outstanding Loans and all interest and other amounts as aforesaid shall automatically become due and payable, and the obligation of the Company to Cash Collateralize the L/C Obligations and Secured Permitted Standalone Letters of Credit as aforesaid shall automatically become effective, in each case without further act of the Administrative Agent or any Lender.</w:t>
      </w:r>
    </w:p>
    <w:p>
      <w:pPr>
        <w:spacing w:after="0" w:line="152" w:lineRule="exact"/>
        <w:rPr>
          <w:sz w:val="20"/>
          <w:szCs w:val="20"/>
          <w:color w:val="auto"/>
        </w:rPr>
      </w:pPr>
    </w:p>
    <w:p>
      <w:pPr>
        <w:jc w:val="both"/>
        <w:ind w:left="100" w:right="20" w:firstLine="749"/>
        <w:spacing w:after="0" w:line="234" w:lineRule="auto"/>
        <w:rPr>
          <w:sz w:val="20"/>
          <w:szCs w:val="20"/>
          <w:color w:val="auto"/>
        </w:rPr>
      </w:pPr>
      <w:r>
        <w:rPr>
          <w:rFonts w:ascii="Arial" w:cs="Arial" w:eastAsia="Arial" w:hAnsi="Arial"/>
          <w:sz w:val="20"/>
          <w:szCs w:val="20"/>
          <w:color w:val="auto"/>
        </w:rPr>
        <w:t xml:space="preserve">1.3 Application of Funds. After the exercise of remedies provided for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any amounts received on account of the Obligations shall, subject to the provisions of </w:t>
      </w:r>
      <w:r>
        <w:rPr>
          <w:rFonts w:ascii="Arial" w:cs="Arial" w:eastAsia="Arial" w:hAnsi="Arial"/>
          <w:sz w:val="20"/>
          <w:szCs w:val="20"/>
          <w:u w:val="single" w:color="auto"/>
          <w:color w:val="auto"/>
        </w:rPr>
        <w:t>Sections 2.16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2.17</w:t>
      </w:r>
      <w:r>
        <w:rPr>
          <w:rFonts w:ascii="Arial" w:cs="Arial" w:eastAsia="Arial" w:hAnsi="Arial"/>
          <w:sz w:val="20"/>
          <w:szCs w:val="20"/>
          <w:color w:val="auto"/>
        </w:rPr>
        <w:t>, be applied by the Administrative Agent in the following order:</w:t>
      </w:r>
    </w:p>
    <w:p>
      <w:pPr>
        <w:spacing w:after="0" w:line="197"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payment of that portion of the Obligations constituting fees, indemnities, expenses and other amounts (including fees, charges and disbursements of counsel to the Administrative Agent (to the extent required to be paid or reimbursed hereunder)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payable to the Administrative Agent in its capacity as such;</w:t>
      </w:r>
    </w:p>
    <w:p>
      <w:pPr>
        <w:spacing w:after="0" w:line="183"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Obligations arising under the Loan Documents constituting fees, indemnities and other amounts (other than principal, interest and Letter of Credit Fees) payable to the Lenders and the L/C Issuers (including fees, charges and disbursements of counsel to the respective Lenders and the L/C Issuers (to the extent required to be paid or reimbursed hereunder)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ratably among them in proportion to the respective amounts described in this clause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payable to them;</w:t>
      </w:r>
    </w:p>
    <w:p>
      <w:pPr>
        <w:spacing w:after="0" w:line="184"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payable to them;</w:t>
      </w:r>
    </w:p>
    <w:p>
      <w:pPr>
        <w:spacing w:after="0" w:line="169" w:lineRule="exact"/>
        <w:rPr>
          <w:sz w:val="20"/>
          <w:szCs w:val="20"/>
          <w:color w:val="auto"/>
        </w:rPr>
      </w:pPr>
    </w:p>
    <w:p>
      <w:pPr>
        <w:jc w:val="both"/>
        <w:ind w:left="100" w:firstLine="747"/>
        <w:spacing w:after="0" w:line="232"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L/C Borrowings, Obligations then owing under Secured Hedge Agreements and Secured Cash Management Agreements and Obligations in the nature of drawn and unreimbursed amounts under Secured Permitted Standalone Letters of Credit, ratably among the Lenders, the L/C Issuers, the Hedge Banks, the Cash Management Banks and the PSLOC Banks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w:t>
      </w:r>
    </w:p>
    <w:p>
      <w:pPr>
        <w:spacing w:after="0" w:line="184" w:lineRule="exact"/>
        <w:rPr>
          <w:sz w:val="20"/>
          <w:szCs w:val="20"/>
          <w:color w:val="auto"/>
        </w:rPr>
      </w:pPr>
    </w:p>
    <w:p>
      <w:pPr>
        <w:jc w:val="both"/>
        <w:ind w:left="100" w:firstLine="747"/>
        <w:spacing w:after="0" w:line="263"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the L/C Issuers and the PSLOC Banks, to Cash Collateralize that portion of L/C Obligations comprised of the aggregate undrawn amount of Letters of Credit and obligations comprised of the aggregate undrawn amount of Secured Permitted Standalone Letters of Credit, in each case to the extent not otherwise Cash Collateralized by the Company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the terms of such Secured Permitted Standalone Letters of Credit ratably among the L/C Issuers and the PSLOC Banks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held by them; and</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Company or as otherwise required</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Law.</w:t>
      </w:r>
    </w:p>
    <w:p>
      <w:pPr>
        <w:spacing w:after="0" w:line="186" w:lineRule="exact"/>
        <w:rPr>
          <w:sz w:val="20"/>
          <w:szCs w:val="20"/>
          <w:color w:val="auto"/>
        </w:rPr>
      </w:pPr>
    </w:p>
    <w:p>
      <w:pPr>
        <w:jc w:val="both"/>
        <w:ind w:left="100"/>
        <w:spacing w:after="0" w:line="234" w:lineRule="auto"/>
        <w:rPr>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amounts used to Cash Collateralize the aggregate undrawn amount of Letters of Credit and Secured Permitted Standalone Letters of Credit pursuant to clause </w:t>
      </w:r>
      <w:r>
        <w:rPr>
          <w:rFonts w:ascii="Arial" w:cs="Arial" w:eastAsia="Arial" w:hAnsi="Arial"/>
          <w:sz w:val="20"/>
          <w:szCs w:val="20"/>
          <w:u w:val="single" w:color="auto"/>
          <w:color w:val="auto"/>
        </w:rPr>
        <w:t>Fifth</w:t>
      </w:r>
      <w:r>
        <w:rPr>
          <w:rFonts w:ascii="Arial" w:cs="Arial" w:eastAsia="Arial" w:hAnsi="Arial"/>
          <w:sz w:val="20"/>
          <w:szCs w:val="20"/>
          <w:color w:val="auto"/>
        </w:rPr>
        <w:t xml:space="preserve"> above shall be applied to satisfy drawings under such Letters of Credit and Secured Permitted Standalone Letters of Credit as they occur. If any amount remains on deposit as Cash Collateral after all Letters of Credit and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5" w:name="page246"/>
    <w:bookmarkEnd w:id="245"/>
    <w:p>
      <w:pPr>
        <w:jc w:val="both"/>
        <w:ind w:left="100" w:right="20"/>
        <w:spacing w:after="0" w:line="246" w:lineRule="auto"/>
        <w:rPr>
          <w:sz w:val="20"/>
          <w:szCs w:val="20"/>
          <w:color w:val="auto"/>
        </w:rPr>
      </w:pPr>
      <w:r>
        <w:rPr>
          <w:rFonts w:ascii="Arial" w:cs="Arial" w:eastAsia="Arial" w:hAnsi="Arial"/>
          <w:sz w:val="20"/>
          <w:szCs w:val="20"/>
          <w:color w:val="auto"/>
        </w:rPr>
        <w:t>Secured Permitted Standalone Letters of Credit have either been fully drawn or expired, such remaining amount shall be applied to the other Obligations, if any, in the order set forth above.</w:t>
      </w:r>
    </w:p>
    <w:p>
      <w:pPr>
        <w:spacing w:after="0" w:line="177" w:lineRule="exact"/>
        <w:rPr>
          <w:sz w:val="20"/>
          <w:szCs w:val="20"/>
          <w:color w:val="auto"/>
        </w:rPr>
      </w:pPr>
    </w:p>
    <w:p>
      <w:pPr>
        <w:jc w:val="both"/>
        <w:ind w:left="100"/>
        <w:spacing w:after="0" w:line="243" w:lineRule="auto"/>
        <w:rPr>
          <w:sz w:val="20"/>
          <w:szCs w:val="20"/>
          <w:color w:val="auto"/>
        </w:rPr>
      </w:pPr>
      <w:r>
        <w:rPr>
          <w:rFonts w:ascii="Arial" w:cs="Arial" w:eastAsia="Arial" w:hAnsi="Arial"/>
          <w:sz w:val="19"/>
          <w:szCs w:val="19"/>
          <w:color w:val="auto"/>
        </w:rPr>
        <w:t xml:space="preserve">Notwithstanding the foregoing, Obligations arising under Secured Cash Management Agreements, Secured Hedge Agreements and Secured Permitted Standalone Letters of Credit shall be excluded from the application described above if the Administrative Agent has not received written notice thereof, together with such supporting documentation as the Administrative Agent may request, from the applicable Cash Management Bank, Hedge Bank or PSLOC Bank, as the case may be. Each Cash Management Bank, Hedge Bank or PSLOC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hereof for itself and its Affiliates as if a “Lender” party to this Agreement.</w:t>
      </w:r>
    </w:p>
    <w:p>
      <w:pPr>
        <w:spacing w:after="0" w:line="274" w:lineRule="exact"/>
        <w:rPr>
          <w:sz w:val="20"/>
          <w:szCs w:val="20"/>
          <w:color w:val="auto"/>
        </w:rPr>
      </w:pPr>
    </w:p>
    <w:p>
      <w:pPr>
        <w:ind w:left="3800"/>
        <w:spacing w:after="0"/>
        <w:rPr>
          <w:sz w:val="20"/>
          <w:szCs w:val="20"/>
          <w:color w:val="auto"/>
        </w:rPr>
      </w:pPr>
      <w:r>
        <w:rPr>
          <w:rFonts w:ascii="Arial" w:cs="Arial" w:eastAsia="Arial" w:hAnsi="Arial"/>
          <w:sz w:val="20"/>
          <w:szCs w:val="20"/>
          <w:color w:val="auto"/>
        </w:rPr>
        <w:t>ARTICLE IX. ADMINISTRATIVE AGENT</w:t>
      </w:r>
    </w:p>
    <w:p>
      <w:pPr>
        <w:spacing w:after="0" w:line="202"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color w:val="auto"/>
        </w:rPr>
        <w:t>Appointment and Authority.</w:t>
      </w:r>
    </w:p>
    <w:p>
      <w:pPr>
        <w:spacing w:after="0" w:line="202" w:lineRule="exact"/>
        <w:rPr>
          <w:sz w:val="20"/>
          <w:szCs w:val="20"/>
          <w:color w:val="auto"/>
        </w:rPr>
      </w:pPr>
    </w:p>
    <w:p>
      <w:pPr>
        <w:jc w:val="both"/>
        <w:ind w:left="280" w:firstLine="748"/>
        <w:spacing w:after="0" w:line="256" w:lineRule="auto"/>
        <w:tabs>
          <w:tab w:leader="none" w:pos="1769"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Each of the Lenders (including in its capacities as a potential Hedge Bank, a potential Cash Management Bank and a potential PSLOC Bank)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68" w:lineRule="exact"/>
        <w:rPr>
          <w:rFonts w:ascii="Arial" w:cs="Arial" w:eastAsia="Arial" w:hAnsi="Arial"/>
          <w:sz w:val="18"/>
          <w:szCs w:val="18"/>
          <w:color w:val="auto"/>
        </w:rPr>
      </w:pPr>
    </w:p>
    <w:p>
      <w:pPr>
        <w:jc w:val="both"/>
        <w:ind w:left="280" w:firstLine="748"/>
        <w:spacing w:after="0" w:line="256" w:lineRule="auto"/>
        <w:tabs>
          <w:tab w:leader="none" w:pos="177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Administrative Agent shall also act as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under the Loan Documents, and each of the Lenders (including in its capacities as a potential Hedge Bank, a potential Cash Management Bank and a potential PSLOC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10.04(c)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82" w:lineRule="exact"/>
        <w:rPr>
          <w:sz w:val="20"/>
          <w:szCs w:val="20"/>
          <w:color w:val="auto"/>
        </w:rPr>
      </w:pPr>
    </w:p>
    <w:p>
      <w:pPr>
        <w:jc w:val="both"/>
        <w:ind w:left="100" w:firstLine="749"/>
        <w:spacing w:after="0" w:line="256" w:lineRule="auto"/>
        <w:rPr>
          <w:sz w:val="20"/>
          <w:szCs w:val="20"/>
          <w:color w:val="auto"/>
        </w:rPr>
      </w:pPr>
      <w:r>
        <w:rPr>
          <w:rFonts w:ascii="Arial" w:cs="Arial" w:eastAsia="Arial" w:hAnsi="Arial"/>
          <w:sz w:val="18"/>
          <w:szCs w:val="18"/>
          <w:color w:val="auto"/>
        </w:rPr>
        <w:t>1.2 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w:t>
      </w:r>
    </w:p>
    <w:p>
      <w:pPr>
        <w:spacing w:after="0" w:line="2" w:lineRule="exact"/>
        <w:rPr>
          <w:sz w:val="20"/>
          <w:szCs w:val="20"/>
          <w:color w:val="auto"/>
        </w:rPr>
      </w:pPr>
    </w:p>
    <w:p>
      <w:pPr>
        <w:ind w:left="100"/>
        <w:spacing w:after="0"/>
        <w:tabs>
          <w:tab w:leader="none" w:pos="5400" w:val="left"/>
        </w:tabs>
        <w:rPr>
          <w:sz w:val="20"/>
          <w:szCs w:val="20"/>
          <w:color w:val="auto"/>
        </w:rPr>
      </w:pPr>
      <w:r>
        <w:rPr>
          <w:rFonts w:ascii="Arial" w:cs="Arial" w:eastAsia="Arial" w:hAnsi="Arial"/>
          <w:sz w:val="20"/>
          <w:szCs w:val="20"/>
          <w:color w:val="auto"/>
        </w:rPr>
        <w:t>the Administrative Agent hereunder in its individual capacity.</w:t>
      </w:r>
      <w:r>
        <w:rPr>
          <w:sz w:val="20"/>
          <w:szCs w:val="20"/>
          <w:color w:val="auto"/>
        </w:rPr>
        <w:tab/>
      </w:r>
      <w:r>
        <w:rPr>
          <w:rFonts w:ascii="Arial" w:cs="Arial" w:eastAsia="Arial" w:hAnsi="Arial"/>
          <w:sz w:val="16"/>
          <w:szCs w:val="16"/>
          <w:color w:val="auto"/>
        </w:rPr>
        <w:t>Such Person and its Affiliates may accept</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6" w:name="page247"/>
    <w:bookmarkEnd w:id="246"/>
    <w:p>
      <w:pPr>
        <w:jc w:val="both"/>
        <w:ind w:left="100"/>
        <w:spacing w:after="0" w:line="234" w:lineRule="auto"/>
        <w:rPr>
          <w:sz w:val="20"/>
          <w:szCs w:val="20"/>
          <w:color w:val="auto"/>
        </w:rPr>
      </w:pPr>
      <w:r>
        <w:rPr>
          <w:rFonts w:ascii="Arial" w:cs="Arial" w:eastAsia="Arial" w:hAnsi="Arial"/>
          <w:sz w:val="20"/>
          <w:szCs w:val="20"/>
          <w:color w:val="auto"/>
        </w:rPr>
        <w:t>deposits from, lend money to, own securities of, act as the financial advisor or in any other advisory capacity for and generally engage in any kind of banking, trust, financial, advisory, underwriting or other business with any Borrower or any Subsidiary or other Affiliate thereof as if such Person were not the Administrative Agent hereunder and without any duty to account therefor to the Lenders or to provide notice or consent of the Lenders with respect thereto.</w:t>
      </w:r>
    </w:p>
    <w:p>
      <w:pPr>
        <w:spacing w:after="0" w:line="183" w:lineRule="exact"/>
        <w:rPr>
          <w:sz w:val="20"/>
          <w:szCs w:val="20"/>
          <w:color w:val="auto"/>
        </w:rPr>
      </w:pPr>
    </w:p>
    <w:p>
      <w:pPr>
        <w:jc w:val="both"/>
        <w:ind w:left="100" w:firstLine="749"/>
        <w:spacing w:after="0" w:line="275" w:lineRule="auto"/>
        <w:rPr>
          <w:sz w:val="20"/>
          <w:szCs w:val="20"/>
          <w:color w:val="auto"/>
        </w:rPr>
      </w:pPr>
      <w:r>
        <w:rPr>
          <w:rFonts w:ascii="Arial" w:cs="Arial" w:eastAsia="Arial" w:hAnsi="Arial"/>
          <w:sz w:val="18"/>
          <w:szCs w:val="18"/>
          <w:color w:val="auto"/>
        </w:rPr>
        <w:t>1.3 Exculpatory Provisions. 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its Related Parties:</w:t>
      </w:r>
    </w:p>
    <w:p>
      <w:pPr>
        <w:spacing w:after="0" w:line="166" w:lineRule="exact"/>
        <w:rPr>
          <w:sz w:val="20"/>
          <w:szCs w:val="20"/>
          <w:color w:val="auto"/>
        </w:rPr>
      </w:pPr>
    </w:p>
    <w:p>
      <w:pPr>
        <w:ind w:left="1760" w:hanging="732"/>
        <w:spacing w:after="0"/>
        <w:tabs>
          <w:tab w:leader="none" w:pos="1760" w:val="left"/>
        </w:tabs>
        <w:numPr>
          <w:ilvl w:val="0"/>
          <w:numId w:val="249"/>
        </w:numPr>
        <w:rPr>
          <w:rFonts w:ascii="Arial" w:cs="Arial" w:eastAsia="Arial" w:hAnsi="Arial"/>
          <w:sz w:val="19"/>
          <w:szCs w:val="19"/>
          <w:color w:val="auto"/>
        </w:rPr>
      </w:pPr>
      <w:r>
        <w:rPr>
          <w:rFonts w:ascii="Arial" w:cs="Arial" w:eastAsia="Arial" w:hAnsi="Arial"/>
          <w:sz w:val="19"/>
          <w:szCs w:val="19"/>
          <w:color w:val="auto"/>
        </w:rPr>
        <w:t>shall not be subject to any fiduciary or other implied duties, regardless of whether a Default has occurred and is</w:t>
      </w:r>
    </w:p>
    <w:p>
      <w:pPr>
        <w:spacing w:after="0" w:line="27" w:lineRule="exact"/>
        <w:rPr>
          <w:rFonts w:ascii="Arial" w:cs="Arial" w:eastAsia="Arial" w:hAnsi="Arial"/>
          <w:sz w:val="19"/>
          <w:szCs w:val="19"/>
          <w:color w:val="auto"/>
        </w:rPr>
      </w:pPr>
    </w:p>
    <w:p>
      <w:pPr>
        <w:ind w:left="280"/>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99" w:lineRule="exact"/>
        <w:rPr>
          <w:rFonts w:ascii="Arial" w:cs="Arial" w:eastAsia="Arial" w:hAnsi="Arial"/>
          <w:sz w:val="19"/>
          <w:szCs w:val="19"/>
          <w:color w:val="auto"/>
        </w:rPr>
      </w:pPr>
    </w:p>
    <w:p>
      <w:pPr>
        <w:jc w:val="both"/>
        <w:ind w:left="280" w:firstLine="748"/>
        <w:spacing w:after="0" w:line="229" w:lineRule="auto"/>
        <w:tabs>
          <w:tab w:leader="none" w:pos="1769" w:val="left"/>
        </w:tabs>
        <w:numPr>
          <w:ilvl w:val="0"/>
          <w:numId w:val="249"/>
        </w:numPr>
        <w:rPr>
          <w:rFonts w:ascii="Arial" w:cs="Arial" w:eastAsia="Arial" w:hAnsi="Arial"/>
          <w:sz w:val="20"/>
          <w:szCs w:val="20"/>
          <w:color w:val="auto"/>
        </w:rPr>
      </w:pPr>
      <w:r>
        <w:rPr>
          <w:rFonts w:ascii="Arial" w:cs="Arial" w:eastAsia="Arial" w:hAnsi="Arial"/>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88" w:lineRule="exact"/>
        <w:rPr>
          <w:rFonts w:ascii="Arial" w:cs="Arial" w:eastAsia="Arial" w:hAnsi="Arial"/>
          <w:sz w:val="20"/>
          <w:szCs w:val="20"/>
          <w:color w:val="auto"/>
        </w:rPr>
      </w:pPr>
    </w:p>
    <w:p>
      <w:pPr>
        <w:jc w:val="both"/>
        <w:ind w:left="280" w:firstLine="748"/>
        <w:spacing w:after="0" w:line="246" w:lineRule="auto"/>
        <w:tabs>
          <w:tab w:leader="none" w:pos="1769" w:val="left"/>
        </w:tabs>
        <w:numPr>
          <w:ilvl w:val="0"/>
          <w:numId w:val="249"/>
        </w:numPr>
        <w:rPr>
          <w:rFonts w:ascii="Arial" w:cs="Arial" w:eastAsia="Arial" w:hAnsi="Arial"/>
          <w:sz w:val="19"/>
          <w:szCs w:val="19"/>
          <w:color w:val="auto"/>
        </w:rPr>
      </w:pPr>
      <w:r>
        <w:rPr>
          <w:rFonts w:ascii="Arial" w:cs="Arial" w:eastAsia="Arial" w:hAnsi="Arial"/>
          <w:sz w:val="19"/>
          <w:szCs w:val="19"/>
          <w:color w:val="auto"/>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w:t>
      </w:r>
    </w:p>
    <w:p>
      <w:pPr>
        <w:spacing w:after="0" w:line="189" w:lineRule="exact"/>
        <w:rPr>
          <w:rFonts w:ascii="Arial" w:cs="Arial" w:eastAsia="Arial" w:hAnsi="Arial"/>
          <w:sz w:val="19"/>
          <w:szCs w:val="19"/>
          <w:color w:val="auto"/>
        </w:rPr>
      </w:pPr>
    </w:p>
    <w:p>
      <w:pPr>
        <w:jc w:val="both"/>
        <w:ind w:left="280" w:firstLine="748"/>
        <w:spacing w:after="0" w:line="258" w:lineRule="auto"/>
        <w:tabs>
          <w:tab w:leader="none" w:pos="176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L/C Issuer; and</w:t>
      </w:r>
    </w:p>
    <w:p>
      <w:pPr>
        <w:spacing w:after="0" w:line="170" w:lineRule="exact"/>
        <w:rPr>
          <w:rFonts w:ascii="Arial" w:cs="Arial" w:eastAsia="Arial" w:hAnsi="Arial"/>
          <w:sz w:val="18"/>
          <w:szCs w:val="18"/>
          <w:color w:val="auto"/>
        </w:rPr>
      </w:pPr>
    </w:p>
    <w:p>
      <w:pPr>
        <w:jc w:val="both"/>
        <w:ind w:left="280" w:firstLine="748"/>
        <w:spacing w:after="0" w:line="230" w:lineRule="auto"/>
        <w:tabs>
          <w:tab w:leader="none" w:pos="1769" w:val="left"/>
        </w:tabs>
        <w:numPr>
          <w:ilvl w:val="0"/>
          <w:numId w:val="249"/>
        </w:numPr>
        <w:rPr>
          <w:rFonts w:ascii="Arial" w:cs="Arial" w:eastAsia="Arial" w:hAnsi="Arial"/>
          <w:sz w:val="20"/>
          <w:szCs w:val="20"/>
          <w:color w:val="auto"/>
        </w:rPr>
      </w:pPr>
      <w:r>
        <w:rPr>
          <w:rFonts w:ascii="Arial" w:cs="Arial" w:eastAsia="Arial" w:hAnsi="Arial"/>
          <w:sz w:val="20"/>
          <w:szCs w:val="20"/>
          <w:color w:val="auto"/>
        </w:rPr>
        <w:t>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7" w:name="page248"/>
    <w:bookmarkEnd w:id="247"/>
    <w:p>
      <w:pPr>
        <w:ind w:left="280" w:right="20"/>
        <w:spacing w:after="0" w:line="246" w:lineRule="auto"/>
        <w:rPr>
          <w:sz w:val="20"/>
          <w:szCs w:val="20"/>
          <w:color w:val="auto"/>
        </w:rPr>
      </w:pPr>
      <w:r>
        <w:rPr>
          <w:rFonts w:ascii="Arial" w:cs="Arial" w:eastAsia="Arial" w:hAnsi="Arial"/>
          <w:sz w:val="20"/>
          <w:szCs w:val="20"/>
          <w:color w:val="auto"/>
        </w:rPr>
        <w:t xml:space="preserve">Documents, (v) the value or the sufficiency of any Collateral or (vi) the satisfaction of any condition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or elsewhere herein, other than to confirm receipt of items expressly required to be delivered to the Administrative Agent.</w:t>
      </w:r>
    </w:p>
    <w:p>
      <w:pPr>
        <w:spacing w:after="0" w:line="177" w:lineRule="exact"/>
        <w:rPr>
          <w:sz w:val="20"/>
          <w:szCs w:val="20"/>
          <w:color w:val="auto"/>
        </w:rPr>
      </w:pPr>
    </w:p>
    <w:p>
      <w:pPr>
        <w:jc w:val="both"/>
        <w:ind w:left="100" w:firstLine="749"/>
        <w:spacing w:after="0" w:line="255" w:lineRule="auto"/>
        <w:rPr>
          <w:sz w:val="20"/>
          <w:szCs w:val="20"/>
          <w:color w:val="auto"/>
        </w:rPr>
      </w:pPr>
      <w:r>
        <w:rPr>
          <w:rFonts w:ascii="Arial" w:cs="Arial" w:eastAsia="Arial" w:hAnsi="Arial"/>
          <w:sz w:val="18"/>
          <w:szCs w:val="18"/>
          <w:color w:val="auto"/>
        </w:rPr>
        <w:t>1.4 Reliance by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6" w:lineRule="exact"/>
        <w:rPr>
          <w:sz w:val="20"/>
          <w:szCs w:val="20"/>
          <w:color w:val="auto"/>
        </w:rPr>
      </w:pPr>
    </w:p>
    <w:p>
      <w:pPr>
        <w:jc w:val="both"/>
        <w:ind w:left="100" w:firstLine="749"/>
        <w:spacing w:after="0" w:line="229" w:lineRule="auto"/>
        <w:rPr>
          <w:sz w:val="20"/>
          <w:szCs w:val="20"/>
          <w:color w:val="auto"/>
        </w:rPr>
      </w:pPr>
      <w:r>
        <w:rPr>
          <w:rFonts w:ascii="Arial" w:cs="Arial" w:eastAsia="Arial" w:hAnsi="Arial"/>
          <w:sz w:val="20"/>
          <w:szCs w:val="20"/>
          <w:color w:val="auto"/>
        </w:rPr>
        <w:t xml:space="preserve">1.5 Delegation of Duties. The Administrative Agent may perform any and all of its dutiesand exercise its rights and powers hereunder or under any other Loan Document by or through any one or more sub agents appointed by the Administrative Agent. The Administrative Agent and any such sub agentmay perform any and all of its duties and exercise its rights and powers by or through their respective Related Parties. The exculpatory provisions of this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5" w:lineRule="exact"/>
        <w:rPr>
          <w:sz w:val="20"/>
          <w:szCs w:val="20"/>
          <w:color w:val="auto"/>
        </w:rPr>
      </w:pPr>
    </w:p>
    <w:p>
      <w:pPr>
        <w:jc w:val="both"/>
        <w:ind w:left="100" w:firstLine="749"/>
        <w:spacing w:after="0" w:line="253" w:lineRule="auto"/>
        <w:rPr>
          <w:sz w:val="20"/>
          <w:szCs w:val="20"/>
          <w:color w:val="auto"/>
        </w:rPr>
      </w:pPr>
      <w:r>
        <w:rPr>
          <w:rFonts w:ascii="Arial" w:cs="Arial" w:eastAsia="Arial" w:hAnsi="Arial"/>
          <w:sz w:val="18"/>
          <w:szCs w:val="18"/>
          <w:color w:val="auto"/>
        </w:rPr>
        <w:t>1.6 Resignation of Administrative Agent. The Administrative Agent may at any time give notice of its resignation to the Lenders, the L/C Issuers and the Company. Upon receipt of any such notice of resignation, the Required Lenders shall have the right, with the consent of the Company so long as no Event of Default has occurred and is continuing (such consent not to be unreasonably withheld, conditioned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 behalf of the Lenders and the L/C Issuers, appoint a successor Administrative Agent meeting the qualifications set forth above with the consent of the Company so long as no Event of Default has occurred and is continuing (such consent not to be unreasonably withheld, conditioned or delayed). Whether or not a successor has been appointed, such resignation shall become effective in accordance with such notice on the Resignation Effective Date. With effect from the Resignation Effective Date, (1)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(2) except for any indemnity payments or other amounts then owed to the retiring Administrative Agent, all payments, communications and determinations provided to be made by, to or</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8" w:name="page249"/>
    <w:bookmarkEnd w:id="248"/>
    <w:p>
      <w:pPr>
        <w:jc w:val="both"/>
        <w:ind w:left="100"/>
        <w:spacing w:after="0" w:line="287" w:lineRule="auto"/>
        <w:rPr>
          <w:sz w:val="20"/>
          <w:szCs w:val="20"/>
          <w:color w:val="auto"/>
        </w:rPr>
      </w:pPr>
      <w:r>
        <w:rPr>
          <w:rFonts w:ascii="Arial" w:cs="Arial" w:eastAsia="Arial" w:hAnsi="Arial"/>
          <w:sz w:val="16"/>
          <w:szCs w:val="16"/>
          <w:color w:val="auto"/>
        </w:rPr>
        <w:t xml:space="preserve">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w:t>
      </w:r>
    </w:p>
    <w:p>
      <w:pPr>
        <w:spacing w:after="0" w:line="188" w:lineRule="exact"/>
        <w:rPr>
          <w:sz w:val="20"/>
          <w:szCs w:val="20"/>
          <w:color w:val="auto"/>
        </w:rPr>
      </w:pPr>
    </w:p>
    <w:p>
      <w:pPr>
        <w:ind w:left="100" w:hanging="9"/>
        <w:spacing w:after="0" w:line="234" w:lineRule="auto"/>
        <w:tabs>
          <w:tab w:leader="none" w:pos="427" w:val="left"/>
        </w:tabs>
        <w:numPr>
          <w:ilvl w:val="0"/>
          <w:numId w:val="250"/>
        </w:numPr>
        <w:rPr>
          <w:rFonts w:ascii="Arial" w:cs="Arial" w:eastAsia="Arial" w:hAnsi="Arial"/>
          <w:sz w:val="20"/>
          <w:szCs w:val="20"/>
          <w:color w:val="auto"/>
        </w:rPr>
      </w:pPr>
      <w:r>
        <w:rPr>
          <w:rFonts w:ascii="Arial" w:cs="Arial" w:eastAsia="Arial" w:hAnsi="Arial"/>
          <w:sz w:val="20"/>
          <w:szCs w:val="20"/>
          <w:color w:val="auto"/>
        </w:rPr>
        <w:t>acting as collateral agent or otherwise holding any collateral security on behalf of any of the Lenders and (B) in respect of any actions taken in connection with transferring the agency to any successor Administrative Agent.</w:t>
      </w:r>
    </w:p>
    <w:p>
      <w:pPr>
        <w:spacing w:after="0" w:line="184" w:lineRule="exact"/>
        <w:rPr>
          <w:sz w:val="20"/>
          <w:szCs w:val="20"/>
          <w:color w:val="auto"/>
        </w:rPr>
      </w:pPr>
    </w:p>
    <w:p>
      <w:pPr>
        <w:jc w:val="both"/>
        <w:ind w:left="100" w:firstLine="747"/>
        <w:spacing w:after="0" w:line="238" w:lineRule="auto"/>
        <w:rPr>
          <w:sz w:val="20"/>
          <w:szCs w:val="20"/>
          <w:color w:val="auto"/>
        </w:rPr>
      </w:pPr>
      <w:r>
        <w:rPr>
          <w:rFonts w:ascii="Arial" w:cs="Arial" w:eastAsia="Arial" w:hAnsi="Arial"/>
          <w:sz w:val="19"/>
          <w:szCs w:val="19"/>
          <w:color w:val="auto"/>
        </w:rPr>
        <w:t xml:space="preserve">Any resignation by Bank of America as Administrative Agent pursuant to this Section shall also constitute its resignation as an L/C Issuer and the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Arial" w:cs="Arial" w:eastAsia="Arial" w:hAnsi="Arial"/>
          <w:sz w:val="19"/>
          <w:szCs w:val="19"/>
          <w:u w:val="single" w:color="auto"/>
          <w:color w:val="auto"/>
        </w:rPr>
        <w:t>Section 2.04(c)</w:t>
      </w:r>
      <w:r>
        <w:rPr>
          <w:rFonts w:ascii="Arial" w:cs="Arial" w:eastAsia="Arial" w:hAnsi="Arial"/>
          <w:sz w:val="19"/>
          <w:szCs w:val="19"/>
          <w:color w:val="auto"/>
        </w:rPr>
        <w:t>.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w:t>
      </w:r>
    </w:p>
    <w:p>
      <w:pPr>
        <w:spacing w:after="0" w:line="9" w:lineRule="exact"/>
        <w:rPr>
          <w:sz w:val="20"/>
          <w:szCs w:val="20"/>
          <w:color w:val="auto"/>
        </w:rPr>
      </w:pPr>
    </w:p>
    <w:p>
      <w:pPr>
        <w:jc w:val="both"/>
        <w:ind w:left="100" w:hanging="9"/>
        <w:spacing w:after="0" w:line="230" w:lineRule="auto"/>
        <w:tabs>
          <w:tab w:leader="none" w:pos="403" w:val="left"/>
        </w:tabs>
        <w:numPr>
          <w:ilvl w:val="0"/>
          <w:numId w:val="251"/>
        </w:numPr>
        <w:rPr>
          <w:rFonts w:ascii="Arial" w:cs="Arial" w:eastAsia="Arial" w:hAnsi="Arial"/>
          <w:sz w:val="20"/>
          <w:szCs w:val="20"/>
          <w:color w:val="auto"/>
        </w:rPr>
      </w:pPr>
      <w:r>
        <w:rPr>
          <w:rFonts w:ascii="Arial" w:cs="Arial" w:eastAsia="Arial" w:hAnsi="Arial"/>
          <w:sz w:val="20"/>
          <w:szCs w:val="20"/>
          <w:color w:val="auto"/>
        </w:rPr>
        <w:t>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6" w:lineRule="exact"/>
        <w:rPr>
          <w:sz w:val="20"/>
          <w:szCs w:val="20"/>
          <w:color w:val="auto"/>
        </w:rPr>
      </w:pPr>
    </w:p>
    <w:p>
      <w:pPr>
        <w:jc w:val="both"/>
        <w:ind w:left="100" w:firstLine="749"/>
        <w:spacing w:after="0" w:line="292" w:lineRule="auto"/>
        <w:rPr>
          <w:sz w:val="20"/>
          <w:szCs w:val="20"/>
          <w:color w:val="auto"/>
        </w:rPr>
      </w:pPr>
      <w:r>
        <w:rPr>
          <w:rFonts w:ascii="Arial" w:cs="Arial" w:eastAsia="Arial" w:hAnsi="Arial"/>
          <w:sz w:val="16"/>
          <w:szCs w:val="16"/>
          <w:color w:val="auto"/>
        </w:rPr>
        <w:t>1.7 Non-Reliance on Administrative Agent, Arranger and Other Lenders. Each Lender and each L/C Issuer expressly acknowledges that none of the Administrative Agent nor the Arranger has made any representation or warranty to it, and that no act by the Administrative Agent or the Arranger hereafter taken, including any consent to, and acceptance of any assignment or review of the affairs of any Loan Party of any Affiliate thereof, shall be deemed to constitute any representation or warranty by the Administrative Agent or the Arranger to any Lender or each L/C Issuer as to any matter, including whether the Administrative Agent or the Arranger have disclosed material information in their (or their Related Parties’) possession. Each Lender and each L/C Issuer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49" w:name="page250"/>
    <w:bookmarkEnd w:id="249"/>
    <w:p>
      <w:pPr>
        <w:jc w:val="both"/>
        <w:ind w:left="100"/>
        <w:spacing w:after="0" w:line="254" w:lineRule="auto"/>
        <w:rPr>
          <w:sz w:val="20"/>
          <w:szCs w:val="20"/>
          <w:color w:val="auto"/>
        </w:rPr>
      </w:pPr>
      <w:r>
        <w:rPr>
          <w:rFonts w:ascii="Arial" w:cs="Arial" w:eastAsia="Arial" w:hAnsi="Arial"/>
          <w:sz w:val="18"/>
          <w:szCs w:val="18"/>
          <w:color w:val="auto"/>
        </w:rPr>
        <w:t>hereby, and made its own decision to enter into this Agreement and to extend credit to the Borrowers hereunder. Each Lender and each L/C Issuer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suchcommercial loans or providing such other facilities.</w:t>
      </w:r>
    </w:p>
    <w:p>
      <w:pPr>
        <w:spacing w:after="0" w:line="170" w:lineRule="exact"/>
        <w:rPr>
          <w:sz w:val="20"/>
          <w:szCs w:val="20"/>
          <w:color w:val="auto"/>
        </w:rPr>
      </w:pPr>
    </w:p>
    <w:p>
      <w:pPr>
        <w:jc w:val="both"/>
        <w:ind w:left="100" w:firstLine="749"/>
        <w:spacing w:after="0" w:line="234" w:lineRule="auto"/>
        <w:rPr>
          <w:sz w:val="20"/>
          <w:szCs w:val="20"/>
          <w:color w:val="auto"/>
        </w:rPr>
      </w:pPr>
      <w:r>
        <w:rPr>
          <w:rFonts w:ascii="Arial" w:cs="Arial" w:eastAsia="Arial" w:hAnsi="Arial"/>
          <w:sz w:val="20"/>
          <w:szCs w:val="20"/>
          <w:color w:val="auto"/>
        </w:rPr>
        <w:t>1.8 No Other Duties, Etc. Anything herein to the contrary notwithstanding, none of the arranger(s), bookrunner(s), syndication agent(s) or documentation agent(s) listed on the cover page hereof shall have any powers, duties or responsibilities under this Agreement or any of the other Loan Documents, except in its capacity, as applicable, as the Administrative Agent, a Lender or an L/C Issuerhereunder.</w:t>
      </w:r>
    </w:p>
    <w:p>
      <w:pPr>
        <w:spacing w:after="0" w:line="197" w:lineRule="exact"/>
        <w:rPr>
          <w:sz w:val="20"/>
          <w:szCs w:val="20"/>
          <w:color w:val="auto"/>
        </w:rPr>
      </w:pPr>
    </w:p>
    <w:p>
      <w:pPr>
        <w:jc w:val="both"/>
        <w:ind w:left="100" w:firstLine="749"/>
        <w:spacing w:after="0" w:line="232" w:lineRule="auto"/>
        <w:rPr>
          <w:sz w:val="20"/>
          <w:szCs w:val="20"/>
          <w:color w:val="auto"/>
        </w:rPr>
      </w:pPr>
      <w:r>
        <w:rPr>
          <w:rFonts w:ascii="Arial" w:cs="Arial" w:eastAsia="Arial" w:hAnsi="Arial"/>
          <w:sz w:val="20"/>
          <w:szCs w:val="20"/>
          <w:color w:val="auto"/>
        </w:rPr>
        <w:t>1.9 Administrative Agent May File Proofs of Claim; Credit Bidding.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left="280" w:firstLine="748"/>
        <w:spacing w:after="0" w:line="244" w:lineRule="auto"/>
        <w:tabs>
          <w:tab w:leader="none" w:pos="177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9"/>
          <w:szCs w:val="19"/>
          <w:u w:val="single" w:color="auto"/>
          <w:color w:val="auto"/>
        </w:rPr>
        <w:t>Sections 2.03(h)</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w:t>
      </w:r>
      <w:r>
        <w:rPr>
          <w:rFonts w:ascii="Arial" w:cs="Arial" w:eastAsia="Arial" w:hAnsi="Arial"/>
          <w:sz w:val="19"/>
          <w:szCs w:val="19"/>
          <w:color w:val="auto"/>
        </w:rPr>
        <w:t xml:space="preserve">, </w:t>
      </w:r>
      <w:r>
        <w:rPr>
          <w:rFonts w:ascii="Arial" w:cs="Arial" w:eastAsia="Arial" w:hAnsi="Arial"/>
          <w:sz w:val="19"/>
          <w:szCs w:val="19"/>
          <w:u w:val="single" w:color="auto"/>
          <w:color w:val="auto"/>
        </w:rPr>
        <w:t>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allowed in such judicial proceeding; and</w:t>
      </w:r>
    </w:p>
    <w:p>
      <w:pPr>
        <w:spacing w:after="0" w:line="192" w:lineRule="exact"/>
        <w:rPr>
          <w:rFonts w:ascii="Arial" w:cs="Arial" w:eastAsia="Arial" w:hAnsi="Arial"/>
          <w:sz w:val="19"/>
          <w:szCs w:val="19"/>
          <w:color w:val="auto"/>
        </w:rPr>
      </w:pPr>
    </w:p>
    <w:p>
      <w:pPr>
        <w:ind w:left="1760" w:hanging="732"/>
        <w:spacing w:after="0"/>
        <w:tabs>
          <w:tab w:leader="none" w:pos="17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w:t>
      </w:r>
    </w:p>
    <w:p>
      <w:pPr>
        <w:spacing w:after="0" w:line="2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186" w:lineRule="exact"/>
        <w:rPr>
          <w:sz w:val="20"/>
          <w:szCs w:val="20"/>
          <w:color w:val="auto"/>
        </w:rPr>
      </w:pPr>
    </w:p>
    <w:p>
      <w:pPr>
        <w:jc w:val="both"/>
        <w:ind w:left="100"/>
        <w:spacing w:after="0" w:line="263"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50" w:name="page251"/>
    <w:bookmarkEnd w:id="250"/>
    <w:p>
      <w:pPr>
        <w:jc w:val="both"/>
        <w:ind w:left="100" w:firstLine="747"/>
        <w:spacing w:after="0" w:line="234" w:lineRule="auto"/>
        <w:rPr>
          <w:sz w:val="20"/>
          <w:szCs w:val="20"/>
          <w:color w:val="auto"/>
        </w:rPr>
      </w:pPr>
      <w:r>
        <w:rPr>
          <w:rFonts w:ascii="Arial" w:cs="Arial" w:eastAsia="Arial" w:hAnsi="Arial"/>
          <w:sz w:val="20"/>
          <w:szCs w:val="20"/>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183" w:lineRule="exact"/>
        <w:rPr>
          <w:sz w:val="20"/>
          <w:szCs w:val="20"/>
          <w:color w:val="auto"/>
        </w:rPr>
      </w:pPr>
    </w:p>
    <w:p>
      <w:pPr>
        <w:jc w:val="both"/>
        <w:ind w:left="100" w:firstLine="747"/>
        <w:spacing w:after="0" w:line="251" w:lineRule="auto"/>
        <w:rPr>
          <w:sz w:val="20"/>
          <w:szCs w:val="20"/>
          <w:color w:val="auto"/>
        </w:rPr>
      </w:pPr>
      <w:r>
        <w:rPr>
          <w:rFonts w:ascii="Arial" w:cs="Arial" w:eastAsia="Arial" w:hAnsi="Arial"/>
          <w:sz w:val="18"/>
          <w:szCs w:val="18"/>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(m)</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10.01</w:t>
      </w:r>
      <w:r>
        <w:rPr>
          <w:rFonts w:ascii="Arial" w:cs="Arial" w:eastAsia="Arial" w:hAnsi="Arial"/>
          <w:sz w:val="18"/>
          <w:szCs w:val="18"/>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w:t>
      </w:r>
    </w:p>
    <w:p>
      <w:pPr>
        <w:spacing w:after="0" w:line="6" w:lineRule="exact"/>
        <w:rPr>
          <w:sz w:val="20"/>
          <w:szCs w:val="20"/>
          <w:color w:val="auto"/>
        </w:rPr>
      </w:pPr>
    </w:p>
    <w:p>
      <w:pPr>
        <w:jc w:val="both"/>
        <w:ind w:left="100"/>
        <w:spacing w:after="0" w:line="298" w:lineRule="auto"/>
        <w:rPr>
          <w:sz w:val="20"/>
          <w:szCs w:val="20"/>
          <w:color w:val="auto"/>
        </w:rPr>
      </w:pPr>
      <w:r>
        <w:rPr>
          <w:rFonts w:ascii="Arial" w:cs="Arial" w:eastAsia="Arial" w:hAnsi="Arial"/>
          <w:sz w:val="16"/>
          <w:szCs w:val="16"/>
          <w:color w:val="auto"/>
        </w:rPr>
        <w:t>(i)to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51" w:lineRule="exact"/>
        <w:rPr>
          <w:sz w:val="20"/>
          <w:szCs w:val="20"/>
          <w:color w:val="auto"/>
        </w:rPr>
      </w:pPr>
    </w:p>
    <w:p>
      <w:pPr>
        <w:jc w:val="both"/>
        <w:ind w:left="100" w:firstLine="749"/>
        <w:spacing w:after="0" w:line="237" w:lineRule="auto"/>
        <w:rPr>
          <w:sz w:val="20"/>
          <w:szCs w:val="20"/>
          <w:color w:val="auto"/>
        </w:rPr>
      </w:pPr>
      <w:r>
        <w:rPr>
          <w:rFonts w:ascii="Arial" w:cs="Arial" w:eastAsia="Arial" w:hAnsi="Arial"/>
          <w:sz w:val="20"/>
          <w:szCs w:val="20"/>
          <w:color w:val="auto"/>
        </w:rPr>
        <w:t>1.10 Collateral and Guaranty Matters. Each of the Lenders (including in its capacities as a potential Cash Management Bank, a potential Hedge Bank and a potential PSLOC Bank) and each L/C Issuer irrevocably authorize the Administrative Agent at its option and in its discretion,</w:t>
      </w:r>
    </w:p>
    <w:p>
      <w:pPr>
        <w:spacing w:after="0" w:line="183" w:lineRule="exact"/>
        <w:rPr>
          <w:sz w:val="20"/>
          <w:szCs w:val="20"/>
          <w:color w:val="auto"/>
        </w:rPr>
      </w:pPr>
    </w:p>
    <w:p>
      <w:pPr>
        <w:jc w:val="both"/>
        <w:ind w:left="280" w:firstLine="748"/>
        <w:spacing w:after="0" w:line="244" w:lineRule="auto"/>
        <w:tabs>
          <w:tab w:leader="none" w:pos="1769" w:val="left"/>
        </w:tabs>
        <w:numPr>
          <w:ilvl w:val="0"/>
          <w:numId w:val="253"/>
        </w:numPr>
        <w:rPr>
          <w:rFonts w:ascii="Arial" w:cs="Arial" w:eastAsia="Arial" w:hAnsi="Arial"/>
          <w:sz w:val="19"/>
          <w:szCs w:val="19"/>
          <w:color w:val="auto"/>
        </w:rPr>
      </w:pPr>
      <w:r>
        <w:rPr>
          <w:rFonts w:ascii="Arial" w:cs="Arial" w:eastAsia="Arial" w:hAnsi="Arial"/>
          <w:sz w:val="19"/>
          <w:szCs w:val="19"/>
          <w:color w:val="auto"/>
        </w:rPr>
        <w:t>to release any Lien on any property granted to or held by the Administrative Agent under any Loan Document (i) upon termination of the Aggregate Commitments and payment in full of all Obligations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the expiration or termination of all Letters of Credit and Secured Permitted Standalone Letters of Credit (other than Letters of Credit or Secured</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51" w:name="page252"/>
    <w:bookmarkEnd w:id="251"/>
    <w:p>
      <w:pPr>
        <w:jc w:val="both"/>
        <w:ind w:left="280"/>
        <w:spacing w:after="0" w:line="303" w:lineRule="auto"/>
        <w:rPr>
          <w:sz w:val="20"/>
          <w:szCs w:val="20"/>
          <w:color w:val="auto"/>
        </w:rPr>
      </w:pPr>
      <w:r>
        <w:rPr>
          <w:rFonts w:ascii="Arial" w:cs="Arial" w:eastAsia="Arial" w:hAnsi="Arial"/>
          <w:sz w:val="16"/>
          <w:szCs w:val="16"/>
          <w:color w:val="auto"/>
        </w:rPr>
        <w:t xml:space="preserve">Permitted Standalone Letters of Credit as to which other arrangements with respect thereto reasonably satisfactory to the Administrative Agent and each L/C Issuer or the applicable PSLOC Bank, as applicable, shall have been made), (ii) that is sold or otherwise Disposed of or to be sold or otherwise Disposed of as part of or in connection with any sale or other Disposition permitted hereunder or under any other Loan Document to a Person that is not a Loan Party, (iii) that no longer constitutes Collateral or is no longer required to secure the Obligations or (iv) subject to </w:t>
      </w:r>
      <w:r>
        <w:rPr>
          <w:rFonts w:ascii="Arial" w:cs="Arial" w:eastAsia="Arial" w:hAnsi="Arial"/>
          <w:sz w:val="16"/>
          <w:szCs w:val="16"/>
          <w:u w:val="single" w:color="auto"/>
          <w:color w:val="auto"/>
        </w:rPr>
        <w:t>Section 10.01</w:t>
      </w:r>
      <w:r>
        <w:rPr>
          <w:rFonts w:ascii="Arial" w:cs="Arial" w:eastAsia="Arial" w:hAnsi="Arial"/>
          <w:sz w:val="16"/>
          <w:szCs w:val="16"/>
          <w:color w:val="auto"/>
        </w:rPr>
        <w:t>, if approved, authorized or ratified in writing by the Required Lenders;</w:t>
      </w:r>
    </w:p>
    <w:p>
      <w:pPr>
        <w:spacing w:after="0" w:line="135" w:lineRule="exact"/>
        <w:rPr>
          <w:sz w:val="20"/>
          <w:szCs w:val="20"/>
          <w:color w:val="auto"/>
        </w:rPr>
      </w:pPr>
    </w:p>
    <w:p>
      <w:pPr>
        <w:ind w:left="280" w:right="20" w:firstLine="748"/>
        <w:spacing w:after="0" w:line="246" w:lineRule="auto"/>
        <w:tabs>
          <w:tab w:leader="none" w:pos="1769" w:val="left"/>
        </w:tabs>
        <w:numPr>
          <w:ilvl w:val="0"/>
          <w:numId w:val="254"/>
        </w:numPr>
        <w:rPr>
          <w:rFonts w:ascii="Arial" w:cs="Arial" w:eastAsia="Arial" w:hAnsi="Arial"/>
          <w:sz w:val="20"/>
          <w:szCs w:val="20"/>
          <w:color w:val="auto"/>
        </w:rPr>
      </w:pPr>
      <w:r>
        <w:rPr>
          <w:rFonts w:ascii="Arial" w:cs="Arial" w:eastAsia="Arial" w:hAnsi="Arial"/>
          <w:sz w:val="20"/>
          <w:szCs w:val="20"/>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20"/>
          <w:szCs w:val="20"/>
          <w:u w:val="single" w:color="auto"/>
          <w:color w:val="auto"/>
        </w:rPr>
        <w:t>Section 7.01(i)</w:t>
      </w:r>
      <w:r>
        <w:rPr>
          <w:rFonts w:ascii="Arial" w:cs="Arial" w:eastAsia="Arial" w:hAnsi="Arial"/>
          <w:sz w:val="20"/>
          <w:szCs w:val="20"/>
          <w:color w:val="auto"/>
        </w:rPr>
        <w:t>; and</w:t>
      </w:r>
    </w:p>
    <w:p>
      <w:pPr>
        <w:spacing w:after="0" w:line="190" w:lineRule="exact"/>
        <w:rPr>
          <w:rFonts w:ascii="Arial" w:cs="Arial" w:eastAsia="Arial" w:hAnsi="Arial"/>
          <w:sz w:val="20"/>
          <w:szCs w:val="20"/>
          <w:color w:val="auto"/>
        </w:rPr>
      </w:pPr>
    </w:p>
    <w:p>
      <w:pPr>
        <w:jc w:val="both"/>
        <w:ind w:left="280" w:firstLine="748"/>
        <w:spacing w:after="0" w:line="237" w:lineRule="auto"/>
        <w:tabs>
          <w:tab w:leader="none" w:pos="1769" w:val="left"/>
        </w:tabs>
        <w:numPr>
          <w:ilvl w:val="0"/>
          <w:numId w:val="254"/>
        </w:numPr>
        <w:rPr>
          <w:rFonts w:ascii="Arial" w:cs="Arial" w:eastAsia="Arial" w:hAnsi="Arial"/>
          <w:sz w:val="20"/>
          <w:szCs w:val="20"/>
          <w:color w:val="auto"/>
        </w:rPr>
      </w:pPr>
      <w:r>
        <w:rPr>
          <w:rFonts w:ascii="Arial" w:cs="Arial" w:eastAsia="Arial" w:hAnsi="Arial"/>
          <w:sz w:val="20"/>
          <w:szCs w:val="20"/>
          <w:color w:val="auto"/>
        </w:rPr>
        <w:t>to release any Subsidiary Guarantor from its obligations under the Loan Documents to which it is a party if such Person ceases to be a Restricted Subsidiary or is no longer required to be a Subsidiary Guarantor, in each case, as a result of a transaction permitted hereunder or as otherwise permitted hereunder.</w:t>
      </w:r>
    </w:p>
    <w:p>
      <w:pPr>
        <w:spacing w:after="0" w:line="183" w:lineRule="exact"/>
        <w:rPr>
          <w:sz w:val="20"/>
          <w:szCs w:val="20"/>
          <w:color w:val="auto"/>
        </w:rPr>
      </w:pPr>
    </w:p>
    <w:p>
      <w:pPr>
        <w:jc w:val="both"/>
        <w:ind w:left="100" w:firstLine="747"/>
        <w:spacing w:after="0" w:line="237" w:lineRule="auto"/>
        <w:rPr>
          <w:sz w:val="20"/>
          <w:szCs w:val="20"/>
          <w:color w:val="auto"/>
        </w:rPr>
      </w:pPr>
      <w:r>
        <w:rPr>
          <w:rFonts w:ascii="Arial" w:cs="Arial" w:eastAsia="Arial" w:hAnsi="Arial"/>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Loan Documents to which it is a party pursuant to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183" w:lineRule="exact"/>
        <w:rPr>
          <w:sz w:val="20"/>
          <w:szCs w:val="20"/>
          <w:color w:val="auto"/>
        </w:rPr>
      </w:pPr>
    </w:p>
    <w:p>
      <w:pPr>
        <w:jc w:val="both"/>
        <w:ind w:left="100" w:firstLine="747"/>
        <w:spacing w:after="0" w:line="248" w:lineRule="auto"/>
        <w:rPr>
          <w:sz w:val="20"/>
          <w:szCs w:val="20"/>
          <w:color w:val="auto"/>
        </w:rPr>
      </w:pPr>
      <w:r>
        <w:rPr>
          <w:rFonts w:ascii="Arial" w:cs="Arial" w:eastAsia="Arial" w:hAnsi="Arial"/>
          <w:sz w:val="19"/>
          <w:szCs w:val="19"/>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90" w:lineRule="exact"/>
        <w:rPr>
          <w:sz w:val="20"/>
          <w:szCs w:val="20"/>
          <w:color w:val="auto"/>
        </w:rPr>
      </w:pPr>
    </w:p>
    <w:p>
      <w:pPr>
        <w:jc w:val="both"/>
        <w:ind w:left="100" w:firstLine="749"/>
        <w:spacing w:after="0"/>
        <w:rPr>
          <w:sz w:val="20"/>
          <w:szCs w:val="20"/>
          <w:color w:val="auto"/>
        </w:rPr>
      </w:pPr>
      <w:r>
        <w:rPr>
          <w:rFonts w:ascii="Arial" w:cs="Arial" w:eastAsia="Arial" w:hAnsi="Arial"/>
          <w:sz w:val="19"/>
          <w:szCs w:val="19"/>
          <w:color w:val="auto"/>
        </w:rPr>
        <w:t xml:space="preserve">1.12 Secured Cash Management Agreements, Secured Hedge Agreements and Secured Permitted Standalone Letters of Credit. No Cash Management Bank, Hedge Bank or PSLOC Bank that obtains the benefit of the provisions of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Collateral Document) other than in its capacity as a Lender and, in such case, only to the extent expressly provided in the Loan Documents. Notwithstanding any other provision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to the contrary, the Administrative Agent shall not be required to verify the payment of, or that other reasonably satisfactory arrangements have been made with respect to, Obligations arising under Secured Cash Management Agreements, Secured Hedge Agreements and Secured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186"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Certain ERISAMatters.</w:t>
      </w:r>
    </w:p>
    <w:p>
      <w:pPr>
        <w:spacing w:after="0" w:line="202" w:lineRule="exact"/>
        <w:rPr>
          <w:sz w:val="20"/>
          <w:szCs w:val="20"/>
          <w:color w:val="auto"/>
        </w:rPr>
      </w:pPr>
    </w:p>
    <w:p>
      <w:pPr>
        <w:jc w:val="both"/>
        <w:ind w:left="280" w:firstLine="748"/>
        <w:spacing w:after="0" w:line="248" w:lineRule="auto"/>
        <w:tabs>
          <w:tab w:leader="none" w:pos="177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Company or any other Loan Party, that at least one of the following is and will be true: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119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52" w:name="page253"/>
    <w:bookmarkEnd w:id="252"/>
    <w:p>
      <w:pPr>
        <w:jc w:val="both"/>
        <w:ind w:left="1020" w:right="20" w:firstLine="757"/>
        <w:spacing w:after="0" w:line="237" w:lineRule="auto"/>
        <w:tabs>
          <w:tab w:leader="none" w:pos="2508" w:val="left"/>
        </w:tabs>
        <w:numPr>
          <w:ilvl w:val="2"/>
          <w:numId w:val="256"/>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2" w:lineRule="exact"/>
        <w:rPr>
          <w:rFonts w:ascii="Arial" w:cs="Arial" w:eastAsia="Arial" w:hAnsi="Arial"/>
          <w:sz w:val="20"/>
          <w:szCs w:val="20"/>
          <w:color w:val="auto"/>
        </w:rPr>
      </w:pPr>
    </w:p>
    <w:p>
      <w:pPr>
        <w:jc w:val="both"/>
        <w:ind w:left="1020" w:firstLine="757"/>
        <w:spacing w:after="0" w:line="243" w:lineRule="auto"/>
        <w:tabs>
          <w:tab w:leader="none" w:pos="2509" w:val="left"/>
        </w:tabs>
        <w:numPr>
          <w:ilvl w:val="2"/>
          <w:numId w:val="256"/>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Arial" w:cs="Arial" w:eastAsia="Arial" w:hAnsi="Arial"/>
          <w:sz w:val="19"/>
          <w:szCs w:val="19"/>
          <w:color w:val="auto"/>
        </w:rPr>
      </w:pPr>
    </w:p>
    <w:p>
      <w:pPr>
        <w:jc w:val="both"/>
        <w:ind w:left="1020" w:firstLine="757"/>
        <w:spacing w:after="0" w:line="242" w:lineRule="auto"/>
        <w:tabs>
          <w:tab w:leader="none" w:pos="2509" w:val="left"/>
        </w:tabs>
        <w:numPr>
          <w:ilvl w:val="2"/>
          <w:numId w:val="256"/>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1" w:lineRule="exact"/>
        <w:rPr>
          <w:rFonts w:ascii="Arial" w:cs="Arial" w:eastAsia="Arial" w:hAnsi="Arial"/>
          <w:sz w:val="19"/>
          <w:szCs w:val="19"/>
          <w:color w:val="auto"/>
        </w:rPr>
      </w:pPr>
    </w:p>
    <w:p>
      <w:pPr>
        <w:ind w:left="1020" w:right="20" w:firstLine="757"/>
        <w:spacing w:after="0" w:line="246" w:lineRule="auto"/>
        <w:tabs>
          <w:tab w:leader="none" w:pos="2508" w:val="left"/>
        </w:tabs>
        <w:numPr>
          <w:ilvl w:val="2"/>
          <w:numId w:val="256"/>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0" w:lineRule="exact"/>
        <w:rPr>
          <w:rFonts w:ascii="Arial" w:cs="Arial" w:eastAsia="Arial" w:hAnsi="Arial"/>
          <w:sz w:val="20"/>
          <w:szCs w:val="20"/>
          <w:color w:val="auto"/>
        </w:rPr>
      </w:pPr>
    </w:p>
    <w:p>
      <w:pPr>
        <w:ind w:left="1760" w:hanging="732"/>
        <w:spacing w:after="0"/>
        <w:tabs>
          <w:tab w:leader="none" w:pos="17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In addition, unless either (1) sub-clause (i) in the immediately preceding clause (a) is true with respect to a Lender or</w:t>
      </w:r>
    </w:p>
    <w:p>
      <w:pPr>
        <w:spacing w:after="0" w:line="25" w:lineRule="exact"/>
        <w:rPr>
          <w:rFonts w:ascii="Arial" w:cs="Arial" w:eastAsia="Arial" w:hAnsi="Arial"/>
          <w:sz w:val="18"/>
          <w:szCs w:val="18"/>
          <w:color w:val="auto"/>
        </w:rPr>
      </w:pPr>
    </w:p>
    <w:p>
      <w:pPr>
        <w:jc w:val="both"/>
        <w:ind w:left="280" w:hanging="1"/>
        <w:spacing w:after="0" w:line="281" w:lineRule="auto"/>
        <w:tabs>
          <w:tab w:leader="none" w:pos="60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 Lender has provided another representation, warranty and covenant in accordance with sub-clause (iv) in the immediately preceding clause (a), such Lender further (x) represents and warrants, as of the date such Person became a Lender party hereto, to, and</w:t>
      </w:r>
    </w:p>
    <w:p>
      <w:pPr>
        <w:spacing w:after="0" w:line="1" w:lineRule="exact"/>
        <w:rPr>
          <w:rFonts w:ascii="Arial" w:cs="Arial" w:eastAsia="Arial" w:hAnsi="Arial"/>
          <w:sz w:val="16"/>
          <w:szCs w:val="16"/>
          <w:color w:val="auto"/>
        </w:rPr>
      </w:pPr>
    </w:p>
    <w:p>
      <w:pPr>
        <w:jc w:val="both"/>
        <w:ind w:left="280"/>
        <w:spacing w:after="0" w:line="228" w:lineRule="auto"/>
        <w:rPr>
          <w:rFonts w:ascii="Arial" w:cs="Arial" w:eastAsia="Arial" w:hAnsi="Arial"/>
          <w:sz w:val="16"/>
          <w:szCs w:val="16"/>
          <w:color w:val="auto"/>
        </w:rPr>
      </w:pPr>
      <w:r>
        <w:rPr>
          <w:rFonts w:ascii="Arial" w:cs="Arial" w:eastAsia="Arial" w:hAnsi="Arial"/>
          <w:sz w:val="20"/>
          <w:szCs w:val="20"/>
          <w:color w:val="auto"/>
        </w:rPr>
        <w:t>(y)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5" w:lineRule="exact"/>
        <w:rPr>
          <w:sz w:val="20"/>
          <w:szCs w:val="20"/>
          <w:color w:val="auto"/>
        </w:rPr>
      </w:pPr>
    </w:p>
    <w:p>
      <w:pPr>
        <w:jc w:val="both"/>
        <w:ind w:left="100" w:firstLine="749"/>
        <w:spacing w:after="0" w:line="257" w:lineRule="auto"/>
        <w:rPr>
          <w:sz w:val="20"/>
          <w:szCs w:val="20"/>
          <w:color w:val="auto"/>
        </w:rPr>
      </w:pPr>
      <w:r>
        <w:rPr>
          <w:rFonts w:ascii="Arial" w:cs="Arial" w:eastAsia="Arial" w:hAnsi="Arial"/>
          <w:sz w:val="18"/>
          <w:szCs w:val="18"/>
          <w:color w:val="auto"/>
        </w:rPr>
        <w:t>1.14 Recovery of Erroneous Payments. Without limitation of any other provision in this 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53" w:name="page254"/>
    <w:bookmarkEnd w:id="253"/>
    <w:p>
      <w:pPr>
        <w:jc w:val="both"/>
        <w:ind w:left="100" w:right="20"/>
        <w:spacing w:after="0" w:line="234" w:lineRule="auto"/>
        <w:rPr>
          <w:sz w:val="20"/>
          <w:szCs w:val="20"/>
          <w:color w:val="auto"/>
        </w:rPr>
      </w:pPr>
      <w:r>
        <w:rPr>
          <w:rFonts w:ascii="Arial" w:cs="Arial" w:eastAsia="Arial" w:hAnsi="Arial"/>
          <w:sz w:val="20"/>
          <w:szCs w:val="20"/>
          <w:color w:val="auto"/>
        </w:rPr>
        <w:t>any “discharge for value” (under which a creditor might otherwise claim a right to retain fundsmistakenly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X. MISCELLANEOUS</w:t>
      </w:r>
    </w:p>
    <w:p>
      <w:pPr>
        <w:spacing w:after="0" w:line="202" w:lineRule="exact"/>
        <w:rPr>
          <w:sz w:val="20"/>
          <w:szCs w:val="20"/>
          <w:color w:val="auto"/>
        </w:rPr>
      </w:pPr>
    </w:p>
    <w:p>
      <w:pPr>
        <w:jc w:val="both"/>
        <w:ind w:left="100" w:firstLine="749"/>
        <w:spacing w:after="0" w:line="244" w:lineRule="auto"/>
        <w:rPr>
          <w:sz w:val="20"/>
          <w:szCs w:val="20"/>
          <w:color w:val="auto"/>
        </w:rPr>
      </w:pPr>
      <w:r>
        <w:rPr>
          <w:rFonts w:ascii="Arial" w:cs="Arial" w:eastAsia="Arial" w:hAnsi="Arial"/>
          <w:sz w:val="19"/>
          <w:szCs w:val="19"/>
          <w:color w:val="auto"/>
        </w:rPr>
        <w:t xml:space="preserve">1.1 Amendments, Etc. Subject to </w:t>
      </w:r>
      <w:r>
        <w:rPr>
          <w:rFonts w:ascii="Arial" w:cs="Arial" w:eastAsia="Arial" w:hAnsi="Arial"/>
          <w:sz w:val="19"/>
          <w:szCs w:val="19"/>
          <w:u w:val="single" w:color="auto"/>
          <w:color w:val="auto"/>
        </w:rPr>
        <w:t>Section 3.03(c)</w:t>
      </w:r>
      <w:r>
        <w:rPr>
          <w:rFonts w:ascii="Arial" w:cs="Arial" w:eastAsia="Arial" w:hAnsi="Arial"/>
          <w:sz w:val="19"/>
          <w:szCs w:val="19"/>
          <w:color w:val="auto"/>
        </w:rPr>
        <w:t xml:space="preserve"> and the last three paragraphs of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no amendment or waiver of any provision of this Agreement or any other Loan Document, and no consent to any departure by the Company or any other Loan Party therefrom, shall be effective unless in writing signed by the Required Lenders (or the Administrative Agent acting with the authorization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amendment, waiver or consent shall:</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54" w:name="page255"/>
    <w:bookmarkEnd w:id="254"/>
    <w:p>
      <w:pPr>
        <w:jc w:val="right"/>
        <w:ind w:right="9219"/>
        <w:spacing w:after="0"/>
        <w:rPr>
          <w:sz w:val="20"/>
          <w:szCs w:val="20"/>
          <w:color w:val="auto"/>
        </w:rPr>
      </w:pPr>
      <w:r>
        <w:rPr>
          <w:rFonts w:ascii="Arial" w:cs="Arial" w:eastAsia="Arial" w:hAnsi="Arial"/>
          <w:sz w:val="20"/>
          <w:szCs w:val="20"/>
          <w:color w:val="auto"/>
        </w:rPr>
        <w:t>Lender;</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122</w:t>
      </w:r>
    </w:p>
    <w:p>
      <w:pPr>
        <w:ind w:left="20"/>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33" w:right="1440" w:bottom="1440" w:gutter="0" w:footer="0" w:header="0"/>
        </w:sectPr>
      </w:pPr>
    </w:p>
    <w:bookmarkStart w:id="255" w:name="page256"/>
    <w:bookmarkEnd w:id="255"/>
    <w:p>
      <w:pPr>
        <w:ind w:left="292"/>
        <w:spacing w:after="0"/>
        <w:rPr>
          <w:sz w:val="20"/>
          <w:szCs w:val="20"/>
          <w:color w:val="auto"/>
        </w:rPr>
      </w:pPr>
      <w:r>
        <w:rPr>
          <w:rFonts w:ascii="Arial" w:cs="Arial" w:eastAsia="Arial" w:hAnsi="Arial"/>
          <w:sz w:val="19"/>
          <w:szCs w:val="19"/>
          <w:color w:val="auto"/>
        </w:rPr>
        <w:t xml:space="preserve">waive any condition set forth in </w:t>
      </w: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without the written consent of each</w:t>
      </w:r>
    </w:p>
    <w:p>
      <w:pPr>
        <w:spacing w:after="0" w:line="200" w:lineRule="exact"/>
        <w:rPr>
          <w:sz w:val="20"/>
          <w:szCs w:val="20"/>
          <w:color w:val="auto"/>
        </w:rPr>
      </w:pPr>
    </w:p>
    <w:p>
      <w:pPr>
        <w:spacing w:after="0" w:line="230" w:lineRule="exact"/>
        <w:rPr>
          <w:sz w:val="20"/>
          <w:szCs w:val="20"/>
          <w:color w:val="auto"/>
        </w:rPr>
      </w:pPr>
    </w:p>
    <w:p>
      <w:pPr>
        <w:ind w:left="752" w:hanging="752"/>
        <w:spacing w:after="0"/>
        <w:tabs>
          <w:tab w:leader="none" w:pos="75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without limiting the generality of clause (a) above, waive any condition set forth in</w:t>
      </w:r>
    </w:p>
    <w:p>
      <w:pPr>
        <w:spacing w:after="0" w:line="220" w:lineRule="exact"/>
        <w:rPr>
          <w:sz w:val="20"/>
          <w:szCs w:val="20"/>
          <w:color w:val="auto"/>
        </w:rPr>
      </w:pPr>
    </w:p>
    <w:p>
      <w:pPr>
        <w:ind w:left="32"/>
        <w:spacing w:after="0"/>
        <w:rPr>
          <w:sz w:val="20"/>
          <w:szCs w:val="20"/>
          <w:color w:val="auto"/>
        </w:rPr>
      </w:pPr>
      <w:r>
        <w:rPr>
          <w:rFonts w:ascii="Arial" w:cs="Arial" w:eastAsia="Arial" w:hAnsi="Arial"/>
          <w:sz w:val="22"/>
          <w:szCs w:val="22"/>
          <w:color w:val="auto"/>
        </w:rPr>
        <w:t>123</w:t>
      </w:r>
    </w:p>
    <w:p>
      <w:pPr>
        <w:spacing w:after="0" w:line="18" w:lineRule="exact"/>
        <w:rPr>
          <w:sz w:val="20"/>
          <w:szCs w:val="20"/>
          <w:color w:val="auto"/>
        </w:rPr>
      </w:pPr>
    </w:p>
    <w:p>
      <w:pPr>
        <w:ind w:left="12"/>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204" w:right="1440" w:bottom="1440" w:gutter="0" w:footer="0" w:header="0"/>
        </w:sectPr>
      </w:pPr>
    </w:p>
    <w:bookmarkStart w:id="256" w:name="page257"/>
    <w:bookmarkEnd w:id="256"/>
    <w:p>
      <w:pPr>
        <w:ind w:left="280"/>
        <w:spacing w:after="0" w:line="247" w:lineRule="auto"/>
        <w:rPr>
          <w:sz w:val="20"/>
          <w:szCs w:val="20"/>
          <w:color w:val="auto"/>
        </w:rPr>
      </w:pP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as to any Credit Extension under a particular Facility without the written consent of the Required Revolving Credit Lenders or the Required Term Loan Lenders, as the case may be;</w:t>
      </w:r>
    </w:p>
    <w:p>
      <w:pPr>
        <w:spacing w:after="0" w:line="189" w:lineRule="exact"/>
        <w:rPr>
          <w:sz w:val="20"/>
          <w:szCs w:val="20"/>
          <w:color w:val="auto"/>
        </w:rPr>
      </w:pPr>
    </w:p>
    <w:p>
      <w:pPr>
        <w:ind w:left="280" w:right="400" w:firstLine="748"/>
        <w:spacing w:after="0" w:line="246" w:lineRule="auto"/>
        <w:tabs>
          <w:tab w:leader="none" w:pos="1768" w:val="left"/>
        </w:tabs>
        <w:numPr>
          <w:ilvl w:val="1"/>
          <w:numId w:val="260"/>
        </w:numPr>
        <w:rPr>
          <w:rFonts w:ascii="Arial" w:cs="Arial" w:eastAsia="Arial" w:hAnsi="Arial"/>
          <w:sz w:val="20"/>
          <w:szCs w:val="20"/>
          <w:color w:val="auto"/>
        </w:rPr>
      </w:pPr>
      <w:r>
        <w:rPr>
          <w:rFonts w:ascii="Arial" w:cs="Arial" w:eastAsia="Arial" w:hAnsi="Arial"/>
          <w:sz w:val="20"/>
          <w:szCs w:val="20"/>
          <w:color w:val="auto"/>
        </w:rPr>
        <w:t xml:space="preserve">extend or increase any Commitment of any Lender (or reinstate any Commitment terminated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8.02</w:t>
      </w:r>
      <w:r>
        <w:rPr>
          <w:rFonts w:ascii="Arial" w:cs="Arial" w:eastAsia="Arial" w:hAnsi="Arial"/>
          <w:sz w:val="20"/>
          <w:szCs w:val="20"/>
          <w:color w:val="auto"/>
        </w:rPr>
        <w:t>) without the written consent of such Lender;</w:t>
      </w:r>
    </w:p>
    <w:p>
      <w:pPr>
        <w:spacing w:after="0" w:line="163" w:lineRule="exact"/>
        <w:rPr>
          <w:rFonts w:ascii="Arial" w:cs="Arial" w:eastAsia="Arial" w:hAnsi="Arial"/>
          <w:sz w:val="20"/>
          <w:szCs w:val="20"/>
          <w:color w:val="auto"/>
        </w:rPr>
      </w:pPr>
    </w:p>
    <w:p>
      <w:pPr>
        <w:jc w:val="both"/>
        <w:ind w:left="280" w:firstLine="748"/>
        <w:spacing w:after="0" w:line="237" w:lineRule="auto"/>
        <w:tabs>
          <w:tab w:leader="none" w:pos="1769" w:val="left"/>
        </w:tabs>
        <w:numPr>
          <w:ilvl w:val="1"/>
          <w:numId w:val="260"/>
        </w:numPr>
        <w:rPr>
          <w:rFonts w:ascii="Arial" w:cs="Arial" w:eastAsia="Arial" w:hAnsi="Arial"/>
          <w:sz w:val="20"/>
          <w:szCs w:val="20"/>
          <w:color w:val="auto"/>
        </w:rPr>
      </w:pPr>
      <w:r>
        <w:rPr>
          <w:rFonts w:ascii="Arial" w:cs="Arial" w:eastAsia="Arial" w:hAnsi="Arial"/>
          <w:sz w:val="20"/>
          <w:szCs w:val="20"/>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182" w:lineRule="exact"/>
        <w:rPr>
          <w:rFonts w:ascii="Arial" w:cs="Arial" w:eastAsia="Arial" w:hAnsi="Arial"/>
          <w:sz w:val="20"/>
          <w:szCs w:val="20"/>
          <w:color w:val="auto"/>
        </w:rPr>
      </w:pPr>
    </w:p>
    <w:p>
      <w:pPr>
        <w:ind w:left="1760" w:hanging="732"/>
        <w:spacing w:after="0"/>
        <w:tabs>
          <w:tab w:leader="none" w:pos="176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w:t>
      </w:r>
      <w:r>
        <w:rPr>
          <w:rFonts w:ascii="Arial" w:cs="Arial" w:eastAsia="Arial" w:hAnsi="Arial"/>
          <w:sz w:val="18"/>
          <w:szCs w:val="18"/>
          <w:u w:val="single" w:color="auto"/>
          <w:color w:val="auto"/>
        </w:rPr>
        <w:t>clause</w:t>
      </w:r>
    </w:p>
    <w:p>
      <w:pPr>
        <w:spacing w:after="0" w:line="25" w:lineRule="exact"/>
        <w:rPr>
          <w:rFonts w:ascii="Arial" w:cs="Arial" w:eastAsia="Arial" w:hAnsi="Arial"/>
          <w:sz w:val="18"/>
          <w:szCs w:val="18"/>
          <w:color w:val="auto"/>
        </w:rPr>
      </w:pPr>
    </w:p>
    <w:p>
      <w:pPr>
        <w:jc w:val="both"/>
        <w:ind w:left="280" w:hanging="1"/>
        <w:spacing w:after="0" w:line="228" w:lineRule="auto"/>
        <w:tabs>
          <w:tab w:leader="none" w:pos="642" w:val="left"/>
        </w:tabs>
        <w:numPr>
          <w:ilvl w:val="0"/>
          <w:numId w:val="261"/>
        </w:numPr>
        <w:rPr>
          <w:rFonts w:ascii="Arial" w:cs="Arial" w:eastAsia="Arial" w:hAnsi="Arial"/>
          <w:sz w:val="20"/>
          <w:szCs w:val="20"/>
          <w:u w:val="single" w:color="auto"/>
          <w:color w:val="auto"/>
        </w:rPr>
      </w:pPr>
      <w:r>
        <w:rPr>
          <w:rFonts w:ascii="Arial" w:cs="Arial" w:eastAsia="Arial" w:hAnsi="Arial"/>
          <w:sz w:val="20"/>
          <w:szCs w:val="20"/>
          <w:color w:val="auto"/>
        </w:rPr>
        <w:t xml:space="preserve">of the second proviso to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any interest, fees or other amounts payable hereunder or under any other Loan Document without the written consent of each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payablehereunder;</w:t>
      </w:r>
    </w:p>
    <w:p>
      <w:pPr>
        <w:spacing w:after="0" w:line="198" w:lineRule="exact"/>
        <w:rPr>
          <w:rFonts w:ascii="Arial" w:cs="Arial" w:eastAsia="Arial" w:hAnsi="Arial"/>
          <w:sz w:val="20"/>
          <w:szCs w:val="20"/>
          <w:u w:val="single" w:color="auto"/>
          <w:color w:val="auto"/>
        </w:rPr>
      </w:pPr>
    </w:p>
    <w:p>
      <w:pPr>
        <w:jc w:val="both"/>
        <w:ind w:left="280" w:firstLine="748"/>
        <w:spacing w:after="0" w:line="246" w:lineRule="auto"/>
        <w:tabs>
          <w:tab w:leader="none" w:pos="1769" w:val="left"/>
        </w:tabs>
        <w:numPr>
          <w:ilvl w:val="1"/>
          <w:numId w:val="261"/>
        </w:numPr>
        <w:rPr>
          <w:rFonts w:ascii="Arial" w:cs="Arial" w:eastAsia="Arial" w:hAnsi="Arial"/>
          <w:sz w:val="19"/>
          <w:szCs w:val="19"/>
          <w:color w:val="auto"/>
        </w:rPr>
      </w:pPr>
      <w:r>
        <w:rPr>
          <w:rFonts w:ascii="Arial" w:cs="Arial" w:eastAsia="Arial" w:hAnsi="Arial"/>
          <w:sz w:val="19"/>
          <w:szCs w:val="19"/>
          <w:color w:val="auto"/>
        </w:rPr>
        <w:t xml:space="preserve">(i) change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or any other provision hereof in a manner that would have the effect of altering the ratable reduction of Commitments or the pro rata sharing of payments otherwise required hereunder or the order of application of payments required thereby without the written consent of each Lender adversely and directly affected thereby or (ii) subordinate, or change any provision hereof that would have the effect of subordinating, the Obligations hereunder to any other Indebtedness or other obligation, without the written consent of each Lender adversely and directly affectedthereby;</w:t>
      </w:r>
    </w:p>
    <w:p>
      <w:pPr>
        <w:spacing w:after="0" w:line="176" w:lineRule="exact"/>
        <w:rPr>
          <w:rFonts w:ascii="Arial" w:cs="Arial" w:eastAsia="Arial" w:hAnsi="Arial"/>
          <w:sz w:val="19"/>
          <w:szCs w:val="19"/>
          <w:color w:val="auto"/>
        </w:rPr>
      </w:pPr>
    </w:p>
    <w:p>
      <w:pPr>
        <w:ind w:left="280" w:right="20" w:firstLine="748"/>
        <w:spacing w:after="0" w:line="246" w:lineRule="auto"/>
        <w:tabs>
          <w:tab w:leader="none" w:pos="1769" w:val="left"/>
        </w:tabs>
        <w:numPr>
          <w:ilvl w:val="1"/>
          <w:numId w:val="261"/>
        </w:numPr>
        <w:rPr>
          <w:rFonts w:ascii="Arial" w:cs="Arial" w:eastAsia="Arial" w:hAnsi="Arial"/>
          <w:sz w:val="20"/>
          <w:szCs w:val="20"/>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in any manner that materially and adversely affects the Lenders under a Facility without the written consent of the Required Facility Lenders under such Facility;</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22" w:right="459" w:bottom="1440" w:gutter="0" w:footer="0" w:header="0"/>
        </w:sectPr>
      </w:pPr>
    </w:p>
    <w:bookmarkStart w:id="257" w:name="page258"/>
    <w:bookmarkEnd w:id="257"/>
    <w:p>
      <w:pPr>
        <w:jc w:val="both"/>
        <w:ind w:left="280" w:firstLine="748"/>
        <w:spacing w:after="0" w:line="246" w:lineRule="auto"/>
        <w:tabs>
          <w:tab w:leader="none" w:pos="1769"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as provided in </w:t>
      </w:r>
      <w:r>
        <w:rPr>
          <w:rFonts w:ascii="Arial" w:cs="Arial" w:eastAsia="Arial" w:hAnsi="Arial"/>
          <w:sz w:val="19"/>
          <w:szCs w:val="19"/>
          <w:u w:val="single" w:color="auto"/>
          <w:color w:val="auto"/>
        </w:rPr>
        <w:t>subclause (ii)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clause (h)</w:t>
      </w:r>
      <w:r>
        <w:rPr>
          <w:rFonts w:ascii="Arial" w:cs="Arial" w:eastAsia="Arial" w:hAnsi="Arial"/>
          <w:sz w:val="19"/>
          <w:szCs w:val="19"/>
          <w:color w:val="auto"/>
        </w:rPr>
        <w:t>), without the written consent of each Lender or (ii) the definition of “Required Facility Lenders” as it relates to a Facility (or the constituent definition therein relating to such Facility) without the written consent of each Lender under such Facility;</w:t>
      </w:r>
    </w:p>
    <w:p>
      <w:pPr>
        <w:spacing w:after="0" w:line="176" w:lineRule="exact"/>
        <w:rPr>
          <w:rFonts w:ascii="Arial" w:cs="Arial" w:eastAsia="Arial" w:hAnsi="Arial"/>
          <w:sz w:val="19"/>
          <w:szCs w:val="19"/>
          <w:color w:val="auto"/>
        </w:rPr>
      </w:pPr>
    </w:p>
    <w:p>
      <w:pPr>
        <w:ind w:left="280" w:right="20" w:firstLine="748"/>
        <w:spacing w:after="0" w:line="246" w:lineRule="auto"/>
        <w:tabs>
          <w:tab w:leader="none" w:pos="1768" w:val="left"/>
        </w:tabs>
        <w:numPr>
          <w:ilvl w:val="0"/>
          <w:numId w:val="262"/>
        </w:numPr>
        <w:rPr>
          <w:rFonts w:ascii="Arial" w:cs="Arial" w:eastAsia="Arial" w:hAnsi="Arial"/>
          <w:sz w:val="20"/>
          <w:szCs w:val="20"/>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1.09</w:t>
      </w:r>
      <w:r>
        <w:rPr>
          <w:rFonts w:ascii="Arial" w:cs="Arial" w:eastAsia="Arial" w:hAnsi="Arial"/>
          <w:sz w:val="20"/>
          <w:szCs w:val="20"/>
          <w:color w:val="auto"/>
        </w:rPr>
        <w:t xml:space="preserve"> or the definition of “Alternative Currency”, in either case, as it relates to the Revolving Credit Facility, without the written consent of each Revolving Credit Lender;</w:t>
      </w:r>
    </w:p>
    <w:p>
      <w:pPr>
        <w:spacing w:after="0" w:line="190" w:lineRule="exact"/>
        <w:rPr>
          <w:rFonts w:ascii="Arial" w:cs="Arial" w:eastAsia="Arial" w:hAnsi="Arial"/>
          <w:sz w:val="20"/>
          <w:szCs w:val="20"/>
          <w:color w:val="auto"/>
        </w:rPr>
      </w:pPr>
    </w:p>
    <w:p>
      <w:pPr>
        <w:ind w:left="280" w:right="20" w:firstLine="748"/>
        <w:spacing w:after="0" w:line="246" w:lineRule="auto"/>
        <w:tabs>
          <w:tab w:leader="none" w:pos="1769" w:val="left"/>
        </w:tabs>
        <w:numPr>
          <w:ilvl w:val="0"/>
          <w:numId w:val="262"/>
        </w:numPr>
        <w:rPr>
          <w:rFonts w:ascii="Arial" w:cs="Arial" w:eastAsia="Arial" w:hAnsi="Arial"/>
          <w:sz w:val="20"/>
          <w:szCs w:val="20"/>
          <w:color w:val="auto"/>
        </w:rPr>
      </w:pPr>
      <w:r>
        <w:rPr>
          <w:rFonts w:ascii="Arial" w:cs="Arial" w:eastAsia="Arial" w:hAnsi="Arial"/>
          <w:sz w:val="20"/>
          <w:szCs w:val="20"/>
          <w:color w:val="auto"/>
        </w:rPr>
        <w:t>release all or substantially all of the Collateral in any transaction or series of related transactions, without the written consent of each Lender;</w:t>
      </w:r>
    </w:p>
    <w:p>
      <w:pPr>
        <w:spacing w:after="0" w:line="176" w:lineRule="exact"/>
        <w:rPr>
          <w:rFonts w:ascii="Arial" w:cs="Arial" w:eastAsia="Arial" w:hAnsi="Arial"/>
          <w:sz w:val="20"/>
          <w:szCs w:val="20"/>
          <w:color w:val="auto"/>
        </w:rPr>
      </w:pPr>
    </w:p>
    <w:p>
      <w:pPr>
        <w:jc w:val="both"/>
        <w:ind w:left="280" w:firstLine="748"/>
        <w:spacing w:after="0" w:line="234" w:lineRule="auto"/>
        <w:tabs>
          <w:tab w:leader="none" w:pos="177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 xml:space="preserve">release (i) the Company from the Company Guaranty without the written consent of each Lender, or (ii) all or substantially all of the value of the Subsidiary Guaranties without the written consent of each Lender, except to the extent the release of any Subsidiary Guarantor is permitted pursuant to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which case such release may be made by the Administrative Agent acting alone);</w:t>
      </w:r>
    </w:p>
    <w:p>
      <w:pPr>
        <w:spacing w:after="0" w:line="183" w:lineRule="exact"/>
        <w:rPr>
          <w:rFonts w:ascii="Arial" w:cs="Arial" w:eastAsia="Arial" w:hAnsi="Arial"/>
          <w:sz w:val="20"/>
          <w:szCs w:val="20"/>
          <w:color w:val="auto"/>
        </w:rPr>
      </w:pPr>
    </w:p>
    <w:p>
      <w:pPr>
        <w:ind w:left="280" w:firstLine="748"/>
        <w:spacing w:after="0" w:line="260" w:lineRule="auto"/>
        <w:tabs>
          <w:tab w:leader="none" w:pos="1769" w:val="left"/>
        </w:tabs>
        <w:numPr>
          <w:ilvl w:val="0"/>
          <w:numId w:val="262"/>
        </w:numPr>
        <w:rPr>
          <w:rFonts w:ascii="Arial" w:cs="Arial" w:eastAsia="Arial" w:hAnsi="Arial"/>
          <w:sz w:val="20"/>
          <w:szCs w:val="20"/>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2.14(d)</w:t>
      </w:r>
      <w:r>
        <w:rPr>
          <w:rFonts w:ascii="Arial" w:cs="Arial" w:eastAsia="Arial" w:hAnsi="Arial"/>
          <w:sz w:val="20"/>
          <w:szCs w:val="20"/>
          <w:color w:val="auto"/>
        </w:rPr>
        <w:t xml:space="preserve"> as it relates to the termination of a Designated Borrower’s status as such under a particular Facility, without the written consent of each Lender under such Facility;</w:t>
      </w:r>
    </w:p>
    <w:p>
      <w:pPr>
        <w:spacing w:after="0" w:line="163" w:lineRule="exact"/>
        <w:rPr>
          <w:rFonts w:ascii="Arial" w:cs="Arial" w:eastAsia="Arial" w:hAnsi="Arial"/>
          <w:sz w:val="20"/>
          <w:szCs w:val="20"/>
          <w:color w:val="auto"/>
        </w:rPr>
      </w:pPr>
    </w:p>
    <w:p>
      <w:pPr>
        <w:ind w:left="280" w:right="20" w:firstLine="748"/>
        <w:spacing w:after="0" w:line="246" w:lineRule="auto"/>
        <w:tabs>
          <w:tab w:leader="none" w:pos="1769" w:val="left"/>
        </w:tabs>
        <w:numPr>
          <w:ilvl w:val="0"/>
          <w:numId w:val="262"/>
        </w:numPr>
        <w:rPr>
          <w:rFonts w:ascii="Arial" w:cs="Arial" w:eastAsia="Arial" w:hAnsi="Arial"/>
          <w:sz w:val="20"/>
          <w:szCs w:val="20"/>
          <w:color w:val="auto"/>
        </w:rPr>
      </w:pPr>
      <w:r>
        <w:rPr>
          <w:rFonts w:ascii="Arial" w:cs="Arial" w:eastAsia="Arial" w:hAnsi="Arial"/>
          <w:sz w:val="20"/>
          <w:szCs w:val="20"/>
          <w:color w:val="auto"/>
        </w:rPr>
        <w:t>impose any greater restriction on the ability of any Lender under a Facility to assign any of its rights or obligations hereunder without the written consent of the Required Facility Lenders under such Facility; or</w:t>
      </w:r>
    </w:p>
    <w:p>
      <w:pPr>
        <w:spacing w:after="0" w:line="176" w:lineRule="exact"/>
        <w:rPr>
          <w:rFonts w:ascii="Arial" w:cs="Arial" w:eastAsia="Arial" w:hAnsi="Arial"/>
          <w:sz w:val="20"/>
          <w:szCs w:val="20"/>
          <w:color w:val="auto"/>
        </w:rPr>
      </w:pPr>
    </w:p>
    <w:p>
      <w:pPr>
        <w:ind w:left="280" w:right="20" w:firstLine="748"/>
        <w:spacing w:after="0" w:line="260" w:lineRule="auto"/>
        <w:tabs>
          <w:tab w:leader="none" w:pos="1769" w:val="left"/>
        </w:tabs>
        <w:numPr>
          <w:ilvl w:val="0"/>
          <w:numId w:val="262"/>
        </w:numPr>
        <w:rPr>
          <w:rFonts w:ascii="Arial" w:cs="Arial" w:eastAsia="Arial" w:hAnsi="Arial"/>
          <w:sz w:val="20"/>
          <w:szCs w:val="20"/>
          <w:color w:val="auto"/>
        </w:rPr>
      </w:pPr>
      <w:r>
        <w:rPr>
          <w:rFonts w:ascii="Arial" w:cs="Arial" w:eastAsia="Arial" w:hAnsi="Arial"/>
          <w:sz w:val="20"/>
          <w:szCs w:val="20"/>
          <w:color w:val="auto"/>
        </w:rPr>
        <w:t>amend the definition of “Interest Period” to include a period other than one, three or six months, with respect to any Facility without the written consent of each Lender under such Facility;</w:t>
      </w:r>
    </w:p>
    <w:p>
      <w:pPr>
        <w:spacing w:after="0" w:line="163" w:lineRule="exact"/>
        <w:rPr>
          <w:sz w:val="20"/>
          <w:szCs w:val="20"/>
          <w:color w:val="auto"/>
        </w:rPr>
      </w:pPr>
    </w:p>
    <w:p>
      <w:pPr>
        <w:jc w:val="both"/>
        <w:ind w:left="100"/>
        <w:spacing w:after="0" w:line="253"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 no amendment, waiver or consent shall, unless in writing and signed by such L/C Issuer in addition to the Lenders required above, affect the rights or duties of any L/C Issuer under this Agreement or any Issuer Document relating to any Letter of Credit issued or to be issued by it (including, without limitation, any amendment, waiver or consent that would change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or the definition of Alternative Currency, in either case, as it relates to the Revolving Credit Facility);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Letters may be amended, or rights or privileges thereunder waived, in a writing executed only by the parties thereto; and (v) the L/C Commitment of any L/C Issuer may be amended in a writing executed only by each of the L/C Issuers and the Company and acknowledged by the Administrative Agent.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(x) no Commitment of any Defaulting Lender may be increased or extended without the consent of such Lender and (y)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58" w:name="page259"/>
    <w:bookmarkEnd w:id="258"/>
    <w:p>
      <w:pPr>
        <w:jc w:val="both"/>
        <w:ind w:left="100" w:firstLine="747"/>
        <w:spacing w:after="0" w:line="267" w:lineRule="auto"/>
        <w:rPr>
          <w:sz w:val="20"/>
          <w:szCs w:val="20"/>
          <w:color w:val="auto"/>
        </w:rPr>
      </w:pPr>
      <w:r>
        <w:rPr>
          <w:rFonts w:ascii="Arial" w:cs="Arial" w:eastAsia="Arial" w:hAnsi="Arial"/>
          <w:sz w:val="18"/>
          <w:szCs w:val="18"/>
          <w:color w:val="auto"/>
        </w:rPr>
        <w:t xml:space="preserve">Notwithstanding any provision herein to the contrary, this Agreement may be amended with the written consent of the Administrative Agent, the L/C Issuers, the Company and the Lenders affected thereby to amend the definition of “Alternative Currency” or “Alternative Currency Daily Rate” or “Alternative Currency Term Rate” or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solely to add additional currency options and the applicable interest rate with respect thereto, in each case solely to the extent permitted pursuant to </w:t>
      </w:r>
      <w:r>
        <w:rPr>
          <w:rFonts w:ascii="Arial" w:cs="Arial" w:eastAsia="Arial" w:hAnsi="Arial"/>
          <w:sz w:val="18"/>
          <w:szCs w:val="18"/>
          <w:u w:val="single" w:color="auto"/>
          <w:color w:val="auto"/>
        </w:rPr>
        <w:t>Section 1.09</w:t>
      </w:r>
      <w:r>
        <w:rPr>
          <w:rFonts w:ascii="Arial" w:cs="Arial" w:eastAsia="Arial" w:hAnsi="Arial"/>
          <w:sz w:val="18"/>
          <w:szCs w:val="18"/>
          <w:color w:val="auto"/>
        </w:rPr>
        <w:t>.</w:t>
      </w:r>
    </w:p>
    <w:p>
      <w:pPr>
        <w:spacing w:after="0" w:line="145"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19"/>
          <w:szCs w:val="19"/>
          <w:color w:val="auto"/>
        </w:rPr>
        <w:t>Notwithstanding anything to the contrary herein, this Agreement may be amended and restated without the consent of any Lender (but with the consent of the Loan Parties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underthis Agreement.</w:t>
      </w:r>
    </w:p>
    <w:p>
      <w:pPr>
        <w:spacing w:after="0" w:line="190" w:lineRule="exact"/>
        <w:rPr>
          <w:sz w:val="20"/>
          <w:szCs w:val="20"/>
          <w:color w:val="auto"/>
        </w:rPr>
      </w:pPr>
    </w:p>
    <w:p>
      <w:pPr>
        <w:jc w:val="both"/>
        <w:ind w:left="100" w:firstLine="747"/>
        <w:spacing w:after="0" w:line="246" w:lineRule="auto"/>
        <w:rPr>
          <w:sz w:val="20"/>
          <w:szCs w:val="20"/>
          <w:color w:val="auto"/>
        </w:rPr>
      </w:pPr>
      <w:r>
        <w:rPr>
          <w:rFonts w:ascii="Arial" w:cs="Arial" w:eastAsia="Arial" w:hAnsi="Arial"/>
          <w:sz w:val="19"/>
          <w:szCs w:val="19"/>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76"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Notices; Effectiveness; Electronic Communication.</w:t>
      </w:r>
    </w:p>
    <w:p>
      <w:pPr>
        <w:spacing w:after="0" w:line="216" w:lineRule="exact"/>
        <w:rPr>
          <w:sz w:val="20"/>
          <w:szCs w:val="20"/>
          <w:color w:val="auto"/>
        </w:rPr>
      </w:pPr>
    </w:p>
    <w:p>
      <w:pPr>
        <w:jc w:val="both"/>
        <w:ind w:left="280" w:firstLine="748"/>
        <w:spacing w:after="0" w:line="232" w:lineRule="auto"/>
        <w:tabs>
          <w:tab w:leader="none" w:pos="1769" w:val="left"/>
        </w:tabs>
        <w:numPr>
          <w:ilvl w:val="0"/>
          <w:numId w:val="263"/>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4" w:lineRule="exact"/>
        <w:rPr>
          <w:rFonts w:ascii="Arial" w:cs="Arial" w:eastAsia="Arial" w:hAnsi="Arial"/>
          <w:sz w:val="20"/>
          <w:szCs w:val="20"/>
          <w:color w:val="auto"/>
        </w:rPr>
      </w:pPr>
    </w:p>
    <w:p>
      <w:pPr>
        <w:jc w:val="both"/>
        <w:ind w:left="1020" w:firstLine="757"/>
        <w:spacing w:after="0" w:line="237" w:lineRule="auto"/>
        <w:tabs>
          <w:tab w:leader="none" w:pos="2509" w:val="left"/>
        </w:tabs>
        <w:numPr>
          <w:ilvl w:val="1"/>
          <w:numId w:val="263"/>
        </w:numPr>
        <w:rPr>
          <w:rFonts w:ascii="Arial" w:cs="Arial" w:eastAsia="Arial" w:hAnsi="Arial"/>
          <w:sz w:val="20"/>
          <w:szCs w:val="20"/>
          <w:color w:val="auto"/>
        </w:rPr>
      </w:pPr>
      <w:r>
        <w:rPr>
          <w:rFonts w:ascii="Arial" w:cs="Arial" w:eastAsia="Arial" w:hAnsi="Arial"/>
          <w:sz w:val="20"/>
          <w:szCs w:val="20"/>
          <w:color w:val="auto"/>
        </w:rPr>
        <w:t xml:space="preserve">if to the Company, the Administrative Agent or Bank of America, in its capacity as an L/C Issuer or the Swing Line Lender, to the address, facsimile number, electronic 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82" w:lineRule="exact"/>
        <w:rPr>
          <w:rFonts w:ascii="Arial" w:cs="Arial" w:eastAsia="Arial" w:hAnsi="Arial"/>
          <w:sz w:val="20"/>
          <w:szCs w:val="20"/>
          <w:color w:val="auto"/>
        </w:rPr>
      </w:pPr>
    </w:p>
    <w:p>
      <w:pPr>
        <w:jc w:val="both"/>
        <w:ind w:left="1020" w:firstLine="757"/>
        <w:spacing w:after="0" w:line="234" w:lineRule="auto"/>
        <w:tabs>
          <w:tab w:leader="none" w:pos="2509" w:val="left"/>
        </w:tabs>
        <w:numPr>
          <w:ilvl w:val="1"/>
          <w:numId w:val="263"/>
        </w:numPr>
        <w:rPr>
          <w:rFonts w:ascii="Arial" w:cs="Arial" w:eastAsia="Arial" w:hAnsi="Arial"/>
          <w:sz w:val="20"/>
          <w:szCs w:val="20"/>
          <w:color w:val="auto"/>
        </w:rPr>
      </w:pPr>
      <w:r>
        <w:rPr>
          <w:rFonts w:ascii="Arial" w:cs="Arial" w:eastAsia="Arial" w:hAnsi="Arial"/>
          <w:sz w:val="20"/>
          <w:szCs w:val="20"/>
          <w:color w:val="auto"/>
        </w:rPr>
        <w:t>if to any other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97" w:lineRule="exact"/>
        <w:rPr>
          <w:sz w:val="20"/>
          <w:szCs w:val="20"/>
          <w:color w:val="auto"/>
        </w:rPr>
      </w:pPr>
    </w:p>
    <w:p>
      <w:pPr>
        <w:jc w:val="both"/>
        <w:ind w:left="100"/>
        <w:spacing w:after="0" w:line="246"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shall be effective as provided in such </w:t>
      </w:r>
      <w:r>
        <w:rPr>
          <w:rFonts w:ascii="Arial" w:cs="Arial" w:eastAsia="Arial" w:hAnsi="Arial"/>
          <w:sz w:val="19"/>
          <w:szCs w:val="19"/>
          <w:u w:val="single" w:color="auto"/>
          <w:color w:val="auto"/>
        </w:rPr>
        <w:t>subsection(b)</w:t>
      </w:r>
      <w:r>
        <w:rPr>
          <w:rFonts w:ascii="Arial" w:cs="Arial" w:eastAsia="Arial" w:hAnsi="Arial"/>
          <w:sz w:val="19"/>
          <w:szCs w:val="19"/>
          <w:color w:val="auto"/>
        </w:rPr>
        <w:t>.</w:t>
      </w:r>
    </w:p>
    <w:p>
      <w:pPr>
        <w:spacing w:after="0" w:line="163" w:lineRule="exact"/>
        <w:rPr>
          <w:sz w:val="20"/>
          <w:szCs w:val="20"/>
          <w:color w:val="auto"/>
        </w:rPr>
      </w:pPr>
    </w:p>
    <w:p>
      <w:pPr>
        <w:jc w:val="both"/>
        <w:ind w:left="280" w:firstLine="748"/>
        <w:spacing w:after="0" w:line="259" w:lineRule="auto"/>
        <w:tabs>
          <w:tab w:leader="none" w:pos="1769"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Notices and other communications to the Lenders and the L/C Issuers hereunder may be delivered or furnished by electronic communication (including e-mail, FpML messaging and Internet or intranet websites) pursuant to</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L/C</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126</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59" w:name="page260"/>
    <w:bookmarkEnd w:id="259"/>
    <w:p>
      <w:pPr>
        <w:jc w:val="both"/>
        <w:ind w:left="280"/>
        <w:spacing w:after="0" w:line="232" w:lineRule="auto"/>
        <w:rPr>
          <w:sz w:val="20"/>
          <w:szCs w:val="20"/>
          <w:color w:val="auto"/>
        </w:rPr>
      </w:pPr>
      <w:r>
        <w:rPr>
          <w:rFonts w:ascii="Arial" w:cs="Arial" w:eastAsia="Arial" w:hAnsi="Arial"/>
          <w:sz w:val="20"/>
          <w:szCs w:val="20"/>
          <w:color w:val="auto"/>
        </w:rPr>
        <w:t xml:space="preserve">Issuer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such L/C Issuer, as applicable, has notified the Administrative Agent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w:t>
      </w:r>
    </w:p>
    <w:p>
      <w:pPr>
        <w:spacing w:after="0" w:line="184" w:lineRule="exact"/>
        <w:rPr>
          <w:sz w:val="20"/>
          <w:szCs w:val="20"/>
          <w:color w:val="auto"/>
        </w:rPr>
      </w:pPr>
    </w:p>
    <w:p>
      <w:pPr>
        <w:jc w:val="both"/>
        <w:ind w:left="100" w:firstLine="747"/>
        <w:spacing w:after="0" w:line="229" w:lineRule="auto"/>
        <w:rPr>
          <w:sz w:val="20"/>
          <w:szCs w:val="20"/>
          <w:color w:val="auto"/>
        </w:rPr>
      </w:pPr>
      <w:r>
        <w:rPr>
          <w:rFonts w:ascii="Arial" w:cs="Arial" w:eastAsia="Arial" w:hAnsi="Arial"/>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Dayfor the recipient.</w:t>
      </w:r>
    </w:p>
    <w:p>
      <w:pPr>
        <w:spacing w:after="0" w:line="202" w:lineRule="exact"/>
        <w:rPr>
          <w:sz w:val="20"/>
          <w:szCs w:val="20"/>
          <w:color w:val="auto"/>
        </w:rPr>
      </w:pPr>
    </w:p>
    <w:p>
      <w:pPr>
        <w:ind w:left="1760" w:hanging="732"/>
        <w:spacing w:after="0"/>
        <w:tabs>
          <w:tab w:leader="none" w:pos="1760"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w:t>
      </w:r>
    </w:p>
    <w:p>
      <w:pPr>
        <w:spacing w:after="0" w:line="13" w:lineRule="exact"/>
        <w:rPr>
          <w:rFonts w:ascii="Arial" w:cs="Arial" w:eastAsia="Arial" w:hAnsi="Arial"/>
          <w:sz w:val="19"/>
          <w:szCs w:val="19"/>
          <w:color w:val="auto"/>
        </w:rPr>
      </w:pPr>
    </w:p>
    <w:p>
      <w:pPr>
        <w:jc w:val="both"/>
        <w:ind w:left="280"/>
        <w:spacing w:after="0" w:line="239" w:lineRule="auto"/>
        <w:rPr>
          <w:rFonts w:ascii="Arial" w:cs="Arial" w:eastAsia="Arial" w:hAnsi="Arial"/>
          <w:sz w:val="19"/>
          <w:szCs w:val="19"/>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any Borrower, any other Loan Party, any Lender, any L/C Issuer or any other Person for losses, claims, damages, liabilities or expenses of any kind (whether in tort, contract or otherwise) arising out of any Borrower’s, any other Loan Party’s or the Administrative Agent’s transmission of Borrower Materials or notices through the Platform, any other electronic platform or electronic messaging service or through the Internet.</w:t>
      </w:r>
    </w:p>
    <w:p>
      <w:pPr>
        <w:spacing w:after="0" w:line="184" w:lineRule="exact"/>
        <w:rPr>
          <w:rFonts w:ascii="Arial" w:cs="Arial" w:eastAsia="Arial" w:hAnsi="Arial"/>
          <w:sz w:val="19"/>
          <w:szCs w:val="19"/>
          <w:color w:val="auto"/>
        </w:rPr>
      </w:pPr>
    </w:p>
    <w:p>
      <w:pPr>
        <w:jc w:val="both"/>
        <w:ind w:left="280" w:firstLine="748"/>
        <w:spacing w:after="0" w:line="255" w:lineRule="auto"/>
        <w:tabs>
          <w:tab w:leader="none" w:pos="1769"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Change of Address, Etc</w:t>
      </w:r>
      <w:r>
        <w:rPr>
          <w:rFonts w:ascii="Arial" w:cs="Arial" w:eastAsia="Arial" w:hAnsi="Arial"/>
          <w:sz w:val="18"/>
          <w:szCs w:val="18"/>
          <w:color w:val="auto"/>
        </w:rPr>
        <w:t>. Each of the Borrowers, the Administrative Agent, the L/C Issuers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0" w:name="page261"/>
    <w:bookmarkEnd w:id="260"/>
    <w:p>
      <w:pPr>
        <w:jc w:val="both"/>
        <w:ind w:left="280" w:firstLine="748"/>
        <w:spacing w:after="0" w:line="256" w:lineRule="auto"/>
        <w:tabs>
          <w:tab w:leader="none" w:pos="177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 shall be entitled to rely and act upon any notices (including telephonic or electronic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 them from all losses, costs, liabilities and reasonable and documented out-of-pocket expenses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suchrecording.</w:t>
      </w:r>
    </w:p>
    <w:p>
      <w:pPr>
        <w:spacing w:after="0" w:line="173" w:lineRule="exact"/>
        <w:rPr>
          <w:sz w:val="20"/>
          <w:szCs w:val="20"/>
          <w:color w:val="auto"/>
        </w:rPr>
      </w:pPr>
    </w:p>
    <w:p>
      <w:pPr>
        <w:jc w:val="both"/>
        <w:ind w:left="100" w:firstLine="749"/>
        <w:spacing w:after="0" w:line="231" w:lineRule="auto"/>
        <w:rPr>
          <w:sz w:val="20"/>
          <w:szCs w:val="20"/>
          <w:color w:val="auto"/>
        </w:rPr>
      </w:pPr>
      <w:r>
        <w:rPr>
          <w:rFonts w:ascii="Arial" w:cs="Arial" w:eastAsia="Arial" w:hAnsi="Arial"/>
          <w:sz w:val="20"/>
          <w:szCs w:val="20"/>
          <w:color w:val="auto"/>
        </w:rPr>
        <w:t>1.4 No Waiver; Cumulative Remedies; Enforcement.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7" w:lineRule="exact"/>
        <w:rPr>
          <w:sz w:val="20"/>
          <w:szCs w:val="20"/>
          <w:color w:val="auto"/>
        </w:rPr>
      </w:pPr>
    </w:p>
    <w:p>
      <w:pPr>
        <w:jc w:val="both"/>
        <w:ind w:left="100" w:firstLine="747"/>
        <w:spacing w:after="0" w:line="251"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an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w:t>
      </w:r>
    </w:p>
    <w:p>
      <w:pPr>
        <w:spacing w:after="0" w:line="10" w:lineRule="exact"/>
        <w:rPr>
          <w:sz w:val="20"/>
          <w:szCs w:val="20"/>
          <w:color w:val="auto"/>
        </w:rPr>
      </w:pPr>
    </w:p>
    <w:p>
      <w:pPr>
        <w:jc w:val="both"/>
        <w:ind w:left="100"/>
        <w:spacing w:after="0" w:line="282" w:lineRule="auto"/>
        <w:rPr>
          <w:sz w:val="20"/>
          <w:szCs w:val="20"/>
          <w:color w:val="auto"/>
        </w:rPr>
      </w:pPr>
      <w:r>
        <w:rPr>
          <w:rFonts w:ascii="Arial" w:cs="Arial" w:eastAsia="Arial" w:hAnsi="Arial"/>
          <w:sz w:val="18"/>
          <w:szCs w:val="18"/>
          <w:color w:val="auto"/>
        </w:rPr>
        <w:t xml:space="preserve">(ii)in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46"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6"/>
          <w:szCs w:val="16"/>
          <w:color w:val="auto"/>
        </w:rPr>
        <w:t>Expenses; Indemnity; Damage Waiver.</w:t>
      </w:r>
    </w:p>
    <w:p>
      <w:pPr>
        <w:spacing w:after="0" w:line="202" w:lineRule="exact"/>
        <w:rPr>
          <w:sz w:val="20"/>
          <w:szCs w:val="20"/>
          <w:color w:val="auto"/>
        </w:rPr>
      </w:pPr>
    </w:p>
    <w:p>
      <w:pPr>
        <w:jc w:val="both"/>
        <w:ind w:left="280" w:firstLine="748"/>
        <w:spacing w:after="0" w:line="257" w:lineRule="auto"/>
        <w:tabs>
          <w:tab w:leader="none" w:pos="1769"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Company shall pay (i) all reasonable and documented out-of- pocket expenses incurred by the Administrative Agent and its Affiliates (including the reasonable and documented fees, disbursements and other charges of one counsel for the Administrative Agent and the Arranger, taken as a whole, and, if reasonably necessary, of one local counsel and one regulatory counsel in any relevant jurisdiction for the Administrative Agent and the Arranger,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or extension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1" w:name="page262"/>
    <w:bookmarkEnd w:id="261"/>
    <w:p>
      <w:pPr>
        <w:jc w:val="both"/>
        <w:ind w:left="280"/>
        <w:spacing w:after="0" w:line="229" w:lineRule="auto"/>
        <w:rPr>
          <w:sz w:val="20"/>
          <w:szCs w:val="20"/>
          <w:color w:val="auto"/>
        </w:rPr>
      </w:pPr>
      <w:r>
        <w:rPr>
          <w:rFonts w:ascii="Arial" w:cs="Arial" w:eastAsia="Arial" w:hAnsi="Arial"/>
          <w:sz w:val="20"/>
          <w:szCs w:val="20"/>
          <w:color w:val="auto"/>
        </w:rPr>
        <w:t>of any Letter of Credit or any demand for payment thereunder and (iii) all documented out-of-pocket expenses incurred by the Administrative Agent, any Lender or any L/C Issuer (including the documented fees, disbursements and other charges of one counsel for the Administrative Agent, the Lenders and the L/C Issuers, taken as a whole, and, if reasonably necessary, of one local counsel and one applicable regulatory counsel in each relevant jurisdiction for the Administrative Agent, the Lenders and each L/C Issuer, taken as a whole, and, solely in the case of a conflict of interest, one additional counsel to all such affected Persons similarly situated, taken as a whole), in connection with the enforcement or protection of its rights (A) in connection with this Agreement and the other Loan Documents, including its rights under this Section, or (B) in connection with the Loans made or Letters of Credit issued hereunder, including all such documented out-of-pocket expenses incurred during any workout, restructuring or negotiations in respect of such Loans or Letters of Credit.</w:t>
      </w:r>
    </w:p>
    <w:p>
      <w:pPr>
        <w:spacing w:after="0" w:line="185" w:lineRule="exact"/>
        <w:rPr>
          <w:sz w:val="20"/>
          <w:szCs w:val="20"/>
          <w:color w:val="auto"/>
        </w:rPr>
      </w:pPr>
    </w:p>
    <w:p>
      <w:pPr>
        <w:jc w:val="both"/>
        <w:ind w:left="280" w:firstLine="748"/>
        <w:spacing w:after="0" w:line="285" w:lineRule="auto"/>
        <w:tabs>
          <w:tab w:leader="none" w:pos="1770" w:val="left"/>
        </w:tabs>
        <w:numPr>
          <w:ilvl w:val="0"/>
          <w:numId w:val="26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shall indemnify the Administrative Agent (and any sub-agent thereof), each Lender and each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and documented out-of-pocket fees, disbursements and other charges of one counsel to the Indemnitees, taken as a whole, and, if reasonably necessary, of one local counsel and one applicable regulatory counsel in each relevant jurisdiction to all such Indemnitees, taken as a whole, and, solely in the case of a conflict of interest, one additional counsel to all affected Indemnitees similarly situated, taken as a whole),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10.04(b)</w:t>
      </w:r>
      <w:r>
        <w:rPr>
          <w:rFonts w:ascii="Arial" w:cs="Arial" w:eastAsia="Arial" w:hAnsi="Arial"/>
          <w:sz w:val="16"/>
          <w:szCs w:val="16"/>
          <w:color w:val="auto"/>
        </w:rPr>
        <w:t xml:space="preserve"> shall not apply with respect to Taxes other than any Taxes that represent losses, claims, damages, etc. arising from any non-Taxclaim.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jc w:val="both"/>
        <w:ind w:left="280" w:firstLine="748"/>
        <w:spacing w:after="0" w:line="234" w:lineRule="auto"/>
        <w:tabs>
          <w:tab w:leader="none" w:pos="1769" w:val="left"/>
        </w:tabs>
        <w:numPr>
          <w:ilvl w:val="0"/>
          <w:numId w:val="268"/>
        </w:numPr>
        <w:rPr>
          <w:rFonts w:ascii="Arial" w:cs="Arial" w:eastAsia="Arial" w:hAnsi="Arial"/>
          <w:sz w:val="20"/>
          <w:szCs w:val="20"/>
          <w:color w:val="auto"/>
        </w:rPr>
      </w:pPr>
      <w:r>
        <w:rPr>
          <w:rFonts w:ascii="Arial" w:cs="Arial" w:eastAsia="Arial" w:hAnsi="Arial"/>
          <w:sz w:val="20"/>
          <w:szCs w:val="20"/>
          <w:u w:val="single" w:color="auto"/>
          <w:color w:val="auto"/>
        </w:rPr>
        <w:t>Reimbursement by Lenders</w:t>
      </w:r>
      <w:r>
        <w:rPr>
          <w:rFonts w:ascii="Arial" w:cs="Arial" w:eastAsia="Arial" w:hAnsi="Arial"/>
          <w:sz w:val="20"/>
          <w:szCs w:val="20"/>
          <w:color w:val="auto"/>
        </w:rPr>
        <w:t xml:space="preserve">. To the extent that the Company for any reason fails to indefeasibly pay any amount required under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Section to be paid by it to the Administrative Agent (or any sub-agent thereof), any L/C Issuer, the Swing Line Lender or any Related Party of any of the foregoing, each Lender severally agrees to pay to the Administrative Agent (or any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129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2" w:name="page263"/>
    <w:bookmarkEnd w:id="262"/>
    <w:p>
      <w:pPr>
        <w:jc w:val="both"/>
        <w:ind w:left="280"/>
        <w:spacing w:after="0" w:line="256" w:lineRule="auto"/>
        <w:rPr>
          <w:sz w:val="20"/>
          <w:szCs w:val="20"/>
          <w:color w:val="auto"/>
        </w:rPr>
      </w:pPr>
      <w:r>
        <w:rPr>
          <w:rFonts w:ascii="Arial" w:cs="Arial" w:eastAsia="Arial" w:hAnsi="Arial"/>
          <w:sz w:val="18"/>
          <w:szCs w:val="18"/>
          <w:color w:val="auto"/>
        </w:rPr>
        <w:t xml:space="preserve">such sub-agent), such L/C Issuer, the Swing Line Lender or such Related Party, as the case may be, such Lender’s pro rata share (determined as of the time that the applicable unreimbursed expense or indemnity payment is sought based on each Lender’s share of the aggregate Total Credit Exposures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59" w:lineRule="exact"/>
        <w:rPr>
          <w:sz w:val="20"/>
          <w:szCs w:val="20"/>
          <w:color w:val="auto"/>
        </w:rPr>
      </w:pPr>
    </w:p>
    <w:p>
      <w:pPr>
        <w:jc w:val="both"/>
        <w:ind w:left="280" w:firstLine="748"/>
        <w:spacing w:after="0" w:line="285" w:lineRule="auto"/>
        <w:tabs>
          <w:tab w:leader="none" w:pos="1769"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t>Waiver of Consequential Damages, Etc.</w:t>
      </w:r>
      <w:r>
        <w:rPr>
          <w:rFonts w:ascii="Arial" w:cs="Arial" w:eastAsia="Arial" w:hAnsi="Arial"/>
          <w:sz w:val="16"/>
          <w:szCs w:val="16"/>
          <w:color w:val="auto"/>
        </w:rPr>
        <w:t xml:space="preserve"> To the fullest extent permitted by applicable law, no Borrower shall assert,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6"/>
          <w:szCs w:val="16"/>
          <w:u w:val="single" w:color="auto"/>
          <w:color w:val="auto"/>
        </w:rPr>
        <w:t>subsection</w:t>
      </w:r>
    </w:p>
    <w:p>
      <w:pPr>
        <w:spacing w:after="0" w:line="3" w:lineRule="exact"/>
        <w:rPr>
          <w:rFonts w:ascii="Arial" w:cs="Arial" w:eastAsia="Arial" w:hAnsi="Arial"/>
          <w:sz w:val="16"/>
          <w:szCs w:val="16"/>
          <w:color w:val="auto"/>
        </w:rPr>
      </w:pPr>
    </w:p>
    <w:p>
      <w:pPr>
        <w:jc w:val="both"/>
        <w:ind w:left="280" w:hanging="1"/>
        <w:spacing w:after="0" w:line="229" w:lineRule="auto"/>
        <w:tabs>
          <w:tab w:leader="none" w:pos="560" w:val="left"/>
        </w:tabs>
        <w:numPr>
          <w:ilvl w:val="0"/>
          <w:numId w:val="270"/>
        </w:numPr>
        <w:rPr>
          <w:rFonts w:ascii="Arial" w:cs="Arial" w:eastAsia="Arial" w:hAnsi="Arial"/>
          <w:sz w:val="20"/>
          <w:szCs w:val="20"/>
          <w:u w:val="single" w:color="auto"/>
          <w:color w:val="auto"/>
        </w:rPr>
      </w:pPr>
      <w:r>
        <w:rPr>
          <w:rFonts w:ascii="Arial" w:cs="Arial" w:eastAsia="Arial" w:hAnsi="Arial"/>
          <w:sz w:val="20"/>
          <w:szCs w:val="20"/>
          <w:color w:val="auto"/>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96" w:lineRule="exact"/>
        <w:rPr>
          <w:rFonts w:ascii="Arial" w:cs="Arial" w:eastAsia="Arial" w:hAnsi="Arial"/>
          <w:sz w:val="20"/>
          <w:szCs w:val="20"/>
          <w:u w:val="single" w:color="auto"/>
          <w:color w:val="auto"/>
        </w:rPr>
      </w:pPr>
    </w:p>
    <w:p>
      <w:pPr>
        <w:ind w:left="1760" w:hanging="732"/>
        <w:spacing w:after="0"/>
        <w:tabs>
          <w:tab w:leader="none" w:pos="1760" w:val="left"/>
        </w:tabs>
        <w:numPr>
          <w:ilvl w:val="1"/>
          <w:numId w:val="270"/>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amounts due under this Section shall be payable not later than ten Business Days after demand</w:t>
      </w:r>
    </w:p>
    <w:p>
      <w:pPr>
        <w:spacing w:after="0" w:line="13" w:lineRule="exact"/>
        <w:rPr>
          <w:rFonts w:ascii="Arial" w:cs="Arial" w:eastAsia="Arial" w:hAnsi="Arial"/>
          <w:sz w:val="19"/>
          <w:szCs w:val="19"/>
          <w:color w:val="auto"/>
        </w:rPr>
      </w:pPr>
    </w:p>
    <w:p>
      <w:pPr>
        <w:ind w:left="280"/>
        <w:spacing w:after="0"/>
        <w:rPr>
          <w:rFonts w:ascii="Arial" w:cs="Arial" w:eastAsia="Arial" w:hAnsi="Arial"/>
          <w:sz w:val="19"/>
          <w:szCs w:val="19"/>
          <w:color w:val="auto"/>
        </w:rPr>
      </w:pPr>
      <w:r>
        <w:rPr>
          <w:rFonts w:ascii="Arial" w:cs="Arial" w:eastAsia="Arial" w:hAnsi="Arial"/>
          <w:sz w:val="20"/>
          <w:szCs w:val="20"/>
          <w:color w:val="auto"/>
        </w:rPr>
        <w:t>therefor.</w:t>
      </w:r>
    </w:p>
    <w:p>
      <w:pPr>
        <w:spacing w:after="0" w:line="172" w:lineRule="exact"/>
        <w:rPr>
          <w:rFonts w:ascii="Arial" w:cs="Arial" w:eastAsia="Arial" w:hAnsi="Arial"/>
          <w:sz w:val="19"/>
          <w:szCs w:val="19"/>
          <w:color w:val="auto"/>
        </w:rPr>
      </w:pPr>
    </w:p>
    <w:p>
      <w:pPr>
        <w:jc w:val="both"/>
        <w:ind w:left="280" w:firstLine="748"/>
        <w:spacing w:after="0" w:line="237" w:lineRule="auto"/>
        <w:tabs>
          <w:tab w:leader="none" w:pos="1769" w:val="left"/>
        </w:tabs>
        <w:numPr>
          <w:ilvl w:val="1"/>
          <w:numId w:val="270"/>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Section and the indemnity provisions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83" w:lineRule="exact"/>
        <w:rPr>
          <w:sz w:val="20"/>
          <w:szCs w:val="20"/>
          <w:color w:val="auto"/>
        </w:rPr>
      </w:pPr>
    </w:p>
    <w:p>
      <w:pPr>
        <w:jc w:val="both"/>
        <w:ind w:left="100" w:firstLine="749"/>
        <w:spacing w:after="0" w:line="255" w:lineRule="auto"/>
        <w:rPr>
          <w:sz w:val="20"/>
          <w:szCs w:val="20"/>
          <w:color w:val="auto"/>
        </w:rPr>
      </w:pPr>
      <w:r>
        <w:rPr>
          <w:rFonts w:ascii="Arial" w:cs="Arial" w:eastAsia="Arial" w:hAnsi="Arial"/>
          <w:sz w:val="18"/>
          <w:szCs w:val="18"/>
          <w:color w:val="auto"/>
        </w:rPr>
        <w:t xml:space="preserve">1.6 Payments Set Aside. 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preceding sentence shall survive the payment in full of the Obligations and the termination of this Agreement.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3" w:name="page264"/>
    <w:bookmarkEnd w:id="263"/>
    <w:p>
      <w:pPr>
        <w:ind w:left="840"/>
        <w:spacing w:after="0"/>
        <w:tabs>
          <w:tab w:leader="none" w:pos="156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16"/>
          <w:szCs w:val="16"/>
          <w:color w:val="auto"/>
        </w:rPr>
        <w:t>Successors and Assigns.</w:t>
      </w:r>
    </w:p>
    <w:p>
      <w:pPr>
        <w:spacing w:after="0" w:line="202" w:lineRule="exact"/>
        <w:rPr>
          <w:sz w:val="20"/>
          <w:szCs w:val="20"/>
          <w:color w:val="auto"/>
        </w:rPr>
      </w:pPr>
    </w:p>
    <w:p>
      <w:pPr>
        <w:jc w:val="both"/>
        <w:ind w:left="280" w:firstLine="748"/>
        <w:spacing w:after="0"/>
        <w:tabs>
          <w:tab w:leader="none" w:pos="1769" w:val="left"/>
        </w:tabs>
        <w:numPr>
          <w:ilvl w:val="0"/>
          <w:numId w:val="271"/>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Section, (ii) by way of participation in accordance with the provisions of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 or (iii) by way of pledge or assignment of a security interest subject to the restrictions of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202" w:lineRule="exact"/>
        <w:rPr>
          <w:rFonts w:ascii="Arial" w:cs="Arial" w:eastAsia="Arial" w:hAnsi="Arial"/>
          <w:sz w:val="19"/>
          <w:szCs w:val="19"/>
          <w:color w:val="auto"/>
        </w:rPr>
      </w:pPr>
    </w:p>
    <w:p>
      <w:pPr>
        <w:jc w:val="both"/>
        <w:ind w:left="280" w:firstLine="748"/>
        <w:spacing w:after="0" w:line="267" w:lineRule="auto"/>
        <w:tabs>
          <w:tab w:leader="none" w:pos="1769"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Documents(including all or a portion of its Commitment(s) and the Loans (including for purposes of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Facility) any such assignment shall be subject to the followingconditions:</w:t>
      </w:r>
    </w:p>
    <w:p>
      <w:pPr>
        <w:spacing w:after="0" w:line="158" w:lineRule="exact"/>
        <w:rPr>
          <w:rFonts w:ascii="Arial" w:cs="Arial" w:eastAsia="Arial" w:hAnsi="Arial"/>
          <w:sz w:val="18"/>
          <w:szCs w:val="18"/>
          <w:color w:val="auto"/>
        </w:rPr>
      </w:pPr>
    </w:p>
    <w:p>
      <w:pPr>
        <w:ind w:left="2520" w:hanging="743"/>
        <w:spacing w:after="0"/>
        <w:tabs>
          <w:tab w:leader="none" w:pos="2520" w:val="left"/>
        </w:tabs>
        <w:numPr>
          <w:ilvl w:val="1"/>
          <w:numId w:val="271"/>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1780" w:firstLine="745"/>
        <w:spacing w:after="0" w:line="263" w:lineRule="auto"/>
        <w:tabs>
          <w:tab w:leader="none" w:pos="3268" w:val="left"/>
        </w:tabs>
        <w:numPr>
          <w:ilvl w:val="2"/>
          <w:numId w:val="271"/>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61" w:lineRule="exact"/>
        <w:rPr>
          <w:rFonts w:ascii="Arial" w:cs="Arial" w:eastAsia="Arial" w:hAnsi="Arial"/>
          <w:sz w:val="18"/>
          <w:szCs w:val="18"/>
          <w:color w:val="auto"/>
        </w:rPr>
      </w:pPr>
    </w:p>
    <w:p>
      <w:pPr>
        <w:jc w:val="both"/>
        <w:ind w:left="1780" w:firstLine="745"/>
        <w:spacing w:after="0" w:line="228" w:lineRule="auto"/>
        <w:tabs>
          <w:tab w:leader="none" w:pos="3268" w:val="left"/>
        </w:tabs>
        <w:numPr>
          <w:ilvl w:val="2"/>
          <w:numId w:val="271"/>
        </w:numPr>
        <w:rPr>
          <w:rFonts w:ascii="Arial" w:cs="Arial" w:eastAsia="Arial" w:hAnsi="Arial"/>
          <w:sz w:val="20"/>
          <w:szCs w:val="20"/>
          <w:color w:val="auto"/>
        </w:rPr>
      </w:pPr>
      <w:r>
        <w:rPr>
          <w:rFonts w:ascii="Arial" w:cs="Arial" w:eastAsia="Arial" w:hAnsi="Arial"/>
          <w:sz w:val="20"/>
          <w:szCs w:val="20"/>
          <w:color w:val="auto"/>
        </w:rPr>
        <w:t xml:space="preserve">in any case not described in </w:t>
      </w:r>
      <w:r>
        <w:rPr>
          <w:rFonts w:ascii="Arial" w:cs="Arial" w:eastAsia="Arial" w:hAnsi="Arial"/>
          <w:sz w:val="20"/>
          <w:szCs w:val="20"/>
          <w:u w:val="single" w:color="auto"/>
          <w:color w:val="auto"/>
        </w:rPr>
        <w:t>subsection (b)(i)(A)</w:t>
      </w:r>
      <w:r>
        <w:rPr>
          <w:rFonts w:ascii="Arial" w:cs="Arial" w:eastAsia="Arial" w:hAnsi="Arial"/>
          <w:sz w:val="20"/>
          <w:szCs w:val="20"/>
          <w:color w:val="auto"/>
        </w:rPr>
        <w:t xml:space="preserve">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w:t>
      </w:r>
    </w:p>
    <w:p>
      <w:pPr>
        <w:spacing w:after="0" w:line="1" w:lineRule="exact"/>
        <w:rPr>
          <w:rFonts w:ascii="Arial" w:cs="Arial" w:eastAsia="Arial" w:hAnsi="Arial"/>
          <w:sz w:val="20"/>
          <w:szCs w:val="20"/>
          <w:color w:val="auto"/>
        </w:rPr>
      </w:pPr>
    </w:p>
    <w:p>
      <w:pPr>
        <w:ind w:left="1780"/>
        <w:spacing w:after="0" w:line="225" w:lineRule="auto"/>
        <w:rPr>
          <w:rFonts w:ascii="Arial" w:cs="Arial" w:eastAsia="Arial" w:hAnsi="Arial"/>
          <w:sz w:val="20"/>
          <w:szCs w:val="20"/>
          <w:color w:val="auto"/>
        </w:rPr>
      </w:pPr>
      <w:r>
        <w:rPr>
          <w:rFonts w:ascii="Arial" w:cs="Arial" w:eastAsia="Arial" w:hAnsi="Arial"/>
          <w:sz w:val="20"/>
          <w:szCs w:val="20"/>
          <w:color w:val="auto"/>
        </w:rPr>
        <w:t>$5,000,000, in the case of any assignment in respect of the Revolving Credit Facility, or</w:t>
      </w:r>
    </w:p>
    <w:p>
      <w:pPr>
        <w:jc w:val="both"/>
        <w:ind w:left="1780"/>
        <w:spacing w:after="0" w:line="231" w:lineRule="auto"/>
        <w:rPr>
          <w:rFonts w:ascii="Arial" w:cs="Arial" w:eastAsia="Arial" w:hAnsi="Arial"/>
          <w:sz w:val="20"/>
          <w:szCs w:val="20"/>
          <w:color w:val="auto"/>
        </w:rPr>
      </w:pPr>
      <w:r>
        <w:rPr>
          <w:rFonts w:ascii="Arial" w:cs="Arial" w:eastAsia="Arial" w:hAnsi="Arial"/>
          <w:sz w:val="20"/>
          <w:szCs w:val="20"/>
          <w:color w:val="auto"/>
        </w:rPr>
        <w:t>$1,000,000, in the case of any assignment in respect of the Term Loan Facility, unless each of the Administrative Agent and, so long as no Event of Default has occurred and is continuing, the Company otherwise consents (each such consent not to be unreasonably withheld or delayed).</w:t>
      </w:r>
    </w:p>
    <w:p>
      <w:pPr>
        <w:spacing w:after="0" w:line="197" w:lineRule="exact"/>
        <w:rPr>
          <w:rFonts w:ascii="Arial" w:cs="Arial" w:eastAsia="Arial" w:hAnsi="Arial"/>
          <w:sz w:val="20"/>
          <w:szCs w:val="20"/>
          <w:color w:val="auto"/>
        </w:rPr>
      </w:pPr>
    </w:p>
    <w:p>
      <w:pPr>
        <w:jc w:val="both"/>
        <w:ind w:left="1020" w:firstLine="757"/>
        <w:spacing w:after="0" w:line="234" w:lineRule="auto"/>
        <w:tabs>
          <w:tab w:leader="none" w:pos="2509" w:val="left"/>
        </w:tabs>
        <w:numPr>
          <w:ilvl w:val="1"/>
          <w:numId w:val="271"/>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xml:space="preserve">. Each partial assignment shall be made as an assignment of a proportionate part of all the assigning Lender’s rights and obligations under this Agreement and the other Loan Documents with respect to the Loans or the Commitment assigned, except that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shall not apply to the Swing Line Lender’s rights and obligations in respect of Swing Line Loans.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4" w:name="page265"/>
    <w:bookmarkEnd w:id="264"/>
    <w:p>
      <w:pPr>
        <w:ind w:left="1020" w:right="620" w:firstLine="757"/>
        <w:spacing w:after="0" w:line="246" w:lineRule="auto"/>
        <w:tabs>
          <w:tab w:leader="none" w:pos="2498"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subsection (b)(i)(B)</w:t>
      </w:r>
      <w:r>
        <w:rPr>
          <w:rFonts w:ascii="Arial" w:cs="Arial" w:eastAsia="Arial" w:hAnsi="Arial"/>
          <w:sz w:val="20"/>
          <w:szCs w:val="20"/>
          <w:color w:val="auto"/>
        </w:rPr>
        <w:t xml:space="preserve"> of this Section and, in addition:</w:t>
      </w:r>
    </w:p>
    <w:p>
      <w:pPr>
        <w:spacing w:after="0" w:line="163" w:lineRule="exact"/>
        <w:rPr>
          <w:rFonts w:ascii="Arial" w:cs="Arial" w:eastAsia="Arial" w:hAnsi="Arial"/>
          <w:sz w:val="20"/>
          <w:szCs w:val="20"/>
          <w:color w:val="auto"/>
        </w:rPr>
      </w:pPr>
    </w:p>
    <w:p>
      <w:pPr>
        <w:jc w:val="both"/>
        <w:ind w:left="1780" w:firstLine="745"/>
        <w:spacing w:after="0" w:line="246" w:lineRule="auto"/>
        <w:tabs>
          <w:tab w:leader="none" w:pos="3268" w:val="left"/>
        </w:tabs>
        <w:numPr>
          <w:ilvl w:val="1"/>
          <w:numId w:val="272"/>
        </w:numPr>
        <w:rPr>
          <w:rFonts w:ascii="Arial" w:cs="Arial" w:eastAsia="Arial" w:hAnsi="Arial"/>
          <w:sz w:val="19"/>
          <w:szCs w:val="19"/>
          <w:color w:val="auto"/>
        </w:rPr>
      </w:pPr>
      <w:r>
        <w:rPr>
          <w:rFonts w:ascii="Arial" w:cs="Arial" w:eastAsia="Arial" w:hAnsi="Arial"/>
          <w:sz w:val="19"/>
          <w:szCs w:val="19"/>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bedeemed to have consented to any such assignment unless it shall object thereto by written notice to the Administrative Agent within five (5) Business Days after having received notice thereof;</w:t>
      </w:r>
    </w:p>
    <w:p>
      <w:pPr>
        <w:spacing w:after="0" w:line="189" w:lineRule="exact"/>
        <w:rPr>
          <w:rFonts w:ascii="Arial" w:cs="Arial" w:eastAsia="Arial" w:hAnsi="Arial"/>
          <w:sz w:val="19"/>
          <w:szCs w:val="19"/>
          <w:color w:val="auto"/>
        </w:rPr>
      </w:pPr>
    </w:p>
    <w:p>
      <w:pPr>
        <w:jc w:val="both"/>
        <w:ind w:left="1780" w:firstLine="745"/>
        <w:spacing w:after="0" w:line="263" w:lineRule="auto"/>
        <w:tabs>
          <w:tab w:leader="none" w:pos="326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(i) any unfunded Term Loan Commitment or any Revolving Credit Commitment if such assignment is to a Person that is not a Lender with a Commitment in respect of the applicable Facility, an Affiliate of such a Lender or an Approved Fund with respect to such a Lender or (ii) any Term Loan to a Person that is not a Lender, an Affiliate of a Lender or an Approved Fund; and</w:t>
      </w:r>
    </w:p>
    <w:p>
      <w:pPr>
        <w:spacing w:after="0" w:line="161" w:lineRule="exact"/>
        <w:rPr>
          <w:rFonts w:ascii="Arial" w:cs="Arial" w:eastAsia="Arial" w:hAnsi="Arial"/>
          <w:sz w:val="18"/>
          <w:szCs w:val="18"/>
          <w:color w:val="auto"/>
        </w:rPr>
      </w:pPr>
    </w:p>
    <w:p>
      <w:pPr>
        <w:ind w:left="1780" w:right="20" w:firstLine="745"/>
        <w:spacing w:after="0" w:line="246" w:lineRule="auto"/>
        <w:tabs>
          <w:tab w:leader="none" w:pos="3267" w:val="left"/>
        </w:tabs>
        <w:numPr>
          <w:ilvl w:val="1"/>
          <w:numId w:val="272"/>
        </w:numPr>
        <w:rPr>
          <w:rFonts w:ascii="Arial" w:cs="Arial" w:eastAsia="Arial" w:hAnsi="Arial"/>
          <w:sz w:val="20"/>
          <w:szCs w:val="20"/>
          <w:color w:val="auto"/>
        </w:rPr>
      </w:pPr>
      <w:r>
        <w:rPr>
          <w:rFonts w:ascii="Arial" w:cs="Arial" w:eastAsia="Arial" w:hAnsi="Arial"/>
          <w:sz w:val="20"/>
          <w:szCs w:val="20"/>
          <w:color w:val="auto"/>
        </w:rPr>
        <w:t>the consent of each L/C Issuer and the Swing Line Lender shall be required for any assignment in respect of the Revolving Credit Facility.</w:t>
      </w:r>
    </w:p>
    <w:p>
      <w:pPr>
        <w:spacing w:after="0" w:line="190" w:lineRule="exact"/>
        <w:rPr>
          <w:rFonts w:ascii="Arial" w:cs="Arial" w:eastAsia="Arial" w:hAnsi="Arial"/>
          <w:sz w:val="20"/>
          <w:szCs w:val="20"/>
          <w:color w:val="auto"/>
        </w:rPr>
      </w:pPr>
    </w:p>
    <w:p>
      <w:pPr>
        <w:jc w:val="both"/>
        <w:ind w:left="1020" w:firstLine="757"/>
        <w:spacing w:after="0" w:line="232" w:lineRule="auto"/>
        <w:tabs>
          <w:tab w:leader="none" w:pos="2508"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4" w:lineRule="exact"/>
        <w:rPr>
          <w:rFonts w:ascii="Arial" w:cs="Arial" w:eastAsia="Arial" w:hAnsi="Arial"/>
          <w:sz w:val="20"/>
          <w:szCs w:val="20"/>
          <w:color w:val="auto"/>
        </w:rPr>
      </w:pPr>
    </w:p>
    <w:p>
      <w:pPr>
        <w:jc w:val="both"/>
        <w:ind w:left="1020" w:firstLine="757"/>
        <w:spacing w:after="0" w:line="232" w:lineRule="auto"/>
        <w:tabs>
          <w:tab w:leader="none" w:pos="2509" w:val="left"/>
        </w:tabs>
        <w:numPr>
          <w:ilvl w:val="0"/>
          <w:numId w:val="272"/>
        </w:numPr>
        <w:rPr>
          <w:rFonts w:ascii="Arial" w:cs="Arial" w:eastAsia="Arial" w:hAnsi="Arial"/>
          <w:sz w:val="20"/>
          <w:szCs w:val="20"/>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Arial" w:cs="Arial" w:eastAsia="Arial" w:hAnsi="Arial"/>
          <w:sz w:val="20"/>
          <w:szCs w:val="20"/>
          <w:u w:val="single" w:color="auto"/>
          <w:color w:val="auto"/>
        </w:rPr>
        <w:t>clause (B)</w:t>
      </w:r>
      <w:r>
        <w:rPr>
          <w:rFonts w:ascii="Arial" w:cs="Arial" w:eastAsia="Arial" w:hAnsi="Arial"/>
          <w:sz w:val="20"/>
          <w:szCs w:val="20"/>
          <w:color w:val="auto"/>
        </w:rPr>
        <w:t>, or (C) to a natural Person (or to a holding company, investment vehicle or trust for, or owned and operated by or for the primary benefit of a natural Person).</w:t>
      </w:r>
    </w:p>
    <w:p>
      <w:pPr>
        <w:spacing w:after="0" w:line="197" w:lineRule="exact"/>
        <w:rPr>
          <w:rFonts w:ascii="Arial" w:cs="Arial" w:eastAsia="Arial" w:hAnsi="Arial"/>
          <w:sz w:val="20"/>
          <w:szCs w:val="20"/>
          <w:color w:val="auto"/>
        </w:rPr>
      </w:pPr>
    </w:p>
    <w:p>
      <w:pPr>
        <w:jc w:val="both"/>
        <w:ind w:left="1020" w:firstLine="757"/>
        <w:spacing w:after="0" w:line="255" w:lineRule="auto"/>
        <w:tabs>
          <w:tab w:leader="none" w:pos="2509"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5" w:name="page266"/>
    <w:bookmarkEnd w:id="265"/>
    <w:p>
      <w:pPr>
        <w:ind w:left="1020" w:right="480"/>
        <w:spacing w:after="0" w:line="246" w:lineRule="auto"/>
        <w:rPr>
          <w:sz w:val="20"/>
          <w:szCs w:val="20"/>
          <w:color w:val="auto"/>
        </w:rPr>
      </w:pPr>
      <w:r>
        <w:rPr>
          <w:rFonts w:ascii="Arial" w:cs="Arial" w:eastAsia="Arial" w:hAnsi="Arial"/>
          <w:sz w:val="20"/>
          <w:szCs w:val="20"/>
          <w:color w:val="auto"/>
        </w:rPr>
        <w:t>then the assignee of such interest shall be deemed to be a Defaulting Lender for all purposes of this Agreement until such compliance occurs.</w:t>
      </w:r>
    </w:p>
    <w:p>
      <w:pPr>
        <w:spacing w:after="0" w:line="177" w:lineRule="exact"/>
        <w:rPr>
          <w:sz w:val="20"/>
          <w:szCs w:val="20"/>
          <w:color w:val="auto"/>
        </w:rPr>
      </w:pPr>
    </w:p>
    <w:p>
      <w:pPr>
        <w:jc w:val="both"/>
        <w:ind w:left="1020" w:right="20" w:firstLine="757"/>
        <w:spacing w:after="0" w:line="237" w:lineRule="auto"/>
        <w:tabs>
          <w:tab w:leader="none" w:pos="2508" w:val="left"/>
        </w:tabs>
        <w:numPr>
          <w:ilvl w:val="0"/>
          <w:numId w:val="273"/>
        </w:numPr>
        <w:rPr>
          <w:rFonts w:ascii="Arial" w:cs="Arial" w:eastAsia="Arial" w:hAnsi="Arial"/>
          <w:sz w:val="20"/>
          <w:szCs w:val="20"/>
          <w:color w:val="auto"/>
        </w:rPr>
      </w:pPr>
      <w:r>
        <w:rPr>
          <w:rFonts w:ascii="Arial" w:cs="Arial" w:eastAsia="Arial" w:hAnsi="Arial"/>
          <w:sz w:val="20"/>
          <w:szCs w:val="20"/>
          <w:u w:val="single" w:color="auto"/>
          <w:color w:val="auto"/>
        </w:rPr>
        <w:t>Assignee is not a Competitor</w:t>
      </w:r>
      <w:r>
        <w:rPr>
          <w:rFonts w:ascii="Arial" w:cs="Arial" w:eastAsia="Arial" w:hAnsi="Arial"/>
          <w:sz w:val="20"/>
          <w:szCs w:val="20"/>
          <w:color w:val="auto"/>
        </w:rPr>
        <w:t>. Unless an Event of Default has occurred and is continuing (in which case this clause (vii) shall not apply to such assignment), each assignee represents and warrants to the Company that such assignee is not a Competitor.</w:t>
      </w:r>
    </w:p>
    <w:p>
      <w:pPr>
        <w:spacing w:after="0" w:line="196" w:lineRule="exact"/>
        <w:rPr>
          <w:sz w:val="20"/>
          <w:szCs w:val="20"/>
          <w:color w:val="auto"/>
        </w:rPr>
      </w:pPr>
    </w:p>
    <w:p>
      <w:pPr>
        <w:jc w:val="both"/>
        <w:ind w:left="100"/>
        <w:spacing w:after="0"/>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with respect to facts and circumstances occurring prior to the effective date of such assignment (subject to the requirements and limitations set forth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Section.</w:t>
      </w:r>
    </w:p>
    <w:p>
      <w:pPr>
        <w:spacing w:after="0" w:line="170" w:lineRule="exact"/>
        <w:rPr>
          <w:sz w:val="20"/>
          <w:szCs w:val="20"/>
          <w:color w:val="auto"/>
        </w:rPr>
      </w:pPr>
    </w:p>
    <w:p>
      <w:pPr>
        <w:jc w:val="both"/>
        <w:ind w:left="280" w:firstLine="748"/>
        <w:spacing w:after="0" w:line="257" w:lineRule="auto"/>
        <w:tabs>
          <w:tab w:leader="none" w:pos="1769"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Register</w:t>
      </w:r>
      <w:r>
        <w:rPr>
          <w:rFonts w:ascii="Arial" w:cs="Arial" w:eastAsia="Arial" w:hAnsi="Arial"/>
          <w:sz w:val="18"/>
          <w:szCs w:val="18"/>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of (and stated interest on) the Loans and L/C Obligations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each of the Borrowers and any Lender, at any reasonable time and from time to time upon reasonable priornotice.</w:t>
      </w:r>
    </w:p>
    <w:p>
      <w:pPr>
        <w:spacing w:after="0" w:line="184" w:lineRule="exact"/>
        <w:rPr>
          <w:rFonts w:ascii="Arial" w:cs="Arial" w:eastAsia="Arial" w:hAnsi="Arial"/>
          <w:sz w:val="18"/>
          <w:szCs w:val="18"/>
          <w:color w:val="auto"/>
        </w:rPr>
      </w:pPr>
    </w:p>
    <w:p>
      <w:pPr>
        <w:jc w:val="both"/>
        <w:ind w:left="280" w:firstLine="748"/>
        <w:spacing w:after="0" w:line="241" w:lineRule="auto"/>
        <w:tabs>
          <w:tab w:leader="none" w:pos="1769" w:val="left"/>
        </w:tabs>
        <w:numPr>
          <w:ilvl w:val="0"/>
          <w:numId w:val="274"/>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Commitment(s) and/or the Loans (including such Lender’s participations in L/C Obligations and/or Swing 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10.04(c)</w:t>
      </w:r>
      <w:r>
        <w:rPr>
          <w:rFonts w:ascii="Arial" w:cs="Arial" w:eastAsia="Arial" w:hAnsi="Arial"/>
          <w:sz w:val="19"/>
          <w:szCs w:val="19"/>
          <w:color w:val="auto"/>
        </w:rPr>
        <w:t xml:space="preserve"> without regard to the existence of any participation.</w:t>
      </w:r>
    </w:p>
    <w:p>
      <w:pPr>
        <w:spacing w:after="0" w:line="182" w:lineRule="exact"/>
        <w:rPr>
          <w:sz w:val="20"/>
          <w:szCs w:val="20"/>
          <w:color w:val="auto"/>
        </w:rPr>
      </w:pPr>
    </w:p>
    <w:p>
      <w:pPr>
        <w:ind w:left="100" w:right="360" w:firstLine="747"/>
        <w:spacing w:after="0" w:line="246" w:lineRule="auto"/>
        <w:rPr>
          <w:sz w:val="20"/>
          <w:szCs w:val="20"/>
          <w:color w:val="auto"/>
        </w:rPr>
      </w:pPr>
      <w:r>
        <w:rPr>
          <w:rFonts w:ascii="Arial" w:cs="Arial" w:eastAsia="Arial" w:hAnsi="Arial"/>
          <w:sz w:val="20"/>
          <w:szCs w:val="20"/>
          <w:color w:val="auto"/>
        </w:rPr>
        <w:t>Any agreement or instrument pursuant to which a Lender sells such a participation shall provide that such Lender shall retain the sole right to enforce this Agreement and to approve any amendment,</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133</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6" w:name="page267"/>
    <w:bookmarkEnd w:id="266"/>
    <w:p>
      <w:pPr>
        <w:jc w:val="both"/>
        <w:ind w:left="100"/>
        <w:spacing w:after="0" w:line="252" w:lineRule="auto"/>
        <w:rPr>
          <w:sz w:val="20"/>
          <w:szCs w:val="20"/>
          <w:color w:val="auto"/>
        </w:rPr>
      </w:pPr>
      <w:r>
        <w:rPr>
          <w:rFonts w:ascii="Arial" w:cs="Arial" w:eastAsia="Arial" w:hAnsi="Arial"/>
          <w:sz w:val="18"/>
          <w:szCs w:val="18"/>
          <w:color w:val="auto"/>
        </w:rPr>
        <w:t xml:space="preserve">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that affects such Participant. Each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set forth therein)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4" w:lineRule="exact"/>
        <w:rPr>
          <w:sz w:val="20"/>
          <w:szCs w:val="20"/>
          <w:color w:val="auto"/>
        </w:rPr>
      </w:pPr>
    </w:p>
    <w:p>
      <w:pPr>
        <w:jc w:val="both"/>
        <w:ind w:left="280" w:right="20" w:firstLine="748"/>
        <w:spacing w:after="0" w:line="248" w:lineRule="auto"/>
        <w:tabs>
          <w:tab w:leader="none" w:pos="1769" w:val="left"/>
        </w:tabs>
        <w:numPr>
          <w:ilvl w:val="0"/>
          <w:numId w:val="275"/>
        </w:numPr>
        <w:rPr>
          <w:rFonts w:ascii="Arial" w:cs="Arial" w:eastAsia="Arial" w:hAnsi="Arial"/>
          <w:sz w:val="19"/>
          <w:szCs w:val="19"/>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shall release such Lender from any of its obligations hereunder or substitute any such pledgee or assignee for such Lender as a party hereto.</w:t>
      </w:r>
    </w:p>
    <w:p>
      <w:pPr>
        <w:spacing w:after="0" w:line="190" w:lineRule="exact"/>
        <w:rPr>
          <w:rFonts w:ascii="Arial" w:cs="Arial" w:eastAsia="Arial" w:hAnsi="Arial"/>
          <w:sz w:val="19"/>
          <w:szCs w:val="19"/>
          <w:color w:val="auto"/>
        </w:rPr>
      </w:pPr>
    </w:p>
    <w:p>
      <w:pPr>
        <w:jc w:val="both"/>
        <w:ind w:left="280" w:firstLine="748"/>
        <w:spacing w:after="0" w:line="230" w:lineRule="auto"/>
        <w:tabs>
          <w:tab w:leader="none" w:pos="1769" w:val="left"/>
        </w:tabs>
        <w:numPr>
          <w:ilvl w:val="0"/>
          <w:numId w:val="275"/>
        </w:numPr>
        <w:rPr>
          <w:rFonts w:ascii="Arial" w:cs="Arial" w:eastAsia="Arial" w:hAnsi="Arial"/>
          <w:sz w:val="20"/>
          <w:szCs w:val="20"/>
          <w:color w:val="auto"/>
        </w:rPr>
      </w:pPr>
      <w:r>
        <w:rPr>
          <w:rFonts w:ascii="Arial" w:cs="Arial" w:eastAsia="Arial" w:hAnsi="Arial"/>
          <w:sz w:val="20"/>
          <w:szCs w:val="20"/>
          <w:u w:val="single" w:color="auto"/>
          <w:color w:val="auto"/>
        </w:rPr>
        <w:t>Resignation as an L/C Issuer or Swing Line Lender after Assignment</w:t>
      </w:r>
      <w:r>
        <w:rPr>
          <w:rFonts w:ascii="Arial" w:cs="Arial" w:eastAsia="Arial" w:hAnsi="Arial"/>
          <w:sz w:val="20"/>
          <w:szCs w:val="20"/>
          <w:color w:val="auto"/>
        </w:rPr>
        <w:t xml:space="preserve">. Notwithstanding anything to the contrary contained herein, (i) if at any time Bank of America assigns all of its Revolving Credit Commitment and Revolving Credit Loans pursuant to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above, Bank of America may,</w:t>
      </w:r>
    </w:p>
    <w:p>
      <w:pPr>
        <w:spacing w:after="0" w:line="2" w:lineRule="exact"/>
        <w:rPr>
          <w:rFonts w:ascii="Arial" w:cs="Arial" w:eastAsia="Arial" w:hAnsi="Arial"/>
          <w:sz w:val="20"/>
          <w:szCs w:val="20"/>
          <w:color w:val="auto"/>
        </w:rPr>
      </w:pPr>
    </w:p>
    <w:p>
      <w:pPr>
        <w:jc w:val="both"/>
        <w:ind w:left="280"/>
        <w:spacing w:after="0" w:line="254" w:lineRule="auto"/>
        <w:rPr>
          <w:rFonts w:ascii="Arial" w:cs="Arial" w:eastAsia="Arial" w:hAnsi="Arial"/>
          <w:sz w:val="20"/>
          <w:szCs w:val="20"/>
          <w:color w:val="auto"/>
        </w:rPr>
      </w:pPr>
      <w:r>
        <w:rPr>
          <w:rFonts w:ascii="Arial" w:cs="Arial" w:eastAsia="Arial" w:hAnsi="Arial"/>
          <w:sz w:val="18"/>
          <w:szCs w:val="18"/>
          <w:color w:val="auto"/>
        </w:rPr>
        <w:t xml:space="preserve">(A)upon 30 days’ notice to the Company and the Revolving Credit Lenders, resign as an L/C Issuer and/or (B) upon 30 days’ notice to the Company, resign as Swing Line Lender, and (ii) if at any time any other Lender acting as an L/C Issuer assigns all of its Revolving Credit Commitment and Revolving Credit Loans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such Lender may, upon 30 days’ notice to the Company and the Revolving Credit Lenders, resign as an L/C Issuer. In the event of any such resignation as an L/C Issuer or Swing Line Lender, the Company shall be entitled to appoint from among the Lenders a successor L/C Issuer or Swing 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failure by the Company to appoint any such successor shall affect the resignation of Bank of America as an L/C Issuer or Swing Line Lender, as the case may be, or any other Lender as an L/C Issuer. If Bank of America or any other Lender resigns as an L/C Issuer, it shall retain all the rights, powers, privileges and duties of an L/C Issuer</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134</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7" w:name="page268"/>
    <w:bookmarkEnd w:id="267"/>
    <w:p>
      <w:pPr>
        <w:jc w:val="both"/>
        <w:ind w:left="280"/>
        <w:spacing w:after="0" w:line="227" w:lineRule="auto"/>
        <w:rPr>
          <w:sz w:val="20"/>
          <w:szCs w:val="20"/>
          <w:color w:val="auto"/>
        </w:rPr>
      </w:pPr>
      <w:r>
        <w:rPr>
          <w:rFonts w:ascii="Arial" w:cs="Arial" w:eastAsia="Arial" w:hAnsi="Arial"/>
          <w:sz w:val="20"/>
          <w:szCs w:val="20"/>
          <w:color w:val="auto"/>
        </w:rPr>
        <w:t xml:space="preserve">hereunder with respect to all Letters of Credit outstanding and issued by it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Arial" w:cs="Arial" w:eastAsia="Arial" w:hAnsi="Arial"/>
          <w:sz w:val="20"/>
          <w:szCs w:val="20"/>
          <w:u w:val="single" w:color="auto"/>
          <w:color w:val="auto"/>
        </w:rPr>
        <w:t>Section 2.04(c)</w:t>
      </w:r>
      <w:r>
        <w:rPr>
          <w:rFonts w:ascii="Arial" w:cs="Arial" w:eastAsia="Arial" w:hAnsi="Arial"/>
          <w:sz w:val="20"/>
          <w:szCs w:val="20"/>
          <w:color w:val="auto"/>
        </w:rPr>
        <w:t>. Upon the appointment of a successor L/C Issuer and/or Swing Line Lender,</w:t>
      </w:r>
    </w:p>
    <w:p>
      <w:pPr>
        <w:spacing w:after="0" w:line="5" w:lineRule="exact"/>
        <w:rPr>
          <w:sz w:val="20"/>
          <w:szCs w:val="20"/>
          <w:color w:val="auto"/>
        </w:rPr>
      </w:pPr>
    </w:p>
    <w:p>
      <w:pPr>
        <w:jc w:val="both"/>
        <w:ind w:left="280"/>
        <w:spacing w:after="0" w:line="241" w:lineRule="auto"/>
        <w:rPr>
          <w:sz w:val="20"/>
          <w:szCs w:val="20"/>
          <w:color w:val="auto"/>
        </w:rPr>
      </w:pPr>
      <w:r>
        <w:rPr>
          <w:rFonts w:ascii="Arial" w:cs="Arial" w:eastAsia="Arial" w:hAnsi="Arial"/>
          <w:sz w:val="19"/>
          <w:szCs w:val="19"/>
          <w:color w:val="auto"/>
        </w:rPr>
        <w:t>(a)such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reasonably satisfactory to Bank of America or such other retiring L/C Issuer, as the case may be, to effectively assume the obligations of Bank of America or such other retiring L/C Issuer, as the case may be, with respect to such Letters of Credit issued by it.</w:t>
      </w:r>
    </w:p>
    <w:p>
      <w:pPr>
        <w:spacing w:after="0" w:line="183" w:lineRule="exact"/>
        <w:rPr>
          <w:sz w:val="20"/>
          <w:szCs w:val="20"/>
          <w:color w:val="auto"/>
        </w:rPr>
      </w:pPr>
    </w:p>
    <w:p>
      <w:pPr>
        <w:jc w:val="both"/>
        <w:ind w:left="100" w:firstLine="749"/>
        <w:spacing w:after="0" w:line="251" w:lineRule="auto"/>
        <w:rPr>
          <w:sz w:val="20"/>
          <w:szCs w:val="20"/>
          <w:color w:val="auto"/>
        </w:rPr>
      </w:pPr>
      <w:r>
        <w:rPr>
          <w:rFonts w:ascii="Arial" w:cs="Arial" w:eastAsia="Arial" w:hAnsi="Arial"/>
          <w:sz w:val="18"/>
          <w:szCs w:val="18"/>
          <w:color w:val="auto"/>
        </w:rPr>
        <w:t xml:space="preserve">1.7 Treatment of Certain Information; Confidentiality. Each of the Administrative Agent, the Lenders and the L/C Issuers agree to maintain 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8"/>
          <w:szCs w:val="18"/>
          <w:u w:val="single" w:color="auto"/>
          <w:color w:val="auto"/>
        </w:rPr>
        <w:t>Section 2.15(c)</w:t>
      </w:r>
      <w:r>
        <w:rPr>
          <w:rFonts w:ascii="Arial" w:cs="Arial" w:eastAsia="Arial" w:hAnsi="Arial"/>
          <w:sz w:val="18"/>
          <w:szCs w:val="18"/>
          <w:color w:val="auto"/>
        </w:rPr>
        <w:t xml:space="preserve"> or (ii) any actual or prospective 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(ii) the provider of any Platform or other electronic delivery service used by the Administrative Agent, any L/C Issuer or the Swing Line Lender to deliver Borrower Materials or notices to the Lenders or</w:t>
      </w:r>
    </w:p>
    <w:p>
      <w:pPr>
        <w:spacing w:after="0" w:line="9" w:lineRule="exact"/>
        <w:rPr>
          <w:sz w:val="20"/>
          <w:szCs w:val="20"/>
          <w:color w:val="auto"/>
        </w:rPr>
      </w:pPr>
    </w:p>
    <w:p>
      <w:pPr>
        <w:jc w:val="both"/>
        <w:ind w:left="100"/>
        <w:spacing w:after="0" w:line="227" w:lineRule="auto"/>
        <w:rPr>
          <w:sz w:val="20"/>
          <w:szCs w:val="20"/>
          <w:color w:val="auto"/>
        </w:rPr>
      </w:pPr>
      <w:r>
        <w:rPr>
          <w:rFonts w:ascii="Arial" w:cs="Arial" w:eastAsia="Arial" w:hAnsi="Arial"/>
          <w:sz w:val="20"/>
          <w:szCs w:val="20"/>
          <w:color w:val="auto"/>
        </w:rPr>
        <w:t>(iii)the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0" w:lineRule="exact"/>
        <w:rPr>
          <w:sz w:val="20"/>
          <w:szCs w:val="20"/>
          <w:color w:val="auto"/>
        </w:rPr>
      </w:pPr>
    </w:p>
    <w:p>
      <w:pPr>
        <w:jc w:val="both"/>
        <w:ind w:left="100" w:firstLine="747"/>
        <w:spacing w:after="0" w:line="267"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Company or any Subsidiary after the date hereof, such information is clearly</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135</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8" w:name="page269"/>
    <w:bookmarkEnd w:id="268"/>
    <w:p>
      <w:pPr>
        <w:jc w:val="both"/>
        <w:ind w:left="100"/>
        <w:spacing w:after="0" w:line="254" w:lineRule="auto"/>
        <w:rPr>
          <w:sz w:val="20"/>
          <w:szCs w:val="20"/>
          <w:color w:val="auto"/>
        </w:rPr>
      </w:pPr>
      <w:r>
        <w:rPr>
          <w:rFonts w:ascii="Arial" w:cs="Arial" w:eastAsia="Arial" w:hAnsi="Arial"/>
          <w:sz w:val="19"/>
          <w:szCs w:val="19"/>
          <w:color w:val="auto"/>
        </w:rPr>
        <w:t>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70" w:lineRule="exact"/>
        <w:rPr>
          <w:sz w:val="20"/>
          <w:szCs w:val="20"/>
          <w:color w:val="auto"/>
        </w:rPr>
      </w:pPr>
    </w:p>
    <w:p>
      <w:pPr>
        <w:jc w:val="both"/>
        <w:ind w:left="100" w:firstLine="747"/>
        <w:spacing w:after="0" w:line="234" w:lineRule="auto"/>
        <w:rPr>
          <w:sz w:val="20"/>
          <w:szCs w:val="20"/>
          <w:color w:val="auto"/>
        </w:rPr>
      </w:pPr>
      <w:r>
        <w:rPr>
          <w:rFonts w:ascii="Arial" w:cs="Arial" w:eastAsia="Arial" w:hAnsi="Arial"/>
          <w:sz w:val="20"/>
          <w:szCs w:val="20"/>
          <w:color w:val="auto"/>
        </w:rPr>
        <w:t>Each of the Administrative Agent, the Lenders and the L/C Issuers acknowledge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97" w:lineRule="exact"/>
        <w:rPr>
          <w:sz w:val="20"/>
          <w:szCs w:val="20"/>
          <w:color w:val="auto"/>
        </w:rPr>
      </w:pPr>
    </w:p>
    <w:p>
      <w:pPr>
        <w:jc w:val="both"/>
        <w:ind w:left="100" w:firstLine="747"/>
        <w:spacing w:after="0" w:line="272" w:lineRule="auto"/>
        <w:rPr>
          <w:sz w:val="20"/>
          <w:szCs w:val="20"/>
          <w:color w:val="auto"/>
        </w:rPr>
      </w:pPr>
      <w:r>
        <w:rPr>
          <w:rFonts w:ascii="Arial" w:cs="Arial" w:eastAsia="Arial" w:hAnsi="Arial"/>
          <w:sz w:val="19"/>
          <w:szCs w:val="19"/>
          <w:color w:val="auto"/>
        </w:rPr>
        <w:t>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53" w:lineRule="exact"/>
        <w:rPr>
          <w:sz w:val="20"/>
          <w:szCs w:val="20"/>
          <w:color w:val="auto"/>
        </w:rPr>
      </w:pPr>
    </w:p>
    <w:p>
      <w:pPr>
        <w:jc w:val="both"/>
        <w:ind w:left="100" w:firstLine="749"/>
        <w:spacing w:after="0" w:line="253" w:lineRule="auto"/>
        <w:rPr>
          <w:sz w:val="20"/>
          <w:szCs w:val="20"/>
          <w:color w:val="auto"/>
        </w:rPr>
      </w:pPr>
      <w:r>
        <w:rPr>
          <w:rFonts w:ascii="Arial" w:cs="Arial" w:eastAsia="Arial" w:hAnsi="Arial"/>
          <w:sz w:val="18"/>
          <w:szCs w:val="18"/>
          <w:color w:val="auto"/>
        </w:rPr>
        <w:t xml:space="preserve">1.8 Right of Setoff. If an Event of Default shall have occurred and be continuing, each Lender, each L/C Issuer and each of their respective 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against any and all of the obligations of such Borrower now or hereafter existing under this Agreement or any other Loan Document to such Lender or such L/C Issuer or their respective Affiliates, irrespective of whether or not such Lender, such L/C Issuer or such Affiliate shall have made any demand under this Agreement or any other Loan Document and although such obligations of such Borrower are owed to a branch, office or Affiliate of such Lender or such L/C Issuer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any Defaulting Lender shall exercise any such right of setoff, (x) all amounts so set off shall be paid over immediately to the Administrative Agent for further application inaccordance with the provisions of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affectthe validity of such setoff and application.</w:t>
      </w:r>
    </w:p>
    <w:p>
      <w:pPr>
        <w:spacing w:after="0" w:line="192" w:lineRule="exact"/>
        <w:rPr>
          <w:sz w:val="20"/>
          <w:szCs w:val="20"/>
          <w:color w:val="auto"/>
        </w:rPr>
      </w:pPr>
    </w:p>
    <w:p>
      <w:pPr>
        <w:jc w:val="both"/>
        <w:ind w:left="100" w:firstLine="749"/>
        <w:spacing w:after="0" w:line="227" w:lineRule="auto"/>
        <w:rPr>
          <w:sz w:val="20"/>
          <w:szCs w:val="20"/>
          <w:color w:val="auto"/>
        </w:rPr>
      </w:pPr>
      <w:r>
        <w:rPr>
          <w:rFonts w:ascii="Arial" w:cs="Arial" w:eastAsia="Arial" w:hAnsi="Arial"/>
          <w:sz w:val="20"/>
          <w:szCs w:val="20"/>
          <w:color w:val="auto"/>
        </w:rPr>
        <w:t>1.9 Interest Rate Limitation. 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20"/>
          <w:szCs w:val="20"/>
          <w:u w:val="single" w:color="auto"/>
          <w:color w:val="auto"/>
        </w:rPr>
        <w:t>Maximum Rate</w:t>
      </w:r>
      <w:r>
        <w:rPr>
          <w:rFonts w:ascii="Arial" w:cs="Arial" w:eastAsia="Arial" w:hAnsi="Arial"/>
          <w:sz w:val="20"/>
          <w:szCs w:val="20"/>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w:t>
      </w:r>
    </w:p>
    <w:p>
      <w:pPr>
        <w:spacing w:after="0" w:line="5" w:lineRule="exact"/>
        <w:rPr>
          <w:sz w:val="20"/>
          <w:szCs w:val="20"/>
          <w:color w:val="auto"/>
        </w:rPr>
      </w:pPr>
    </w:p>
    <w:p>
      <w:pPr>
        <w:jc w:val="both"/>
        <w:ind w:left="100"/>
        <w:spacing w:after="0" w:line="234" w:lineRule="auto"/>
        <w:rPr>
          <w:sz w:val="20"/>
          <w:szCs w:val="20"/>
          <w:color w:val="auto"/>
        </w:rPr>
      </w:pPr>
      <w:r>
        <w:rPr>
          <w:rFonts w:ascii="Arial" w:cs="Arial" w:eastAsia="Arial" w:hAnsi="Arial"/>
          <w:sz w:val="20"/>
          <w:szCs w:val="20"/>
          <w:color w:val="auto"/>
        </w:rPr>
        <w:t>(b)exclude voluntary prepayments and the effects thereof, and (c) amortize, prorate, allocate, and spread in equal or unequal parts the total amount of interest throughout the contemplated term of the Obligations hereunder.</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69" w:name="page270"/>
    <w:bookmarkEnd w:id="269"/>
    <w:p>
      <w:pPr>
        <w:jc w:val="both"/>
        <w:ind w:left="100" w:firstLine="749"/>
        <w:spacing w:after="0" w:line="299" w:lineRule="auto"/>
        <w:rPr>
          <w:sz w:val="20"/>
          <w:szCs w:val="20"/>
          <w:color w:val="auto"/>
        </w:rPr>
      </w:pPr>
      <w:r>
        <w:rPr>
          <w:rFonts w:ascii="Arial" w:cs="Arial" w:eastAsia="Arial" w:hAnsi="Arial"/>
          <w:sz w:val="16"/>
          <w:szCs w:val="16"/>
          <w:color w:val="auto"/>
        </w:rPr>
        <w:t xml:space="preserve">1.10 Integration; Effectiveness. 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37" w:lineRule="exact"/>
        <w:rPr>
          <w:sz w:val="20"/>
          <w:szCs w:val="20"/>
          <w:color w:val="auto"/>
        </w:rPr>
      </w:pPr>
    </w:p>
    <w:p>
      <w:pPr>
        <w:jc w:val="both"/>
        <w:ind w:left="100" w:firstLine="749"/>
        <w:spacing w:after="0" w:line="230" w:lineRule="auto"/>
        <w:rPr>
          <w:sz w:val="20"/>
          <w:szCs w:val="20"/>
          <w:color w:val="auto"/>
        </w:rPr>
      </w:pPr>
      <w:r>
        <w:rPr>
          <w:rFonts w:ascii="Arial" w:cs="Arial" w:eastAsia="Arial" w:hAnsi="Arial"/>
          <w:sz w:val="20"/>
          <w:szCs w:val="20"/>
          <w:color w:val="auto"/>
        </w:rPr>
        <w:t>1.11 Survival of Representations and Warranties.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99" w:lineRule="exact"/>
        <w:rPr>
          <w:sz w:val="20"/>
          <w:szCs w:val="20"/>
          <w:color w:val="auto"/>
        </w:rPr>
      </w:pPr>
    </w:p>
    <w:p>
      <w:pPr>
        <w:jc w:val="both"/>
        <w:ind w:left="100" w:firstLine="749"/>
        <w:spacing w:after="0" w:line="229" w:lineRule="auto"/>
        <w:rPr>
          <w:sz w:val="20"/>
          <w:szCs w:val="20"/>
          <w:color w:val="auto"/>
        </w:rPr>
      </w:pPr>
      <w:r>
        <w:rPr>
          <w:rFonts w:ascii="Arial" w:cs="Arial" w:eastAsia="Arial" w:hAnsi="Arial"/>
          <w:sz w:val="20"/>
          <w:szCs w:val="20"/>
          <w:color w:val="auto"/>
        </w:rPr>
        <w:t xml:space="preserve">1.12 Severability.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20"/>
          <w:szCs w:val="20"/>
          <w:u w:val="single" w:color="auto"/>
          <w:color w:val="auto"/>
        </w:rPr>
        <w:t>Section 10.12</w:t>
      </w:r>
      <w:r>
        <w:rPr>
          <w:rFonts w:ascii="Arial" w:cs="Arial" w:eastAsia="Arial" w:hAnsi="Arial"/>
          <w:sz w:val="20"/>
          <w:szCs w:val="20"/>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85" w:lineRule="exact"/>
        <w:rPr>
          <w:sz w:val="20"/>
          <w:szCs w:val="20"/>
          <w:color w:val="auto"/>
        </w:rPr>
      </w:pPr>
    </w:p>
    <w:p>
      <w:pPr>
        <w:jc w:val="both"/>
        <w:ind w:left="100" w:firstLine="749"/>
        <w:spacing w:after="0" w:line="260" w:lineRule="auto"/>
        <w:rPr>
          <w:sz w:val="20"/>
          <w:szCs w:val="20"/>
          <w:color w:val="auto"/>
        </w:rPr>
      </w:pPr>
      <w:r>
        <w:rPr>
          <w:rFonts w:ascii="Arial" w:cs="Arial" w:eastAsia="Arial" w:hAnsi="Arial"/>
          <w:sz w:val="18"/>
          <w:szCs w:val="18"/>
          <w:color w:val="auto"/>
        </w:rPr>
        <w:t xml:space="preserve">1.13 Replacement of Lenders. If the Company is entitled to replace a Lender pursuant to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or if any Lender is a 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that:</w:t>
      </w:r>
    </w:p>
    <w:p>
      <w:pPr>
        <w:spacing w:after="0" w:line="167" w:lineRule="exact"/>
        <w:rPr>
          <w:sz w:val="20"/>
          <w:szCs w:val="20"/>
          <w:color w:val="auto"/>
        </w:rPr>
      </w:pPr>
    </w:p>
    <w:p>
      <w:pPr>
        <w:ind w:left="280" w:right="1180" w:firstLine="748"/>
        <w:spacing w:after="0" w:line="260" w:lineRule="auto"/>
        <w:tabs>
          <w:tab w:leader="none" w:pos="1705" w:val="left"/>
        </w:tabs>
        <w:numPr>
          <w:ilvl w:val="0"/>
          <w:numId w:val="276"/>
        </w:numPr>
        <w:rPr>
          <w:rFonts w:ascii="Arial" w:cs="Arial" w:eastAsia="Arial" w:hAnsi="Arial"/>
          <w:sz w:val="20"/>
          <w:szCs w:val="20"/>
          <w:color w:val="auto"/>
        </w:rPr>
      </w:pPr>
      <w:r>
        <w:rPr>
          <w:rFonts w:ascii="Arial" w:cs="Arial" w:eastAsia="Arial" w:hAnsi="Arial"/>
          <w:sz w:val="20"/>
          <w:szCs w:val="20"/>
          <w:color w:val="auto"/>
        </w:rPr>
        <w:t xml:space="preserve">the Company shall have paid (or caused a Designated Borrower to pay) to the Administrative Agent the assignment fee (if any)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w:t>
      </w:r>
    </w:p>
    <w:p>
      <w:pPr>
        <w:spacing w:after="0" w:line="149" w:lineRule="exact"/>
        <w:rPr>
          <w:rFonts w:ascii="Arial" w:cs="Arial" w:eastAsia="Arial" w:hAnsi="Arial"/>
          <w:sz w:val="20"/>
          <w:szCs w:val="20"/>
          <w:color w:val="auto"/>
        </w:rPr>
      </w:pPr>
    </w:p>
    <w:p>
      <w:pPr>
        <w:jc w:val="both"/>
        <w:ind w:left="280" w:firstLine="748"/>
        <w:spacing w:after="0" w:line="248" w:lineRule="auto"/>
        <w:tabs>
          <w:tab w:leader="none" w:pos="1770" w:val="left"/>
        </w:tabs>
        <w:numPr>
          <w:ilvl w:val="0"/>
          <w:numId w:val="276"/>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9"/>
          <w:szCs w:val="19"/>
          <w:u w:val="single" w:color="auto"/>
          <w:color w:val="auto"/>
        </w:rPr>
        <w:t>Section 3.05</w:t>
      </w:r>
      <w:r>
        <w:rPr>
          <w:rFonts w:ascii="Arial" w:cs="Arial" w:eastAsia="Arial" w:hAnsi="Arial"/>
          <w:sz w:val="19"/>
          <w:szCs w:val="19"/>
          <w:color w:val="auto"/>
        </w:rPr>
        <w:t>) from the assignee (to the extent of such outstanding principal and accrued interest and fees) or the Company or applicable Designated Borrower (in the case of all other amounts);</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137</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70" w:name="page271"/>
    <w:bookmarkEnd w:id="270"/>
    <w:p>
      <w:pPr>
        <w:ind w:left="1780" w:hanging="752"/>
        <w:spacing w:after="0"/>
        <w:tabs>
          <w:tab w:leader="none" w:pos="1780" w:val="left"/>
        </w:tabs>
        <w:numPr>
          <w:ilvl w:val="0"/>
          <w:numId w:val="277"/>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u w:val="single" w:color="auto"/>
          <w:color w:val="auto"/>
        </w:rPr>
        <w:t>Section</w:t>
      </w:r>
    </w:p>
    <w:p>
      <w:pPr>
        <w:spacing w:after="0" w:line="16" w:lineRule="exact"/>
        <w:rPr>
          <w:sz w:val="20"/>
          <w:szCs w:val="20"/>
          <w:color w:val="auto"/>
        </w:rPr>
      </w:pPr>
    </w:p>
    <w:p>
      <w:pPr>
        <w:ind w:left="280" w:right="500"/>
        <w:spacing w:after="0" w:line="234" w:lineRule="auto"/>
        <w:rPr>
          <w:sz w:val="20"/>
          <w:szCs w:val="20"/>
          <w:color w:val="auto"/>
        </w:rPr>
      </w:pPr>
      <w:r>
        <w:rPr>
          <w:rFonts w:ascii="Arial" w:cs="Arial" w:eastAsia="Arial" w:hAnsi="Arial"/>
          <w:sz w:val="20"/>
          <w:szCs w:val="20"/>
          <w:u w:val="single" w:color="auto"/>
          <w:color w:val="auto"/>
        </w:rPr>
        <w:t>3.04</w:t>
      </w:r>
      <w:r>
        <w:rPr>
          <w:rFonts w:ascii="Arial" w:cs="Arial" w:eastAsia="Arial" w:hAnsi="Arial"/>
          <w:sz w:val="20"/>
          <w:szCs w:val="20"/>
          <w:color w:val="auto"/>
        </w:rPr>
        <w:t xml:space="preserve"> or payments required to be made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such assignment will result in a reduction in such compensation or payments thereafter;</w:t>
      </w:r>
    </w:p>
    <w:p>
      <w:pPr>
        <w:spacing w:after="0" w:line="184" w:lineRule="exact"/>
        <w:rPr>
          <w:sz w:val="20"/>
          <w:szCs w:val="20"/>
          <w:color w:val="auto"/>
        </w:rPr>
      </w:pPr>
    </w:p>
    <w:p>
      <w:pPr>
        <w:ind w:left="1780" w:hanging="752"/>
        <w:spacing w:after="0"/>
        <w:tabs>
          <w:tab w:leader="none" w:pos="178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ind w:left="280" w:right="360" w:firstLine="748"/>
        <w:spacing w:after="0" w:line="260" w:lineRule="auto"/>
        <w:tabs>
          <w:tab w:leader="none" w:pos="1751" w:val="left"/>
        </w:tabs>
        <w:numPr>
          <w:ilvl w:val="0"/>
          <w:numId w:val="278"/>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orconsent.</w:t>
      </w:r>
    </w:p>
    <w:p>
      <w:pPr>
        <w:spacing w:after="0" w:line="163" w:lineRule="exact"/>
        <w:rPr>
          <w:sz w:val="20"/>
          <w:szCs w:val="20"/>
          <w:color w:val="auto"/>
        </w:rPr>
      </w:pPr>
    </w:p>
    <w:p>
      <w:pPr>
        <w:jc w:val="both"/>
        <w:ind w:left="100" w:right="20" w:firstLine="747"/>
        <w:spacing w:after="0" w:line="272" w:lineRule="auto"/>
        <w:rPr>
          <w:sz w:val="20"/>
          <w:szCs w:val="20"/>
          <w:color w:val="auto"/>
        </w:rPr>
      </w:pPr>
      <w:r>
        <w:rPr>
          <w:rFonts w:ascii="Arial" w:cs="Arial" w:eastAsia="Arial" w:hAnsi="Arial"/>
          <w:sz w:val="19"/>
          <w:szCs w:val="19"/>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3"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18"/>
          <w:szCs w:val="18"/>
          <w:color w:val="auto"/>
        </w:rPr>
        <w:t xml:space="preserve">Each party hereto agrees that (x) an assignment required pursuant to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may be effected pursuant to an Assignment and Assumption executed by the Company, the Administrative Agent and the assignee and (y) the Lender required to make such assignment need not be a party thereto in order for such assignment to be effective and shall be deemed to have consented to an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documents shall be without recourse to or warranty by the parties thereto.</w:t>
      </w:r>
    </w:p>
    <w:p>
      <w:pPr>
        <w:spacing w:after="0" w:line="167" w:lineRule="exact"/>
        <w:rPr>
          <w:sz w:val="20"/>
          <w:szCs w:val="20"/>
          <w:color w:val="auto"/>
        </w:rPr>
      </w:pPr>
    </w:p>
    <w:p>
      <w:pPr>
        <w:jc w:val="both"/>
        <w:ind w:left="100" w:firstLine="747"/>
        <w:spacing w:after="0" w:line="260"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53" w:lineRule="exact"/>
        <w:rPr>
          <w:sz w:val="20"/>
          <w:szCs w:val="20"/>
          <w:color w:val="auto"/>
        </w:rPr>
      </w:pPr>
    </w:p>
    <w:p>
      <w:pPr>
        <w:ind w:left="840"/>
        <w:spacing w:after="0"/>
        <w:tabs>
          <w:tab w:leader="none" w:pos="156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Governing Law; Jurisdiction; Etc.</w:t>
      </w:r>
    </w:p>
    <w:p>
      <w:pPr>
        <w:spacing w:after="0" w:line="216" w:lineRule="exact"/>
        <w:rPr>
          <w:sz w:val="20"/>
          <w:szCs w:val="20"/>
          <w:color w:val="auto"/>
        </w:rPr>
      </w:pPr>
    </w:p>
    <w:p>
      <w:pPr>
        <w:jc w:val="both"/>
        <w:ind w:left="280" w:firstLine="748"/>
        <w:spacing w:after="0" w:line="231" w:lineRule="auto"/>
        <w:tabs>
          <w:tab w:leader="none" w:pos="1769" w:val="left"/>
        </w:tabs>
        <w:numPr>
          <w:ilvl w:val="0"/>
          <w:numId w:val="279"/>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rFonts w:ascii="Arial" w:cs="Arial" w:eastAsia="Arial" w:hAnsi="Arial"/>
          <w:sz w:val="20"/>
          <w:szCs w:val="20"/>
          <w:color w:val="auto"/>
        </w:rPr>
      </w:pPr>
    </w:p>
    <w:p>
      <w:pPr>
        <w:jc w:val="both"/>
        <w:ind w:left="280" w:right="20" w:firstLine="748"/>
        <w:spacing w:after="0" w:line="242" w:lineRule="auto"/>
        <w:tabs>
          <w:tab w:leader="none" w:pos="1769"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EXCEPT TO THE EXTENT MANDATED BY APPLICABLE LAW OR RULES OF PROCEDURE,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138</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77" w:right="459" w:bottom="1440" w:gutter="0" w:footer="0" w:header="0"/>
        </w:sectPr>
      </w:pPr>
    </w:p>
    <w:bookmarkStart w:id="271" w:name="page272"/>
    <w:bookmarkEnd w:id="271"/>
    <w:p>
      <w:pPr>
        <w:jc w:val="both"/>
        <w:ind w:left="280"/>
        <w:spacing w:after="0" w:line="241" w:lineRule="auto"/>
        <w:rPr>
          <w:sz w:val="20"/>
          <w:szCs w:val="20"/>
          <w:color w:val="auto"/>
        </w:rPr>
      </w:pPr>
      <w:r>
        <w:rPr>
          <w:rFonts w:ascii="Arial" w:cs="Arial" w:eastAsia="Arial" w:hAnsi="Arial"/>
          <w:sz w:val="19"/>
          <w:szCs w:val="19"/>
          <w:color w:val="auto"/>
        </w:rPr>
        <w:t>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ITS PROPERTIES IN THE COURTS OF ANYJURISDICTION.</w:t>
      </w:r>
    </w:p>
    <w:p>
      <w:pPr>
        <w:spacing w:after="0" w:line="182" w:lineRule="exact"/>
        <w:rPr>
          <w:sz w:val="20"/>
          <w:szCs w:val="20"/>
          <w:color w:val="auto"/>
        </w:rPr>
      </w:pPr>
    </w:p>
    <w:p>
      <w:pPr>
        <w:jc w:val="both"/>
        <w:ind w:left="280" w:firstLine="748"/>
        <w:spacing w:after="0" w:line="230" w:lineRule="auto"/>
        <w:tabs>
          <w:tab w:leader="none" w:pos="1769" w:val="left"/>
        </w:tabs>
        <w:numPr>
          <w:ilvl w:val="0"/>
          <w:numId w:val="280"/>
        </w:numPr>
        <w:rPr>
          <w:rFonts w:ascii="Arial" w:cs="Arial" w:eastAsia="Arial" w:hAnsi="Arial"/>
          <w:sz w:val="20"/>
          <w:szCs w:val="20"/>
          <w:color w:val="auto"/>
        </w:rPr>
      </w:pPr>
      <w:r>
        <w:rPr>
          <w:rFonts w:ascii="Arial" w:cs="Arial" w:eastAsia="Arial" w:hAnsi="Arial"/>
          <w:sz w:val="20"/>
          <w:szCs w:val="20"/>
          <w:u w:val="single" w:color="auto"/>
          <w:color w:val="auto"/>
        </w:rPr>
        <w:t>WAIVER OF VENUE</w:t>
      </w:r>
      <w:r>
        <w:rPr>
          <w:rFonts w:ascii="Arial" w:cs="Arial" w:eastAsia="Arial" w:hAnsi="Arial"/>
          <w:sz w:val="20"/>
          <w:szCs w:val="20"/>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8" w:lineRule="exact"/>
        <w:rPr>
          <w:rFonts w:ascii="Arial" w:cs="Arial" w:eastAsia="Arial" w:hAnsi="Arial"/>
          <w:sz w:val="20"/>
          <w:szCs w:val="20"/>
          <w:color w:val="auto"/>
        </w:rPr>
      </w:pPr>
    </w:p>
    <w:p>
      <w:pPr>
        <w:jc w:val="both"/>
        <w:ind w:left="280" w:firstLine="748"/>
        <w:spacing w:after="0" w:line="254" w:lineRule="auto"/>
        <w:tabs>
          <w:tab w:leader="none" w:pos="1769" w:val="left"/>
        </w:tabs>
        <w:numPr>
          <w:ilvl w:val="0"/>
          <w:numId w:val="280"/>
        </w:numPr>
        <w:rPr>
          <w:rFonts w:ascii="Arial" w:cs="Arial" w:eastAsia="Arial" w:hAnsi="Arial"/>
          <w:sz w:val="19"/>
          <w:szCs w:val="19"/>
          <w:color w:val="auto"/>
        </w:rPr>
      </w:pPr>
      <w:r>
        <w:rPr>
          <w:rFonts w:ascii="Arial" w:cs="Arial" w:eastAsia="Arial" w:hAnsi="Arial"/>
          <w:sz w:val="19"/>
          <w:szCs w:val="19"/>
          <w:u w:val="single" w:color="auto"/>
          <w:color w:val="auto"/>
        </w:rPr>
        <w:t>SERVICE OF PROCESS</w:t>
      </w:r>
      <w:r>
        <w:rPr>
          <w:rFonts w:ascii="Arial" w:cs="Arial" w:eastAsia="Arial" w:hAnsi="Arial"/>
          <w:sz w:val="19"/>
          <w:szCs w:val="19"/>
          <w:color w:val="auto"/>
        </w:rPr>
        <w:t xml:space="preserve">. EACH PARTY HERETO IRREVOCABLY CONSENTS TO SERVICE OF PROCESS IN THE MANNER PROVIDED FOR NOTICES IN </w:t>
      </w:r>
      <w:r>
        <w:rPr>
          <w:rFonts w:ascii="Arial" w:cs="Arial" w:eastAsia="Arial" w:hAnsi="Arial"/>
          <w:sz w:val="19"/>
          <w:szCs w:val="19"/>
          <w:u w:val="single" w:color="auto"/>
          <w:color w:val="auto"/>
        </w:rPr>
        <w:t>SECTION 10.02</w:t>
      </w:r>
      <w:r>
        <w:rPr>
          <w:rFonts w:ascii="Arial" w:cs="Arial" w:eastAsia="Arial" w:hAnsi="Arial"/>
          <w:sz w:val="19"/>
          <w:szCs w:val="19"/>
          <w:color w:val="auto"/>
        </w:rPr>
        <w:t>. NOTHING IN THIS AGREEMENT WILL AFFECT THE RIGHT OF ANY PARTY HERETO TO SERVE PROCESS IN ANY OTHER MANNER PERMITTED BY APPLICABLE LAW.</w:t>
      </w:r>
    </w:p>
    <w:p>
      <w:pPr>
        <w:spacing w:after="0" w:line="170" w:lineRule="exact"/>
        <w:rPr>
          <w:sz w:val="20"/>
          <w:szCs w:val="20"/>
          <w:color w:val="auto"/>
        </w:rPr>
      </w:pPr>
    </w:p>
    <w:p>
      <w:pPr>
        <w:jc w:val="both"/>
        <w:ind w:left="100" w:firstLine="749"/>
        <w:spacing w:after="0" w:line="241" w:lineRule="auto"/>
        <w:rPr>
          <w:sz w:val="20"/>
          <w:szCs w:val="20"/>
          <w:color w:val="auto"/>
        </w:rPr>
      </w:pPr>
      <w:r>
        <w:rPr>
          <w:rFonts w:ascii="Arial" w:cs="Arial" w:eastAsia="Arial" w:hAnsi="Arial"/>
          <w:sz w:val="19"/>
          <w:szCs w:val="19"/>
          <w:color w:val="auto"/>
        </w:rPr>
        <w:t>1.16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5" w:lineRule="exact"/>
        <w:rPr>
          <w:sz w:val="20"/>
          <w:szCs w:val="20"/>
          <w:color w:val="auto"/>
        </w:rPr>
      </w:pPr>
    </w:p>
    <w:p>
      <w:pPr>
        <w:jc w:val="both"/>
        <w:ind w:left="100" w:firstLine="749"/>
        <w:spacing w:after="0" w:line="258" w:lineRule="auto"/>
        <w:rPr>
          <w:sz w:val="20"/>
          <w:szCs w:val="20"/>
          <w:color w:val="auto"/>
        </w:rPr>
      </w:pPr>
      <w:r>
        <w:rPr>
          <w:rFonts w:ascii="Arial" w:cs="Arial" w:eastAsia="Arial" w:hAnsi="Arial"/>
          <w:sz w:val="18"/>
          <w:szCs w:val="18"/>
          <w:color w:val="auto"/>
        </w:rPr>
        <w:t>1.17 No Advisory or Fiduciary Responsibility. In connection with all aspects of each transaction contemplated hereby (including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 and the Lenders are arm’s-length commercial transactions between such Borrower and its Affiliates, on the one hand, and the Administrative Agent, the Arranger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139</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72" w:name="page273"/>
    <w:bookmarkEnd w:id="272"/>
    <w:p>
      <w:pPr>
        <w:jc w:val="both"/>
        <w:ind w:left="100"/>
        <w:spacing w:after="0"/>
        <w:rPr>
          <w:sz w:val="20"/>
          <w:szCs w:val="20"/>
          <w:color w:val="auto"/>
        </w:rPr>
      </w:pPr>
      <w:r>
        <w:rPr>
          <w:rFonts w:ascii="Arial" w:cs="Arial" w:eastAsia="Arial" w:hAnsi="Arial"/>
          <w:sz w:val="19"/>
          <w:szCs w:val="19"/>
          <w:color w:val="auto"/>
        </w:rPr>
        <w:t>contemplated hereby and by the other Loan Documents; (ii) (A) each of the Administrative Agent, the Arranger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the Arranger nor any Lender has any obligation to such Borrower or any of its Affiliates with respect to the transactions contemplated hereby except those obligations expressly set forth herein and in the other Loan Documents; and (iii) the Administrative Agent, the Arranger and the Lenders and their respective Affiliates may be engaged in a broad range of transactions that involve interests that differ from those of such Borrower and its Affiliates, and neither the Administrative Agent, the Arranger nor any Lender has any obligation to disclose any of such interests to any Borrower or any of their respective Affiliates. To the fullest extent permitted by law, each of the Borrowers hereby waives and releases any claims that it may have against the Administrative Agent, the Arranger or any Lender with respect to any breach or alleged breach of agency or fiduciary duty in connection with any aspect of any transaction contemplatedhereby.</w:t>
      </w:r>
    </w:p>
    <w:p>
      <w:pPr>
        <w:spacing w:after="0" w:line="189" w:lineRule="exact"/>
        <w:rPr>
          <w:sz w:val="20"/>
          <w:szCs w:val="20"/>
          <w:color w:val="auto"/>
        </w:rPr>
      </w:pPr>
    </w:p>
    <w:p>
      <w:pPr>
        <w:jc w:val="right"/>
        <w:ind w:left="100"/>
        <w:spacing w:after="0" w:line="238" w:lineRule="auto"/>
        <w:rPr>
          <w:sz w:val="20"/>
          <w:szCs w:val="20"/>
          <w:color w:val="auto"/>
        </w:rPr>
      </w:pPr>
      <w:r>
        <w:rPr>
          <w:rFonts w:ascii="Arial" w:cs="Arial" w:eastAsia="Arial" w:hAnsi="Arial"/>
          <w:sz w:val="19"/>
          <w:szCs w:val="19"/>
          <w:color w:val="auto"/>
        </w:rPr>
        <w:t>1.17         Electronic Execution; Electronic Records; Counterparts. This Agreement, any Loan Document and any other 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Arial" w:cs="Arial" w:eastAsia="Arial" w:hAnsi="Arial"/>
          <w:sz w:val="19"/>
          <w:szCs w:val="19"/>
          <w:u w:val="single" w:color="auto"/>
          <w:color w:val="auto"/>
        </w:rPr>
        <w:t>Electronic Copy</w:t>
      </w:r>
      <w:r>
        <w:rPr>
          <w:rFonts w:ascii="Arial" w:cs="Arial" w:eastAsia="Arial" w:hAnsi="Arial"/>
          <w:sz w:val="19"/>
          <w:szCs w:val="19"/>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Swing Line Lender is under any obligation to accept an Electronic Signature in any form or in any format unless expressly agreed to by such Person pursuant to procedures approved by it; provided, further, without limiting the foregoing, (a) to the extent the Administrative Agent, any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215" w:lineRule="exact"/>
        <w:rPr>
          <w:sz w:val="20"/>
          <w:szCs w:val="20"/>
          <w:color w:val="auto"/>
        </w:rPr>
      </w:pPr>
    </w:p>
    <w:p>
      <w:pPr>
        <w:jc w:val="both"/>
        <w:ind w:left="100" w:firstLine="747"/>
        <w:spacing w:after="0" w:line="258" w:lineRule="auto"/>
        <w:rPr>
          <w:sz w:val="20"/>
          <w:szCs w:val="20"/>
          <w:color w:val="auto"/>
        </w:rPr>
      </w:pPr>
      <w:r>
        <w:rPr>
          <w:rFonts w:ascii="Arial" w:cs="Arial" w:eastAsia="Arial" w:hAnsi="Arial"/>
          <w:sz w:val="18"/>
          <w:szCs w:val="18"/>
          <w:color w:val="auto"/>
        </w:rPr>
        <w:t>Neither the Administrative Agent, any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L/C Issuer’s or Swing Line Lender’s reliance on any Electronic Signature transmitted by telecopy, emailed .pdf or any other electronic means). The Administrative Agent, each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140</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73" w:name="page274"/>
    <w:bookmarkEnd w:id="273"/>
    <w:p>
      <w:pPr>
        <w:ind w:left="100" w:right="120"/>
        <w:spacing w:after="0" w:line="246" w:lineRule="auto"/>
        <w:rPr>
          <w:sz w:val="20"/>
          <w:szCs w:val="20"/>
          <w:color w:val="auto"/>
        </w:rPr>
      </w:pPr>
      <w:r>
        <w:rPr>
          <w:rFonts w:ascii="Arial" w:cs="Arial" w:eastAsia="Arial" w:hAnsi="Arial"/>
          <w:sz w:val="20"/>
          <w:szCs w:val="20"/>
          <w:color w:val="auto"/>
        </w:rPr>
        <w:t>by telephone and believed by it to be genuine and signed or sent or otherwise authenticated (whether or not such Person in fact meets the requirements set forth in the Loan Documents for being the maker thereof).</w:t>
      </w:r>
    </w:p>
    <w:p>
      <w:pPr>
        <w:spacing w:after="0" w:line="177" w:lineRule="exact"/>
        <w:rPr>
          <w:sz w:val="20"/>
          <w:szCs w:val="20"/>
          <w:color w:val="auto"/>
        </w:rPr>
      </w:pPr>
    </w:p>
    <w:p>
      <w:pPr>
        <w:jc w:val="both"/>
        <w:ind w:left="100" w:firstLine="747"/>
        <w:spacing w:after="0" w:line="244" w:lineRule="auto"/>
        <w:rPr>
          <w:sz w:val="20"/>
          <w:szCs w:val="20"/>
          <w:color w:val="auto"/>
        </w:rPr>
      </w:pPr>
      <w:r>
        <w:rPr>
          <w:rFonts w:ascii="Arial" w:cs="Arial" w:eastAsia="Arial" w:hAnsi="Arial"/>
          <w:sz w:val="19"/>
          <w:szCs w:val="19"/>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93" w:lineRule="exact"/>
        <w:rPr>
          <w:sz w:val="20"/>
          <w:szCs w:val="20"/>
          <w:color w:val="auto"/>
        </w:rPr>
      </w:pPr>
    </w:p>
    <w:p>
      <w:pPr>
        <w:jc w:val="both"/>
        <w:ind w:left="100" w:firstLine="749"/>
        <w:spacing w:after="0" w:line="259" w:lineRule="auto"/>
        <w:rPr>
          <w:sz w:val="20"/>
          <w:szCs w:val="20"/>
          <w:color w:val="auto"/>
        </w:rPr>
      </w:pPr>
      <w:r>
        <w:rPr>
          <w:rFonts w:ascii="Arial" w:cs="Arial" w:eastAsia="Arial" w:hAnsi="Arial"/>
          <w:sz w:val="18"/>
          <w:szCs w:val="18"/>
          <w:color w:val="auto"/>
        </w:rPr>
        <w:t>1.18 USA PATRIOT Act. Each Lender that is subject to the Act (as hereinafter defined) and the Administrative Agent (for itself and not on behalf of any Lender) hereby notifies the Borrowers that pursuant to the requirements of the USA PATRIOT Act (Title</w:t>
      </w:r>
    </w:p>
    <w:p>
      <w:pPr>
        <w:spacing w:after="0" w:line="1" w:lineRule="exact"/>
        <w:rPr>
          <w:sz w:val="20"/>
          <w:szCs w:val="20"/>
          <w:color w:val="auto"/>
        </w:rPr>
      </w:pPr>
    </w:p>
    <w:p>
      <w:pPr>
        <w:jc w:val="both"/>
        <w:ind w:left="100" w:hanging="8"/>
        <w:spacing w:after="0" w:line="228" w:lineRule="auto"/>
        <w:tabs>
          <w:tab w:leader="none" w:pos="349" w:val="left"/>
        </w:tabs>
        <w:numPr>
          <w:ilvl w:val="0"/>
          <w:numId w:val="281"/>
        </w:numPr>
        <w:rPr>
          <w:rFonts w:ascii="Arial" w:cs="Arial" w:eastAsia="Arial" w:hAnsi="Arial"/>
          <w:sz w:val="20"/>
          <w:szCs w:val="20"/>
          <w:color w:val="auto"/>
        </w:rPr>
      </w:pPr>
      <w:r>
        <w:rPr>
          <w:rFonts w:ascii="Arial" w:cs="Arial" w:eastAsia="Arial" w:hAnsi="Arial"/>
          <w:sz w:val="20"/>
          <w:szCs w:val="20"/>
          <w:color w:val="auto"/>
        </w:rPr>
        <w:t>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5" w:lineRule="exact"/>
        <w:rPr>
          <w:sz w:val="20"/>
          <w:szCs w:val="20"/>
          <w:color w:val="auto"/>
        </w:rPr>
      </w:pPr>
    </w:p>
    <w:p>
      <w:pPr>
        <w:jc w:val="both"/>
        <w:ind w:left="100" w:firstLine="749"/>
        <w:spacing w:after="0" w:line="256" w:lineRule="auto"/>
        <w:rPr>
          <w:sz w:val="20"/>
          <w:szCs w:val="20"/>
          <w:color w:val="auto"/>
        </w:rPr>
      </w:pPr>
      <w:r>
        <w:rPr>
          <w:rFonts w:ascii="Arial" w:cs="Arial" w:eastAsia="Arial" w:hAnsi="Arial"/>
          <w:sz w:val="18"/>
          <w:szCs w:val="18"/>
          <w:color w:val="auto"/>
        </w:rPr>
        <w:t xml:space="preserve">1.19 Keepwell. The Company hereby absolutely, unconditionally and irrevocably undertakes to provide such funds or other support to each Subsidiary Guarantor as may be needed by such Subsidiary Guarantor from time to time to honor all of its obligations under the Subsidiary Guaranty to which it is a party and the other Loan Documents to which it is a party in respect of Swap Obligations that would, in absence of the agreement in this </w:t>
      </w:r>
      <w:r>
        <w:rPr>
          <w:rFonts w:ascii="Arial" w:cs="Arial" w:eastAsia="Arial" w:hAnsi="Arial"/>
          <w:sz w:val="18"/>
          <w:szCs w:val="18"/>
          <w:u w:val="single" w:color="auto"/>
          <w:color w:val="auto"/>
        </w:rPr>
        <w:t>Section 10.19</w:t>
      </w:r>
      <w:r>
        <w:rPr>
          <w:rFonts w:ascii="Arial" w:cs="Arial" w:eastAsia="Arial" w:hAnsi="Arial"/>
          <w:sz w:val="18"/>
          <w:szCs w:val="18"/>
          <w:color w:val="auto"/>
        </w:rPr>
        <w:t xml:space="preserve">, otherwise constitute Excluded Swap Obligations (but, in each case, only up to the maximum amount of such liability that can be hereby incurred without rendering the Company’s obligations and undertakings under this </w:t>
      </w:r>
      <w:r>
        <w:rPr>
          <w:rFonts w:ascii="Arial" w:cs="Arial" w:eastAsia="Arial" w:hAnsi="Arial"/>
          <w:sz w:val="18"/>
          <w:szCs w:val="18"/>
          <w:u w:val="single" w:color="auto"/>
          <w:color w:val="auto"/>
        </w:rPr>
        <w:t>Section 10.19</w:t>
      </w:r>
      <w:r>
        <w:rPr>
          <w:rFonts w:ascii="Arial" w:cs="Arial" w:eastAsia="Arial" w:hAnsi="Arial"/>
          <w:sz w:val="18"/>
          <w:szCs w:val="18"/>
          <w:color w:val="auto"/>
        </w:rPr>
        <w:t xml:space="preserve"> voidable under applicable law relating to fraudulent conveyance or fraudulent transfer, and not for any greater amount). The obligations and undertakings of the Company under this </w:t>
      </w:r>
      <w:r>
        <w:rPr>
          <w:rFonts w:ascii="Arial" w:cs="Arial" w:eastAsia="Arial" w:hAnsi="Arial"/>
          <w:sz w:val="18"/>
          <w:szCs w:val="18"/>
          <w:u w:val="single" w:color="auto"/>
          <w:color w:val="auto"/>
        </w:rPr>
        <w:t>Section 10.19</w:t>
      </w:r>
      <w:r>
        <w:rPr>
          <w:rFonts w:ascii="Arial" w:cs="Arial" w:eastAsia="Arial" w:hAnsi="Arial"/>
          <w:sz w:val="18"/>
          <w:szCs w:val="18"/>
          <w:color w:val="auto"/>
        </w:rPr>
        <w:t xml:space="preserve"> shall remain in full force and effect until the Obligations have been indefeasibly paid and performed in full. The Company intends this </w:t>
      </w:r>
      <w:r>
        <w:rPr>
          <w:rFonts w:ascii="Arial" w:cs="Arial" w:eastAsia="Arial" w:hAnsi="Arial"/>
          <w:sz w:val="18"/>
          <w:szCs w:val="18"/>
          <w:u w:val="single" w:color="auto"/>
          <w:color w:val="auto"/>
        </w:rPr>
        <w:t>Section 10.19</w:t>
      </w:r>
      <w:r>
        <w:rPr>
          <w:rFonts w:ascii="Arial" w:cs="Arial" w:eastAsia="Arial" w:hAnsi="Arial"/>
          <w:sz w:val="18"/>
          <w:szCs w:val="18"/>
          <w:color w:val="auto"/>
        </w:rPr>
        <w:t xml:space="preserve"> to constitute, and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10.19</w:t>
      </w:r>
      <w:r>
        <w:rPr>
          <w:rFonts w:ascii="Arial" w:cs="Arial" w:eastAsia="Arial" w:hAnsi="Arial"/>
          <w:sz w:val="18"/>
          <w:szCs w:val="18"/>
          <w:color w:val="auto"/>
        </w:rPr>
        <w:t xml:space="preserve"> shall be deemed to constitute, a guarantee of the obligations of, and a “keepwell, support, or other agreement” for the benefit of, each Subsidiary Guarantor for all purposes of the Commodity Exchange Act.</w:t>
      </w:r>
    </w:p>
    <w:p>
      <w:pPr>
        <w:spacing w:after="0" w:line="182" w:lineRule="exact"/>
        <w:rPr>
          <w:sz w:val="20"/>
          <w:szCs w:val="20"/>
          <w:color w:val="auto"/>
        </w:rPr>
      </w:pPr>
    </w:p>
    <w:p>
      <w:pPr>
        <w:jc w:val="both"/>
        <w:ind w:left="100" w:firstLine="749"/>
        <w:spacing w:after="0" w:line="255" w:lineRule="auto"/>
        <w:rPr>
          <w:sz w:val="20"/>
          <w:szCs w:val="20"/>
          <w:color w:val="auto"/>
        </w:rPr>
      </w:pPr>
      <w:r>
        <w:rPr>
          <w:rFonts w:ascii="Arial" w:cs="Arial" w:eastAsia="Arial" w:hAnsi="Arial"/>
          <w:sz w:val="18"/>
          <w:szCs w:val="18"/>
          <w:color w:val="auto"/>
        </w:rPr>
        <w:t>1.20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 Loan Documents shall, notwithstanding any judgment in a currency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otherthan that in which such sum is denominated in accordance with the applicable provisions of this Agreement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141</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90" w:right="519" w:bottom="1440" w:gutter="0" w:footer="0" w:header="0"/>
        </w:sectPr>
      </w:pPr>
    </w:p>
    <w:bookmarkStart w:id="274" w:name="page275"/>
    <w:bookmarkEnd w:id="274"/>
    <w:p>
      <w:pPr>
        <w:jc w:val="both"/>
        <w:ind w:left="100"/>
        <w:spacing w:after="0" w:line="234" w:lineRule="auto"/>
        <w:rPr>
          <w:sz w:val="20"/>
          <w:szCs w:val="20"/>
          <w:color w:val="auto"/>
        </w:rPr>
      </w:pPr>
      <w:r>
        <w:rPr>
          <w:rFonts w:ascii="Arial" w:cs="Arial" w:eastAsia="Arial" w:hAnsi="Arial"/>
          <w:sz w:val="20"/>
          <w:szCs w:val="20"/>
          <w:color w:val="auto"/>
        </w:rPr>
        <w:t>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183" w:lineRule="exact"/>
        <w:rPr>
          <w:sz w:val="20"/>
          <w:szCs w:val="20"/>
          <w:color w:val="auto"/>
        </w:rPr>
      </w:pPr>
    </w:p>
    <w:p>
      <w:pPr>
        <w:jc w:val="both"/>
        <w:ind w:left="100" w:firstLine="749"/>
        <w:spacing w:after="0" w:line="255" w:lineRule="auto"/>
        <w:rPr>
          <w:sz w:val="20"/>
          <w:szCs w:val="20"/>
          <w:color w:val="auto"/>
        </w:rPr>
      </w:pPr>
      <w:r>
        <w:rPr>
          <w:rFonts w:ascii="Arial" w:cs="Arial" w:eastAsia="Arial" w:hAnsi="Arial"/>
          <w:sz w:val="18"/>
          <w:szCs w:val="18"/>
          <w:color w:val="auto"/>
        </w:rPr>
        <w:t xml:space="preserve">1.21 Amendment and Restatement; No Novation. This Agreement constitutes an amendment and restatement of the Existing Credit 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necessaryin order that the outstanding balance of such Loans, together with any Loans funded on the Closing Date, reflect the respective Applicable Percentages of the Lenders hereunder and the Borrowers agree to pay any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in connection with such transfers as if all Loans under the Existing Credit Agreement were repaid on the Closing Date, to the extent not waived by the applicable Lenders.</w:t>
      </w:r>
    </w:p>
    <w:p>
      <w:pPr>
        <w:spacing w:after="0" w:line="186" w:lineRule="exact"/>
        <w:rPr>
          <w:sz w:val="20"/>
          <w:szCs w:val="20"/>
          <w:color w:val="auto"/>
        </w:rPr>
      </w:pPr>
    </w:p>
    <w:p>
      <w:pPr>
        <w:jc w:val="both"/>
        <w:ind w:left="100" w:firstLine="749"/>
        <w:spacing w:after="0" w:line="231" w:lineRule="auto"/>
        <w:rPr>
          <w:sz w:val="20"/>
          <w:szCs w:val="20"/>
          <w:color w:val="auto"/>
        </w:rPr>
      </w:pPr>
      <w:r>
        <w:rPr>
          <w:rFonts w:ascii="Arial" w:cs="Arial" w:eastAsia="Arial" w:hAnsi="Arial"/>
          <w:sz w:val="20"/>
          <w:szCs w:val="20"/>
          <w:color w:val="auto"/>
        </w:rPr>
        <w:t>1.22 Acknowledgment and Consent to Bail-In of Affected Financial Institutions. 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4" w:lineRule="exact"/>
        <w:rPr>
          <w:sz w:val="20"/>
          <w:szCs w:val="20"/>
          <w:color w:val="auto"/>
        </w:rPr>
      </w:pPr>
    </w:p>
    <w:p>
      <w:pPr>
        <w:ind w:left="280" w:right="20" w:firstLine="748"/>
        <w:spacing w:after="0" w:line="272" w:lineRule="auto"/>
        <w:tabs>
          <w:tab w:leader="none" w:pos="1769" w:val="left"/>
        </w:tabs>
        <w:numPr>
          <w:ilvl w:val="0"/>
          <w:numId w:val="282"/>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66" w:lineRule="exact"/>
        <w:rPr>
          <w:rFonts w:ascii="Arial" w:cs="Arial" w:eastAsia="Arial" w:hAnsi="Arial"/>
          <w:sz w:val="19"/>
          <w:szCs w:val="19"/>
          <w:color w:val="auto"/>
        </w:rPr>
      </w:pPr>
    </w:p>
    <w:p>
      <w:pPr>
        <w:ind w:left="1780" w:hanging="752"/>
        <w:spacing w:after="0"/>
        <w:tabs>
          <w:tab w:leader="none" w:pos="1780"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520" w:hanging="743"/>
        <w:spacing w:after="0"/>
        <w:tabs>
          <w:tab w:leader="none" w:pos="2520" w:val="left"/>
        </w:tabs>
        <w:numPr>
          <w:ilvl w:val="1"/>
          <w:numId w:val="282"/>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02" w:lineRule="exact"/>
        <w:rPr>
          <w:rFonts w:ascii="Arial" w:cs="Arial" w:eastAsia="Arial" w:hAnsi="Arial"/>
          <w:sz w:val="20"/>
          <w:szCs w:val="20"/>
          <w:color w:val="auto"/>
        </w:rPr>
      </w:pPr>
    </w:p>
    <w:p>
      <w:pPr>
        <w:jc w:val="both"/>
        <w:ind w:left="1020" w:firstLine="757"/>
        <w:spacing w:after="0" w:line="234" w:lineRule="auto"/>
        <w:tabs>
          <w:tab w:leader="none" w:pos="2509" w:val="left"/>
        </w:tabs>
        <w:numPr>
          <w:ilvl w:val="1"/>
          <w:numId w:val="282"/>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6" w:lineRule="exact"/>
        <w:rPr>
          <w:rFonts w:ascii="Arial" w:cs="Arial" w:eastAsia="Arial" w:hAnsi="Arial"/>
          <w:sz w:val="20"/>
          <w:szCs w:val="20"/>
          <w:color w:val="auto"/>
        </w:rPr>
      </w:pPr>
    </w:p>
    <w:p>
      <w:pPr>
        <w:ind w:left="1020" w:firstLine="757"/>
        <w:spacing w:after="0" w:line="246" w:lineRule="auto"/>
        <w:tabs>
          <w:tab w:leader="none" w:pos="2509" w:val="left"/>
        </w:tabs>
        <w:numPr>
          <w:ilvl w:val="1"/>
          <w:numId w:val="282"/>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jc w:val="both"/>
        <w:ind w:left="100" w:firstLine="749"/>
        <w:spacing w:after="0" w:line="275" w:lineRule="auto"/>
        <w:rPr>
          <w:sz w:val="20"/>
          <w:szCs w:val="20"/>
          <w:color w:val="auto"/>
        </w:rPr>
      </w:pPr>
      <w:r>
        <w:rPr>
          <w:rFonts w:ascii="Arial" w:cs="Arial" w:eastAsia="Arial" w:hAnsi="Arial"/>
          <w:sz w:val="18"/>
          <w:szCs w:val="18"/>
          <w:color w:val="auto"/>
        </w:rPr>
        <w:t>1.23 Acknowledgement Regarding Any Supported QFCs. To the extent that the Loan Documents provide support, through a guarantee or otherwise, for any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2"/>
          <w:szCs w:val="22"/>
          <w:color w:val="auto"/>
        </w:rPr>
        <w:t>142</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75" w:name="page276"/>
    <w:bookmarkEnd w:id="275"/>
    <w:p>
      <w:pPr>
        <w:jc w:val="both"/>
        <w:ind w:left="100"/>
        <w:spacing w:after="0" w:line="232" w:lineRule="auto"/>
        <w:rPr>
          <w:sz w:val="20"/>
          <w:szCs w:val="20"/>
          <w:color w:val="auto"/>
        </w:rPr>
      </w:pPr>
      <w:r>
        <w:rPr>
          <w:rFonts w:ascii="Arial" w:cs="Arial" w:eastAsia="Arial" w:hAnsi="Arial"/>
          <w:sz w:val="20"/>
          <w:szCs w:val="20"/>
          <w:color w:val="auto"/>
        </w:rPr>
        <w:t>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4" w:lineRule="exact"/>
        <w:rPr>
          <w:sz w:val="20"/>
          <w:szCs w:val="20"/>
          <w:color w:val="auto"/>
        </w:rPr>
      </w:pPr>
    </w:p>
    <w:p>
      <w:pPr>
        <w:jc w:val="both"/>
        <w:ind w:left="280" w:firstLine="748"/>
        <w:spacing w:after="0"/>
        <w:tabs>
          <w:tab w:leader="none" w:pos="1769" w:val="left"/>
        </w:tabs>
        <w:numPr>
          <w:ilvl w:val="0"/>
          <w:numId w:val="283"/>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7" w:lineRule="exact"/>
        <w:rPr>
          <w:rFonts w:ascii="Arial" w:cs="Arial" w:eastAsia="Arial" w:hAnsi="Arial"/>
          <w:sz w:val="19"/>
          <w:szCs w:val="19"/>
          <w:color w:val="auto"/>
        </w:rPr>
      </w:pPr>
    </w:p>
    <w:p>
      <w:pPr>
        <w:ind w:left="1780" w:hanging="752"/>
        <w:spacing w:after="0"/>
        <w:tabs>
          <w:tab w:leader="none" w:pos="178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 xml:space="preserve">As used in this </w:t>
      </w:r>
      <w:r>
        <w:rPr>
          <w:rFonts w:ascii="Arial" w:cs="Arial" w:eastAsia="Arial" w:hAnsi="Arial"/>
          <w:sz w:val="20"/>
          <w:szCs w:val="20"/>
          <w:u w:val="single" w:color="auto"/>
          <w:color w:val="auto"/>
        </w:rPr>
        <w:t>Section 10.23</w:t>
      </w:r>
      <w:r>
        <w:rPr>
          <w:rFonts w:ascii="Arial" w:cs="Arial" w:eastAsia="Arial" w:hAnsi="Arial"/>
          <w:sz w:val="20"/>
          <w:szCs w:val="20"/>
          <w:color w:val="auto"/>
        </w:rPr>
        <w:t>, the following terms have the following meanings:</w:t>
      </w:r>
    </w:p>
    <w:p>
      <w:pPr>
        <w:spacing w:after="0" w:line="189" w:lineRule="exact"/>
        <w:rPr>
          <w:sz w:val="20"/>
          <w:szCs w:val="20"/>
          <w:color w:val="auto"/>
        </w:rPr>
      </w:pPr>
    </w:p>
    <w:p>
      <w:pPr>
        <w:jc w:val="both"/>
        <w:ind w:left="840" w:right="20" w:firstLine="74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jc w:val="both"/>
        <w:ind w:left="840" w:right="20" w:firstLine="74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52" w:lineRule="exact"/>
        <w:rPr>
          <w:sz w:val="20"/>
          <w:szCs w:val="20"/>
          <w:color w:val="auto"/>
        </w:rPr>
      </w:pPr>
    </w:p>
    <w:p>
      <w:pPr>
        <w:jc w:val="both"/>
        <w:ind w:left="84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left="840" w:right="20"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143</w:t>
      </w:r>
    </w:p>
    <w:p>
      <w:pPr>
        <w:spacing w:after="0"/>
        <w:rPr>
          <w:sz w:val="20"/>
          <w:szCs w:val="20"/>
          <w:color w:val="auto"/>
        </w:rPr>
      </w:pPr>
      <w:r>
        <w:rPr>
          <w:rFonts w:ascii="Arial" w:cs="Arial" w:eastAsia="Arial" w:hAnsi="Arial"/>
          <w:sz w:val="14"/>
          <w:szCs w:val="14"/>
          <w:color w:val="auto"/>
        </w:rPr>
        <w:t>152302503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60960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90" w:right="45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160" w:type="dxa"/>
            <w:vAlign w:val="bottom"/>
          </w:tcPr>
          <w:p>
            <w:pPr>
              <w:ind w:left="3320"/>
              <w:spacing w:after="0"/>
              <w:rPr>
                <w:sz w:val="20"/>
                <w:szCs w:val="20"/>
                <w:color w:val="auto"/>
              </w:rPr>
            </w:pPr>
            <w:r>
              <w:rPr>
                <w:rFonts w:ascii="Arial" w:cs="Arial" w:eastAsia="Arial" w:hAnsi="Arial"/>
                <w:sz w:val="18"/>
                <w:szCs w:val="18"/>
                <w:b w:val="1"/>
                <w:bCs w:val="1"/>
                <w:color w:val="auto"/>
                <w:w w:val="96"/>
              </w:rPr>
              <w:t>Exhibit 21</w:t>
            </w:r>
          </w:p>
        </w:tc>
      </w:tr>
      <w:tr>
        <w:trPr>
          <w:trHeight w:val="378"/>
        </w:trPr>
        <w:tc>
          <w:tcPr>
            <w:tcW w:w="4080" w:type="dxa"/>
            <w:vAlign w:val="bottom"/>
          </w:tcPr>
          <w:p>
            <w:pPr>
              <w:spacing w:after="0"/>
              <w:rPr>
                <w:sz w:val="24"/>
                <w:szCs w:val="24"/>
                <w:color w:val="auto"/>
              </w:rPr>
            </w:pPr>
          </w:p>
        </w:tc>
        <w:tc>
          <w:tcPr>
            <w:tcW w:w="7160" w:type="dxa"/>
            <w:vAlign w:val="bottom"/>
            <w:gridSpan w:val="3"/>
          </w:tcPr>
          <w:p>
            <w:pPr>
              <w:ind w:left="40"/>
              <w:spacing w:after="0"/>
              <w:rPr>
                <w:sz w:val="20"/>
                <w:szCs w:val="20"/>
                <w:color w:val="auto"/>
              </w:rPr>
            </w:pPr>
            <w:r>
              <w:rPr>
                <w:rFonts w:ascii="Arial" w:cs="Arial" w:eastAsia="Arial" w:hAnsi="Arial"/>
                <w:sz w:val="18"/>
                <w:szCs w:val="18"/>
                <w:b w:val="1"/>
                <w:bCs w:val="1"/>
                <w:color w:val="auto"/>
              </w:rPr>
              <w:t>SUBSIDIARIES OF THE COMPANY</w:t>
            </w:r>
          </w:p>
        </w:tc>
      </w:tr>
      <w:tr>
        <w:trPr>
          <w:trHeight w:val="662"/>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Subsidiary</w:t>
            </w:r>
          </w:p>
        </w:tc>
        <w:tc>
          <w:tcPr>
            <w:tcW w:w="40" w:type="dxa"/>
            <w:vAlign w:val="bottom"/>
            <w:tcBorders>
              <w:bottom w:val="single" w:sz="8" w:color="auto"/>
            </w:tcBorders>
          </w:tcPr>
          <w:p>
            <w:pPr>
              <w:spacing w:after="0"/>
              <w:rPr>
                <w:sz w:val="24"/>
                <w:szCs w:val="24"/>
                <w:color w:val="auto"/>
              </w:rPr>
            </w:pPr>
          </w:p>
        </w:tc>
        <w:tc>
          <w:tcPr>
            <w:tcW w:w="2960" w:type="dxa"/>
            <w:vAlign w:val="bottom"/>
            <w:tcBorders>
              <w:top w:val="single" w:sz="8" w:color="auto"/>
              <w:bottom w:val="single" w:sz="8" w:color="auto"/>
            </w:tcBorders>
          </w:tcPr>
          <w:p>
            <w:pPr>
              <w:spacing w:after="0"/>
              <w:rPr>
                <w:sz w:val="24"/>
                <w:szCs w:val="24"/>
                <w:color w:val="auto"/>
              </w:rPr>
            </w:pPr>
          </w:p>
        </w:tc>
        <w:tc>
          <w:tcPr>
            <w:tcW w:w="4160" w:type="dxa"/>
            <w:vAlign w:val="bottom"/>
            <w:tcBorders>
              <w:bottom w:val="single" w:sz="8" w:color="auto"/>
            </w:tcBorders>
          </w:tcPr>
          <w:p>
            <w:pPr>
              <w:jc w:val="center"/>
              <w:ind w:left="1831"/>
              <w:spacing w:after="0"/>
              <w:rPr>
                <w:sz w:val="20"/>
                <w:szCs w:val="20"/>
                <w:color w:val="auto"/>
              </w:rPr>
            </w:pPr>
            <w:r>
              <w:rPr>
                <w:rFonts w:ascii="Arial" w:cs="Arial" w:eastAsia="Arial" w:hAnsi="Arial"/>
                <w:sz w:val="14"/>
                <w:szCs w:val="14"/>
                <w:b w:val="1"/>
                <w:bCs w:val="1"/>
                <w:color w:val="auto"/>
                <w:w w:val="92"/>
              </w:rPr>
              <w:t>State/County</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Aarding Thermal Acoustics B.V.</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0"/>
              </w:rPr>
              <w:t>Netherlands</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Aarding Thermal Acoustics USA, Inc.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CECO Emtrol Buell India Pvt. Ltd.</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2"/>
              </w:rPr>
              <w:t>India</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CECO Environmental IP, Inc.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CECO Environmental Mexico S de RL de CV.</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8"/>
              </w:rPr>
              <w:t>Mexico</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CECO Environmental Middle East DMCC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91"/>
              </w:rPr>
              <w:t>United Arab Emirates</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CECO Environmental Netherlands B.V.</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0"/>
              </w:rPr>
              <w:t>Netherlands</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w w:val="92"/>
              </w:rPr>
              <w:t>CECO Environmental Services Mexico S de RL de CV.</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98"/>
              </w:rPr>
              <w:t>Mexico</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CECO Group Global Holdings, LLC</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CECO Group, Inc.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CECO Industrial Solutions, Inc.</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CECO Mexico Holdings, LLC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CECO Peerless (China) Environmental Co. Ltd.</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3"/>
              </w:rPr>
              <w:t>China</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CECO Peerless China Holdings LLC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EFM Equipment Company LLC</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Effox-Flextor-Mader Inc.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Emtrol-Buell Services FZE</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11"/>
              <w:spacing w:after="0" w:line="202" w:lineRule="exact"/>
              <w:rPr>
                <w:sz w:val="20"/>
                <w:szCs w:val="20"/>
                <w:color w:val="auto"/>
              </w:rPr>
            </w:pPr>
            <w:r>
              <w:rPr>
                <w:rFonts w:ascii="Arial" w:cs="Arial" w:eastAsia="Arial" w:hAnsi="Arial"/>
                <w:sz w:val="18"/>
                <w:szCs w:val="18"/>
                <w:color w:val="auto"/>
                <w:w w:val="94"/>
              </w:rPr>
              <w:t>Nigeria</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Emtrol, LLC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92"/>
              </w:rPr>
              <w:t>New York</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Emtrol, Ltd.</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11"/>
              <w:spacing w:after="0" w:line="202" w:lineRule="exact"/>
              <w:rPr>
                <w:sz w:val="20"/>
                <w:szCs w:val="20"/>
                <w:color w:val="auto"/>
              </w:rPr>
            </w:pPr>
            <w:r>
              <w:rPr>
                <w:rFonts w:ascii="Arial" w:cs="Arial" w:eastAsia="Arial" w:hAnsi="Arial"/>
                <w:sz w:val="18"/>
                <w:szCs w:val="18"/>
                <w:color w:val="auto"/>
                <w:w w:val="85"/>
              </w:rPr>
              <w:t>Canada</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Environmental Integrated Solutions Ltd</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93"/>
              </w:rPr>
              <w:t>United Kingdom</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CECO Environmental (Shanghai) Co. Ltd.</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3"/>
              </w:rPr>
              <w:t>China</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FKI, LLC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Flextor, Inc.</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11"/>
              <w:spacing w:after="0" w:line="202" w:lineRule="exact"/>
              <w:rPr>
                <w:sz w:val="20"/>
                <w:szCs w:val="20"/>
                <w:color w:val="auto"/>
              </w:rPr>
            </w:pPr>
            <w:r>
              <w:rPr>
                <w:rFonts w:ascii="Arial" w:cs="Arial" w:eastAsia="Arial" w:hAnsi="Arial"/>
                <w:sz w:val="18"/>
                <w:szCs w:val="18"/>
                <w:color w:val="auto"/>
                <w:w w:val="85"/>
              </w:rPr>
              <w:t>Canada</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H.M. White, Inc.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Mefiag (Guangzhou) Filter Systems Ltd.</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3"/>
              </w:rPr>
              <w:t>China</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Mefiag B.V.</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90"/>
              </w:rPr>
              <w:t>Netherlands</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Met-Pro (Hong Kong) Co. Ltd.</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3"/>
              </w:rPr>
              <w:t>Hong Kong</w:t>
            </w:r>
          </w:p>
        </w:tc>
      </w:tr>
      <w:tr>
        <w:trPr>
          <w:trHeight w:val="202"/>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Met-Pro Technologies, LLC</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9"/>
              </w:rPr>
              <w:t>Delaware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MP China Co. Ltd.</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3"/>
              </w:rPr>
              <w:t>Hong Kong</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CECO Environmental Asia-Pacific Pte. Ltd.</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7"/>
              </w:rPr>
              <w:t>Singapore</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Peerless Europe, Ltd.</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3"/>
              </w:rPr>
              <w:t>United Kingdom</w:t>
            </w:r>
          </w:p>
        </w:tc>
      </w:tr>
      <w:tr>
        <w:trPr>
          <w:trHeight w:val="203"/>
        </w:trPr>
        <w:tc>
          <w:tcPr>
            <w:tcW w:w="4080" w:type="dxa"/>
            <w:vAlign w:val="bottom"/>
          </w:tcPr>
          <w:p>
            <w:pPr>
              <w:ind w:left="20"/>
              <w:spacing w:after="0" w:line="202" w:lineRule="exact"/>
              <w:rPr>
                <w:sz w:val="20"/>
                <w:szCs w:val="20"/>
                <w:color w:val="auto"/>
              </w:rPr>
            </w:pPr>
            <w:r>
              <w:rPr>
                <w:rFonts w:ascii="Arial" w:cs="Arial" w:eastAsia="Arial" w:hAnsi="Arial"/>
                <w:sz w:val="18"/>
                <w:szCs w:val="18"/>
                <w:color w:val="auto"/>
              </w:rPr>
              <w:t>Peerless Manufacturing Co.</w:t>
            </w: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160" w:type="dxa"/>
            <w:vAlign w:val="bottom"/>
          </w:tcPr>
          <w:p>
            <w:pPr>
              <w:jc w:val="center"/>
              <w:ind w:left="1831"/>
              <w:spacing w:after="0" w:line="202" w:lineRule="exact"/>
              <w:rPr>
                <w:sz w:val="20"/>
                <w:szCs w:val="20"/>
                <w:color w:val="auto"/>
              </w:rPr>
            </w:pPr>
            <w:r>
              <w:rPr>
                <w:rFonts w:ascii="Arial" w:cs="Arial" w:eastAsia="Arial" w:hAnsi="Arial"/>
                <w:sz w:val="18"/>
                <w:szCs w:val="18"/>
                <w:color w:val="auto"/>
                <w:w w:val="81"/>
              </w:rPr>
              <w:t>Texas</w:t>
            </w:r>
          </w:p>
        </w:tc>
      </w:tr>
      <w:tr>
        <w:trPr>
          <w:trHeight w:val="203"/>
        </w:trPr>
        <w:tc>
          <w:tcPr>
            <w:tcW w:w="4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The Kirk &amp; Blum Manufacturing Co.</w:t>
            </w:r>
          </w:p>
        </w:tc>
        <w:tc>
          <w:tcPr>
            <w:tcW w:w="40" w:type="dxa"/>
            <w:vAlign w:val="bottom"/>
            <w:shd w:val="clear" w:color="auto" w:fill="CFF0FC"/>
          </w:tcPr>
          <w:p>
            <w:pPr>
              <w:spacing w:after="0"/>
              <w:rPr>
                <w:sz w:val="17"/>
                <w:szCs w:val="17"/>
                <w:color w:val="auto"/>
              </w:rPr>
            </w:pPr>
          </w:p>
        </w:tc>
        <w:tc>
          <w:tcPr>
            <w:tcW w:w="2960" w:type="dxa"/>
            <w:vAlign w:val="bottom"/>
            <w:shd w:val="clear" w:color="auto" w:fill="CFF0FC"/>
          </w:tcPr>
          <w:p>
            <w:pPr>
              <w:spacing w:after="0"/>
              <w:rPr>
                <w:sz w:val="17"/>
                <w:szCs w:val="17"/>
                <w:color w:val="auto"/>
              </w:rPr>
            </w:pPr>
          </w:p>
        </w:tc>
        <w:tc>
          <w:tcPr>
            <w:tcW w:w="4160" w:type="dxa"/>
            <w:vAlign w:val="bottom"/>
            <w:shd w:val="clear" w:color="auto" w:fill="CFF0FC"/>
          </w:tcPr>
          <w:p>
            <w:pPr>
              <w:jc w:val="center"/>
              <w:ind w:left="1831"/>
              <w:spacing w:after="0" w:line="202" w:lineRule="exact"/>
              <w:rPr>
                <w:sz w:val="20"/>
                <w:szCs w:val="20"/>
                <w:color w:val="auto"/>
              </w:rPr>
            </w:pPr>
            <w:r>
              <w:rPr>
                <w:rFonts w:ascii="Arial" w:cs="Arial" w:eastAsia="Arial" w:hAnsi="Arial"/>
                <w:sz w:val="18"/>
                <w:szCs w:val="18"/>
                <w:color w:val="auto"/>
                <w:w w:val="94"/>
              </w:rPr>
              <w:t>Ohio</w:t>
            </w:r>
          </w:p>
        </w:tc>
      </w:tr>
      <w:tr>
        <w:trPr>
          <w:trHeight w:val="534"/>
        </w:trPr>
        <w:tc>
          <w:tcPr>
            <w:tcW w:w="4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7" w:name="page278"/>
    <w:bookmarkEnd w:id="277"/>
    <w:p>
      <w:pPr>
        <w:ind w:left="10260"/>
        <w:spacing w:after="0"/>
        <w:rPr>
          <w:sz w:val="20"/>
          <w:szCs w:val="20"/>
          <w:color w:val="auto"/>
        </w:rPr>
      </w:pPr>
      <w:r>
        <w:rPr>
          <w:rFonts w:ascii="Arial" w:cs="Arial" w:eastAsia="Arial" w:hAnsi="Arial"/>
          <w:sz w:val="17"/>
          <w:szCs w:val="17"/>
          <w:b w:val="1"/>
          <w:bCs w:val="1"/>
          <w:color w:val="auto"/>
        </w:rPr>
        <w:t>Exhibit 23.1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4" w:lineRule="auto"/>
        <w:rPr>
          <w:sz w:val="20"/>
          <w:szCs w:val="20"/>
          <w:color w:val="auto"/>
        </w:rPr>
      </w:pPr>
      <w:r>
        <w:rPr>
          <w:rFonts w:ascii="Arial" w:cs="Arial" w:eastAsia="Arial" w:hAnsi="Arial"/>
          <w:sz w:val="18"/>
          <w:szCs w:val="18"/>
          <w:color w:val="auto"/>
        </w:rPr>
        <w:t>CECO Environmental Corp.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333-239224, 333-239707, and 333-256466) and Form S-3 (No. 333-231001) of CECO Environmental Corp. and Subsidiaries of our reports dated March 14, 2022, relating to the consolidated financial statements, and the effectiveness of CECO Environmental Corp. and Subsidiaries’ internal control over financial reporting, which appear in this Form 10-K.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rPr>
          <w:sz w:val="20"/>
          <w:szCs w:val="20"/>
          <w:color w:val="auto"/>
        </w:rPr>
      </w:pPr>
      <w:r>
        <w:rPr>
          <w:rFonts w:ascii="Arial" w:cs="Arial" w:eastAsia="Arial" w:hAnsi="Arial"/>
          <w:sz w:val="18"/>
          <w:szCs w:val="18"/>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8" w:name="page279"/>
    <w:bookmarkEnd w:id="278"/>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13a-14(a)/15d-14(a) CERTIFICATION BY CHIEF EXECUTIVE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Todd Gleason, certify that:</w:t>
      </w:r>
    </w:p>
    <w:p>
      <w:pPr>
        <w:spacing w:after="0" w:line="104" w:lineRule="exact"/>
        <w:rPr>
          <w:sz w:val="20"/>
          <w:szCs w:val="20"/>
          <w:color w:val="auto"/>
        </w:rPr>
      </w:pPr>
    </w:p>
    <w:p>
      <w:pPr>
        <w:ind w:left="520" w:hanging="512"/>
        <w:spacing w:after="0"/>
        <w:tabs>
          <w:tab w:leader="none" w:pos="5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2021, of CECO Environmental Corp.;</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160" w:hanging="512"/>
        <w:spacing w:after="0" w:line="248" w:lineRule="auto"/>
        <w:tabs>
          <w:tab w:leader="none" w:pos="5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60" w:hanging="503"/>
        <w:spacing w:after="0" w:line="324" w:lineRule="auto"/>
        <w:tabs>
          <w:tab w:leader="none" w:pos="102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60" w:hanging="512"/>
        <w:spacing w:after="0" w:line="324" w:lineRule="auto"/>
        <w:tabs>
          <w:tab w:leader="none" w:pos="52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360" w:hanging="503"/>
        <w:spacing w:after="0" w:line="261" w:lineRule="auto"/>
        <w:tabs>
          <w:tab w:leader="none" w:pos="10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T</w:t>
      </w:r>
      <w:r>
        <w:rPr>
          <w:rFonts w:ascii="Arial" w:cs="Arial" w:eastAsia="Arial" w:hAnsi="Arial"/>
          <w:sz w:val="13"/>
          <w:szCs w:val="13"/>
          <w:color w:val="auto"/>
        </w:rPr>
        <w:t>ODD</w:t>
      </w:r>
      <w:r>
        <w:rPr>
          <w:rFonts w:ascii="Arial" w:cs="Arial" w:eastAsia="Arial" w:hAnsi="Arial"/>
          <w:sz w:val="18"/>
          <w:szCs w:val="18"/>
          <w:color w:val="auto"/>
        </w:rPr>
        <w:t xml:space="preserve"> G</w:t>
      </w:r>
      <w:r>
        <w:rPr>
          <w:rFonts w:ascii="Arial" w:cs="Arial" w:eastAsia="Arial" w:hAnsi="Arial"/>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Todd Gleason</w:t>
      </w:r>
    </w:p>
    <w:p>
      <w:pPr>
        <w:ind w:left="678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9" w:name="page280"/>
    <w:bookmarkEnd w:id="279"/>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13a-14(a)/15d-14(a) CERTIFICATION BY CHIEF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04" w:lineRule="exact"/>
        <w:rPr>
          <w:sz w:val="20"/>
          <w:szCs w:val="20"/>
          <w:color w:val="auto"/>
        </w:rPr>
      </w:pPr>
    </w:p>
    <w:p>
      <w:pPr>
        <w:ind w:left="520" w:hanging="512"/>
        <w:spacing w:after="0"/>
        <w:tabs>
          <w:tab w:leader="none" w:pos="5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 have reviewed this report on Form 10-K for the year ended December 31, 2021, of CECO Environmental Corp.;</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160" w:hanging="512"/>
        <w:spacing w:after="0" w:line="248" w:lineRule="auto"/>
        <w:tabs>
          <w:tab w:leader="none" w:pos="5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13a- 15(e) and 15d- 15(e))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60" w:hanging="503"/>
        <w:spacing w:after="0" w:line="324" w:lineRule="auto"/>
        <w:tabs>
          <w:tab w:leader="none" w:pos="102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60" w:hanging="512"/>
        <w:spacing w:after="0" w:line="324" w:lineRule="auto"/>
        <w:tabs>
          <w:tab w:leader="none" w:pos="52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360" w:hanging="503"/>
        <w:spacing w:after="0" w:line="261" w:lineRule="auto"/>
        <w:tabs>
          <w:tab w:leader="none" w:pos="10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ATTHEW</w:t>
      </w:r>
      <w:r>
        <w:rPr>
          <w:rFonts w:ascii="Arial" w:cs="Arial" w:eastAsia="Arial" w:hAnsi="Arial"/>
          <w:sz w:val="18"/>
          <w:szCs w:val="18"/>
          <w:color w:val="auto"/>
        </w:rPr>
        <w:t xml:space="preserve"> E</w:t>
      </w:r>
      <w:r>
        <w:rPr>
          <w:rFonts w:ascii="Arial" w:cs="Arial" w:eastAsia="Arial" w:hAnsi="Arial"/>
          <w:sz w:val="13"/>
          <w:szCs w:val="13"/>
          <w:color w:val="auto"/>
        </w:rPr>
        <w:t>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ind w:left="6780"/>
        <w:spacing w:after="0" w:line="232" w:lineRule="auto"/>
        <w:rPr>
          <w:sz w:val="20"/>
          <w:szCs w:val="20"/>
          <w:color w:val="auto"/>
        </w:rPr>
      </w:pPr>
      <w:r>
        <w:rPr>
          <w:rFonts w:ascii="Arial" w:cs="Arial" w:eastAsia="Arial" w:hAnsi="Arial"/>
          <w:sz w:val="18"/>
          <w:szCs w:val="18"/>
          <w:color w:val="auto"/>
        </w:rPr>
        <w:t>Matthew Eckl</w:t>
      </w:r>
    </w:p>
    <w:p>
      <w:pPr>
        <w:ind w:left="678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connection with the Annual Report of CECO Environmental Corp. (the “Company”) on Form 10-K for the period ending December 31, 2021, as filed with the Securities and Exchange Commission on the date hereof (the “Report”), I, Todd Gleason, Chief Executive Officer of the Company, certify, pursuant to 18 U.S.C. Section 1350, as adopted pursuant to Section 906 of the Sarbanes Oxley Act of 2002, that:</w:t>
      </w:r>
    </w:p>
    <w:p>
      <w:pPr>
        <w:spacing w:after="0" w:line="74" w:lineRule="exact"/>
        <w:rPr>
          <w:sz w:val="20"/>
          <w:szCs w:val="20"/>
          <w:color w:val="auto"/>
        </w:rPr>
      </w:pPr>
    </w:p>
    <w:p>
      <w:pPr>
        <w:ind w:left="1020" w:hanging="503"/>
        <w:spacing w:after="0"/>
        <w:tabs>
          <w:tab w:leader="none" w:pos="10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w:t>
      </w:r>
      <w:r>
        <w:rPr>
          <w:rFonts w:ascii="Arial" w:cs="Arial" w:eastAsia="Arial" w:hAnsi="Arial"/>
          <w:sz w:val="13"/>
          <w:szCs w:val="13"/>
          <w:color w:val="auto"/>
        </w:rPr>
        <w:t>ODD</w:t>
      </w:r>
      <w:r>
        <w:rPr>
          <w:rFonts w:ascii="Arial" w:cs="Arial" w:eastAsia="Arial" w:hAnsi="Arial"/>
          <w:sz w:val="18"/>
          <w:szCs w:val="18"/>
          <w:color w:val="auto"/>
        </w:rPr>
        <w:t xml:space="preserve"> G</w:t>
      </w:r>
      <w:r>
        <w:rPr>
          <w:rFonts w:ascii="Arial" w:cs="Arial" w:eastAsia="Arial" w:hAnsi="Arial"/>
          <w:sz w:val="13"/>
          <w:szCs w:val="13"/>
          <w:color w:val="auto"/>
        </w:rPr>
        <w:t>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line="232" w:lineRule="auto"/>
        <w:rPr>
          <w:sz w:val="20"/>
          <w:szCs w:val="20"/>
          <w:color w:val="auto"/>
        </w:rPr>
      </w:pPr>
      <w:r>
        <w:rPr>
          <w:rFonts w:ascii="Arial" w:cs="Arial" w:eastAsia="Arial" w:hAnsi="Arial"/>
          <w:sz w:val="18"/>
          <w:szCs w:val="18"/>
          <w:color w:val="auto"/>
        </w:rPr>
        <w:t>Todd Gleason</w:t>
      </w:r>
    </w:p>
    <w:p>
      <w:pPr>
        <w:ind w:left="564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9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connection with the Annual Report of CECO Environmental Corp. (the “Company”) on Form 10-K for the period ending December 31, 2021, as filed with the Securities and Exchange Commission on the date hereof (the “Report”), I, Matthew Eckl, Chief Financial Officer of the Company, certify, pursuant to 18 U.S.C. Section 1350, as adopted pursuant to Section 906 of the Sarbanes-Oxley Act of 2002, that:</w:t>
      </w:r>
    </w:p>
    <w:p>
      <w:pPr>
        <w:spacing w:after="0" w:line="74" w:lineRule="exact"/>
        <w:rPr>
          <w:sz w:val="20"/>
          <w:szCs w:val="20"/>
          <w:color w:val="auto"/>
        </w:rPr>
      </w:pPr>
    </w:p>
    <w:p>
      <w:pPr>
        <w:ind w:left="1020" w:hanging="503"/>
        <w:spacing w:after="0"/>
        <w:tabs>
          <w:tab w:leader="none" w:pos="10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20" w:hanging="503"/>
        <w:spacing w:after="0" w:line="261" w:lineRule="auto"/>
        <w:tabs>
          <w:tab w:leader="none" w:pos="102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w:t>
      </w:r>
      <w:r>
        <w:rPr>
          <w:rFonts w:ascii="Arial" w:cs="Arial" w:eastAsia="Arial" w:hAnsi="Arial"/>
          <w:sz w:val="13"/>
          <w:szCs w:val="13"/>
          <w:color w:val="auto"/>
        </w:rPr>
        <w:t>ATTHEW</w:t>
      </w:r>
      <w:r>
        <w:rPr>
          <w:rFonts w:ascii="Arial" w:cs="Arial" w:eastAsia="Arial" w:hAnsi="Arial"/>
          <w:sz w:val="18"/>
          <w:szCs w:val="18"/>
          <w:color w:val="auto"/>
        </w:rPr>
        <w:t xml:space="preserve"> E</w:t>
      </w:r>
      <w:r>
        <w:rPr>
          <w:rFonts w:ascii="Arial" w:cs="Arial" w:eastAsia="Arial" w:hAnsi="Arial"/>
          <w:sz w:val="13"/>
          <w:szCs w:val="13"/>
          <w:color w:val="auto"/>
        </w:rPr>
        <w:t>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line="232" w:lineRule="auto"/>
        <w:rPr>
          <w:sz w:val="20"/>
          <w:szCs w:val="20"/>
          <w:color w:val="auto"/>
        </w:rPr>
      </w:pPr>
      <w:r>
        <w:rPr>
          <w:rFonts w:ascii="Arial" w:cs="Arial" w:eastAsia="Arial" w:hAnsi="Arial"/>
          <w:sz w:val="18"/>
          <w:szCs w:val="18"/>
          <w:color w:val="auto"/>
        </w:rPr>
        <w:t>Matthew Eckl</w:t>
      </w:r>
    </w:p>
    <w:p>
      <w:pPr>
        <w:ind w:left="56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2" w:name="page283"/>
    <w:bookmarkEnd w:id="2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9F82CD"/>
    <w:multiLevelType w:val="hybridMultilevel"/>
    <w:lvl w:ilvl="0">
      <w:lvlJc w:val="left"/>
      <w:lvlText w:val="☒"/>
      <w:numFmt w:val="bullet"/>
      <w:start w:val="1"/>
    </w:lvl>
  </w:abstractNum>
  <w:abstractNum w:abstractNumId="1">
    <w:nsid w:val="61E74EA3"/>
    <w:multiLevelType w:val="hybridMultilevel"/>
    <w:lvl w:ilvl="0">
      <w:lvlJc w:val="left"/>
      <w:lvlText w:val="☐"/>
      <w:numFmt w:val="bullet"/>
      <w:start w:val="1"/>
    </w:lvl>
  </w:abstractNum>
  <w:abstractNum w:abstractNumId="2">
    <w:nsid w:val="597B4D84"/>
    <w:multiLevelType w:val="hybridMultilevel"/>
    <w:lvl w:ilvl="0">
      <w:lvlJc w:val="left"/>
      <w:lvlText w:val="•"/>
      <w:numFmt w:val="bullet"/>
      <w:start w:val="1"/>
    </w:lvl>
  </w:abstractNum>
  <w:abstractNum w:abstractNumId="3">
    <w:nsid w:val="F819E7F"/>
    <w:multiLevelType w:val="hybridMultilevel"/>
    <w:lvl w:ilvl="0">
      <w:lvlJc w:val="left"/>
      <w:lvlText w:val="•"/>
      <w:numFmt w:val="bullet"/>
      <w:start w:val="1"/>
    </w:lvl>
  </w:abstractNum>
  <w:abstractNum w:abstractNumId="4">
    <w:nsid w:val="57C7D42D"/>
    <w:multiLevelType w:val="hybridMultilevel"/>
    <w:lvl w:ilvl="0">
      <w:lvlJc w:val="left"/>
      <w:lvlText w:val="•"/>
      <w:numFmt w:val="bullet"/>
      <w:start w:val="1"/>
    </w:lvl>
  </w:abstractNum>
  <w:abstractNum w:abstractNumId="5">
    <w:nsid w:val="312167AD"/>
    <w:multiLevelType w:val="hybridMultilevel"/>
    <w:lvl w:ilvl="0">
      <w:lvlJc w:val="left"/>
      <w:lvlText w:val="•"/>
      <w:numFmt w:val="bullet"/>
      <w:start w:val="1"/>
    </w:lvl>
  </w:abstractNum>
  <w:abstractNum w:abstractNumId="6">
    <w:nsid w:val="631B64D4"/>
    <w:multiLevelType w:val="hybridMultilevel"/>
    <w:lvl w:ilvl="0">
      <w:lvlJc w:val="left"/>
      <w:lvlText w:val="•"/>
      <w:numFmt w:val="bullet"/>
      <w:start w:val="1"/>
    </w:lvl>
  </w:abstractNum>
  <w:abstractNum w:abstractNumId="7">
    <w:nsid w:val="78B5E776"/>
    <w:multiLevelType w:val="hybridMultilevel"/>
    <w:lvl w:ilvl="0">
      <w:lvlJc w:val="left"/>
      <w:lvlText w:val="•"/>
      <w:numFmt w:val="bullet"/>
      <w:start w:val="1"/>
    </w:lvl>
  </w:abstractNum>
  <w:abstractNum w:abstractNumId="8">
    <w:nsid w:val="75486E47"/>
    <w:multiLevelType w:val="hybridMultilevel"/>
    <w:lvl w:ilvl="0">
      <w:lvlJc w:val="left"/>
      <w:lvlText w:val="•"/>
      <w:numFmt w:val="bullet"/>
      <w:start w:val="1"/>
    </w:lvl>
  </w:abstractNum>
  <w:abstractNum w:abstractNumId="9">
    <w:nsid w:val="6E534CDE"/>
    <w:multiLevelType w:val="hybridMultilevel"/>
    <w:lvl w:ilvl="0">
      <w:lvlJc w:val="left"/>
      <w:lvlText w:val="•"/>
      <w:numFmt w:val="bullet"/>
      <w:start w:val="1"/>
    </w:lvl>
  </w:abstractNum>
  <w:abstractNum w:abstractNumId="10">
    <w:nsid w:val="1A0DDE32"/>
    <w:multiLevelType w:val="hybridMultilevel"/>
    <w:lvl w:ilvl="0">
      <w:lvlJc w:val="left"/>
      <w:lvlText w:val="\endash "/>
      <w:numFmt w:val="bullet"/>
      <w:start w:val="1"/>
    </w:lvl>
  </w:abstractNum>
  <w:abstractNum w:abstractNumId="11">
    <w:nsid w:val="65968C1C"/>
    <w:multiLevelType w:val="hybridMultilevel"/>
    <w:lvl w:ilvl="0">
      <w:lvlJc w:val="left"/>
      <w:lvlText w:val="•"/>
      <w:numFmt w:val="bullet"/>
      <w:start w:val="1"/>
    </w:lvl>
  </w:abstractNum>
  <w:abstractNum w:abstractNumId="12">
    <w:nsid w:val="46263DEC"/>
    <w:multiLevelType w:val="hybridMultilevel"/>
    <w:lvl w:ilvl="0">
      <w:lvlJc w:val="left"/>
      <w:lvlText w:val="•"/>
      <w:numFmt w:val="bullet"/>
      <w:start w:val="1"/>
    </w:lvl>
  </w:abstractNum>
  <w:abstractNum w:abstractNumId="13">
    <w:nsid w:val="260D8C4A"/>
    <w:multiLevelType w:val="hybridMultilevel"/>
    <w:lvl w:ilvl="0">
      <w:lvlJc w:val="left"/>
      <w:lvlText w:val="•"/>
      <w:numFmt w:val="bullet"/>
      <w:start w:val="1"/>
    </w:lvl>
  </w:abstractNum>
  <w:abstractNum w:abstractNumId="14">
    <w:nsid w:val="73D4D3C4"/>
    <w:multiLevelType w:val="hybridMultilevel"/>
    <w:lvl w:ilvl="0">
      <w:lvlJc w:val="left"/>
      <w:lvlText w:val="•"/>
      <w:numFmt w:val="bullet"/>
      <w:start w:val="1"/>
    </w:lvl>
  </w:abstractNum>
  <w:abstractNum w:abstractNumId="15">
    <w:nsid w:val="746F2E30"/>
    <w:multiLevelType w:val="hybridMultilevel"/>
    <w:lvl w:ilvl="0">
      <w:lvlJc w:val="left"/>
      <w:lvlText w:val="•"/>
      <w:numFmt w:val="bullet"/>
      <w:start w:val="1"/>
    </w:lvl>
  </w:abstractNum>
  <w:abstractNum w:abstractNumId="16">
    <w:nsid w:val="6FDE8AF6"/>
    <w:multiLevelType w:val="hybridMultilevel"/>
    <w:lvl w:ilvl="0">
      <w:lvlJc w:val="left"/>
      <w:lvlText w:val="(%1)"/>
      <w:numFmt w:val="decimal"/>
      <w:start w:val="1"/>
    </w:lvl>
  </w:abstractNum>
  <w:abstractNum w:abstractNumId="17">
    <w:nsid w:val="3FC32E20"/>
    <w:multiLevelType w:val="hybridMultilevel"/>
    <w:lvl w:ilvl="0">
      <w:lvlJc w:val="left"/>
      <w:lvlText w:val="•"/>
      <w:numFmt w:val="bullet"/>
      <w:start w:val="1"/>
    </w:lvl>
  </w:abstractNum>
  <w:abstractNum w:abstractNumId="18">
    <w:nsid w:val="49C0E823"/>
    <w:multiLevelType w:val="hybridMultilevel"/>
    <w:lvl w:ilvl="0">
      <w:lvlJc w:val="left"/>
      <w:lvlText w:val="•"/>
      <w:numFmt w:val="bullet"/>
      <w:start w:val="1"/>
    </w:lvl>
  </w:abstractNum>
  <w:abstractNum w:abstractNumId="19">
    <w:nsid w:val="14D53685"/>
    <w:multiLevelType w:val="hybridMultilevel"/>
    <w:lvl w:ilvl="0">
      <w:lvlJc w:val="left"/>
      <w:lvlText w:val="(%1)"/>
      <w:numFmt w:val="decimal"/>
      <w:start w:val="1"/>
    </w:lvl>
  </w:abstractNum>
  <w:abstractNum w:abstractNumId="20">
    <w:nsid w:val="230F856C"/>
    <w:multiLevelType w:val="hybridMultilevel"/>
    <w:lvl w:ilvl="0">
      <w:lvlJc w:val="left"/>
      <w:lvlText w:val="(%1)"/>
      <w:numFmt w:val="decimal"/>
      <w:start w:val="1"/>
    </w:lvl>
  </w:abstractNum>
  <w:abstractNum w:abstractNumId="21">
    <w:nsid w:val="6EAA85FB"/>
    <w:multiLevelType w:val="hybridMultilevel"/>
    <w:lvl w:ilvl="0">
      <w:lvlJc w:val="left"/>
      <w:lvlText w:val="%1."/>
      <w:numFmt w:val="decimal"/>
      <w:start w:val="1"/>
    </w:lvl>
  </w:abstractNum>
  <w:abstractNum w:abstractNumId="22">
    <w:nsid w:val="3F06ECB2"/>
    <w:multiLevelType w:val="hybridMultilevel"/>
    <w:lvl w:ilvl="0">
      <w:lvlJc w:val="left"/>
      <w:lvlText w:val="†"/>
      <w:numFmt w:val="bullet"/>
      <w:start w:val="1"/>
    </w:lvl>
  </w:abstractNum>
  <w:abstractNum w:abstractNumId="23">
    <w:nsid w:val="3B594807"/>
    <w:multiLevelType w:val="hybridMultilevel"/>
    <w:lvl w:ilvl="0">
      <w:lvlJc w:val="left"/>
      <w:lvlText w:val="•"/>
      <w:numFmt w:val="bullet"/>
      <w:start w:val="1"/>
    </w:lvl>
  </w:abstractNum>
  <w:abstractNum w:abstractNumId="24">
    <w:nsid w:val="6CAA2304"/>
    <w:multiLevelType w:val="hybridMultilevel"/>
    <w:lvl w:ilvl="0">
      <w:lvlJc w:val="left"/>
      <w:lvlText w:val="%1."/>
      <w:numFmt w:val="decimal"/>
      <w:start w:val="1"/>
    </w:lvl>
  </w:abstractNum>
  <w:abstractNum w:abstractNumId="25">
    <w:nsid w:val="3F7C2FF4"/>
    <w:multiLevelType w:val="hybridMultilevel"/>
    <w:lvl w:ilvl="0">
      <w:lvlJc w:val="left"/>
      <w:lvlText w:val="(%1)"/>
      <w:numFmt w:val="lowerLetter"/>
      <w:start w:val="1"/>
    </w:lvl>
  </w:abstractNum>
  <w:abstractNum w:abstractNumId="26">
    <w:nsid w:val="25413BEC"/>
    <w:multiLevelType w:val="hybridMultilevel"/>
    <w:lvl w:ilvl="0">
      <w:lvlJc w:val="left"/>
      <w:lvlText w:val="%1."/>
      <w:numFmt w:val="decimal"/>
      <w:start w:val="2"/>
    </w:lvl>
  </w:abstractNum>
  <w:abstractNum w:abstractNumId="27">
    <w:nsid w:val="17180B0B"/>
    <w:multiLevelType w:val="hybridMultilevel"/>
    <w:lvl w:ilvl="0">
      <w:lvlJc w:val="left"/>
      <w:lvlText w:val="%1."/>
      <w:numFmt w:val="decimal"/>
      <w:start w:val="5"/>
    </w:lvl>
  </w:abstractNum>
  <w:abstractNum w:abstractNumId="28">
    <w:nsid w:val="579328B9"/>
    <w:multiLevelType w:val="hybridMultilevel"/>
    <w:lvl w:ilvl="0">
      <w:lvlJc w:val="left"/>
      <w:lvlText w:val="%1."/>
      <w:numFmt w:val="decimal"/>
      <w:start w:val="9"/>
    </w:lvl>
  </w:abstractNum>
  <w:abstractNum w:abstractNumId="29">
    <w:nsid w:val="5D205E20"/>
    <w:multiLevelType w:val="hybridMultilevel"/>
    <w:lvl w:ilvl="0">
      <w:lvlJc w:val="left"/>
      <w:lvlText w:val="%1."/>
      <w:numFmt w:val="decimal"/>
      <w:start w:val="10"/>
    </w:lvl>
  </w:abstractNum>
  <w:abstractNum w:abstractNumId="30">
    <w:nsid w:val="11CCA8BA"/>
    <w:multiLevelType w:val="hybridMultilevel"/>
    <w:lvl w:ilvl="0">
      <w:lvlJc w:val="left"/>
      <w:lvlText w:val="•"/>
      <w:numFmt w:val="bullet"/>
      <w:start w:val="1"/>
    </w:lvl>
  </w:abstractNum>
  <w:abstractNum w:abstractNumId="31">
    <w:nsid w:val="4D32AB86"/>
    <w:multiLevelType w:val="hybridMultilevel"/>
    <w:lvl w:ilvl="0">
      <w:lvlJc w:val="left"/>
      <w:lvlText w:val="•"/>
      <w:numFmt w:val="bullet"/>
      <w:start w:val="1"/>
    </w:lvl>
  </w:abstractNum>
  <w:abstractNum w:abstractNumId="32">
    <w:nsid w:val="3F07ACC3"/>
    <w:multiLevelType w:val="hybridMultilevel"/>
    <w:lvl w:ilvl="0">
      <w:lvlJc w:val="left"/>
      <w:lvlText w:val="%1."/>
      <w:numFmt w:val="decimal"/>
      <w:start w:val="11"/>
    </w:lvl>
  </w:abstractNum>
  <w:abstractNum w:abstractNumId="33">
    <w:nsid w:val="6B47F63E"/>
    <w:multiLevelType w:val="hybridMultilevel"/>
    <w:lvl w:ilvl="0">
      <w:lvlJc w:val="left"/>
      <w:lvlText w:val="%1."/>
      <w:numFmt w:val="decimal"/>
      <w:start w:val="12"/>
    </w:lvl>
  </w:abstractNum>
  <w:abstractNum w:abstractNumId="34">
    <w:nsid w:val="5CB44A05"/>
    <w:multiLevelType w:val="hybridMultilevel"/>
    <w:lvl w:ilvl="0">
      <w:lvlJc w:val="left"/>
      <w:lvlText w:val="%1."/>
      <w:numFmt w:val="decimal"/>
      <w:start w:val="13"/>
    </w:lvl>
  </w:abstractNum>
  <w:abstractNum w:abstractNumId="35">
    <w:nsid w:val="16CF80F1"/>
    <w:multiLevelType w:val="hybridMultilevel"/>
    <w:lvl w:ilvl="0">
      <w:lvlJc w:val="left"/>
      <w:lvlText w:val="%1."/>
      <w:numFmt w:val="decimal"/>
      <w:start w:val="14"/>
    </w:lvl>
  </w:abstractNum>
  <w:abstractNum w:abstractNumId="36">
    <w:nsid w:val="1C695DEC"/>
    <w:multiLevelType w:val="hybridMultilevel"/>
    <w:lvl w:ilvl="0">
      <w:lvlJc w:val="left"/>
      <w:lvlText w:val="%1."/>
      <w:numFmt w:val="decimal"/>
      <w:start w:val="15"/>
    </w:lvl>
  </w:abstractNum>
  <w:abstractNum w:abstractNumId="37">
    <w:nsid w:val="3FCFAED9"/>
    <w:multiLevelType w:val="hybridMultilevel"/>
    <w:lvl w:ilvl="0">
      <w:lvlJc w:val="left"/>
      <w:lvlText w:val="%1."/>
      <w:numFmt w:val="decimal"/>
      <w:start w:val="16"/>
    </w:lvl>
  </w:abstractNum>
  <w:abstractNum w:abstractNumId="38">
    <w:nsid w:val="F856867"/>
    <w:multiLevelType w:val="hybridMultilevel"/>
    <w:lvl w:ilvl="0">
      <w:lvlJc w:val="left"/>
      <w:lvlText w:val="•"/>
      <w:numFmt w:val="bullet"/>
      <w:start w:val="1"/>
    </w:lvl>
  </w:abstractNum>
  <w:abstractNum w:abstractNumId="39">
    <w:nsid w:val="11B1CC33"/>
    <w:multiLevelType w:val="hybridMultilevel"/>
    <w:lvl w:ilvl="0">
      <w:lvlJc w:val="left"/>
      <w:lvlText w:val="(%1)"/>
      <w:numFmt w:val="decimal"/>
      <w:start w:val="1"/>
    </w:lvl>
  </w:abstractNum>
  <w:abstractNum w:abstractNumId="40">
    <w:nsid w:val="2E22FBB7"/>
    <w:multiLevelType w:val="hybridMultilevel"/>
    <w:lvl w:ilvl="0">
      <w:lvlJc w:val="left"/>
      <w:lvlText w:val="(%1)"/>
      <w:numFmt w:val="decimal"/>
      <w:start w:val="2"/>
    </w:lvl>
  </w:abstractNum>
  <w:abstractNum w:abstractNumId="41">
    <w:nsid w:val="29934699"/>
    <w:multiLevelType w:val="hybridMultilevel"/>
    <w:lvl w:ilvl="0">
      <w:lvlJc w:val="left"/>
      <w:lvlText w:val="%1."/>
      <w:numFmt w:val="decimal"/>
      <w:start w:val="1"/>
    </w:lvl>
  </w:abstractNum>
  <w:abstractNum w:abstractNumId="42">
    <w:nsid w:val="77485850"/>
    <w:multiLevelType w:val="hybridMultilevel"/>
    <w:lvl w:ilvl="0">
      <w:lvlJc w:val="left"/>
      <w:lvlText w:val="(%1)"/>
      <w:numFmt w:val="lowerLetter"/>
      <w:start w:val="1"/>
    </w:lvl>
  </w:abstractNum>
  <w:abstractNum w:abstractNumId="43">
    <w:nsid w:val="744939A3"/>
    <w:multiLevelType w:val="hybridMultilevel"/>
    <w:lvl w:ilvl="0">
      <w:lvlJc w:val="left"/>
      <w:lvlText w:val="%1."/>
      <w:numFmt w:val="decimal"/>
      <w:start w:val="6"/>
    </w:lvl>
  </w:abstractNum>
  <w:abstractNum w:abstractNumId="44">
    <w:nsid w:val="4FA0D2E3"/>
    <w:multiLevelType w:val="hybridMultilevel"/>
    <w:lvl w:ilvl="0">
      <w:lvlJc w:val="left"/>
      <w:lvlText w:val="(%1)"/>
      <w:numFmt w:val="lowerLetter"/>
      <w:start w:val="1"/>
    </w:lvl>
  </w:abstractNum>
  <w:abstractNum w:abstractNumId="45">
    <w:nsid w:val="6B1D2C14"/>
    <w:multiLevelType w:val="hybridMultilevel"/>
    <w:lvl w:ilvl="0">
      <w:lvlJc w:val="left"/>
      <w:lvlText w:val="(%1)"/>
      <w:numFmt w:val="lowerLetter"/>
      <w:start w:val="2"/>
    </w:lvl>
  </w:abstractNum>
  <w:abstractNum w:abstractNumId="46">
    <w:nsid w:val="68B867D3"/>
    <w:multiLevelType w:val="hybridMultilevel"/>
    <w:lvl w:ilvl="0">
      <w:lvlJc w:val="left"/>
      <w:lvlText w:val="%1."/>
      <w:numFmt w:val="decimal"/>
      <w:start w:val="7"/>
    </w:lvl>
  </w:abstractNum>
  <w:abstractNum w:abstractNumId="47">
    <w:nsid w:val="3F7F5DD9"/>
    <w:multiLevelType w:val="hybridMultilevel"/>
    <w:lvl w:ilvl="0">
      <w:lvlJc w:val="left"/>
      <w:lvlText w:val="%1."/>
      <w:numFmt w:val="decimal"/>
      <w:start w:val="12"/>
    </w:lvl>
  </w:abstractNum>
  <w:abstractNum w:abstractNumId="48">
    <w:nsid w:val="2AE05A34"/>
    <w:multiLevelType w:val="hybridMultilevel"/>
    <w:lvl w:ilvl="0">
      <w:lvlJc w:val="left"/>
      <w:lvlText w:val="%1."/>
      <w:numFmt w:val="decimal"/>
      <w:start w:val="20"/>
    </w:lvl>
  </w:abstractNum>
  <w:abstractNum w:abstractNumId="49">
    <w:nsid w:val="32794FF7"/>
    <w:multiLevelType w:val="hybridMultilevel"/>
    <w:lvl w:ilvl="0">
      <w:lvlJc w:val="left"/>
      <w:lvlText w:val="%1."/>
      <w:numFmt w:val="decimal"/>
      <w:start w:val="1"/>
    </w:lvl>
  </w:abstractNum>
  <w:abstractNum w:abstractNumId="50">
    <w:nsid w:val="5454945E"/>
    <w:multiLevelType w:val="hybridMultilevel"/>
    <w:lvl w:ilvl="0">
      <w:lvlJc w:val="left"/>
      <w:lvlText w:val="(%1)"/>
      <w:numFmt w:val="lowerLetter"/>
      <w:start w:val="1"/>
    </w:lvl>
  </w:abstractNum>
  <w:abstractNum w:abstractNumId="51">
    <w:nsid w:val="4DEFDFA0"/>
    <w:multiLevelType w:val="hybridMultilevel"/>
    <w:lvl w:ilvl="0">
      <w:lvlJc w:val="left"/>
      <w:lvlText w:val="(%1)"/>
      <w:numFmt w:val="lowerLetter"/>
      <w:start w:val="2"/>
    </w:lvl>
  </w:abstractNum>
  <w:abstractNum w:abstractNumId="52">
    <w:nsid w:val="2123D5F2"/>
    <w:multiLevelType w:val="hybridMultilevel"/>
    <w:lvl w:ilvl="0">
      <w:lvlJc w:val="left"/>
      <w:lvlText w:val="%1."/>
      <w:numFmt w:val="decimal"/>
      <w:start w:val="6"/>
    </w:lvl>
  </w:abstractNum>
  <w:abstractNum w:abstractNumId="53">
    <w:nsid w:val="135B8110"/>
    <w:multiLevelType w:val="hybridMultilevel"/>
    <w:lvl w:ilvl="0">
      <w:lvlJc w:val="left"/>
      <w:lvlText w:val="(%1)"/>
      <w:numFmt w:val="lowerLetter"/>
      <w:start w:val="1"/>
    </w:lvl>
  </w:abstractNum>
  <w:abstractNum w:abstractNumId="54">
    <w:nsid w:val="94927A8"/>
    <w:multiLevelType w:val="hybridMultilevel"/>
    <w:lvl w:ilvl="0">
      <w:lvlJc w:val="left"/>
      <w:lvlText w:val="%1."/>
      <w:numFmt w:val="decimal"/>
      <w:start w:val="7"/>
    </w:lvl>
  </w:abstractNum>
  <w:abstractNum w:abstractNumId="55">
    <w:nsid w:val="DCDF8F6"/>
    <w:multiLevelType w:val="hybridMultilevel"/>
    <w:lvl w:ilvl="0">
      <w:lvlJc w:val="left"/>
      <w:lvlText w:val="%1."/>
      <w:numFmt w:val="decimal"/>
      <w:start w:val="9"/>
    </w:lvl>
  </w:abstractNum>
  <w:abstractNum w:abstractNumId="56">
    <w:nsid w:val="52D7B105"/>
    <w:multiLevelType w:val="hybridMultilevel"/>
    <w:lvl w:ilvl="0">
      <w:lvlJc w:val="left"/>
      <w:lvlText w:val="%1."/>
      <w:numFmt w:val="decimal"/>
      <w:start w:val="16"/>
    </w:lvl>
  </w:abstractNum>
  <w:abstractNum w:abstractNumId="57">
    <w:nsid w:val="2E8A6394"/>
    <w:multiLevelType w:val="hybridMultilevel"/>
    <w:lvl w:ilvl="0">
      <w:lvlJc w:val="left"/>
      <w:lvlText w:val="%1."/>
      <w:numFmt w:val="upperLetter"/>
      <w:start w:val="1"/>
    </w:lvl>
  </w:abstractNum>
  <w:abstractNum w:abstractNumId="58">
    <w:nsid w:val="24E60401"/>
    <w:multiLevelType w:val="hybridMultilevel"/>
    <w:lvl w:ilvl="0">
      <w:lvlJc w:val="left"/>
      <w:lvlText w:val="(%1)"/>
      <w:numFmt w:val="lowerLetter"/>
      <w:start w:val="1"/>
    </w:lvl>
  </w:abstractNum>
  <w:abstractNum w:abstractNumId="59">
    <w:nsid w:val="2A6AD9BE"/>
    <w:multiLevelType w:val="hybridMultilevel"/>
    <w:lvl w:ilvl="0">
      <w:lvlJc w:val="left"/>
      <w:lvlText w:val="(%1)"/>
      <w:numFmt w:val="lowerLetter"/>
      <w:start w:val="1"/>
    </w:lvl>
    <w:lvl w:ilvl="1">
      <w:lvlJc w:val="left"/>
      <w:lvlText w:val="(%2)"/>
      <w:numFmt w:val="lowerRoman"/>
      <w:start w:val="1"/>
    </w:lvl>
  </w:abstractNum>
  <w:abstractNum w:abstractNumId="60">
    <w:nsid w:val="BAAC1B4"/>
    <w:multiLevelType w:val="hybridMultilevel"/>
    <w:lvl w:ilvl="0">
      <w:lvlJc w:val="left"/>
      <w:lvlText w:val="(%1)"/>
      <w:numFmt w:val="lowerLetter"/>
      <w:start w:val="1"/>
    </w:lvl>
  </w:abstractNum>
  <w:abstractNum w:abstractNumId="61">
    <w:nsid w:val="36B2ACBC"/>
    <w:multiLevelType w:val="hybridMultilevel"/>
    <w:lvl w:ilvl="0">
      <w:lvlJc w:val="left"/>
      <w:lvlText w:val="(%1)"/>
      <w:numFmt w:val="lowerLetter"/>
      <w:start w:val="2"/>
    </w:lvl>
  </w:abstractNum>
  <w:abstractNum w:abstractNumId="62">
    <w:nsid w:val="779D8544"/>
    <w:multiLevelType w:val="hybridMultilevel"/>
    <w:lvl w:ilvl="0">
      <w:lvlJc w:val="left"/>
      <w:lvlText w:val="%1."/>
      <w:numFmt w:val="upperLetter"/>
      <w:start w:val="1"/>
    </w:lvl>
  </w:abstractNum>
  <w:abstractNum w:abstractNumId="63">
    <w:nsid w:val="4AB26E78"/>
    <w:multiLevelType w:val="hybridMultilevel"/>
    <w:lvl w:ilvl="0">
      <w:lvlJc w:val="left"/>
      <w:lvlText w:val="%1."/>
      <w:numFmt w:val="decimal"/>
      <w:start w:val="1"/>
    </w:lvl>
    <w:lvl w:ilvl="1">
      <w:lvlJc w:val="left"/>
      <w:lvlText w:val="(%2)"/>
      <w:numFmt w:val="lowerLetter"/>
      <w:start w:val="1"/>
    </w:lvl>
  </w:abstractNum>
  <w:abstractNum w:abstractNumId="64">
    <w:nsid w:val="21FAA2FA"/>
    <w:multiLevelType w:val="hybridMultilevel"/>
    <w:lvl w:ilvl="0">
      <w:lvlJc w:val="left"/>
      <w:lvlText w:val="(%1)"/>
      <w:numFmt w:val="lowerLetter"/>
      <w:start w:val="1"/>
    </w:lvl>
    <w:lvl w:ilvl="1">
      <w:lvlJc w:val="left"/>
      <w:lvlText w:val="(%2)"/>
      <w:numFmt w:val="lowerRoman"/>
      <w:start w:val="1"/>
    </w:lvl>
  </w:abstractNum>
  <w:abstractNum w:abstractNumId="65">
    <w:nsid w:val="5451CF49"/>
    <w:multiLevelType w:val="hybridMultilevel"/>
    <w:lvl w:ilvl="0">
      <w:lvlJc w:val="left"/>
      <w:lvlText w:val="(%1)"/>
      <w:numFmt w:val="lowerLetter"/>
      <w:start w:val="1"/>
    </w:lvl>
    <w:lvl w:ilvl="1">
      <w:lvlJc w:val="left"/>
      <w:lvlText w:val="(%2)"/>
      <w:numFmt w:val="lowerRoman"/>
      <w:start w:val="1"/>
    </w:lvl>
  </w:abstractNum>
  <w:abstractNum w:abstractNumId="66">
    <w:nsid w:val="6181EF69"/>
    <w:multiLevelType w:val="hybridMultilevel"/>
    <w:lvl w:ilvl="0">
      <w:lvlJc w:val="left"/>
      <w:lvlText w:val="(%1)"/>
      <w:numFmt w:val="lowerLetter"/>
      <w:start w:val="1"/>
    </w:lvl>
  </w:abstractNum>
  <w:abstractNum w:abstractNumId="67">
    <w:nsid w:val="3E6400E6"/>
    <w:multiLevelType w:val="hybridMultilevel"/>
    <w:lvl w:ilvl="0">
      <w:lvlJc w:val="left"/>
      <w:lvlText w:val="(%1)"/>
      <w:numFmt w:val="lowerLetter"/>
      <w:start w:val="4"/>
    </w:lvl>
  </w:abstractNum>
  <w:abstractNum w:abstractNumId="68">
    <w:nsid w:val="14217E23"/>
    <w:multiLevelType w:val="hybridMultilevel"/>
    <w:lvl w:ilvl="0">
      <w:lvlJc w:val="left"/>
      <w:lvlText w:val="A"/>
      <w:numFmt w:val="bullet"/>
      <w:start w:val="1"/>
    </w:lvl>
  </w:abstractNum>
  <w:abstractNum w:abstractNumId="69">
    <w:nsid w:val="710757D0"/>
    <w:multiLevelType w:val="hybridMultilevel"/>
    <w:lvl w:ilvl="0">
      <w:lvlJc w:val="left"/>
      <w:lvlText w:val="B"/>
      <w:numFmt w:val="bullet"/>
      <w:start w:val="1"/>
    </w:lvl>
  </w:abstractNum>
  <w:abstractNum w:abstractNumId="70">
    <w:nsid w:val="5015CD1A"/>
    <w:multiLevelType w:val="hybridMultilevel"/>
    <w:lvl w:ilvl="0">
      <w:lvlJc w:val="left"/>
      <w:lvlText w:val="E"/>
      <w:numFmt w:val="bullet"/>
      <w:start w:val="1"/>
    </w:lvl>
  </w:abstractNum>
  <w:abstractNum w:abstractNumId="71">
    <w:nsid w:val="424479DA"/>
    <w:multiLevelType w:val="hybridMultilevel"/>
    <w:lvl w:ilvl="0">
      <w:lvlJc w:val="left"/>
      <w:lvlText w:val="F"/>
      <w:numFmt w:val="bullet"/>
      <w:start w:val="1"/>
    </w:lvl>
  </w:abstractNum>
  <w:abstractNum w:abstractNumId="72">
    <w:nsid w:val="1A9A9E69"/>
    <w:multiLevelType w:val="hybridMultilevel"/>
    <w:lvl w:ilvl="0">
      <w:lvlJc w:val="left"/>
      <w:lvlText w:val="G"/>
      <w:numFmt w:val="bullet"/>
      <w:start w:val="1"/>
    </w:lvl>
  </w:abstractNum>
  <w:abstractNum w:abstractNumId="73">
    <w:nsid w:val="475E256A"/>
    <w:multiLevelType w:val="hybridMultilevel"/>
    <w:lvl w:ilvl="0">
      <w:lvlJc w:val="left"/>
      <w:lvlText w:val="H"/>
      <w:numFmt w:val="bullet"/>
      <w:start w:val="1"/>
    </w:lvl>
  </w:abstractNum>
  <w:abstractNum w:abstractNumId="74">
    <w:nsid w:val="368DB37E"/>
    <w:multiLevelType w:val="hybridMultilevel"/>
    <w:lvl w:ilvl="0">
      <w:lvlJc w:val="left"/>
      <w:lvlText w:val="I"/>
      <w:numFmt w:val="bullet"/>
      <w:start w:val="1"/>
    </w:lvl>
  </w:abstractNum>
  <w:abstractNum w:abstractNumId="75">
    <w:nsid w:val="6A3B714C"/>
    <w:multiLevelType w:val="hybridMultilevel"/>
    <w:lvl w:ilvl="0">
      <w:lvlJc w:val="left"/>
      <w:lvlText w:val="J"/>
      <w:numFmt w:val="bullet"/>
      <w:start w:val="1"/>
    </w:lvl>
  </w:abstractNum>
  <w:abstractNum w:abstractNumId="76">
    <w:nsid w:val="327B517E"/>
    <w:multiLevelType w:val="hybridMultilevel"/>
    <w:lvl w:ilvl="0">
      <w:lvlJc w:val="left"/>
      <w:lvlText w:val="%1."/>
      <w:numFmt w:val="upperLetter"/>
      <w:start w:val="1"/>
    </w:lvl>
  </w:abstractNum>
  <w:abstractNum w:abstractNumId="77">
    <w:nsid w:val="1F461B51"/>
    <w:multiLevelType w:val="hybridMultilevel"/>
    <w:lvl w:ilvl="0">
      <w:lvlJc w:val="left"/>
      <w:lvlText w:val="(%1)"/>
      <w:numFmt w:val="lowerLetter"/>
      <w:start w:val="2"/>
    </w:lvl>
  </w:abstractNum>
  <w:abstractNum w:abstractNumId="78">
    <w:nsid w:val="29BACF25"/>
    <w:multiLevelType w:val="hybridMultilevel"/>
    <w:lvl w:ilvl="0">
      <w:lvlJc w:val="left"/>
      <w:lvlText w:val="(%1)"/>
      <w:numFmt w:val="lowerLetter"/>
      <w:start w:val="1"/>
    </w:lvl>
  </w:abstractNum>
  <w:abstractNum w:abstractNumId="79">
    <w:nsid w:val="5D5BABB3"/>
    <w:multiLevelType w:val="hybridMultilevel"/>
    <w:lvl w:ilvl="0">
      <w:lvlJc w:val="left"/>
      <w:lvlText w:val="(%1)"/>
      <w:numFmt w:val="lowerLetter"/>
      <w:start w:val="2"/>
    </w:lvl>
  </w:abstractNum>
  <w:abstractNum w:abstractNumId="80">
    <w:nsid w:val="51BF6B48"/>
    <w:multiLevelType w:val="hybridMultilevel"/>
    <w:lvl w:ilvl="0">
      <w:lvlJc w:val="left"/>
      <w:lvlText w:val="(%1)"/>
      <w:numFmt w:val="lowerLetter"/>
      <w:start w:val="2"/>
    </w:lvl>
    <w:lvl w:ilvl="1">
      <w:lvlJc w:val="left"/>
      <w:lvlText w:val="(%2)"/>
      <w:numFmt w:val="lowerLetter"/>
      <w:start w:val="1"/>
    </w:lvl>
  </w:abstractNum>
  <w:abstractNum w:abstractNumId="81">
    <w:nsid w:val="7E0F6384"/>
    <w:multiLevelType w:val="hybridMultilevel"/>
    <w:lvl w:ilvl="0">
      <w:lvlJc w:val="left"/>
      <w:lvlText w:val="(%1)"/>
      <w:numFmt w:val="lowerLetter"/>
      <w:start w:val="2"/>
    </w:lvl>
  </w:abstractNum>
  <w:abstractNum w:abstractNumId="82">
    <w:nsid w:val="2B4B8B53"/>
    <w:multiLevelType w:val="hybridMultilevel"/>
    <w:lvl w:ilvl="0">
      <w:lvlJc w:val="left"/>
      <w:lvlText w:val="(%1)"/>
      <w:numFmt w:val="lowerLetter"/>
      <w:start w:val="1"/>
    </w:lvl>
  </w:abstractNum>
  <w:abstractNum w:abstractNumId="83">
    <w:nsid w:val="72E3413A"/>
    <w:multiLevelType w:val="hybridMultilevel"/>
    <w:lvl w:ilvl="0">
      <w:lvlJc w:val="left"/>
      <w:lvlText w:val="(%1)"/>
      <w:numFmt w:val="lowerLetter"/>
      <w:start w:val="1"/>
    </w:lvl>
  </w:abstractNum>
  <w:abstractNum w:abstractNumId="84">
    <w:nsid w:val="116AE494"/>
    <w:multiLevelType w:val="hybridMultilevel"/>
    <w:lvl w:ilvl="0">
      <w:lvlJc w:val="left"/>
      <w:lvlText w:val="(%1)"/>
      <w:numFmt w:val="lowerLetter"/>
      <w:start w:val="3"/>
    </w:lvl>
  </w:abstractNum>
  <w:abstractNum w:abstractNumId="85">
    <w:nsid w:val="3494B2FB"/>
    <w:multiLevelType w:val="hybridMultilevel"/>
    <w:lvl w:ilvl="0">
      <w:lvlJc w:val="left"/>
      <w:lvlText w:val="(%1)"/>
      <w:numFmt w:val="lowerLetter"/>
      <w:start w:val="1"/>
    </w:lvl>
  </w:abstractNum>
  <w:abstractNum w:abstractNumId="86">
    <w:nsid w:val="B13A31"/>
    <w:multiLevelType w:val="hybridMultilevel"/>
    <w:lvl w:ilvl="0">
      <w:lvlJc w:val="left"/>
      <w:lvlText w:val="(%1)"/>
      <w:numFmt w:val="lowerLetter"/>
      <w:start w:val="2"/>
    </w:lvl>
    <w:lvl w:ilvl="1">
      <w:lvlJc w:val="left"/>
      <w:lvlText w:val="(%2)"/>
      <w:numFmt w:val="lowerRoman"/>
      <w:start w:val="1"/>
    </w:lvl>
  </w:abstractNum>
  <w:abstractNum w:abstractNumId="87">
    <w:nsid w:val="64429599"/>
    <w:multiLevelType w:val="hybridMultilevel"/>
    <w:lvl w:ilvl="0">
      <w:lvlJc w:val="left"/>
      <w:lvlText w:val="(%1)"/>
      <w:numFmt w:val="lowerRoman"/>
      <w:start w:val="5"/>
    </w:lvl>
  </w:abstractNum>
  <w:abstractNum w:abstractNumId="88">
    <w:nsid w:val="631F1690"/>
    <w:multiLevelType w:val="hybridMultilevel"/>
    <w:lvl w:ilvl="0">
      <w:lvlJc w:val="left"/>
      <w:lvlText w:val="(%1)"/>
      <w:numFmt w:val="lowerLetter"/>
      <w:start w:val="4"/>
    </w:lvl>
    <w:lvl w:ilvl="1">
      <w:lvlJc w:val="left"/>
      <w:lvlText w:val="(%2)"/>
      <w:numFmt w:val="lowerRoman"/>
      <w:start w:val="1"/>
    </w:lvl>
  </w:abstractNum>
  <w:abstractNum w:abstractNumId="89">
    <w:nsid w:val="25973E32"/>
    <w:multiLevelType w:val="hybridMultilevel"/>
    <w:lvl w:ilvl="0">
      <w:lvlJc w:val="left"/>
      <w:lvlText w:val="(%1)"/>
      <w:numFmt w:val="lowerLetter"/>
      <w:start w:val="1"/>
    </w:lvl>
  </w:abstractNum>
  <w:abstractNum w:abstractNumId="90">
    <w:nsid w:val="EAD6F57"/>
    <w:multiLevelType w:val="hybridMultilevel"/>
    <w:lvl w:ilvl="0">
      <w:lvlJc w:val="left"/>
      <w:lvlText w:val="(%1)"/>
      <w:numFmt w:val="lowerLetter"/>
      <w:start w:val="7"/>
    </w:lvl>
  </w:abstractNum>
  <w:abstractNum w:abstractNumId="91">
    <w:nsid w:val="6EC9D844"/>
    <w:multiLevelType w:val="hybridMultilevel"/>
    <w:lvl w:ilvl="0">
      <w:lvlJc w:val="left"/>
      <w:lvlText w:val="(%1)"/>
      <w:numFmt w:val="lowerLetter"/>
      <w:start w:val="3"/>
    </w:lvl>
  </w:abstractNum>
  <w:abstractNum w:abstractNumId="92">
    <w:nsid w:val="5C49EAEE"/>
    <w:multiLevelType w:val="hybridMultilevel"/>
    <w:lvl w:ilvl="0">
      <w:lvlJc w:val="left"/>
      <w:lvlText w:val="(%1)"/>
      <w:numFmt w:val="lowerRoman"/>
      <w:start w:val="1"/>
    </w:lvl>
  </w:abstractNum>
  <w:abstractNum w:abstractNumId="93">
    <w:nsid w:val="64AF49B"/>
    <w:multiLevelType w:val="hybridMultilevel"/>
    <w:lvl w:ilvl="0">
      <w:lvlJc w:val="left"/>
      <w:lvlText w:val="(%1)"/>
      <w:numFmt w:val="lowerLetter"/>
      <w:start w:val="1"/>
    </w:lvl>
  </w:abstractNum>
  <w:abstractNum w:abstractNumId="94">
    <w:nsid w:val="397C46BC"/>
    <w:multiLevelType w:val="hybridMultilevel"/>
    <w:lvl w:ilvl="0">
      <w:lvlJc w:val="left"/>
      <w:lvlText w:val="(%1)"/>
      <w:numFmt w:val="lowerLetter"/>
      <w:start w:val="2"/>
    </w:lvl>
  </w:abstractNum>
  <w:abstractNum w:abstractNumId="95">
    <w:nsid w:val="7E448DE9"/>
    <w:multiLevelType w:val="hybridMultilevel"/>
    <w:lvl w:ilvl="0">
      <w:lvlJc w:val="left"/>
      <w:lvlText w:val="(%1)"/>
      <w:numFmt w:val="lowerLetter"/>
      <w:start w:val="1"/>
    </w:lvl>
  </w:abstractNum>
  <w:abstractNum w:abstractNumId="96">
    <w:nsid w:val="5A9CC3E5"/>
    <w:multiLevelType w:val="hybridMultilevel"/>
    <w:lvl w:ilvl="0">
      <w:lvlJc w:val="left"/>
      <w:lvlText w:val="(%1)"/>
      <w:numFmt w:val="lowerLetter"/>
      <w:start w:val="2"/>
    </w:lvl>
  </w:abstractNum>
  <w:abstractNum w:abstractNumId="97">
    <w:nsid w:val="1AFE3625"/>
    <w:multiLevelType w:val="hybridMultilevel"/>
    <w:lvl w:ilvl="0">
      <w:lvlJc w:val="left"/>
      <w:lvlText w:val="(%1)"/>
      <w:numFmt w:val="lowerLetter"/>
      <w:start w:val="1"/>
    </w:lvl>
  </w:abstractNum>
  <w:abstractNum w:abstractNumId="98">
    <w:nsid w:val="3CA88ECF"/>
    <w:multiLevelType w:val="hybridMultilevel"/>
    <w:lvl w:ilvl="0">
      <w:lvlJc w:val="left"/>
      <w:lvlText w:val="%1"/>
      <w:numFmt w:val="upperLetter"/>
      <w:start w:val="1"/>
    </w:lvl>
    <w:lvl w:ilvl="1">
      <w:lvlJc w:val="left"/>
      <w:lvlText w:val="(%2)"/>
      <w:numFmt w:val="lowerLetter"/>
      <w:start w:val="1"/>
    </w:lvl>
  </w:abstractNum>
  <w:abstractNum w:abstractNumId="99">
    <w:nsid w:val="6EBE4208"/>
    <w:multiLevelType w:val="hybridMultilevel"/>
    <w:lvl w:ilvl="0">
      <w:lvlJc w:val="left"/>
      <w:lvlText w:val="(%1)"/>
      <w:numFmt w:val="upperLetter"/>
      <w:start w:val="2"/>
    </w:lvl>
    <w:lvl w:ilvl="1">
      <w:lvlJc w:val="left"/>
      <w:lvlText w:val="(%2)"/>
      <w:numFmt w:val="lowerLetter"/>
      <w:start w:val="2"/>
    </w:lvl>
  </w:abstractNum>
  <w:abstractNum w:abstractNumId="100">
    <w:nsid w:val="C058DF5"/>
    <w:multiLevelType w:val="hybridMultilevel"/>
    <w:lvl w:ilvl="0">
      <w:lvlJc w:val="left"/>
      <w:lvlText w:val="(%1)"/>
      <w:numFmt w:val="lowerLetter"/>
      <w:start w:val="1"/>
    </w:lvl>
  </w:abstractNum>
  <w:abstractNum w:abstractNumId="101">
    <w:nsid w:val="CBE5BE9"/>
    <w:multiLevelType w:val="hybridMultilevel"/>
    <w:lvl w:ilvl="0">
      <w:lvlJc w:val="left"/>
      <w:lvlText w:val="(%1)"/>
      <w:numFmt w:val="lowerRoman"/>
      <w:start w:val="1"/>
    </w:lvl>
  </w:abstractNum>
  <w:abstractNum w:abstractNumId="102">
    <w:nsid w:val="3102BBE2"/>
    <w:multiLevelType w:val="hybridMultilevel"/>
    <w:lvl w:ilvl="0">
      <w:lvlJc w:val="left"/>
      <w:lvlText w:val="(%1)"/>
      <w:numFmt w:val="lowerLetter"/>
      <w:start w:val="1"/>
    </w:lvl>
  </w:abstractNum>
  <w:abstractNum w:abstractNumId="103">
    <w:nsid w:val="26A02C5E"/>
    <w:multiLevelType w:val="hybridMultilevel"/>
    <w:lvl w:ilvl="0">
      <w:lvlJc w:val="left"/>
      <w:lvlText w:val="(%1)"/>
      <w:numFmt w:val="lowerLetter"/>
      <w:start w:val="1"/>
    </w:lvl>
  </w:abstractNum>
  <w:abstractNum w:abstractNumId="104">
    <w:nsid w:val="541C8153"/>
    <w:multiLevelType w:val="hybridMultilevel"/>
    <w:lvl w:ilvl="0">
      <w:lvlJc w:val="left"/>
      <w:lvlText w:val="(%1)"/>
      <w:numFmt w:val="lowerLetter"/>
      <w:start w:val="2"/>
    </w:lvl>
  </w:abstractNum>
  <w:abstractNum w:abstractNumId="105">
    <w:nsid w:val="67906F60"/>
    <w:multiLevelType w:val="hybridMultilevel"/>
    <w:lvl w:ilvl="0">
      <w:lvlJc w:val="left"/>
      <w:lvlText w:val="(%1)"/>
      <w:numFmt w:val="lowerLetter"/>
      <w:start w:val="1"/>
    </w:lvl>
  </w:abstractNum>
  <w:abstractNum w:abstractNumId="106">
    <w:nsid w:val="10DB9DAA"/>
    <w:multiLevelType w:val="hybridMultilevel"/>
    <w:lvl w:ilvl="0">
      <w:lvlJc w:val="left"/>
      <w:lvlText w:val="(%1)"/>
      <w:numFmt w:val="lowerLetter"/>
      <w:start w:val="2"/>
    </w:lvl>
    <w:lvl w:ilvl="1">
      <w:lvlJc w:val="left"/>
      <w:lvlText w:val="(%2)"/>
      <w:numFmt w:val="lowerRoman"/>
      <w:start w:val="1"/>
    </w:lvl>
  </w:abstractNum>
  <w:abstractNum w:abstractNumId="107">
    <w:nsid w:val="697D2D2"/>
    <w:multiLevelType w:val="hybridMultilevel"/>
    <w:lvl w:ilvl="0">
      <w:lvlJc w:val="left"/>
      <w:lvlText w:val="(%1)"/>
      <w:numFmt w:val="lowerLetter"/>
      <w:start w:val="1"/>
    </w:lvl>
  </w:abstractNum>
  <w:abstractNum w:abstractNumId="108">
    <w:nsid w:val="6D68AB2"/>
    <w:multiLevelType w:val="hybridMultilevel"/>
    <w:lvl w:ilvl="0">
      <w:lvlJc w:val="left"/>
      <w:lvlText w:val="(%1)"/>
      <w:numFmt w:val="lowerLetter"/>
      <w:start w:val="1"/>
    </w:lvl>
  </w:abstractNum>
  <w:abstractNum w:abstractNumId="109">
    <w:nsid w:val="3A966CD0"/>
    <w:multiLevelType w:val="hybridMultilevel"/>
    <w:lvl w:ilvl="0">
      <w:lvlJc w:val="left"/>
      <w:lvlText w:val="(%1)"/>
      <w:numFmt w:val="lowerLetter"/>
      <w:start w:val="3"/>
    </w:lvl>
  </w:abstractNum>
  <w:abstractNum w:abstractNumId="110">
    <w:nsid w:val="63F37E85"/>
    <w:multiLevelType w:val="hybridMultilevel"/>
    <w:lvl w:ilvl="0">
      <w:lvlJc w:val="left"/>
      <w:lvlText w:val="(%1)"/>
      <w:numFmt w:val="lowerLetter"/>
      <w:start w:val="1"/>
    </w:lvl>
  </w:abstractNum>
  <w:abstractNum w:abstractNumId="111">
    <w:nsid w:val="5895F5FA"/>
    <w:multiLevelType w:val="hybridMultilevel"/>
    <w:lvl w:ilvl="0">
      <w:lvlJc w:val="left"/>
      <w:lvlText w:val="%1"/>
      <w:numFmt w:val="lowerRoman"/>
      <w:start w:val="1"/>
    </w:lvl>
    <w:lvl w:ilvl="1">
      <w:lvlJc w:val="left"/>
      <w:lvlText w:val="(%2)"/>
      <w:numFmt w:val="lowerLetter"/>
      <w:start w:val="1"/>
    </w:lvl>
  </w:abstractNum>
  <w:abstractNum w:abstractNumId="112">
    <w:nsid w:val="38A5D054"/>
    <w:multiLevelType w:val="hybridMultilevel"/>
    <w:lvl w:ilvl="0">
      <w:lvlJc w:val="left"/>
      <w:lvlText w:val="(%1)"/>
      <w:numFmt w:val="lowerRoman"/>
      <w:start w:val="4"/>
    </w:lvl>
    <w:lvl w:ilvl="1">
      <w:lvlJc w:val="left"/>
      <w:lvlText w:val="(%2)"/>
      <w:numFmt w:val="lowerLetter"/>
      <w:start w:val="2"/>
    </w:lvl>
  </w:abstractNum>
  <w:abstractNum w:abstractNumId="113">
    <w:nsid w:val="F3F09D8"/>
    <w:multiLevelType w:val="hybridMultilevel"/>
    <w:lvl w:ilvl="0">
      <w:lvlJc w:val="left"/>
      <w:lvlText w:val="(%1)"/>
      <w:numFmt w:val="lowerLetter"/>
      <w:start w:val="1"/>
    </w:lvl>
  </w:abstractNum>
  <w:abstractNum w:abstractNumId="114">
    <w:nsid w:val="4B793735"/>
    <w:multiLevelType w:val="hybridMultilevel"/>
    <w:lvl w:ilvl="0">
      <w:lvlJc w:val="left"/>
      <w:lvlText w:val="(%1)"/>
      <w:numFmt w:val="lowerLetter"/>
      <w:start w:val="3"/>
    </w:lvl>
  </w:abstractNum>
  <w:abstractNum w:abstractNumId="115">
    <w:nsid w:val="4A10B4E8"/>
    <w:multiLevelType w:val="hybridMultilevel"/>
    <w:lvl w:ilvl="0">
      <w:lvlJc w:val="left"/>
      <w:lvlText w:val="(%1)"/>
      <w:numFmt w:val="lowerLetter"/>
      <w:start w:val="1"/>
    </w:lvl>
  </w:abstractNum>
  <w:abstractNum w:abstractNumId="116">
    <w:nsid w:val="43D3BCD4"/>
    <w:multiLevelType w:val="hybridMultilevel"/>
    <w:lvl w:ilvl="0">
      <w:lvlJc w:val="left"/>
      <w:lvlText w:val="(%1)"/>
      <w:numFmt w:val="lowerRoman"/>
      <w:start w:val="1"/>
    </w:lvl>
  </w:abstractNum>
  <w:abstractNum w:abstractNumId="117">
    <w:nsid w:val="4C2A7166"/>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18">
    <w:nsid w:val="2E534A82"/>
    <w:multiLevelType w:val="hybridMultilevel"/>
    <w:lvl w:ilvl="0">
      <w:lvlJc w:val="left"/>
      <w:lvlText w:val="%1"/>
      <w:numFmt w:val="lowerRoman"/>
      <w:start w:val="1"/>
    </w:lvl>
    <w:lvl w:ilvl="1">
      <w:lvlJc w:val="left"/>
      <w:lvlText w:val="(%2)"/>
      <w:numFmt w:val="upperLetter"/>
      <w:start w:val="2"/>
    </w:lvl>
  </w:abstractNum>
  <w:abstractNum w:abstractNumId="119">
    <w:nsid w:val="26F2D364"/>
    <w:multiLevelType w:val="hybridMultilevel"/>
    <w:lvl w:ilvl="0">
      <w:lvlJc w:val="left"/>
      <w:lvlText w:val="(%1)"/>
      <w:numFmt w:val="lowerRoman"/>
      <w:start w:val="5"/>
    </w:lvl>
    <w:lvl w:ilvl="1">
      <w:lvlJc w:val="left"/>
      <w:lvlText w:val="%2"/>
      <w:numFmt w:val="upperLetter"/>
      <w:start w:val="1"/>
    </w:lvl>
  </w:abstractNum>
  <w:abstractNum w:abstractNumId="120">
    <w:nsid w:val="71C1AF98"/>
    <w:multiLevelType w:val="hybridMultilevel"/>
    <w:lvl w:ilvl="0">
      <w:lvlJc w:val="left"/>
      <w:lvlText w:val="%1"/>
      <w:numFmt w:val="upperLetter"/>
      <w:start w:val="1"/>
    </w:lvl>
    <w:lvl w:ilvl="1">
      <w:lvlJc w:val="left"/>
      <w:lvlText w:val="(%2)"/>
      <w:numFmt w:val="lowerRoman"/>
      <w:start w:val="1"/>
    </w:lvl>
  </w:abstractNum>
  <w:abstractNum w:abstractNumId="121">
    <w:nsid w:val="3D00B9D9"/>
    <w:multiLevelType w:val="hybridMultilevel"/>
    <w:lvl w:ilvl="0">
      <w:lvlJc w:val="left"/>
      <w:lvlText w:val="(%1)"/>
      <w:numFmt w:val="upperLetter"/>
      <w:start w:val="8"/>
    </w:lvl>
    <w:lvl w:ilvl="1">
      <w:lvlJc w:val="left"/>
      <w:lvlText w:val="(%2)"/>
      <w:numFmt w:val="lowerRoman"/>
      <w:start w:val="2"/>
    </w:lvl>
  </w:abstractNum>
  <w:abstractNum w:abstractNumId="122">
    <w:nsid w:val="15BCABA8"/>
    <w:multiLevelType w:val="hybridMultilevel"/>
    <w:lvl w:ilvl="0">
      <w:lvlJc w:val="left"/>
      <w:lvlText w:val="(%1)"/>
      <w:numFmt w:val="upperLetter"/>
      <w:start w:val="2"/>
    </w:lvl>
    <w:lvl w:ilvl="1">
      <w:lvlJc w:val="left"/>
      <w:lvlText w:val="(%2)"/>
      <w:numFmt w:val="lowerRoman"/>
      <w:start w:val="4"/>
    </w:lvl>
  </w:abstractNum>
  <w:abstractNum w:abstractNumId="123">
    <w:nsid w:val="4E0B9A87"/>
    <w:multiLevelType w:val="hybridMultilevel"/>
    <w:lvl w:ilvl="0">
      <w:lvlJc w:val="left"/>
      <w:lvlText w:val="(%1)"/>
      <w:numFmt w:val="lowerLetter"/>
      <w:start w:val="4"/>
    </w:lvl>
    <w:lvl w:ilvl="1">
      <w:lvlJc w:val="left"/>
      <w:lvlText w:val="(%2)"/>
      <w:numFmt w:val="lowerLetter"/>
      <w:start w:val="9"/>
    </w:lvl>
  </w:abstractNum>
  <w:abstractNum w:abstractNumId="124">
    <w:nsid w:val="434BAE75"/>
    <w:multiLevelType w:val="hybridMultilevel"/>
    <w:lvl w:ilvl="0">
      <w:lvlJc w:val="left"/>
      <w:lvlText w:val="(%1)"/>
      <w:numFmt w:val="lowerRoman"/>
      <w:start w:val="2"/>
    </w:lvl>
  </w:abstractNum>
  <w:abstractNum w:abstractNumId="125">
    <w:nsid w:val="4F38F265"/>
    <w:multiLevelType w:val="hybridMultilevel"/>
    <w:lvl w:ilvl="0">
      <w:lvlJc w:val="left"/>
      <w:lvlText w:val="%1"/>
      <w:numFmt w:val="lowerLetter"/>
      <w:start w:val="1"/>
    </w:lvl>
    <w:lvl w:ilvl="1">
      <w:lvlJc w:val="left"/>
      <w:lvlText w:val="(%2)"/>
      <w:numFmt w:val="lowerRoman"/>
      <w:start w:val="6"/>
    </w:lvl>
  </w:abstractNum>
  <w:abstractNum w:abstractNumId="126">
    <w:nsid w:val="4C502870"/>
    <w:multiLevelType w:val="hybridMultilevel"/>
    <w:lvl w:ilvl="0">
      <w:lvlJc w:val="left"/>
      <w:lvlText w:val="(%1)"/>
      <w:numFmt w:val="lowerLetter"/>
      <w:start w:val="5"/>
    </w:lvl>
    <w:lvl w:ilvl="1">
      <w:lvlJc w:val="left"/>
      <w:lvlText w:val="(%2)"/>
      <w:numFmt w:val="lowerRoman"/>
      <w:start w:val="1"/>
    </w:lvl>
  </w:abstractNum>
  <w:abstractNum w:abstractNumId="127">
    <w:nsid w:val="1DE8725A"/>
    <w:multiLevelType w:val="hybridMultilevel"/>
    <w:lvl w:ilvl="0">
      <w:lvlJc w:val="left"/>
      <w:lvlText w:val="(%1)"/>
      <w:numFmt w:val="lowerRoman"/>
      <w:start w:val="2"/>
    </w:lvl>
  </w:abstractNum>
  <w:abstractNum w:abstractNumId="128">
    <w:nsid w:val="6A37288A"/>
    <w:multiLevelType w:val="hybridMultilevel"/>
    <w:lvl w:ilvl="0">
      <w:lvlJc w:val="left"/>
      <w:lvlText w:val="(%1)"/>
      <w:numFmt w:val="lowerLetter"/>
      <w:start w:val="6"/>
    </w:lvl>
  </w:abstractNum>
  <w:abstractNum w:abstractNumId="129">
    <w:nsid w:val="8F8B73F"/>
    <w:multiLevelType w:val="hybridMultilevel"/>
    <w:lvl w:ilvl="0">
      <w:lvlJc w:val="left"/>
      <w:lvlText w:val="%1"/>
      <w:numFmt w:val="upperLetter"/>
      <w:start w:val="1"/>
    </w:lvl>
    <w:lvl w:ilvl="1">
      <w:lvlJc w:val="left"/>
      <w:lvlText w:val="(%2)"/>
      <w:numFmt w:val="lowerLetter"/>
      <w:start w:val="9"/>
    </w:lvl>
  </w:abstractNum>
  <w:abstractNum w:abstractNumId="130">
    <w:nsid w:val="CA6B462"/>
    <w:multiLevelType w:val="hybridMultilevel"/>
    <w:lvl w:ilvl="0">
      <w:lvlJc w:val="left"/>
      <w:lvlText w:val="(%1)"/>
      <w:numFmt w:val="upperLetter"/>
      <w:start w:val="2"/>
    </w:lvl>
    <w:lvl w:ilvl="1">
      <w:lvlJc w:val="left"/>
      <w:lvlText w:val="(%2)"/>
      <w:numFmt w:val="lowerLetter"/>
      <w:start w:val="10"/>
    </w:lvl>
  </w:abstractNum>
  <w:abstractNum w:abstractNumId="131">
    <w:nsid w:val="763CB680"/>
    <w:multiLevelType w:val="hybridMultilevel"/>
    <w:lvl w:ilvl="0">
      <w:lvlJc w:val="left"/>
      <w:lvlText w:val="%1"/>
      <w:numFmt w:val="upperLetter"/>
      <w:start w:val="1"/>
    </w:lvl>
    <w:lvl w:ilvl="1">
      <w:lvlJc w:val="left"/>
      <w:lvlText w:val="(%2)"/>
      <w:numFmt w:val="lowerLetter"/>
      <w:start w:val="1"/>
    </w:lvl>
  </w:abstractNum>
  <w:abstractNum w:abstractNumId="132">
    <w:nsid w:val="15B71329"/>
    <w:multiLevelType w:val="hybridMultilevel"/>
    <w:lvl w:ilvl="0">
      <w:lvlJc w:val="left"/>
      <w:lvlText w:val="(%1)"/>
      <w:numFmt w:val="upperLetter"/>
      <w:start w:val="1"/>
    </w:lvl>
    <w:lvl w:ilvl="1">
      <w:lvlJc w:val="left"/>
      <w:lvlText w:val="%2"/>
      <w:numFmt w:val="lowerLetter"/>
      <w:start w:val="1"/>
    </w:lvl>
  </w:abstractNum>
  <w:abstractNum w:abstractNumId="133">
    <w:nsid w:val="3DA97044"/>
    <w:multiLevelType w:val="hybridMultilevel"/>
    <w:lvl w:ilvl="0">
      <w:lvlJc w:val="left"/>
      <w:lvlText w:val="(%1)"/>
      <w:numFmt w:val="lowerLetter"/>
      <w:start w:val="3"/>
    </w:lvl>
    <w:lvl w:ilvl="1">
      <w:lvlJc w:val="left"/>
      <w:lvlText w:val="(%2)"/>
      <w:numFmt w:val="lowerRoman"/>
      <w:start w:val="1"/>
    </w:lvl>
  </w:abstractNum>
  <w:abstractNum w:abstractNumId="134">
    <w:nsid w:val="1CDCE2DE"/>
    <w:multiLevelType w:val="hybridMultilevel"/>
    <w:lvl w:ilvl="0">
      <w:lvlJc w:val="left"/>
      <w:lvlText w:val="%1"/>
      <w:numFmt w:val="lowerLetter"/>
      <w:start w:val="1"/>
    </w:lvl>
    <w:lvl w:ilvl="1">
      <w:lvlJc w:val="left"/>
      <w:lvlText w:val="(%2)"/>
      <w:numFmt w:val="lowerRoman"/>
      <w:start w:val="4"/>
    </w:lvl>
  </w:abstractNum>
  <w:abstractNum w:abstractNumId="135">
    <w:nsid w:val="69D3947C"/>
    <w:multiLevelType w:val="hybridMultilevel"/>
    <w:lvl w:ilvl="0">
      <w:lvlJc w:val="left"/>
      <w:lvlText w:val="(%1)"/>
      <w:numFmt w:val="lowerLetter"/>
      <w:start w:val="5"/>
    </w:lvl>
    <w:lvl w:ilvl="1">
      <w:lvlJc w:val="left"/>
      <w:lvlText w:val="(%2)"/>
      <w:numFmt w:val="lowerRoman"/>
      <w:start w:val="1"/>
    </w:lvl>
  </w:abstractNum>
  <w:abstractNum w:abstractNumId="136">
    <w:nsid w:val="2539DFA5"/>
    <w:multiLevelType w:val="hybridMultilevel"/>
    <w:lvl w:ilvl="0">
      <w:lvlJc w:val="left"/>
      <w:lvlText w:val="(%1)"/>
      <w:numFmt w:val="lowerLetter"/>
      <w:start w:val="1"/>
    </w:lvl>
    <w:lvl w:ilvl="1">
      <w:lvlJc w:val="left"/>
      <w:lvlText w:val="(%2)"/>
      <w:numFmt w:val="lowerLetter"/>
      <w:start w:val="9"/>
    </w:lvl>
  </w:abstractNum>
  <w:abstractNum w:abstractNumId="137">
    <w:nsid w:val="2DB88089"/>
    <w:multiLevelType w:val="hybridMultilevel"/>
    <w:lvl w:ilvl="0">
      <w:lvlJc w:val="left"/>
      <w:lvlText w:val="%1"/>
      <w:numFmt w:val="lowerLetter"/>
      <w:start w:val="1"/>
    </w:lvl>
    <w:lvl w:ilvl="1">
      <w:lvlJc w:val="left"/>
      <w:lvlText w:val="(%2)"/>
      <w:numFmt w:val="lowerLetter"/>
      <w:start w:val="35"/>
    </w:lvl>
  </w:abstractNum>
  <w:abstractNum w:abstractNumId="138">
    <w:nsid w:val="706B674E"/>
    <w:multiLevelType w:val="hybridMultilevel"/>
    <w:lvl w:ilvl="0">
      <w:lvlJc w:val="left"/>
      <w:lvlText w:val="(%1)"/>
      <w:numFmt w:val="lowerLetter"/>
      <w:start w:val="3"/>
    </w:lvl>
    <w:lvl w:ilvl="1">
      <w:lvlJc w:val="left"/>
      <w:lvlText w:val="(%2)"/>
      <w:numFmt w:val="lowerLetter"/>
      <w:start w:val="9"/>
    </w:lvl>
  </w:abstractNum>
  <w:abstractNum w:abstractNumId="139">
    <w:nsid w:val="2C106A57"/>
    <w:multiLevelType w:val="hybridMultilevel"/>
    <w:lvl w:ilvl="0">
      <w:lvlJc w:val="left"/>
      <w:lvlText w:val="(%1)"/>
      <w:numFmt w:val="lowerRoman"/>
      <w:start w:val="2"/>
    </w:lvl>
  </w:abstractNum>
  <w:abstractNum w:abstractNumId="140">
    <w:nsid w:val="684EED59"/>
    <w:multiLevelType w:val="hybridMultilevel"/>
    <w:lvl w:ilvl="0">
      <w:lvlJc w:val="left"/>
      <w:lvlText w:val="(%1)"/>
      <w:numFmt w:val="lowerRoman"/>
      <w:start w:val="5"/>
    </w:lvl>
    <w:lvl w:ilvl="1">
      <w:lvlJc w:val="left"/>
      <w:lvlText w:val="(%2)"/>
      <w:numFmt w:val="upperLetter"/>
      <w:start w:val="1"/>
    </w:lvl>
  </w:abstractNum>
  <w:abstractNum w:abstractNumId="141">
    <w:nsid w:val="545EE5D3"/>
    <w:multiLevelType w:val="hybridMultilevel"/>
    <w:lvl w:ilvl="0">
      <w:lvlJc w:val="left"/>
      <w:lvlText w:val="(%1)"/>
      <w:numFmt w:val="lowerLetter"/>
      <w:start w:val="1"/>
    </w:lvl>
  </w:abstractNum>
  <w:abstractNum w:abstractNumId="142">
    <w:nsid w:val="4A66051"/>
    <w:multiLevelType w:val="hybridMultilevel"/>
    <w:lvl w:ilvl="0">
      <w:lvlJc w:val="left"/>
      <w:lvlText w:val="(%1)"/>
      <w:numFmt w:val="lowerLetter"/>
      <w:start w:val="1"/>
    </w:lvl>
  </w:abstractNum>
  <w:abstractNum w:abstractNumId="143">
    <w:nsid w:val="20F4BDAD"/>
    <w:multiLevelType w:val="hybridMultilevel"/>
    <w:lvl w:ilvl="0">
      <w:lvlJc w:val="left"/>
      <w:lvlText w:val="(%1)"/>
      <w:numFmt w:val="lowerLetter"/>
      <w:start w:val="2"/>
    </w:lvl>
  </w:abstractNum>
  <w:abstractNum w:abstractNumId="144">
    <w:nsid w:val="639DEFAC"/>
    <w:multiLevelType w:val="hybridMultilevel"/>
    <w:lvl w:ilvl="0">
      <w:lvlJc w:val="left"/>
      <w:lvlText w:val="(%1)"/>
      <w:numFmt w:val="lowerLetter"/>
      <w:start w:val="1"/>
    </w:lvl>
  </w:abstractNum>
  <w:abstractNum w:abstractNumId="145">
    <w:nsid w:val="501F9786"/>
    <w:multiLevelType w:val="hybridMultilevel"/>
    <w:lvl w:ilvl="0">
      <w:lvlJc w:val="left"/>
      <w:lvlText w:val="(%1)"/>
      <w:numFmt w:val="lowerRoman"/>
      <w:start w:val="2"/>
    </w:lvl>
  </w:abstractNum>
  <w:abstractNum w:abstractNumId="146">
    <w:nsid w:val="6B057295"/>
    <w:multiLevelType w:val="hybridMultilevel"/>
    <w:lvl w:ilvl="0">
      <w:lvlJc w:val="left"/>
      <w:lvlText w:val="%1"/>
      <w:numFmt w:val="lowerLetter"/>
      <w:start w:val="1"/>
    </w:lvl>
    <w:lvl w:ilvl="1">
      <w:lvlJc w:val="left"/>
      <w:lvlText w:val="(%2)"/>
      <w:numFmt w:val="lowerLetter"/>
      <w:start w:val="22"/>
    </w:lvl>
  </w:abstractNum>
  <w:abstractNum w:abstractNumId="147">
    <w:nsid w:val="2771AC80"/>
    <w:multiLevelType w:val="hybridMultilevel"/>
    <w:lvl w:ilvl="0">
      <w:lvlJc w:val="left"/>
      <w:lvlText w:val="(%1)"/>
      <w:numFmt w:val="lowerLetter"/>
      <w:start w:val="3"/>
    </w:lvl>
    <w:lvl w:ilvl="1">
      <w:lvlJc w:val="left"/>
      <w:lvlText w:val="%2"/>
      <w:numFmt w:val="lowerLetter"/>
      <w:start w:val="1"/>
    </w:lvl>
  </w:abstractNum>
  <w:abstractNum w:abstractNumId="148">
    <w:nsid w:val="1C4A08EC"/>
    <w:multiLevelType w:val="hybridMultilevel"/>
    <w:lvl w:ilvl="0">
      <w:lvlJc w:val="left"/>
      <w:lvlText w:val="(%1)"/>
      <w:numFmt w:val="lowerLetter"/>
      <w:start w:val="1"/>
    </w:lvl>
  </w:abstractNum>
  <w:abstractNum w:abstractNumId="149">
    <w:nsid w:val="1958BD17"/>
    <w:multiLevelType w:val="hybridMultilevel"/>
    <w:lvl w:ilvl="0">
      <w:lvlJc w:val="left"/>
      <w:lvlText w:val="(%1)"/>
      <w:numFmt w:val="lowerLetter"/>
      <w:start w:val="1"/>
    </w:lvl>
  </w:abstractNum>
  <w:abstractNum w:abstractNumId="150">
    <w:nsid w:val="4E647FE4"/>
    <w:multiLevelType w:val="hybridMultilevel"/>
    <w:lvl w:ilvl="0">
      <w:lvlJc w:val="left"/>
      <w:lvlText w:val="(%1)"/>
      <w:numFmt w:val="lowerLetter"/>
      <w:start w:val="2"/>
    </w:lvl>
  </w:abstractNum>
  <w:abstractNum w:abstractNumId="151">
    <w:nsid w:val="E0BB885"/>
    <w:multiLevelType w:val="hybridMultilevel"/>
    <w:lvl w:ilvl="0">
      <w:lvlJc w:val="left"/>
      <w:lvlText w:val="(%1)"/>
      <w:numFmt w:val="lowerLetter"/>
      <w:start w:val="1"/>
    </w:lvl>
  </w:abstractNum>
  <w:abstractNum w:abstractNumId="152">
    <w:nsid w:val="565976F1"/>
    <w:multiLevelType w:val="hybridMultilevel"/>
    <w:lvl w:ilvl="0">
      <w:lvlJc w:val="left"/>
      <w:lvlText w:val="%1"/>
      <w:numFmt w:val="lowerLetter"/>
      <w:start w:val="1"/>
    </w:lvl>
    <w:lvl w:ilvl="1">
      <w:lvlJc w:val="left"/>
      <w:lvlText w:val="(%2)"/>
      <w:numFmt w:val="lowerLetter"/>
      <w:start w:val="1"/>
    </w:lvl>
  </w:abstractNum>
  <w:abstractNum w:abstractNumId="153">
    <w:nsid w:val="64212B8C"/>
    <w:multiLevelType w:val="hybridMultilevel"/>
    <w:lvl w:ilvl="0">
      <w:lvlJc w:val="left"/>
      <w:lvlText w:val="(%1)"/>
      <w:numFmt w:val="lowerLetter"/>
      <w:start w:val="35"/>
    </w:lvl>
    <w:lvl w:ilvl="1">
      <w:lvlJc w:val="left"/>
      <w:lvlText w:val="%2"/>
      <w:numFmt w:val="lowerLetter"/>
      <w:start w:val="1"/>
    </w:lvl>
  </w:abstractNum>
  <w:abstractNum w:abstractNumId="154">
    <w:nsid w:val="5C17530C"/>
    <w:multiLevelType w:val="hybridMultilevel"/>
    <w:lvl w:ilvl="0">
      <w:lvlJc w:val="left"/>
      <w:lvlText w:val="(%1)"/>
      <w:numFmt w:val="lowerLetter"/>
      <w:start w:val="2"/>
    </w:lvl>
  </w:abstractNum>
  <w:abstractNum w:abstractNumId="155">
    <w:nsid w:val="19A52566"/>
    <w:multiLevelType w:val="hybridMultilevel"/>
    <w:lvl w:ilvl="0">
      <w:lvlJc w:val="left"/>
      <w:lvlText w:val="%1"/>
      <w:numFmt w:val="lowerLetter"/>
      <w:start w:val="1"/>
    </w:lvl>
    <w:lvl w:ilvl="1">
      <w:lvlJc w:val="left"/>
      <w:lvlText w:val="(%2)"/>
      <w:numFmt w:val="lowerRoman"/>
      <w:start w:val="1"/>
    </w:lvl>
  </w:abstractNum>
  <w:abstractNum w:abstractNumId="156">
    <w:nsid w:val="335A1DF1"/>
    <w:multiLevelType w:val="hybridMultilevel"/>
    <w:lvl w:ilvl="0">
      <w:lvlJc w:val="left"/>
      <w:lvlText w:val="(%1)"/>
      <w:numFmt w:val="lowerLetter"/>
      <w:start w:val="25"/>
    </w:lvl>
    <w:lvl w:ilvl="1">
      <w:lvlJc w:val="left"/>
      <w:lvlText w:val="%2"/>
      <w:numFmt w:val="lowerRoman"/>
      <w:start w:val="1"/>
    </w:lvl>
  </w:abstractNum>
  <w:abstractNum w:abstractNumId="157">
    <w:nsid w:val="28677B7C"/>
    <w:multiLevelType w:val="hybridMultilevel"/>
    <w:lvl w:ilvl="0">
      <w:lvlJc w:val="left"/>
      <w:lvlText w:val="(%1)"/>
      <w:numFmt w:val="lowerLetter"/>
      <w:start w:val="1"/>
    </w:lvl>
  </w:abstractNum>
  <w:abstractNum w:abstractNumId="158">
    <w:nsid w:val="378D97C0"/>
    <w:multiLevelType w:val="hybridMultilevel"/>
    <w:lvl w:ilvl="0">
      <w:lvlJc w:val="left"/>
      <w:lvlText w:val="(%1)"/>
      <w:numFmt w:val="lowerLetter"/>
      <w:start w:val="2"/>
    </w:lvl>
  </w:abstractNum>
  <w:abstractNum w:abstractNumId="159">
    <w:nsid w:val="1D91467C"/>
    <w:multiLevelType w:val="hybridMultilevel"/>
    <w:lvl w:ilvl="0">
      <w:lvlJc w:val="left"/>
      <w:lvlText w:val="(%1)"/>
      <w:numFmt w:val="lowerLetter"/>
      <w:start w:val="1"/>
    </w:lvl>
  </w:abstractNum>
  <w:abstractNum w:abstractNumId="160">
    <w:nsid w:val="316032BB"/>
    <w:multiLevelType w:val="hybridMultilevel"/>
    <w:lvl w:ilvl="0">
      <w:lvlJc w:val="left"/>
      <w:lvlText w:val="%1"/>
      <w:numFmt w:val="lowerLetter"/>
      <w:start w:val="1"/>
    </w:lvl>
    <w:lvl w:ilvl="1">
      <w:lvlJc w:val="left"/>
      <w:lvlText w:val="(%2)"/>
      <w:numFmt w:val="lowerLetter"/>
      <w:start w:val="2"/>
    </w:lvl>
  </w:abstractNum>
  <w:abstractNum w:abstractNumId="161">
    <w:nsid w:val="44344C22"/>
    <w:multiLevelType w:val="hybridMultilevel"/>
    <w:lvl w:ilvl="0">
      <w:lvlJc w:val="left"/>
      <w:lvlText w:val="(%1)"/>
      <w:numFmt w:val="lowerLetter"/>
      <w:start w:val="35"/>
    </w:lvl>
    <w:lvl w:ilvl="1">
      <w:lvlJc w:val="left"/>
      <w:lvlText w:val="(%2)"/>
      <w:numFmt w:val="lowerLetter"/>
      <w:start w:val="3"/>
    </w:lvl>
  </w:abstractNum>
  <w:abstractNum w:abstractNumId="162">
    <w:nsid w:val="13CDFCFC"/>
    <w:multiLevelType w:val="hybridMultilevel"/>
    <w:lvl w:ilvl="0">
      <w:lvlJc w:val="left"/>
      <w:lvlText w:val="(%1)"/>
      <w:numFmt w:val="lowerLetter"/>
      <w:start w:val="5"/>
    </w:lvl>
    <w:lvl w:ilvl="1">
      <w:lvlJc w:val="left"/>
      <w:lvlText w:val="(%2)"/>
      <w:numFmt w:val="lowerRoman"/>
      <w:start w:val="1"/>
    </w:lvl>
  </w:abstractNum>
  <w:abstractNum w:abstractNumId="163">
    <w:nsid w:val="471745E4"/>
    <w:multiLevelType w:val="hybridMultilevel"/>
    <w:lvl w:ilvl="0">
      <w:lvlJc w:val="left"/>
      <w:lvlText w:val="%1"/>
      <w:numFmt w:val="lowerLetter"/>
      <w:start w:val="1"/>
    </w:lvl>
    <w:lvl w:ilvl="1">
      <w:lvlJc w:val="left"/>
      <w:lvlText w:val="(%2)"/>
      <w:numFmt w:val="lowerRoman"/>
      <w:start w:val="5"/>
    </w:lvl>
  </w:abstractNum>
  <w:abstractNum w:abstractNumId="164">
    <w:nsid w:val="1DDBC66"/>
    <w:multiLevelType w:val="hybridMultilevel"/>
    <w:lvl w:ilvl="0">
      <w:lvlJc w:val="left"/>
      <w:lvlText w:val="(%1)"/>
      <w:numFmt w:val="lowerLetter"/>
      <w:start w:val="8"/>
    </w:lvl>
    <w:lvl w:ilvl="1">
      <w:lvlJc w:val="left"/>
      <w:lvlText w:val="%2"/>
      <w:numFmt w:val="lowerRoman"/>
      <w:start w:val="1"/>
    </w:lvl>
  </w:abstractNum>
  <w:abstractNum w:abstractNumId="165">
    <w:nsid w:val="30AADFDA"/>
    <w:multiLevelType w:val="hybridMultilevel"/>
    <w:lvl w:ilvl="0">
      <w:lvlJc w:val="left"/>
      <w:lvlText w:val="(%1)"/>
      <w:numFmt w:val="lowerRoman"/>
      <w:start w:val="1"/>
    </w:lvl>
  </w:abstractNum>
  <w:abstractNum w:abstractNumId="166">
    <w:nsid w:val="30EADA61"/>
    <w:multiLevelType w:val="hybridMultilevel"/>
    <w:lvl w:ilvl="0">
      <w:lvlJc w:val="left"/>
      <w:lvlText w:val="%1"/>
      <w:numFmt w:val="lowerRoman"/>
      <w:start w:val="1"/>
    </w:lvl>
    <w:lvl w:ilvl="1">
      <w:lvlJc w:val="left"/>
      <w:lvlText w:val="(%2)"/>
      <w:numFmt w:val="lowerLetter"/>
      <w:start w:val="1"/>
    </w:lvl>
  </w:abstractNum>
  <w:abstractNum w:abstractNumId="167">
    <w:nsid w:val="27179C0B"/>
    <w:multiLevelType w:val="hybridMultilevel"/>
    <w:lvl w:ilvl="0">
      <w:lvlJc w:val="left"/>
      <w:lvlText w:val="(%1)"/>
      <w:numFmt w:val="lowerRoman"/>
      <w:start w:val="4"/>
    </w:lvl>
    <w:lvl w:ilvl="1">
      <w:lvlJc w:val="left"/>
      <w:lvlText w:val="%2"/>
      <w:numFmt w:val="lowerLetter"/>
      <w:start w:val="1"/>
    </w:lvl>
  </w:abstractNum>
  <w:abstractNum w:abstractNumId="168">
    <w:nsid w:val="5E636063"/>
    <w:multiLevelType w:val="hybridMultilevel"/>
    <w:lvl w:ilvl="0">
      <w:lvlJc w:val="left"/>
      <w:lvlText w:val="(%1)"/>
      <w:numFmt w:val="lowerLetter"/>
      <w:start w:val="2"/>
    </w:lvl>
  </w:abstractNum>
  <w:abstractNum w:abstractNumId="169">
    <w:nsid w:val="215641AF"/>
    <w:multiLevelType w:val="hybridMultilevel"/>
    <w:lvl w:ilvl="0">
      <w:lvlJc w:val="left"/>
      <w:lvlText w:val="(%1)"/>
      <w:numFmt w:val="lowerLetter"/>
      <w:start w:val="1"/>
    </w:lvl>
    <w:lvl w:ilvl="1">
      <w:lvlJc w:val="left"/>
      <w:lvlText w:val="(%2)"/>
      <w:numFmt w:val="lowerLetter"/>
      <w:start w:val="9"/>
    </w:lvl>
  </w:abstractNum>
  <w:abstractNum w:abstractNumId="170">
    <w:nsid w:val="53280662"/>
    <w:multiLevelType w:val="hybridMultilevel"/>
    <w:lvl w:ilvl="0">
      <w:lvlJc w:val="left"/>
      <w:lvlText w:val="(%1)"/>
      <w:numFmt w:val="lowerRoman"/>
      <w:start w:val="2"/>
    </w:lvl>
    <w:lvl w:ilvl="1">
      <w:lvlJc w:val="left"/>
      <w:lvlText w:val="(%2)"/>
      <w:numFmt w:val="upperLetter"/>
      <w:start w:val="1"/>
    </w:lvl>
  </w:abstractNum>
  <w:abstractNum w:abstractNumId="171">
    <w:nsid w:val="46B24D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72">
    <w:nsid w:val="75B52783"/>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73">
    <w:nsid w:val="57CE66B4"/>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1"/>
    </w:lvl>
  </w:abstractNum>
  <w:abstractNum w:abstractNumId="174">
    <w:nsid w:val="67A70B69"/>
    <w:multiLevelType w:val="hybridMultilevel"/>
    <w:lvl w:ilvl="0">
      <w:lvlJc w:val="left"/>
      <w:lvlText w:val="(%1)"/>
      <w:numFmt w:val="lowerLetter"/>
      <w:start w:val="2"/>
    </w:lvl>
  </w:abstractNum>
  <w:abstractNum w:abstractNumId="175">
    <w:nsid w:val="5953172F"/>
    <w:multiLevelType w:val="hybridMultilevel"/>
    <w:lvl w:ilvl="0">
      <w:lvlJc w:val="left"/>
      <w:lvlText w:val="(%1)"/>
      <w:numFmt w:val="lowerLetter"/>
      <w:start w:val="3"/>
    </w:lvl>
  </w:abstractNum>
  <w:abstractNum w:abstractNumId="176">
    <w:nsid w:val="27EDFE3A"/>
    <w:multiLevelType w:val="hybridMultilevel"/>
    <w:lvl w:ilvl="0">
      <w:lvlJc w:val="left"/>
      <w:lvlText w:val="%1"/>
      <w:numFmt w:val="lowerLetter"/>
      <w:start w:val="1"/>
    </w:lvl>
    <w:lvl w:ilvl="1">
      <w:lvlJc w:val="left"/>
      <w:lvlText w:val="(%2)"/>
      <w:numFmt w:val="lowerLetter"/>
      <w:start w:val="1"/>
    </w:lvl>
  </w:abstractNum>
  <w:abstractNum w:abstractNumId="177">
    <w:nsid w:val="52AC7DFF"/>
    <w:multiLevelType w:val="hybridMultilevel"/>
    <w:lvl w:ilvl="0">
      <w:lvlJc w:val="left"/>
      <w:lvlText w:val="(%1)"/>
      <w:numFmt w:val="lowerLetter"/>
      <w:start w:val="61"/>
    </w:lvl>
    <w:lvl w:ilvl="1">
      <w:lvlJc w:val="left"/>
      <w:lvlText w:val="(%2)"/>
      <w:numFmt w:val="lowerLetter"/>
      <w:start w:val="2"/>
    </w:lvl>
  </w:abstractNum>
  <w:abstractNum w:abstractNumId="178">
    <w:nsid w:val="C4C3AF"/>
    <w:multiLevelType w:val="hybridMultilevel"/>
    <w:lvl w:ilvl="0">
      <w:lvlJc w:val="left"/>
      <w:lvlText w:val="(%1)"/>
      <w:numFmt w:val="lowerLetter"/>
      <w:start w:val="4"/>
    </w:lvl>
  </w:abstractNum>
  <w:abstractNum w:abstractNumId="179">
    <w:nsid w:val="44380727"/>
    <w:multiLevelType w:val="hybridMultilevel"/>
    <w:lvl w:ilvl="0">
      <w:lvlJc w:val="left"/>
      <w:lvlText w:val="(%1)"/>
      <w:numFmt w:val="lowerLetter"/>
      <w:start w:val="1"/>
    </w:lvl>
    <w:lvl w:ilvl="1">
      <w:lvlJc w:val="left"/>
      <w:lvlText w:val="(%2)"/>
      <w:numFmt w:val="lowerRoman"/>
      <w:start w:val="1"/>
    </w:lvl>
  </w:abstractNum>
  <w:abstractNum w:abstractNumId="180">
    <w:nsid w:val="6C053B16"/>
    <w:multiLevelType w:val="hybridMultilevel"/>
    <w:lvl w:ilvl="0">
      <w:lvlJc w:val="left"/>
      <w:lvlText w:val="(%1)"/>
      <w:numFmt w:val="upperLetter"/>
      <w:start w:val="1"/>
    </w:lvl>
  </w:abstractNum>
  <w:abstractNum w:abstractNumId="181">
    <w:nsid w:val="4F294393"/>
    <w:multiLevelType w:val="hybridMultilevel"/>
    <w:lvl w:ilvl="0">
      <w:lvlJc w:val="left"/>
      <w:lvlText w:val="(%1)"/>
      <w:numFmt w:val="upperLetter"/>
      <w:start w:val="3"/>
    </w:lvl>
  </w:abstractNum>
  <w:abstractNum w:abstractNumId="182">
    <w:nsid w:val="5243BFAC"/>
    <w:multiLevelType w:val="hybridMultilevel"/>
    <w:lvl w:ilvl="0">
      <w:lvlJc w:val="left"/>
      <w:lvlText w:val="(%1)"/>
      <w:numFmt w:val="lowerLetter"/>
      <w:start w:val="2"/>
    </w:lvl>
  </w:abstractNum>
  <w:abstractNum w:abstractNumId="183">
    <w:nsid w:val="425EB207"/>
    <w:multiLevelType w:val="hybridMultilevel"/>
    <w:lvl w:ilvl="0">
      <w:lvlJc w:val="left"/>
      <w:lvlText w:val="(%1)"/>
      <w:numFmt w:val="lowerLetter"/>
      <w:start w:val="1"/>
    </w:lvl>
    <w:lvl w:ilvl="1">
      <w:lvlJc w:val="left"/>
      <w:lvlText w:val="(%2)"/>
      <w:numFmt w:val="lowerRoman"/>
      <w:start w:val="1"/>
    </w:lvl>
  </w:abstractNum>
  <w:abstractNum w:abstractNumId="184">
    <w:nsid w:val="334A6F1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185">
    <w:nsid w:val="2E5B12B8"/>
    <w:multiLevelType w:val="hybridMultilevel"/>
    <w:lvl w:ilvl="0">
      <w:lvlJc w:val="left"/>
      <w:lvlText w:val="(%1)"/>
      <w:numFmt w:val="upperLetter"/>
      <w:start w:val="35"/>
    </w:lvl>
  </w:abstractNum>
  <w:abstractNum w:abstractNumId="186">
    <w:nsid w:val="5C03D76D"/>
    <w:multiLevelType w:val="hybridMultilevel"/>
    <w:lvl w:ilvl="0">
      <w:lvlJc w:val="left"/>
      <w:lvlText w:val="%1"/>
      <w:numFmt w:val="lowerLetter"/>
      <w:start w:val="1"/>
    </w:lvl>
    <w:lvl w:ilvl="1">
      <w:lvlJc w:val="left"/>
      <w:lvlText w:val="(%2)"/>
      <w:numFmt w:val="upperLetter"/>
      <w:start w:val="61"/>
    </w:lvl>
  </w:abstractNum>
  <w:abstractNum w:abstractNumId="187">
    <w:nsid w:val="66A48D11"/>
    <w:multiLevelType w:val="hybridMultilevel"/>
    <w:lvl w:ilvl="0">
      <w:lvlJc w:val="left"/>
      <w:lvlText w:val="(%1)"/>
      <w:numFmt w:val="lowerLetter"/>
      <w:start w:val="25"/>
    </w:lvl>
    <w:lvl w:ilvl="1">
      <w:lvlJc w:val="left"/>
      <w:lvlText w:val="%2"/>
      <w:numFmt w:val="upperLetter"/>
      <w:start w:val="1"/>
    </w:lvl>
  </w:abstractNum>
  <w:abstractNum w:abstractNumId="188">
    <w:nsid w:val="56C28E3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89">
    <w:nsid w:val="13916F2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90">
    <w:nsid w:val="435D38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91">
    <w:nsid w:val="822C0EF"/>
    <w:multiLevelType w:val="hybridMultilevel"/>
    <w:lvl w:ilvl="0">
      <w:lvlJc w:val="left"/>
      <w:lvlText w:val="(%1)"/>
      <w:numFmt w:val="lowerLetter"/>
      <w:start w:val="5"/>
    </w:lvl>
  </w:abstractNum>
  <w:abstractNum w:abstractNumId="192">
    <w:nsid w:val="57C5BB4F"/>
    <w:multiLevelType w:val="hybridMultilevel"/>
    <w:lvl w:ilvl="0">
      <w:lvlJc w:val="left"/>
      <w:lvlText w:val="(%1)"/>
      <w:numFmt w:val="lowerLetter"/>
      <w:start w:val="1"/>
    </w:lvl>
  </w:abstractNum>
  <w:abstractNum w:abstractNumId="193">
    <w:nsid w:val="1803D089"/>
    <w:multiLevelType w:val="hybridMultilevel"/>
    <w:lvl w:ilvl="0">
      <w:lvlJc w:val="left"/>
      <w:lvlText w:val="(%1)"/>
      <w:numFmt w:val="lowerLetter"/>
      <w:start w:val="2"/>
    </w:lvl>
    <w:lvl w:ilvl="1">
      <w:lvlJc w:val="left"/>
      <w:lvlText w:val="(%2)"/>
      <w:numFmt w:val="lowerRoman"/>
      <w:start w:val="1"/>
    </w:lvl>
  </w:abstractNum>
  <w:abstractNum w:abstractNumId="194">
    <w:nsid w:val="4F3A06D4"/>
    <w:multiLevelType w:val="hybridMultilevel"/>
    <w:lvl w:ilvl="0">
      <w:lvlJc w:val="left"/>
      <w:lvlText w:val="(%1)"/>
      <w:numFmt w:val="lowerLetter"/>
      <w:start w:val="1"/>
    </w:lvl>
    <w:lvl w:ilvl="1">
      <w:lvlJc w:val="left"/>
      <w:lvlText w:val="(%2)"/>
      <w:numFmt w:val="lowerRoman"/>
      <w:start w:val="1"/>
    </w:lvl>
  </w:abstractNum>
  <w:abstractNum w:abstractNumId="195">
    <w:nsid w:val="59A377B6"/>
    <w:multiLevelType w:val="hybridMultilevel"/>
    <w:lvl w:ilvl="0">
      <w:lvlJc w:val="left"/>
      <w:lvlText w:val="(%1)"/>
      <w:numFmt w:val="lowerLetter"/>
      <w:start w:val="2"/>
    </w:lvl>
  </w:abstractNum>
  <w:abstractNum w:abstractNumId="196">
    <w:nsid w:val="48AEB063"/>
    <w:multiLevelType w:val="hybridMultilevel"/>
    <w:lvl w:ilvl="0">
      <w:lvlJc w:val="left"/>
      <w:lvlText w:val="(%1)"/>
      <w:numFmt w:val="lowerLetter"/>
      <w:start w:val="3"/>
    </w:lvl>
  </w:abstractNum>
  <w:abstractNum w:abstractNumId="197">
    <w:nsid w:val="24E135"/>
    <w:multiLevelType w:val="hybridMultilevel"/>
    <w:lvl w:ilvl="0">
      <w:lvlJc w:val="left"/>
      <w:lvlText w:val="(%1)"/>
      <w:numFmt w:val="lowerLetter"/>
      <w:start w:val="1"/>
    </w:lvl>
  </w:abstractNum>
  <w:abstractNum w:abstractNumId="198">
    <w:nsid w:val="BB13C1"/>
    <w:multiLevelType w:val="hybridMultilevel"/>
    <w:lvl w:ilvl="0">
      <w:lvlJc w:val="left"/>
      <w:lvlText w:val="%1"/>
      <w:numFmt w:val="lowerLetter"/>
      <w:start w:val="1"/>
    </w:lvl>
    <w:lvl w:ilvl="1">
      <w:lvlJc w:val="left"/>
      <w:lvlText w:val="(%2)"/>
      <w:numFmt w:val="lowerLetter"/>
      <w:start w:val="1"/>
    </w:lvl>
  </w:abstractNum>
  <w:abstractNum w:abstractNumId="199">
    <w:nsid w:val="271210C7"/>
    <w:multiLevelType w:val="hybridMultilevel"/>
    <w:lvl w:ilvl="0">
      <w:lvlJc w:val="left"/>
      <w:lvlText w:val="(%1)"/>
      <w:numFmt w:val="lowerLetter"/>
      <w:start w:val="35"/>
    </w:lvl>
    <w:lvl w:ilvl="1">
      <w:lvlJc w:val="left"/>
      <w:lvlText w:val="(%2)"/>
      <w:numFmt w:val="lowerLetter"/>
      <w:start w:val="2"/>
    </w:lvl>
  </w:abstractNum>
  <w:abstractNum w:abstractNumId="200">
    <w:nsid w:val="217B22E4"/>
    <w:multiLevelType w:val="hybridMultilevel"/>
    <w:lvl w:ilvl="0">
      <w:lvlJc w:val="left"/>
      <w:lvlText w:val="(%1)"/>
      <w:numFmt w:val="lowerLetter"/>
      <w:start w:val="1"/>
    </w:lvl>
  </w:abstractNum>
  <w:abstractNum w:abstractNumId="201">
    <w:nsid w:val="53E31A24"/>
    <w:multiLevelType w:val="hybridMultilevel"/>
    <w:lvl w:ilvl="0">
      <w:lvlJc w:val="left"/>
      <w:lvlText w:val="(%1)"/>
      <w:numFmt w:val="lowerRoman"/>
      <w:start w:val="1"/>
    </w:lvl>
  </w:abstractNum>
  <w:abstractNum w:abstractNumId="202">
    <w:nsid w:val="6DC45E83"/>
    <w:multiLevelType w:val="hybridMultilevel"/>
    <w:lvl w:ilvl="0">
      <w:lvlJc w:val="left"/>
      <w:lvlText w:val="(%1)"/>
      <w:numFmt w:val="lowerLetter"/>
      <w:start w:val="2"/>
    </w:lvl>
    <w:lvl w:ilvl="1">
      <w:lvlJc w:val="left"/>
      <w:lvlText w:val="(%2)"/>
      <w:numFmt w:val="lowerLetter"/>
      <w:start w:val="8"/>
    </w:lvl>
  </w:abstractNum>
  <w:abstractNum w:abstractNumId="203">
    <w:nsid w:val="17304A67"/>
    <w:multiLevelType w:val="hybridMultilevel"/>
    <w:lvl w:ilvl="0">
      <w:lvlJc w:val="left"/>
      <w:lvlText w:val="(%1)"/>
      <w:numFmt w:val="lowerLetter"/>
      <w:start w:val="1"/>
    </w:lvl>
  </w:abstractNum>
  <w:abstractNum w:abstractNumId="204">
    <w:nsid w:val="2BB180D8"/>
    <w:multiLevelType w:val="hybridMultilevel"/>
    <w:lvl w:ilvl="0">
      <w:lvlJc w:val="left"/>
      <w:lvlText w:val="(%1)"/>
      <w:numFmt w:val="lowerLetter"/>
      <w:start w:val="3"/>
    </w:lvl>
  </w:abstractNum>
  <w:abstractNum w:abstractNumId="205">
    <w:nsid w:val="556B69ED"/>
    <w:multiLevelType w:val="hybridMultilevel"/>
    <w:lvl w:ilvl="0">
      <w:lvlJc w:val="left"/>
      <w:lvlText w:val="%1"/>
      <w:numFmt w:val="lowerLetter"/>
      <w:start w:val="1"/>
    </w:lvl>
    <w:lvl w:ilvl="1">
      <w:lvlJc w:val="left"/>
      <w:lvlText w:val="(%2)"/>
      <w:numFmt w:val="lowerLetter"/>
      <w:start w:val="1"/>
    </w:lvl>
  </w:abstractNum>
  <w:abstractNum w:abstractNumId="206">
    <w:nsid w:val="70836196"/>
    <w:multiLevelType w:val="hybridMultilevel"/>
    <w:lvl w:ilvl="0">
      <w:lvlJc w:val="left"/>
      <w:lvlText w:val="(%1)"/>
      <w:numFmt w:val="lowerLetter"/>
      <w:start w:val="35"/>
    </w:lvl>
    <w:lvl w:ilvl="1">
      <w:lvlJc w:val="left"/>
      <w:lvlText w:val="(%2)"/>
      <w:numFmt w:val="lowerLetter"/>
      <w:start w:val="2"/>
    </w:lvl>
  </w:abstractNum>
  <w:abstractNum w:abstractNumId="207">
    <w:nsid w:val="539F7F12"/>
    <w:multiLevelType w:val="hybridMultilevel"/>
    <w:lvl w:ilvl="0">
      <w:lvlJc w:val="left"/>
      <w:lvlText w:val="(%1)"/>
      <w:numFmt w:val="lowerLetter"/>
      <w:start w:val="3"/>
    </w:lvl>
  </w:abstractNum>
  <w:abstractNum w:abstractNumId="208">
    <w:nsid w:val="2817E7EC"/>
    <w:multiLevelType w:val="hybridMultilevel"/>
    <w:lvl w:ilvl="0">
      <w:lvlJc w:val="left"/>
      <w:lvlText w:val="(%1)"/>
      <w:numFmt w:val="lowerLetter"/>
      <w:start w:val="1"/>
    </w:lvl>
  </w:abstractNum>
  <w:abstractNum w:abstractNumId="209">
    <w:nsid w:val="71482545"/>
    <w:multiLevelType w:val="hybridMultilevel"/>
    <w:lvl w:ilvl="0">
      <w:lvlJc w:val="left"/>
      <w:lvlText w:val="(%1)"/>
      <w:numFmt w:val="lowerLetter"/>
      <w:start w:val="5"/>
    </w:lvl>
    <w:lvl w:ilvl="1">
      <w:lvlJc w:val="left"/>
      <w:lvlText w:val="(%2)"/>
      <w:numFmt w:val="lowerRoman"/>
      <w:start w:val="1"/>
    </w:lvl>
  </w:abstractNum>
  <w:abstractNum w:abstractNumId="210">
    <w:nsid w:val="17D78639"/>
    <w:multiLevelType w:val="hybridMultilevel"/>
    <w:lvl w:ilvl="0">
      <w:lvlJc w:val="left"/>
      <w:lvlText w:val="(%1)"/>
      <w:numFmt w:val="lowerLetter"/>
      <w:start w:val="1"/>
    </w:lvl>
  </w:abstractNum>
  <w:abstractNum w:abstractNumId="211">
    <w:nsid w:val="141D2302"/>
    <w:multiLevelType w:val="hybridMultilevel"/>
    <w:lvl w:ilvl="0">
      <w:lvlJc w:val="left"/>
      <w:lvlText w:val="(%1)"/>
      <w:numFmt w:val="lowerLetter"/>
      <w:start w:val="1"/>
    </w:lvl>
  </w:abstractNum>
  <w:abstractNum w:abstractNumId="212">
    <w:nsid w:val="407168D8"/>
    <w:multiLevelType w:val="hybridMultilevel"/>
    <w:lvl w:ilvl="0">
      <w:lvlJc w:val="left"/>
      <w:lvlText w:val="(%1)"/>
      <w:numFmt w:val="lowerLetter"/>
      <w:start w:val="1"/>
    </w:lvl>
  </w:abstractNum>
  <w:abstractNum w:abstractNumId="213">
    <w:nsid w:val="6A1B45E5"/>
    <w:multiLevelType w:val="hybridMultilevel"/>
    <w:lvl w:ilvl="0">
      <w:lvlJc w:val="left"/>
      <w:lvlText w:val="(%1)"/>
      <w:numFmt w:val="lowerLetter"/>
      <w:start w:val="3"/>
    </w:lvl>
  </w:abstractNum>
  <w:abstractNum w:abstractNumId="214">
    <w:nsid w:val="567BD50A"/>
    <w:multiLevelType w:val="hybridMultilevel"/>
    <w:lvl w:ilvl="0">
      <w:lvlJc w:val="left"/>
      <w:lvlText w:val="(%1)"/>
      <w:numFmt w:val="lowerLetter"/>
      <w:start w:val="1"/>
    </w:lvl>
  </w:abstractNum>
  <w:abstractNum w:abstractNumId="215">
    <w:nsid w:val="73BBD7F8"/>
    <w:multiLevelType w:val="hybridMultilevel"/>
    <w:lvl w:ilvl="0">
      <w:lvlJc w:val="left"/>
      <w:lvlText w:val="(%1)"/>
      <w:numFmt w:val="lowerLetter"/>
      <w:start w:val="3"/>
    </w:lvl>
  </w:abstractNum>
  <w:abstractNum w:abstractNumId="216">
    <w:nsid w:val="1876589D"/>
    <w:multiLevelType w:val="hybridMultilevel"/>
    <w:lvl w:ilvl="0">
      <w:lvlJc w:val="left"/>
      <w:lvlText w:val="(%1)"/>
      <w:numFmt w:val="lowerLetter"/>
      <w:start w:val="1"/>
    </w:lvl>
  </w:abstractNum>
  <w:abstractNum w:abstractNumId="217">
    <w:nsid w:val="327FAC77"/>
    <w:multiLevelType w:val="hybridMultilevel"/>
    <w:lvl w:ilvl="0">
      <w:lvlJc w:val="left"/>
      <w:lvlText w:val="(%1)"/>
      <w:numFmt w:val="lowerLetter"/>
      <w:start w:val="5"/>
    </w:lvl>
  </w:abstractNum>
  <w:abstractNum w:abstractNumId="218">
    <w:nsid w:val="5A606509"/>
    <w:multiLevelType w:val="hybridMultilevel"/>
    <w:lvl w:ilvl="0">
      <w:lvlJc w:val="left"/>
      <w:lvlText w:val="(%1)"/>
      <w:numFmt w:val="lowerLetter"/>
      <w:start w:val="23"/>
    </w:lvl>
  </w:abstractNum>
  <w:abstractNum w:abstractNumId="219">
    <w:nsid w:val="6F38E6D1"/>
    <w:multiLevelType w:val="hybridMultilevel"/>
    <w:lvl w:ilvl="0">
      <w:lvlJc w:val="left"/>
      <w:lvlText w:val="(%1)"/>
      <w:numFmt w:val="lowerLetter"/>
      <w:start w:val="1"/>
    </w:lvl>
  </w:abstractNum>
  <w:abstractNum w:abstractNumId="220">
    <w:nsid w:val="46111BA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1">
    <w:nsid w:val="5E963896"/>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22">
    <w:nsid w:val="775BA7C1"/>
    <w:multiLevelType w:val="hybridMultilevel"/>
    <w:lvl w:ilvl="0">
      <w:lvlJc w:val="left"/>
      <w:lvlText w:val="(%1)"/>
      <w:numFmt w:val="lowerRoman"/>
      <w:start w:val="1"/>
    </w:lvl>
  </w:abstractNum>
  <w:abstractNum w:abstractNumId="223">
    <w:nsid w:val="1DD6D6F4"/>
    <w:multiLevelType w:val="hybridMultilevel"/>
    <w:lvl w:ilvl="0">
      <w:lvlJc w:val="left"/>
      <w:lvlText w:val="(%1)"/>
      <w:numFmt w:val="lowerLetter"/>
      <w:start w:val="4"/>
    </w:lvl>
  </w:abstractNum>
  <w:abstractNum w:abstractNumId="224">
    <w:nsid w:val="769A091F"/>
    <w:multiLevelType w:val="hybridMultilevel"/>
    <w:lvl w:ilvl="0">
      <w:lvlJc w:val="left"/>
      <w:lvlText w:val="%1"/>
      <w:numFmt w:val="lowerLetter"/>
      <w:start w:val="1"/>
    </w:lvl>
    <w:lvl w:ilvl="1">
      <w:lvlJc w:val="left"/>
      <w:lvlText w:val="(%2)"/>
      <w:numFmt w:val="lowerLetter"/>
      <w:start w:val="1"/>
    </w:lvl>
  </w:abstractNum>
  <w:abstractNum w:abstractNumId="225">
    <w:nsid w:val="4695AE95"/>
    <w:multiLevelType w:val="hybridMultilevel"/>
    <w:lvl w:ilvl="0">
      <w:lvlJc w:val="left"/>
      <w:lvlText w:val="(%1)"/>
      <w:numFmt w:val="lowerLetter"/>
      <w:start w:val="9"/>
    </w:lvl>
    <w:lvl w:ilvl="1">
      <w:lvlJc w:val="left"/>
      <w:lvlText w:val="(%2)"/>
      <w:numFmt w:val="lowerLetter"/>
      <w:start w:val="3"/>
    </w:lvl>
  </w:abstractNum>
  <w:abstractNum w:abstractNumId="226">
    <w:nsid w:val="777A4EAA"/>
    <w:multiLevelType w:val="hybridMultilevel"/>
    <w:lvl w:ilvl="0">
      <w:lvlJc w:val="left"/>
      <w:lvlText w:val="(%1)"/>
      <w:numFmt w:val="lowerLetter"/>
      <w:start w:val="5"/>
    </w:lvl>
  </w:abstractNum>
  <w:abstractNum w:abstractNumId="227">
    <w:nsid w:val="3F48B982"/>
    <w:multiLevelType w:val="hybridMultilevel"/>
    <w:lvl w:ilvl="0">
      <w:lvlJc w:val="left"/>
      <w:lvlText w:val="(%1)"/>
      <w:numFmt w:val="lowerLetter"/>
      <w:start w:val="1"/>
    </w:lvl>
  </w:abstractNum>
  <w:abstractNum w:abstractNumId="228">
    <w:nsid w:val="46BA8FCA"/>
    <w:multiLevelType w:val="hybridMultilevel"/>
    <w:lvl w:ilvl="0">
      <w:lvlJc w:val="left"/>
      <w:lvlText w:val="(%1)"/>
      <w:numFmt w:val="lowerLetter"/>
      <w:start w:val="3"/>
    </w:lvl>
  </w:abstractNum>
  <w:abstractNum w:abstractNumId="229">
    <w:nsid w:val="7835626C"/>
    <w:multiLevelType w:val="hybridMultilevel"/>
    <w:lvl w:ilvl="0">
      <w:lvlJc w:val="left"/>
      <w:lvlText w:val="(%1)"/>
      <w:numFmt w:val="lowerLetter"/>
      <w:start w:val="4"/>
    </w:lvl>
    <w:lvl w:ilvl="1">
      <w:lvlJc w:val="left"/>
      <w:lvlText w:val="(%2)"/>
      <w:numFmt w:val="lowerRoman"/>
      <w:start w:val="1"/>
    </w:lvl>
  </w:abstractNum>
  <w:abstractNum w:abstractNumId="230">
    <w:nsid w:val="665ACA49"/>
    <w:multiLevelType w:val="hybridMultilevel"/>
    <w:lvl w:ilvl="0">
      <w:lvlJc w:val="left"/>
      <w:lvlText w:val="(%1)"/>
      <w:numFmt w:val="lowerLetter"/>
      <w:start w:val="11"/>
    </w:lvl>
  </w:abstractNum>
  <w:abstractNum w:abstractNumId="231">
    <w:nsid w:val="6835B2AE"/>
    <w:multiLevelType w:val="hybridMultilevel"/>
    <w:lvl w:ilvl="0">
      <w:lvlJc w:val="left"/>
      <w:lvlText w:val="(%1)"/>
      <w:numFmt w:val="lowerLetter"/>
      <w:start w:val="1"/>
    </w:lvl>
  </w:abstractNum>
  <w:abstractNum w:abstractNumId="232">
    <w:nsid w:val="4C187C90"/>
    <w:multiLevelType w:val="hybridMultilevel"/>
    <w:lvl w:ilvl="0">
      <w:lvlJc w:val="left"/>
      <w:lvlText w:val="%1"/>
      <w:numFmt w:val="lowerLetter"/>
      <w:start w:val="1"/>
    </w:lvl>
    <w:lvl w:ilvl="1">
      <w:lvlJc w:val="left"/>
      <w:lvlText w:val="(%2)"/>
      <w:numFmt w:val="lowerLetter"/>
      <w:start w:val="7"/>
    </w:lvl>
  </w:abstractNum>
  <w:abstractNum w:abstractNumId="233">
    <w:nsid w:val="541F28CD"/>
    <w:multiLevelType w:val="hybridMultilevel"/>
    <w:lvl w:ilvl="0">
      <w:lvlJc w:val="left"/>
      <w:lvlText w:val="(%1)"/>
      <w:numFmt w:val="lowerLetter"/>
      <w:start w:val="35"/>
    </w:lvl>
    <w:lvl w:ilvl="1">
      <w:lvlJc w:val="left"/>
      <w:lvlText w:val="(%2)"/>
      <w:numFmt w:val="lowerLetter"/>
      <w:start w:val="13"/>
    </w:lvl>
  </w:abstractNum>
  <w:abstractNum w:abstractNumId="234">
    <w:nsid w:val="7F65FD16"/>
    <w:multiLevelType w:val="hybridMultilevel"/>
    <w:lvl w:ilvl="0">
      <w:lvlJc w:val="left"/>
      <w:lvlText w:val="(%1)"/>
      <w:numFmt w:val="lowerLetter"/>
      <w:start w:val="1"/>
    </w:lvl>
  </w:abstractNum>
  <w:abstractNum w:abstractNumId="235">
    <w:nsid w:val="77C9FD68"/>
    <w:multiLevelType w:val="hybridMultilevel"/>
    <w:lvl w:ilvl="0">
      <w:lvlJc w:val="left"/>
      <w:lvlText w:val="(%1)"/>
      <w:numFmt w:val="lowerLetter"/>
      <w:start w:val="3"/>
    </w:lvl>
  </w:abstractNum>
  <w:abstractNum w:abstractNumId="236">
    <w:nsid w:val="298A92BA"/>
    <w:multiLevelType w:val="hybridMultilevel"/>
    <w:lvl w:ilvl="0">
      <w:lvlJc w:val="left"/>
      <w:lvlText w:val="%1"/>
      <w:numFmt w:val="lowerLetter"/>
      <w:start w:val="1"/>
    </w:lvl>
    <w:lvl w:ilvl="1">
      <w:lvlJc w:val="left"/>
      <w:lvlText w:val="(%2)"/>
      <w:numFmt w:val="lowerLetter"/>
      <w:start w:val="1"/>
    </w:lvl>
  </w:abstractNum>
  <w:abstractNum w:abstractNumId="237">
    <w:nsid w:val="6FE95EAC"/>
    <w:multiLevelType w:val="hybridMultilevel"/>
    <w:lvl w:ilvl="0">
      <w:lvlJc w:val="left"/>
      <w:lvlText w:val="(%1)"/>
      <w:numFmt w:val="lowerLetter"/>
      <w:start w:val="35"/>
    </w:lvl>
    <w:lvl w:ilvl="1">
      <w:lvlJc w:val="left"/>
      <w:lvlText w:val="(%2)"/>
      <w:numFmt w:val="lowerLetter"/>
      <w:start w:val="5"/>
    </w:lvl>
  </w:abstractNum>
  <w:abstractNum w:abstractNumId="238">
    <w:nsid w:val="4B697C7A"/>
    <w:multiLevelType w:val="hybridMultilevel"/>
    <w:lvl w:ilvl="0">
      <w:lvlJc w:val="left"/>
      <w:lvlText w:val="(%1)"/>
      <w:numFmt w:val="lowerLetter"/>
      <w:start w:val="1"/>
    </w:lvl>
  </w:abstractNum>
  <w:abstractNum w:abstractNumId="239">
    <w:nsid w:val="51A27AA6"/>
    <w:multiLevelType w:val="hybridMultilevel"/>
    <w:lvl w:ilvl="0">
      <w:lvlJc w:val="left"/>
      <w:lvlText w:val="(%1)"/>
      <w:numFmt w:val="lowerLetter"/>
      <w:start w:val="1"/>
    </w:lvl>
  </w:abstractNum>
  <w:abstractNum w:abstractNumId="240">
    <w:nsid w:val="613183F2"/>
    <w:multiLevelType w:val="hybridMultilevel"/>
    <w:lvl w:ilvl="0">
      <w:lvlJc w:val="left"/>
      <w:lvlText w:val="(%1)"/>
      <w:numFmt w:val="lowerLetter"/>
      <w:start w:val="1"/>
    </w:lvl>
  </w:abstractNum>
  <w:abstractNum w:abstractNumId="241">
    <w:nsid w:val="634102B4"/>
    <w:multiLevelType w:val="hybridMultilevel"/>
    <w:lvl w:ilvl="0">
      <w:lvlJc w:val="left"/>
      <w:lvlText w:val="(%1)"/>
      <w:numFmt w:val="lowerLetter"/>
      <w:start w:val="1"/>
    </w:lvl>
  </w:abstractNum>
  <w:abstractNum w:abstractNumId="242">
    <w:nsid w:val="65BF9DA8"/>
    <w:multiLevelType w:val="hybridMultilevel"/>
    <w:lvl w:ilvl="0">
      <w:lvlJc w:val="left"/>
      <w:lvlText w:val="(%1)"/>
      <w:numFmt w:val="lowerLetter"/>
      <w:start w:val="1"/>
    </w:lvl>
  </w:abstractNum>
  <w:abstractNum w:abstractNumId="243">
    <w:nsid w:val="21A2ECCA"/>
    <w:multiLevelType w:val="hybridMultilevel"/>
    <w:lvl w:ilvl="0">
      <w:lvlJc w:val="left"/>
      <w:lvlText w:val="%1"/>
      <w:numFmt w:val="lowerLetter"/>
      <w:start w:val="1"/>
    </w:lvl>
    <w:lvl w:ilvl="1">
      <w:lvlJc w:val="left"/>
      <w:lvlText w:val="(%2)"/>
      <w:numFmt w:val="lowerLetter"/>
      <w:start w:val="3"/>
    </w:lvl>
  </w:abstractNum>
  <w:abstractNum w:abstractNumId="244">
    <w:nsid w:val="4D5C4899"/>
    <w:multiLevelType w:val="hybridMultilevel"/>
    <w:lvl w:ilvl="0">
      <w:lvlJc w:val="left"/>
      <w:lvlText w:val="(%1)"/>
      <w:numFmt w:val="lowerLetter"/>
      <w:start w:val="35"/>
    </w:lvl>
    <w:lvl w:ilvl="1">
      <w:lvlJc w:val="left"/>
      <w:lvlText w:val="(%2)"/>
      <w:numFmt w:val="lowerLetter"/>
      <w:start w:val="8"/>
    </w:lvl>
  </w:abstractNum>
  <w:abstractNum w:abstractNumId="245">
    <w:nsid w:val="3C3B72B2"/>
    <w:multiLevelType w:val="hybridMultilevel"/>
    <w:lvl w:ilvl="0">
      <w:lvlJc w:val="left"/>
      <w:lvlText w:val="(%1)"/>
      <w:numFmt w:val="lowerLetter"/>
      <w:start w:val="9"/>
    </w:lvl>
  </w:abstractNum>
  <w:abstractNum w:abstractNumId="246">
    <w:nsid w:val="155EC4C2"/>
    <w:multiLevelType w:val="hybridMultilevel"/>
    <w:lvl w:ilvl="0">
      <w:lvlJc w:val="left"/>
      <w:lvlText w:val="(%1)"/>
      <w:numFmt w:val="lowerLetter"/>
      <w:start w:val="1"/>
    </w:lvl>
  </w:abstractNum>
  <w:abstractNum w:abstractNumId="247">
    <w:nsid w:val="65D2A137"/>
    <w:multiLevelType w:val="hybridMultilevel"/>
    <w:lvl w:ilvl="0">
      <w:lvlJc w:val="left"/>
      <w:lvlText w:val="(%1)"/>
      <w:numFmt w:val="lowerLetter"/>
      <w:start w:val="1"/>
    </w:lvl>
  </w:abstractNum>
  <w:abstractNum w:abstractNumId="248">
    <w:nsid w:val="6EBB1F2A"/>
    <w:multiLevelType w:val="hybridMultilevel"/>
    <w:lvl w:ilvl="0">
      <w:lvlJc w:val="left"/>
      <w:lvlText w:val="(%1)"/>
      <w:numFmt w:val="lowerLetter"/>
      <w:start w:val="1"/>
    </w:lvl>
  </w:abstractNum>
  <w:abstractNum w:abstractNumId="249">
    <w:nsid w:val="6FBF29CB"/>
    <w:multiLevelType w:val="hybridMultilevel"/>
    <w:lvl w:ilvl="0">
      <w:lvlJc w:val="left"/>
      <w:lvlText w:val="(%1)"/>
      <w:numFmt w:val="upperLetter"/>
      <w:start w:val="1"/>
    </w:lvl>
  </w:abstractNum>
  <w:abstractNum w:abstractNumId="250">
    <w:nsid w:val="550B8808"/>
    <w:multiLevelType w:val="hybridMultilevel"/>
    <w:lvl w:ilvl="0">
      <w:lvlJc w:val="left"/>
      <w:lvlText w:val="(%1)"/>
      <w:numFmt w:val="lowerLetter"/>
      <w:start w:val="2"/>
    </w:lvl>
  </w:abstractNum>
  <w:abstractNum w:abstractNumId="251">
    <w:nsid w:val="34CC3ACF"/>
    <w:multiLevelType w:val="hybridMultilevel"/>
    <w:lvl w:ilvl="0">
      <w:lvlJc w:val="left"/>
      <w:lvlText w:val="(%1)"/>
      <w:numFmt w:val="lowerLetter"/>
      <w:start w:val="1"/>
    </w:lvl>
  </w:abstractNum>
  <w:abstractNum w:abstractNumId="252">
    <w:nsid w:val="4E556261"/>
    <w:multiLevelType w:val="hybridMultilevel"/>
    <w:lvl w:ilvl="0">
      <w:lvlJc w:val="left"/>
      <w:lvlText w:val="(%1)"/>
      <w:numFmt w:val="lowerLetter"/>
      <w:start w:val="1"/>
    </w:lvl>
  </w:abstractNum>
  <w:abstractNum w:abstractNumId="253">
    <w:nsid w:val="4C672FC9"/>
    <w:multiLevelType w:val="hybridMultilevel"/>
    <w:lvl w:ilvl="0">
      <w:lvlJc w:val="left"/>
      <w:lvlText w:val="(%1)"/>
      <w:numFmt w:val="lowerLetter"/>
      <w:start w:val="2"/>
    </w:lvl>
  </w:abstractNum>
  <w:abstractNum w:abstractNumId="254">
    <w:nsid w:val="52A311C3"/>
    <w:multiLevelType w:val="hybridMultilevel"/>
    <w:lvl w:ilvl="0">
      <w:lvlJc w:val="left"/>
      <w:lvlText w:val="(%1)"/>
      <w:numFmt w:val="lowerLetter"/>
      <w:start w:val="1"/>
    </w:lvl>
  </w:abstractNum>
  <w:abstractNum w:abstractNumId="255">
    <w:nsid w:val="44EF6B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6">
    <w:nsid w:val="12FCDE5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7">
    <w:nsid w:val="4A1D606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58">
    <w:nsid w:val="4382503"/>
    <w:multiLevelType w:val="hybridMultilevel"/>
    <w:lvl w:ilvl="0">
      <w:lvlJc w:val="left"/>
      <w:lvlText w:val="(%1)"/>
      <w:numFmt w:val="lowerLetter"/>
      <w:start w:val="2"/>
    </w:lvl>
  </w:abstractNum>
  <w:abstractNum w:abstractNumId="259">
    <w:nsid w:val="59B76E28"/>
    <w:multiLevelType w:val="hybridMultilevel"/>
    <w:lvl w:ilvl="0">
      <w:lvlJc w:val="left"/>
      <w:lvlText w:val="%1"/>
      <w:numFmt w:val="lowerRoman"/>
      <w:start w:val="1"/>
    </w:lvl>
    <w:lvl w:ilvl="1">
      <w:lvlJc w:val="left"/>
      <w:lvlText w:val="(%2)"/>
      <w:numFmt w:val="lowerLetter"/>
      <w:start w:val="3"/>
    </w:lvl>
  </w:abstractNum>
  <w:abstractNum w:abstractNumId="260">
    <w:nsid w:val="4252C2DA"/>
    <w:multiLevelType w:val="hybridMultilevel"/>
    <w:lvl w:ilvl="0">
      <w:lvlJc w:val="left"/>
      <w:lvlText w:val="(%1)"/>
      <w:numFmt w:val="lowerRoman"/>
      <w:start w:val="4"/>
    </w:lvl>
    <w:lvl w:ilvl="1">
      <w:lvlJc w:val="left"/>
      <w:lvlText w:val="(%2)"/>
      <w:numFmt w:val="lowerLetter"/>
      <w:start w:val="6"/>
    </w:lvl>
  </w:abstractNum>
  <w:abstractNum w:abstractNumId="261">
    <w:nsid w:val="6A92EF4C"/>
    <w:multiLevelType w:val="hybridMultilevel"/>
    <w:lvl w:ilvl="0">
      <w:lvlJc w:val="left"/>
      <w:lvlText w:val="(%1)"/>
      <w:numFmt w:val="lowerLetter"/>
      <w:start w:val="8"/>
    </w:lvl>
  </w:abstractNum>
  <w:abstractNum w:abstractNumId="262">
    <w:nsid w:val="41ED20D7"/>
    <w:multiLevelType w:val="hybridMultilevel"/>
    <w:lvl w:ilvl="0">
      <w:lvlJc w:val="left"/>
      <w:lvlText w:val="(%1)"/>
      <w:numFmt w:val="lowerLetter"/>
      <w:start w:val="1"/>
    </w:lvl>
    <w:lvl w:ilvl="1">
      <w:lvlJc w:val="left"/>
      <w:lvlText w:val="(%2)"/>
      <w:numFmt w:val="lowerRoman"/>
      <w:start w:val="1"/>
    </w:lvl>
  </w:abstractNum>
  <w:abstractNum w:abstractNumId="263">
    <w:nsid w:val="E6B3F6A"/>
    <w:multiLevelType w:val="hybridMultilevel"/>
    <w:lvl w:ilvl="0">
      <w:lvlJc w:val="left"/>
      <w:lvlText w:val="(%1)"/>
      <w:numFmt w:val="lowerLetter"/>
      <w:start w:val="2"/>
    </w:lvl>
  </w:abstractNum>
  <w:abstractNum w:abstractNumId="264">
    <w:nsid w:val="3EB21819"/>
    <w:multiLevelType w:val="hybridMultilevel"/>
    <w:lvl w:ilvl="0">
      <w:lvlJc w:val="left"/>
      <w:lvlText w:val="(%1)"/>
      <w:numFmt w:val="lowerLetter"/>
      <w:start w:val="3"/>
    </w:lvl>
  </w:abstractNum>
  <w:abstractNum w:abstractNumId="265">
    <w:nsid w:val="41531DED"/>
    <w:multiLevelType w:val="hybridMultilevel"/>
    <w:lvl w:ilvl="0">
      <w:lvlJc w:val="left"/>
      <w:lvlText w:val="(%1)"/>
      <w:numFmt w:val="lowerLetter"/>
      <w:start w:val="5"/>
    </w:lvl>
  </w:abstractNum>
  <w:abstractNum w:abstractNumId="266">
    <w:nsid w:val="6353CD2"/>
    <w:multiLevelType w:val="hybridMultilevel"/>
    <w:lvl w:ilvl="0">
      <w:lvlJc w:val="left"/>
      <w:lvlText w:val="(%1)"/>
      <w:numFmt w:val="lowerLetter"/>
      <w:start w:val="1"/>
    </w:lvl>
  </w:abstractNum>
  <w:abstractNum w:abstractNumId="267">
    <w:nsid w:val="683CAAD3"/>
    <w:multiLevelType w:val="hybridMultilevel"/>
    <w:lvl w:ilvl="0">
      <w:lvlJc w:val="left"/>
      <w:lvlText w:val="(%1)"/>
      <w:numFmt w:val="lowerLetter"/>
      <w:start w:val="2"/>
    </w:lvl>
  </w:abstractNum>
  <w:abstractNum w:abstractNumId="268">
    <w:nsid w:val="313C7C99"/>
    <w:multiLevelType w:val="hybridMultilevel"/>
    <w:lvl w:ilvl="0">
      <w:lvlJc w:val="left"/>
      <w:lvlText w:val="%1"/>
      <w:numFmt w:val="lowerLetter"/>
      <w:start w:val="1"/>
    </w:lvl>
    <w:lvl w:ilvl="1">
      <w:lvlJc w:val="left"/>
      <w:lvlText w:val="(%2)"/>
      <w:numFmt w:val="lowerLetter"/>
      <w:start w:val="4"/>
    </w:lvl>
  </w:abstractNum>
  <w:abstractNum w:abstractNumId="269">
    <w:nsid w:val="519EB94C"/>
    <w:multiLevelType w:val="hybridMultilevel"/>
    <w:lvl w:ilvl="0">
      <w:lvlJc w:val="left"/>
      <w:lvlText w:val="(%1)"/>
      <w:numFmt w:val="lowerLetter"/>
      <w:start w:val="2"/>
    </w:lvl>
    <w:lvl w:ilvl="1">
      <w:lvlJc w:val="left"/>
      <w:lvlText w:val="(%2)"/>
      <w:numFmt w:val="lowerLetter"/>
      <w:start w:val="5"/>
    </w:lvl>
  </w:abstractNum>
  <w:abstractNum w:abstractNumId="270">
    <w:nsid w:val="39DF25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1">
    <w:nsid w:val="126E008B"/>
    <w:multiLevelType w:val="hybridMultilevel"/>
    <w:lvl w:ilvl="0">
      <w:lvlJc w:val="left"/>
      <w:lvlText w:val="(%1)"/>
      <w:numFmt w:val="lowerRoman"/>
      <w:start w:val="3"/>
    </w:lvl>
    <w:lvl w:ilvl="1">
      <w:lvlJc w:val="left"/>
      <w:lvlText w:val="(%2)"/>
      <w:numFmt w:val="upperLetter"/>
      <w:start w:val="1"/>
    </w:lvl>
  </w:abstractNum>
  <w:abstractNum w:abstractNumId="272">
    <w:nsid w:val="34DFBC00"/>
    <w:multiLevelType w:val="hybridMultilevel"/>
    <w:lvl w:ilvl="0">
      <w:lvlJc w:val="left"/>
      <w:lvlText w:val="(%1)"/>
      <w:numFmt w:val="lowerRoman"/>
      <w:start w:val="7"/>
    </w:lvl>
  </w:abstractNum>
  <w:abstractNum w:abstractNumId="273">
    <w:nsid w:val="1F9EC322"/>
    <w:multiLevelType w:val="hybridMultilevel"/>
    <w:lvl w:ilvl="0">
      <w:lvlJc w:val="left"/>
      <w:lvlText w:val="(%1)"/>
      <w:numFmt w:val="lowerLetter"/>
      <w:start w:val="4"/>
    </w:lvl>
  </w:abstractNum>
  <w:abstractNum w:abstractNumId="274">
    <w:nsid w:val="3410ED56"/>
    <w:multiLevelType w:val="hybridMultilevel"/>
    <w:lvl w:ilvl="0">
      <w:lvlJc w:val="left"/>
      <w:lvlText w:val="(%1)"/>
      <w:numFmt w:val="lowerLetter"/>
      <w:start w:val="5"/>
    </w:lvl>
  </w:abstractNum>
  <w:abstractNum w:abstractNumId="275">
    <w:nsid w:val="23C049A"/>
    <w:multiLevelType w:val="hybridMultilevel"/>
    <w:lvl w:ilvl="0">
      <w:lvlJc w:val="left"/>
      <w:lvlText w:val="(%1)"/>
      <w:numFmt w:val="lowerLetter"/>
      <w:start w:val="1"/>
    </w:lvl>
  </w:abstractNum>
  <w:abstractNum w:abstractNumId="276">
    <w:nsid w:val="5BDA35D4"/>
    <w:multiLevelType w:val="hybridMultilevel"/>
    <w:lvl w:ilvl="0">
      <w:lvlJc w:val="left"/>
      <w:lvlText w:val="(%1)"/>
      <w:numFmt w:val="lowerLetter"/>
      <w:start w:val="3"/>
    </w:lvl>
  </w:abstractNum>
  <w:abstractNum w:abstractNumId="277">
    <w:nsid w:val="496FB218"/>
    <w:multiLevelType w:val="hybridMultilevel"/>
    <w:lvl w:ilvl="0">
      <w:lvlJc w:val="left"/>
      <w:lvlText w:val="(%1)"/>
      <w:numFmt w:val="lowerLetter"/>
      <w:start w:val="4"/>
    </w:lvl>
  </w:abstractNum>
  <w:abstractNum w:abstractNumId="278">
    <w:nsid w:val="680EA5D1"/>
    <w:multiLevelType w:val="hybridMultilevel"/>
    <w:lvl w:ilvl="0">
      <w:lvlJc w:val="left"/>
      <w:lvlText w:val="(%1)"/>
      <w:numFmt w:val="lowerLetter"/>
      <w:start w:val="1"/>
    </w:lvl>
  </w:abstractNum>
  <w:abstractNum w:abstractNumId="279">
    <w:nsid w:val="4A9554FE"/>
    <w:multiLevelType w:val="hybridMultilevel"/>
    <w:lvl w:ilvl="0">
      <w:lvlJc w:val="left"/>
      <w:lvlText w:val="(%1)"/>
      <w:numFmt w:val="lowerLetter"/>
      <w:start w:val="3"/>
    </w:lvl>
  </w:abstractNum>
  <w:abstractNum w:abstractNumId="280">
    <w:nsid w:val="392EDBE4"/>
    <w:multiLevelType w:val="hybridMultilevel"/>
    <w:lvl w:ilvl="0">
      <w:lvlJc w:val="left"/>
      <w:lvlText w:val="%1"/>
      <w:numFmt w:val="upperLetter"/>
      <w:start w:val="61"/>
    </w:lvl>
  </w:abstractNum>
  <w:abstractNum w:abstractNumId="281">
    <w:nsid w:val="3D1A2DD9"/>
    <w:multiLevelType w:val="hybridMultilevel"/>
    <w:lvl w:ilvl="0">
      <w:lvlJc w:val="left"/>
      <w:lvlText w:val="(%1)"/>
      <w:numFmt w:val="lowerLetter"/>
      <w:start w:val="1"/>
    </w:lvl>
    <w:lvl w:ilvl="1">
      <w:lvlJc w:val="left"/>
      <w:lvlText w:val="(%2)"/>
      <w:numFmt w:val="lowerRoman"/>
      <w:start w:val="1"/>
    </w:lvl>
  </w:abstractNum>
  <w:abstractNum w:abstractNumId="282">
    <w:nsid w:val="7F618FCD"/>
    <w:multiLevelType w:val="hybridMultilevel"/>
    <w:lvl w:ilvl="0">
      <w:lvlJc w:val="left"/>
      <w:lvlText w:val="(%1)"/>
      <w:numFmt w:val="lowerLetter"/>
      <w:start w:val="1"/>
    </w:lvl>
  </w:abstractNum>
  <w:abstractNum w:abstractNumId="283">
    <w:nsid w:val="7843E45"/>
    <w:multiLevelType w:val="hybridMultilevel"/>
    <w:lvl w:ilvl="0">
      <w:lvlJc w:val="left"/>
      <w:lvlText w:val="%1."/>
      <w:numFmt w:val="decimal"/>
      <w:start w:val="1"/>
    </w:lvl>
    <w:lvl w:ilvl="1">
      <w:lvlJc w:val="left"/>
      <w:lvlText w:val="%2)"/>
      <w:numFmt w:val="lowerLetter"/>
      <w:start w:val="1"/>
    </w:lvl>
  </w:abstractNum>
  <w:abstractNum w:abstractNumId="284">
    <w:nsid w:val="9815DA3"/>
    <w:multiLevelType w:val="hybridMultilevel"/>
    <w:lvl w:ilvl="0">
      <w:lvlJc w:val="left"/>
      <w:lvlText w:val="%1."/>
      <w:numFmt w:val="decimal"/>
      <w:start w:val="1"/>
    </w:lvl>
    <w:lvl w:ilvl="1">
      <w:lvlJc w:val="left"/>
      <w:lvlText w:val="%2)"/>
      <w:numFmt w:val="lowerLetter"/>
      <w:start w:val="1"/>
    </w:lvl>
  </w:abstractNum>
  <w:abstractNum w:abstractNumId="285">
    <w:nsid w:val="5204A191"/>
    <w:multiLevelType w:val="hybridMultilevel"/>
    <w:lvl w:ilvl="0">
      <w:lvlJc w:val="left"/>
      <w:lvlText w:val="(%1)"/>
      <w:numFmt w:val="decimal"/>
      <w:start w:val="1"/>
    </w:lvl>
  </w:abstractNum>
  <w:abstractNum w:abstractNumId="286">
    <w:nsid w:val="4C73A9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390" Type="http://schemas.openxmlformats.org/officeDocument/2006/relationships/image" Target="media/image360.png"/><Relationship Id="rId391" Type="http://schemas.openxmlformats.org/officeDocument/2006/relationships/image" Target="media/image361.png"/><Relationship Id="rId392" Type="http://schemas.openxmlformats.org/officeDocument/2006/relationships/image" Target="media/image362.png"/><Relationship Id="rId393" Type="http://schemas.openxmlformats.org/officeDocument/2006/relationships/image" Target="media/image363.png"/><Relationship Id="rId394" Type="http://schemas.openxmlformats.org/officeDocument/2006/relationships/image" Target="media/image364.png"/><Relationship Id="rId395" Type="http://schemas.openxmlformats.org/officeDocument/2006/relationships/image" Target="media/image365.png"/><Relationship Id="rId396" Type="http://schemas.openxmlformats.org/officeDocument/2006/relationships/image" Target="media/image366.png"/><Relationship Id="rId397" Type="http://schemas.openxmlformats.org/officeDocument/2006/relationships/image" Target="media/image367.png"/><Relationship Id="rId398" Type="http://schemas.openxmlformats.org/officeDocument/2006/relationships/image" Target="media/image368.png"/><Relationship Id="rId399" Type="http://schemas.openxmlformats.org/officeDocument/2006/relationships/image" Target="media/image369.png"/><Relationship Id="rId400" Type="http://schemas.openxmlformats.org/officeDocument/2006/relationships/image" Target="media/image370.png"/><Relationship Id="rId401" Type="http://schemas.openxmlformats.org/officeDocument/2006/relationships/image" Target="media/image371.png"/><Relationship Id="rId402" Type="http://schemas.openxmlformats.org/officeDocument/2006/relationships/image" Target="media/image372.png"/><Relationship Id="rId403" Type="http://schemas.openxmlformats.org/officeDocument/2006/relationships/image" Target="media/image373.png"/><Relationship Id="rId404" Type="http://schemas.openxmlformats.org/officeDocument/2006/relationships/image" Target="media/image374.png"/><Relationship Id="rId405" Type="http://schemas.openxmlformats.org/officeDocument/2006/relationships/image" Target="media/image375.png"/><Relationship Id="rId406" Type="http://schemas.openxmlformats.org/officeDocument/2006/relationships/image" Target="media/image376.png"/><Relationship Id="rId407" Type="http://schemas.openxmlformats.org/officeDocument/2006/relationships/image" Target="media/image377.png"/><Relationship Id="rId408" Type="http://schemas.openxmlformats.org/officeDocument/2006/relationships/image" Target="media/image378.png"/><Relationship Id="rId409" Type="http://schemas.openxmlformats.org/officeDocument/2006/relationships/image" Target="media/image379.png"/><Relationship Id="rId410" Type="http://schemas.openxmlformats.org/officeDocument/2006/relationships/image" Target="media/image380.png"/><Relationship Id="rId411" Type="http://schemas.openxmlformats.org/officeDocument/2006/relationships/image" Target="media/image381.png"/><Relationship Id="rId412" Type="http://schemas.openxmlformats.org/officeDocument/2006/relationships/image" Target="media/image382.png"/><Relationship Id="rId413" Type="http://schemas.openxmlformats.org/officeDocument/2006/relationships/image" Target="media/image383.png"/><Relationship Id="rId414" Type="http://schemas.openxmlformats.org/officeDocument/2006/relationships/image" Target="media/image384.png"/><Relationship Id="rId415" Type="http://schemas.openxmlformats.org/officeDocument/2006/relationships/image" Target="media/image385.png"/><Relationship Id="rId416" Type="http://schemas.openxmlformats.org/officeDocument/2006/relationships/image" Target="media/image386.png"/><Relationship Id="rId417" Type="http://schemas.openxmlformats.org/officeDocument/2006/relationships/image" Target="media/image387.png"/><Relationship Id="rId418" Type="http://schemas.openxmlformats.org/officeDocument/2006/relationships/image" Target="media/image388.png"/><Relationship Id="rId419" Type="http://schemas.openxmlformats.org/officeDocument/2006/relationships/image" Target="media/image389.png"/><Relationship Id="rId420" Type="http://schemas.openxmlformats.org/officeDocument/2006/relationships/image" Target="media/image390.png"/><Relationship Id="rId421" Type="http://schemas.openxmlformats.org/officeDocument/2006/relationships/image" Target="media/image391.png"/><Relationship Id="rId422" Type="http://schemas.openxmlformats.org/officeDocument/2006/relationships/image" Target="media/image392.png"/><Relationship Id="rId423" Type="http://schemas.openxmlformats.org/officeDocument/2006/relationships/image" Target="media/image393.png"/><Relationship Id="rId424" Type="http://schemas.openxmlformats.org/officeDocument/2006/relationships/image" Target="media/image394.png"/><Relationship Id="rId425" Type="http://schemas.openxmlformats.org/officeDocument/2006/relationships/image" Target="media/image395.png"/><Relationship Id="rId426" Type="http://schemas.openxmlformats.org/officeDocument/2006/relationships/image" Target="media/image396.png"/><Relationship Id="rId427" Type="http://schemas.openxmlformats.org/officeDocument/2006/relationships/image" Target="media/image397.png"/><Relationship Id="rId428" Type="http://schemas.openxmlformats.org/officeDocument/2006/relationships/image" Target="media/image398.png"/><Relationship Id="rId429" Type="http://schemas.openxmlformats.org/officeDocument/2006/relationships/image" Target="media/image399.png"/><Relationship Id="rId430" Type="http://schemas.openxmlformats.org/officeDocument/2006/relationships/image" Target="media/image400.png"/><Relationship Id="rId431" Type="http://schemas.openxmlformats.org/officeDocument/2006/relationships/image" Target="media/image401.png"/><Relationship Id="rId432" Type="http://schemas.openxmlformats.org/officeDocument/2006/relationships/image" Target="media/image402.png"/><Relationship Id="rId433" Type="http://schemas.openxmlformats.org/officeDocument/2006/relationships/image" Target="media/image403.png"/><Relationship Id="rId434" Type="http://schemas.openxmlformats.org/officeDocument/2006/relationships/image" Target="media/image404.png"/><Relationship Id="rId435" Type="http://schemas.openxmlformats.org/officeDocument/2006/relationships/image" Target="media/image405.png"/><Relationship Id="rId436" Type="http://schemas.openxmlformats.org/officeDocument/2006/relationships/image" Target="media/image406.png"/><Relationship Id="rId437" Type="http://schemas.openxmlformats.org/officeDocument/2006/relationships/image" Target="media/image407.png"/><Relationship Id="rId438" Type="http://schemas.openxmlformats.org/officeDocument/2006/relationships/image" Target="media/image408.png"/><Relationship Id="rId439" Type="http://schemas.openxmlformats.org/officeDocument/2006/relationships/image" Target="media/image409.png"/><Relationship Id="rId440" Type="http://schemas.openxmlformats.org/officeDocument/2006/relationships/image" Target="media/image410.png"/><Relationship Id="rId441" Type="http://schemas.openxmlformats.org/officeDocument/2006/relationships/image" Target="media/image411.png"/><Relationship Id="rId442" Type="http://schemas.openxmlformats.org/officeDocument/2006/relationships/image" Target="media/image412.png"/><Relationship Id="rId443" Type="http://schemas.openxmlformats.org/officeDocument/2006/relationships/image" Target="media/image413.png"/><Relationship Id="rId444" Type="http://schemas.openxmlformats.org/officeDocument/2006/relationships/image" Target="media/image414.png"/><Relationship Id="rId445" Type="http://schemas.openxmlformats.org/officeDocument/2006/relationships/image" Target="media/image415.png"/><Relationship Id="rId446" Type="http://schemas.openxmlformats.org/officeDocument/2006/relationships/image" Target="media/image416.png"/><Relationship Id="rId447" Type="http://schemas.openxmlformats.org/officeDocument/2006/relationships/image" Target="media/image417.png"/><Relationship Id="rId448" Type="http://schemas.openxmlformats.org/officeDocument/2006/relationships/image" Target="media/image418.png"/><Relationship Id="rId449" Type="http://schemas.openxmlformats.org/officeDocument/2006/relationships/image" Target="media/image419.png"/><Relationship Id="rId450" Type="http://schemas.openxmlformats.org/officeDocument/2006/relationships/image" Target="media/image420.png"/><Relationship Id="rId451" Type="http://schemas.openxmlformats.org/officeDocument/2006/relationships/image" Target="media/image421.png"/><Relationship Id="rId452" Type="http://schemas.openxmlformats.org/officeDocument/2006/relationships/image" Target="media/image422.png"/><Relationship Id="rId453" Type="http://schemas.openxmlformats.org/officeDocument/2006/relationships/image" Target="media/image423.png"/><Relationship Id="rId454" Type="http://schemas.openxmlformats.org/officeDocument/2006/relationships/image" Target="media/image424.png"/><Relationship Id="rId455" Type="http://schemas.openxmlformats.org/officeDocument/2006/relationships/image" Target="media/image425.png"/><Relationship Id="rId456" Type="http://schemas.openxmlformats.org/officeDocument/2006/relationships/image" Target="media/image426.png"/><Relationship Id="rId457" Type="http://schemas.openxmlformats.org/officeDocument/2006/relationships/image" Target="media/image427.png"/><Relationship Id="rId458" Type="http://schemas.openxmlformats.org/officeDocument/2006/relationships/image" Target="media/image428.png"/><Relationship Id="rId459" Type="http://schemas.openxmlformats.org/officeDocument/2006/relationships/image" Target="media/image429.png"/><Relationship Id="rId460" Type="http://schemas.openxmlformats.org/officeDocument/2006/relationships/image" Target="media/image430.png"/><Relationship Id="rId461" Type="http://schemas.openxmlformats.org/officeDocument/2006/relationships/image" Target="media/image431.png"/><Relationship Id="rId462" Type="http://schemas.openxmlformats.org/officeDocument/2006/relationships/image" Target="media/image432.png"/><Relationship Id="rId463" Type="http://schemas.openxmlformats.org/officeDocument/2006/relationships/image" Target="media/image433.png"/><Relationship Id="rId464" Type="http://schemas.openxmlformats.org/officeDocument/2006/relationships/image" Target="media/image434.png"/><Relationship Id="rId465" Type="http://schemas.openxmlformats.org/officeDocument/2006/relationships/image" Target="media/image435.png"/><Relationship Id="rId466" Type="http://schemas.openxmlformats.org/officeDocument/2006/relationships/image" Target="media/image436.png"/><Relationship Id="rId467" Type="http://schemas.openxmlformats.org/officeDocument/2006/relationships/image" Target="media/image437.png"/><Relationship Id="rId468" Type="http://schemas.openxmlformats.org/officeDocument/2006/relationships/image" Target="media/image438.png"/><Relationship Id="rId469" Type="http://schemas.openxmlformats.org/officeDocument/2006/relationships/image" Target="media/image439.png"/><Relationship Id="rId470" Type="http://schemas.openxmlformats.org/officeDocument/2006/relationships/image" Target="media/image440.png"/><Relationship Id="rId471" Type="http://schemas.openxmlformats.org/officeDocument/2006/relationships/image" Target="media/image441.png"/><Relationship Id="rId472" Type="http://schemas.openxmlformats.org/officeDocument/2006/relationships/image" Target="media/image442.png"/><Relationship Id="rId473" Type="http://schemas.openxmlformats.org/officeDocument/2006/relationships/image" Target="media/image443.png"/><Relationship Id="rId474" Type="http://schemas.openxmlformats.org/officeDocument/2006/relationships/image" Target="media/image444.png"/><Relationship Id="rId475" Type="http://schemas.openxmlformats.org/officeDocument/2006/relationships/image" Target="media/image445.png"/><Relationship Id="rId476" Type="http://schemas.openxmlformats.org/officeDocument/2006/relationships/image" Target="media/image446.png"/><Relationship Id="rId477" Type="http://schemas.openxmlformats.org/officeDocument/2006/relationships/image" Target="media/image447.png"/><Relationship Id="rId478" Type="http://schemas.openxmlformats.org/officeDocument/2006/relationships/image" Target="media/image448.png"/><Relationship Id="rId479" Type="http://schemas.openxmlformats.org/officeDocument/2006/relationships/image" Target="media/image449.png"/><Relationship Id="rId480" Type="http://schemas.openxmlformats.org/officeDocument/2006/relationships/image" Target="media/image450.png"/><Relationship Id="rId481" Type="http://schemas.openxmlformats.org/officeDocument/2006/relationships/image" Target="media/image451.png"/><Relationship Id="rId482" Type="http://schemas.openxmlformats.org/officeDocument/2006/relationships/image" Target="media/image452.png"/><Relationship Id="rId483" Type="http://schemas.openxmlformats.org/officeDocument/2006/relationships/image" Target="media/image453.png"/><Relationship Id="rId484" Type="http://schemas.openxmlformats.org/officeDocument/2006/relationships/image" Target="media/image454.png"/><Relationship Id="rId485" Type="http://schemas.openxmlformats.org/officeDocument/2006/relationships/image" Target="media/image455.png"/><Relationship Id="rId486" Type="http://schemas.openxmlformats.org/officeDocument/2006/relationships/image" Target="media/image456.png"/><Relationship Id="rId487" Type="http://schemas.openxmlformats.org/officeDocument/2006/relationships/image" Target="media/image457.png"/><Relationship Id="rId488" Type="http://schemas.openxmlformats.org/officeDocument/2006/relationships/image" Target="media/image458.png"/><Relationship Id="rId489" Type="http://schemas.openxmlformats.org/officeDocument/2006/relationships/image" Target="media/image459.png"/><Relationship Id="rId490" Type="http://schemas.openxmlformats.org/officeDocument/2006/relationships/image" Target="media/image460.png"/><Relationship Id="rId491" Type="http://schemas.openxmlformats.org/officeDocument/2006/relationships/image" Target="media/image461.png"/><Relationship Id="rId492" Type="http://schemas.openxmlformats.org/officeDocument/2006/relationships/image" Target="media/image462.png"/><Relationship Id="rId493" Type="http://schemas.openxmlformats.org/officeDocument/2006/relationships/image" Target="media/image463.png"/><Relationship Id="rId494" Type="http://schemas.openxmlformats.org/officeDocument/2006/relationships/image" Target="media/image464.png"/><Relationship Id="rId495" Type="http://schemas.openxmlformats.org/officeDocument/2006/relationships/image" Target="media/image465.png"/><Relationship Id="rId496" Type="http://schemas.openxmlformats.org/officeDocument/2006/relationships/image" Target="media/image466.png"/><Relationship Id="rId497" Type="http://schemas.openxmlformats.org/officeDocument/2006/relationships/image" Target="media/image467.png"/><Relationship Id="rId498" Type="http://schemas.openxmlformats.org/officeDocument/2006/relationships/image" Target="media/image468.png"/><Relationship Id="rId499" Type="http://schemas.openxmlformats.org/officeDocument/2006/relationships/image" Target="media/image469.png"/><Relationship Id="rId500" Type="http://schemas.openxmlformats.org/officeDocument/2006/relationships/image" Target="media/image470.png"/><Relationship Id="rId501" Type="http://schemas.openxmlformats.org/officeDocument/2006/relationships/image" Target="media/image471.png"/><Relationship Id="rId502" Type="http://schemas.openxmlformats.org/officeDocument/2006/relationships/image" Target="media/image472.png"/><Relationship Id="rId503" Type="http://schemas.openxmlformats.org/officeDocument/2006/relationships/image" Target="media/image473.png"/><Relationship Id="rId504" Type="http://schemas.openxmlformats.org/officeDocument/2006/relationships/image" Target="media/image474.png"/><Relationship Id="rId505" Type="http://schemas.openxmlformats.org/officeDocument/2006/relationships/image" Target="media/image475.png"/><Relationship Id="rId506" Type="http://schemas.openxmlformats.org/officeDocument/2006/relationships/image" Target="media/image476.png"/><Relationship Id="rId507" Type="http://schemas.openxmlformats.org/officeDocument/2006/relationships/image" Target="media/image477.png"/><Relationship Id="rId508" Type="http://schemas.openxmlformats.org/officeDocument/2006/relationships/image" Target="media/image478.png"/><Relationship Id="rId509" Type="http://schemas.openxmlformats.org/officeDocument/2006/relationships/image" Target="media/image479.png"/><Relationship Id="rId510" Type="http://schemas.openxmlformats.org/officeDocument/2006/relationships/image" Target="media/image480.png"/><Relationship Id="rId511" Type="http://schemas.openxmlformats.org/officeDocument/2006/relationships/image" Target="media/image481.png"/><Relationship Id="rId512" Type="http://schemas.openxmlformats.org/officeDocument/2006/relationships/image" Target="media/image482.png"/><Relationship Id="rId513" Type="http://schemas.openxmlformats.org/officeDocument/2006/relationships/image" Target="media/image483.png"/><Relationship Id="rId514" Type="http://schemas.openxmlformats.org/officeDocument/2006/relationships/image" Target="media/image484.png"/><Relationship Id="rId515" Type="http://schemas.openxmlformats.org/officeDocument/2006/relationships/image" Target="media/image485.png"/><Relationship Id="rId516" Type="http://schemas.openxmlformats.org/officeDocument/2006/relationships/image" Target="media/image486.png"/><Relationship Id="rId517" Type="http://schemas.openxmlformats.org/officeDocument/2006/relationships/image" Target="media/image487.png"/><Relationship Id="rId518" Type="http://schemas.openxmlformats.org/officeDocument/2006/relationships/image" Target="media/image488.png"/><Relationship Id="rId519" Type="http://schemas.openxmlformats.org/officeDocument/2006/relationships/image" Target="media/image489.png"/><Relationship Id="rId520" Type="http://schemas.openxmlformats.org/officeDocument/2006/relationships/image" Target="media/image490.png"/><Relationship Id="rId521" Type="http://schemas.openxmlformats.org/officeDocument/2006/relationships/image" Target="media/image491.png"/><Relationship Id="rId522" Type="http://schemas.openxmlformats.org/officeDocument/2006/relationships/image" Target="media/image492.png"/><Relationship Id="rId523" Type="http://schemas.openxmlformats.org/officeDocument/2006/relationships/image" Target="media/image493.png"/><Relationship Id="rId524" Type="http://schemas.openxmlformats.org/officeDocument/2006/relationships/image" Target="media/image494.png"/><Relationship Id="rId525" Type="http://schemas.openxmlformats.org/officeDocument/2006/relationships/image" Target="media/image495.png"/><Relationship Id="rId526" Type="http://schemas.openxmlformats.org/officeDocument/2006/relationships/image" Target="media/image496.png"/><Relationship Id="rId527" Type="http://schemas.openxmlformats.org/officeDocument/2006/relationships/image" Target="media/image497.png"/><Relationship Id="rId528" Type="http://schemas.openxmlformats.org/officeDocument/2006/relationships/image" Target="media/image498.png"/><Relationship Id="rId529" Type="http://schemas.openxmlformats.org/officeDocument/2006/relationships/image" Target="media/image499.png"/><Relationship Id="rId530" Type="http://schemas.openxmlformats.org/officeDocument/2006/relationships/image" Target="media/image500.png"/><Relationship Id="rId531" Type="http://schemas.openxmlformats.org/officeDocument/2006/relationships/image" Target="media/image501.png"/><Relationship Id="rId532" Type="http://schemas.openxmlformats.org/officeDocument/2006/relationships/image" Target="media/image502.pn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6" Type="http://schemas.openxmlformats.org/officeDocument/2006/relationships/image" Target="media/image506.png"/><Relationship Id="rId537" Type="http://schemas.openxmlformats.org/officeDocument/2006/relationships/image" Target="media/image507.png"/><Relationship Id="rId538" Type="http://schemas.openxmlformats.org/officeDocument/2006/relationships/image" Target="media/image508.png"/><Relationship Id="rId539" Type="http://schemas.openxmlformats.org/officeDocument/2006/relationships/image" Target="media/image509.png"/><Relationship Id="rId540" Type="http://schemas.openxmlformats.org/officeDocument/2006/relationships/image" Target="media/image510.png"/><Relationship Id="rId541" Type="http://schemas.openxmlformats.org/officeDocument/2006/relationships/image" Target="media/image511.png"/><Relationship Id="rId542" Type="http://schemas.openxmlformats.org/officeDocument/2006/relationships/image" Target="media/image512.png"/><Relationship Id="rId543" Type="http://schemas.openxmlformats.org/officeDocument/2006/relationships/image" Target="media/image513.png"/><Relationship Id="rId544" Type="http://schemas.openxmlformats.org/officeDocument/2006/relationships/image" Target="media/image514.png"/><Relationship Id="rId545" Type="http://schemas.openxmlformats.org/officeDocument/2006/relationships/image" Target="media/image515.png"/><Relationship Id="rId546" Type="http://schemas.openxmlformats.org/officeDocument/2006/relationships/image" Target="media/image516.png"/><Relationship Id="rId547" Type="http://schemas.openxmlformats.org/officeDocument/2006/relationships/image" Target="media/image517.png"/><Relationship Id="rId548" Type="http://schemas.openxmlformats.org/officeDocument/2006/relationships/image" Target="media/image518.png"/><Relationship Id="rId549" Type="http://schemas.openxmlformats.org/officeDocument/2006/relationships/image" Target="media/image519.png"/><Relationship Id="rId550" Type="http://schemas.openxmlformats.org/officeDocument/2006/relationships/image" Target="media/image520.png"/><Relationship Id="rId551" Type="http://schemas.openxmlformats.org/officeDocument/2006/relationships/image" Target="media/image521.png"/><Relationship Id="rId552" Type="http://schemas.openxmlformats.org/officeDocument/2006/relationships/image" Target="media/image522.png"/><Relationship Id="rId553" Type="http://schemas.openxmlformats.org/officeDocument/2006/relationships/image" Target="media/image523.png"/><Relationship Id="rId554" Type="http://schemas.openxmlformats.org/officeDocument/2006/relationships/image" Target="media/image524.png"/><Relationship Id="rId555" Type="http://schemas.openxmlformats.org/officeDocument/2006/relationships/image" Target="media/image525.png"/><Relationship Id="rId556" Type="http://schemas.openxmlformats.org/officeDocument/2006/relationships/image" Target="media/image526.png"/><Relationship Id="rId557" Type="http://schemas.openxmlformats.org/officeDocument/2006/relationships/image" Target="media/image527.png"/><Relationship Id="rId558" Type="http://schemas.openxmlformats.org/officeDocument/2006/relationships/image" Target="media/image528.png"/><Relationship Id="rId559" Type="http://schemas.openxmlformats.org/officeDocument/2006/relationships/image" Target="media/image529.png"/><Relationship Id="rId560" Type="http://schemas.openxmlformats.org/officeDocument/2006/relationships/image" Target="media/image530.png"/><Relationship Id="rId561" Type="http://schemas.openxmlformats.org/officeDocument/2006/relationships/image" Target="media/image531.png"/><Relationship Id="rId562" Type="http://schemas.openxmlformats.org/officeDocument/2006/relationships/image" Target="media/image532.png"/><Relationship Id="rId563" Type="http://schemas.openxmlformats.org/officeDocument/2006/relationships/image" Target="media/image533.png"/><Relationship Id="rId564" Type="http://schemas.openxmlformats.org/officeDocument/2006/relationships/image" Target="media/image534.png"/><Relationship Id="rId565" Type="http://schemas.openxmlformats.org/officeDocument/2006/relationships/image" Target="media/image535.png"/><Relationship Id="rId566" Type="http://schemas.openxmlformats.org/officeDocument/2006/relationships/image" Target="media/image536.png"/><Relationship Id="rId567" Type="http://schemas.openxmlformats.org/officeDocument/2006/relationships/image" Target="media/image537.png"/><Relationship Id="rId568" Type="http://schemas.openxmlformats.org/officeDocument/2006/relationships/image" Target="media/image538.png"/><Relationship Id="rId569" Type="http://schemas.openxmlformats.org/officeDocument/2006/relationships/image" Target="media/image539.png"/><Relationship Id="rId570" Type="http://schemas.openxmlformats.org/officeDocument/2006/relationships/image" Target="media/image540.png"/><Relationship Id="rId571" Type="http://schemas.openxmlformats.org/officeDocument/2006/relationships/image" Target="media/image541.png"/><Relationship Id="rId572" Type="http://schemas.openxmlformats.org/officeDocument/2006/relationships/image" Target="media/image542.png"/><Relationship Id="rId573" Type="http://schemas.openxmlformats.org/officeDocument/2006/relationships/image" Target="media/image543.png"/><Relationship Id="rId574" Type="http://schemas.openxmlformats.org/officeDocument/2006/relationships/image" Target="media/image544.png"/><Relationship Id="rId575" Type="http://schemas.openxmlformats.org/officeDocument/2006/relationships/image" Target="media/image545.png"/><Relationship Id="rId576" Type="http://schemas.openxmlformats.org/officeDocument/2006/relationships/image" Target="media/image546.png"/><Relationship Id="rId577" Type="http://schemas.openxmlformats.org/officeDocument/2006/relationships/image" Target="media/image547.png"/><Relationship Id="rId578" Type="http://schemas.openxmlformats.org/officeDocument/2006/relationships/image" Target="media/image548.png"/><Relationship Id="rId579" Type="http://schemas.openxmlformats.org/officeDocument/2006/relationships/image" Target="media/image549.png"/><Relationship Id="rId580" Type="http://schemas.openxmlformats.org/officeDocument/2006/relationships/image" Target="media/image550.png"/><Relationship Id="rId581" Type="http://schemas.openxmlformats.org/officeDocument/2006/relationships/image" Target="media/image551.png"/><Relationship Id="rId582" Type="http://schemas.openxmlformats.org/officeDocument/2006/relationships/image" Target="media/image552.png"/><Relationship Id="rId583" Type="http://schemas.openxmlformats.org/officeDocument/2006/relationships/image" Target="media/image553.png"/><Relationship Id="rId584" Type="http://schemas.openxmlformats.org/officeDocument/2006/relationships/image" Target="media/image554.png"/><Relationship Id="rId585" Type="http://schemas.openxmlformats.org/officeDocument/2006/relationships/image" Target="media/image555.png"/><Relationship Id="rId586" Type="http://schemas.openxmlformats.org/officeDocument/2006/relationships/image" Target="media/image556.png"/><Relationship Id="rId587" Type="http://schemas.openxmlformats.org/officeDocument/2006/relationships/image" Target="media/image557.png"/><Relationship Id="rId588" Type="http://schemas.openxmlformats.org/officeDocument/2006/relationships/image" Target="media/image558.png"/><Relationship Id="rId589" Type="http://schemas.openxmlformats.org/officeDocument/2006/relationships/image" Target="media/image559.png"/><Relationship Id="rId590" Type="http://schemas.openxmlformats.org/officeDocument/2006/relationships/image" Target="media/image560.png"/><Relationship Id="rId591" Type="http://schemas.openxmlformats.org/officeDocument/2006/relationships/image" Target="media/image561.png"/><Relationship Id="rId592" Type="http://schemas.openxmlformats.org/officeDocument/2006/relationships/image" Target="media/image562.png"/><Relationship Id="rId593" Type="http://schemas.openxmlformats.org/officeDocument/2006/relationships/image" Target="media/image563.png"/><Relationship Id="rId594" Type="http://schemas.openxmlformats.org/officeDocument/2006/relationships/image" Target="media/image564.png"/><Relationship Id="rId595" Type="http://schemas.openxmlformats.org/officeDocument/2006/relationships/image" Target="media/image565.png"/><Relationship Id="rId596" Type="http://schemas.openxmlformats.org/officeDocument/2006/relationships/image" Target="media/image566.png"/><Relationship Id="rId597" Type="http://schemas.openxmlformats.org/officeDocument/2006/relationships/image" Target="media/image567.png"/><Relationship Id="rId598" Type="http://schemas.openxmlformats.org/officeDocument/2006/relationships/image" Target="media/image568.png"/><Relationship Id="rId599" Type="http://schemas.openxmlformats.org/officeDocument/2006/relationships/image" Target="media/image569.png"/><Relationship Id="rId600" Type="http://schemas.openxmlformats.org/officeDocument/2006/relationships/image" Target="media/image570.png"/><Relationship Id="rId601" Type="http://schemas.openxmlformats.org/officeDocument/2006/relationships/image" Target="media/image571.png"/><Relationship Id="rId602" Type="http://schemas.openxmlformats.org/officeDocument/2006/relationships/image" Target="media/image572.png"/><Relationship Id="rId603" Type="http://schemas.openxmlformats.org/officeDocument/2006/relationships/image" Target="media/image573.png"/><Relationship Id="rId604" Type="http://schemas.openxmlformats.org/officeDocument/2006/relationships/image" Target="media/image574.png"/><Relationship Id="rId605" Type="http://schemas.openxmlformats.org/officeDocument/2006/relationships/image" Target="media/image575.png"/><Relationship Id="rId606" Type="http://schemas.openxmlformats.org/officeDocument/2006/relationships/image" Target="media/image576.png"/><Relationship Id="rId607" Type="http://schemas.openxmlformats.org/officeDocument/2006/relationships/image" Target="media/image577.png"/><Relationship Id="rId608" Type="http://schemas.openxmlformats.org/officeDocument/2006/relationships/image" Target="media/image578.png"/><Relationship Id="rId609" Type="http://schemas.openxmlformats.org/officeDocument/2006/relationships/image" Target="media/image579.png"/><Relationship Id="rId610" Type="http://schemas.openxmlformats.org/officeDocument/2006/relationships/image" Target="media/image580.png"/><Relationship Id="rId611" Type="http://schemas.openxmlformats.org/officeDocument/2006/relationships/image" Target="media/image581.png"/><Relationship Id="rId612" Type="http://schemas.openxmlformats.org/officeDocument/2006/relationships/image" Target="media/image582.png"/><Relationship Id="rId613" Type="http://schemas.openxmlformats.org/officeDocument/2006/relationships/image" Target="media/image583.png"/><Relationship Id="rId614" Type="http://schemas.openxmlformats.org/officeDocument/2006/relationships/image" Target="media/image584.png"/><Relationship Id="rId615" Type="http://schemas.openxmlformats.org/officeDocument/2006/relationships/image" Target="media/image585.png"/><Relationship Id="rId616" Type="http://schemas.openxmlformats.org/officeDocument/2006/relationships/image" Target="media/image586.png"/><Relationship Id="rId617" Type="http://schemas.openxmlformats.org/officeDocument/2006/relationships/image" Target="media/image587.png"/><Relationship Id="rId618" Type="http://schemas.openxmlformats.org/officeDocument/2006/relationships/image" Target="media/image588.png"/><Relationship Id="rId619" Type="http://schemas.openxmlformats.org/officeDocument/2006/relationships/image" Target="media/image589.png"/><Relationship Id="rId620" Type="http://schemas.openxmlformats.org/officeDocument/2006/relationships/image" Target="media/image590.png"/><Relationship Id="rId621" Type="http://schemas.openxmlformats.org/officeDocument/2006/relationships/image" Target="media/image591.png"/><Relationship Id="rId622" Type="http://schemas.openxmlformats.org/officeDocument/2006/relationships/image" Target="media/image592.png"/><Relationship Id="rId623" Type="http://schemas.openxmlformats.org/officeDocument/2006/relationships/image" Target="media/image593.png"/><Relationship Id="rId624" Type="http://schemas.openxmlformats.org/officeDocument/2006/relationships/image" Target="media/image594.png"/><Relationship Id="rId625" Type="http://schemas.openxmlformats.org/officeDocument/2006/relationships/image" Target="media/image595.png"/><Relationship Id="rId626" Type="http://schemas.openxmlformats.org/officeDocument/2006/relationships/image" Target="media/image596.png"/><Relationship Id="rId627" Type="http://schemas.openxmlformats.org/officeDocument/2006/relationships/image" Target="media/image597.png"/><Relationship Id="rId628" Type="http://schemas.openxmlformats.org/officeDocument/2006/relationships/image" Target="media/image598.png"/><Relationship Id="rId629" Type="http://schemas.openxmlformats.org/officeDocument/2006/relationships/image" Target="media/image599.png"/><Relationship Id="rId630" Type="http://schemas.openxmlformats.org/officeDocument/2006/relationships/image" Target="media/image600.png"/><Relationship Id="rId631" Type="http://schemas.openxmlformats.org/officeDocument/2006/relationships/image" Target="media/image601.png"/><Relationship Id="rId632" Type="http://schemas.openxmlformats.org/officeDocument/2006/relationships/image" Target="media/image602.png"/><Relationship Id="rId633" Type="http://schemas.openxmlformats.org/officeDocument/2006/relationships/image" Target="media/image603.png"/><Relationship Id="rId634" Type="http://schemas.openxmlformats.org/officeDocument/2006/relationships/image" Target="media/image604.png"/><Relationship Id="rId635" Type="http://schemas.openxmlformats.org/officeDocument/2006/relationships/image" Target="media/image605.png"/><Relationship Id="rId636" Type="http://schemas.openxmlformats.org/officeDocument/2006/relationships/image" Target="media/image606.png"/><Relationship Id="rId637" Type="http://schemas.openxmlformats.org/officeDocument/2006/relationships/image" Target="media/image607.png"/><Relationship Id="rId638" Type="http://schemas.openxmlformats.org/officeDocument/2006/relationships/image" Target="media/image608.png"/><Relationship Id="rId639" Type="http://schemas.openxmlformats.org/officeDocument/2006/relationships/image" Target="media/image609.png"/><Relationship Id="rId640" Type="http://schemas.openxmlformats.org/officeDocument/2006/relationships/image" Target="media/image610.png"/><Relationship Id="rId641" Type="http://schemas.openxmlformats.org/officeDocument/2006/relationships/image" Target="media/image611.png"/><Relationship Id="rId642" Type="http://schemas.openxmlformats.org/officeDocument/2006/relationships/image" Target="media/image612.png"/><Relationship Id="rId643" Type="http://schemas.openxmlformats.org/officeDocument/2006/relationships/image" Target="media/image613.png"/><Relationship Id="rId644" Type="http://schemas.openxmlformats.org/officeDocument/2006/relationships/image" Target="media/image614.png"/><Relationship Id="rId645" Type="http://schemas.openxmlformats.org/officeDocument/2006/relationships/image" Target="media/image615.png"/><Relationship Id="rId646" Type="http://schemas.openxmlformats.org/officeDocument/2006/relationships/image" Target="media/image616.png"/><Relationship Id="rId647" Type="http://schemas.openxmlformats.org/officeDocument/2006/relationships/image" Target="media/image617.png"/><Relationship Id="rId648" Type="http://schemas.openxmlformats.org/officeDocument/2006/relationships/image" Target="media/image618.png"/><Relationship Id="rId649" Type="http://schemas.openxmlformats.org/officeDocument/2006/relationships/image" Target="media/image619.png"/><Relationship Id="rId650" Type="http://schemas.openxmlformats.org/officeDocument/2006/relationships/image" Target="media/image620.png"/><Relationship Id="rId651" Type="http://schemas.openxmlformats.org/officeDocument/2006/relationships/image" Target="media/image621.png"/><Relationship Id="rId652" Type="http://schemas.openxmlformats.org/officeDocument/2006/relationships/image" Target="media/image622.png"/><Relationship Id="rId653" Type="http://schemas.openxmlformats.org/officeDocument/2006/relationships/image" Target="media/image623.png"/><Relationship Id="rId654" Type="http://schemas.openxmlformats.org/officeDocument/2006/relationships/image" Target="media/image624.png"/><Relationship Id="rId655" Type="http://schemas.openxmlformats.org/officeDocument/2006/relationships/image" Target="media/image625.png"/><Relationship Id="rId656" Type="http://schemas.openxmlformats.org/officeDocument/2006/relationships/image" Target="media/image626.png"/><Relationship Id="rId657" Type="http://schemas.openxmlformats.org/officeDocument/2006/relationships/image" Target="media/image627.png"/><Relationship Id="rId658" Type="http://schemas.openxmlformats.org/officeDocument/2006/relationships/image" Target="media/image628.png"/><Relationship Id="rId659" Type="http://schemas.openxmlformats.org/officeDocument/2006/relationships/image" Target="media/image629.png"/><Relationship Id="rId660" Type="http://schemas.openxmlformats.org/officeDocument/2006/relationships/image" Target="media/image630.png"/><Relationship Id="rId661" Type="http://schemas.openxmlformats.org/officeDocument/2006/relationships/image" Target="media/image631.png"/><Relationship Id="rId662" Type="http://schemas.openxmlformats.org/officeDocument/2006/relationships/image" Target="media/image632.png"/><Relationship Id="rId663" Type="http://schemas.openxmlformats.org/officeDocument/2006/relationships/image" Target="media/image633.png"/><Relationship Id="rId664" Type="http://schemas.openxmlformats.org/officeDocument/2006/relationships/image" Target="media/image634.png"/><Relationship Id="rId665" Type="http://schemas.openxmlformats.org/officeDocument/2006/relationships/image" Target="media/image635.png"/><Relationship Id="rId666" Type="http://schemas.openxmlformats.org/officeDocument/2006/relationships/image" Target="media/image636.png"/><Relationship Id="rId667" Type="http://schemas.openxmlformats.org/officeDocument/2006/relationships/image" Target="media/image637.png"/><Relationship Id="rId668" Type="http://schemas.openxmlformats.org/officeDocument/2006/relationships/image" Target="media/image638.png"/><Relationship Id="rId669" Type="http://schemas.openxmlformats.org/officeDocument/2006/relationships/image" Target="media/image639.png"/><Relationship Id="rId670" Type="http://schemas.openxmlformats.org/officeDocument/2006/relationships/image" Target="media/image640.png"/><Relationship Id="rId671" Type="http://schemas.openxmlformats.org/officeDocument/2006/relationships/image" Target="media/image641.png"/><Relationship Id="rId672" Type="http://schemas.openxmlformats.org/officeDocument/2006/relationships/image" Target="media/image642.png"/><Relationship Id="rId673" Type="http://schemas.openxmlformats.org/officeDocument/2006/relationships/image" Target="media/image643.png"/><Relationship Id="rId674" Type="http://schemas.openxmlformats.org/officeDocument/2006/relationships/image" Target="media/image644.png"/><Relationship Id="rId675" Type="http://schemas.openxmlformats.org/officeDocument/2006/relationships/image" Target="media/image645.png"/><Relationship Id="rId676" Type="http://schemas.openxmlformats.org/officeDocument/2006/relationships/image" Target="media/image646.png"/><Relationship Id="rId677" Type="http://schemas.openxmlformats.org/officeDocument/2006/relationships/image" Target="media/image647.png"/><Relationship Id="rId678" Type="http://schemas.openxmlformats.org/officeDocument/2006/relationships/image" Target="media/image648.png"/><Relationship Id="rId679" Type="http://schemas.openxmlformats.org/officeDocument/2006/relationships/image" Target="media/image649.png"/><Relationship Id="rId680" Type="http://schemas.openxmlformats.org/officeDocument/2006/relationships/image" Target="media/image650.png"/><Relationship Id="rId681" Type="http://schemas.openxmlformats.org/officeDocument/2006/relationships/image" Target="media/image651.png"/><Relationship Id="rId682" Type="http://schemas.openxmlformats.org/officeDocument/2006/relationships/image" Target="media/image652.png"/><Relationship Id="rId683" Type="http://schemas.openxmlformats.org/officeDocument/2006/relationships/image" Target="media/image653.png"/><Relationship Id="rId684" Type="http://schemas.openxmlformats.org/officeDocument/2006/relationships/image" Target="media/image654.png"/><Relationship Id="rId685" Type="http://schemas.openxmlformats.org/officeDocument/2006/relationships/image" Target="media/image655.png"/><Relationship Id="rId686" Type="http://schemas.openxmlformats.org/officeDocument/2006/relationships/image" Target="media/image656.png"/><Relationship Id="rId687" Type="http://schemas.openxmlformats.org/officeDocument/2006/relationships/image" Target="media/image657.png"/><Relationship Id="rId688" Type="http://schemas.openxmlformats.org/officeDocument/2006/relationships/image" Target="media/image658.png"/><Relationship Id="rId689" Type="http://schemas.openxmlformats.org/officeDocument/2006/relationships/image" Target="media/image659.png"/><Relationship Id="rId690" Type="http://schemas.openxmlformats.org/officeDocument/2006/relationships/image" Target="media/image660.png"/><Relationship Id="rId691" Type="http://schemas.openxmlformats.org/officeDocument/2006/relationships/image" Target="media/image661.png"/><Relationship Id="rId692" Type="http://schemas.openxmlformats.org/officeDocument/2006/relationships/image" Target="media/image662.png"/><Relationship Id="rId693" Type="http://schemas.openxmlformats.org/officeDocument/2006/relationships/image" Target="media/image663.png"/><Relationship Id="rId694" Type="http://schemas.openxmlformats.org/officeDocument/2006/relationships/image" Target="media/image664.png"/><Relationship Id="rId695" Type="http://schemas.openxmlformats.org/officeDocument/2006/relationships/image" Target="media/image665.png"/><Relationship Id="rId696" Type="http://schemas.openxmlformats.org/officeDocument/2006/relationships/image" Target="media/image666.png"/><Relationship Id="rId697" Type="http://schemas.openxmlformats.org/officeDocument/2006/relationships/image" Target="media/image667.png"/><Relationship Id="rId698" Type="http://schemas.openxmlformats.org/officeDocument/2006/relationships/image" Target="media/image668.png"/><Relationship Id="rId699" Type="http://schemas.openxmlformats.org/officeDocument/2006/relationships/image" Target="media/image669.png"/><Relationship Id="rId700" Type="http://schemas.openxmlformats.org/officeDocument/2006/relationships/image" Target="media/image670.png"/><Relationship Id="rId701" Type="http://schemas.openxmlformats.org/officeDocument/2006/relationships/image" Target="media/image671.png"/><Relationship Id="rId702" Type="http://schemas.openxmlformats.org/officeDocument/2006/relationships/image" Target="media/image672.png"/><Relationship Id="rId703" Type="http://schemas.openxmlformats.org/officeDocument/2006/relationships/image" Target="media/image673.png"/><Relationship Id="rId704" Type="http://schemas.openxmlformats.org/officeDocument/2006/relationships/image" Target="media/image674.png"/><Relationship Id="rId705" Type="http://schemas.openxmlformats.org/officeDocument/2006/relationships/image" Target="media/image675.png"/><Relationship Id="rId706" Type="http://schemas.openxmlformats.org/officeDocument/2006/relationships/image" Target="media/image676.png"/><Relationship Id="rId707" Type="http://schemas.openxmlformats.org/officeDocument/2006/relationships/image" Target="media/image677.png"/><Relationship Id="rId708" Type="http://schemas.openxmlformats.org/officeDocument/2006/relationships/image" Target="media/image678.png"/><Relationship Id="rId102" Type="http://schemas.openxmlformats.org/officeDocument/2006/relationships/hyperlink" Target="https://www.sec.gov/Archives/edgar/data/0000003197/000095013102001241/dex3i.txt" TargetMode="External"/><Relationship Id="rId103" Type="http://schemas.openxmlformats.org/officeDocument/2006/relationships/hyperlink" Target="https://www.sec.gov/Archives/edgar/data/3197/000119312517368365/d477604dex31.htm" TargetMode="External"/><Relationship Id="rId104" Type="http://schemas.openxmlformats.org/officeDocument/2006/relationships/hyperlink" Target="https://www.sec.gov/Archives/edgar/data/3197/000156459020008551/cece-ex41_99.htm" TargetMode="External"/><Relationship Id="rId105" Type="http://schemas.openxmlformats.org/officeDocument/2006/relationships/hyperlink" Target="https://www.sec.gov/Archives/edgar/data/3197/000156459019006619/cece-ex101_495.htm" TargetMode="External"/><Relationship Id="rId106" Type="http://schemas.openxmlformats.org/officeDocument/2006/relationships/hyperlink" Target="https://www.sec.gov/Archives/edgar/data/3197/000156459019006619/cece-ex107_496.htm" TargetMode="External"/><Relationship Id="rId107" Type="http://schemas.openxmlformats.org/officeDocument/2006/relationships/hyperlink" Target="https://www.sec.gov/Archives/edgar/data/3197/000119312516590632/d130161dex101.htm" TargetMode="External"/><Relationship Id="rId108" Type="http://schemas.openxmlformats.org/officeDocument/2006/relationships/hyperlink" Target="https://www.sec.gov/Archives/edgar/data/3197/000156459017010062/cece-ex101_240.htm" TargetMode="External"/><Relationship Id="rId109" Type="http://schemas.openxmlformats.org/officeDocument/2006/relationships/hyperlink" Target="https://www.sec.gov/Archives/edgar/data/3197/000156459020050183/cece-ex102_49.htm" TargetMode="External"/><Relationship Id="rId110" Type="http://schemas.openxmlformats.org/officeDocument/2006/relationships/hyperlink" Target="https://www.sec.gov/Archives/edgar/data/3197/000119312520187900/d948376dex43.htm" TargetMode="External"/><Relationship Id="rId111" Type="http://schemas.openxmlformats.org/officeDocument/2006/relationships/hyperlink" Target="https://www.sec.gov/Archives/edgar/data/3197/000119312520187900/d948376dex44.htm" TargetMode="External"/><Relationship Id="rId112" Type="http://schemas.openxmlformats.org/officeDocument/2006/relationships/hyperlink" Target="https://www.sec.gov/Archives/edgar/data/3197/000119312520187900/d948376dex45.htm" TargetMode="External"/><Relationship Id="rId113" Type="http://schemas.openxmlformats.org/officeDocument/2006/relationships/hyperlink" Target="https://www.sec.gov/Archives/edgar/data/3197/000119312515311954/d73522dex106.htm" TargetMode="External"/><Relationship Id="rId116" Type="http://schemas.openxmlformats.org/officeDocument/2006/relationships/hyperlink" Target="https://www.sec.gov/Archives/edgar/data/3197/000119312511067373/dex1012.htm" TargetMode="External"/><Relationship Id="rId117" Type="http://schemas.openxmlformats.org/officeDocument/2006/relationships/hyperlink" Target="https://www.sec.gov/Archives/edgar/data/3197/000119312511067373/dex1013.htm" TargetMode="External"/><Relationship Id="rId118" Type="http://schemas.openxmlformats.org/officeDocument/2006/relationships/hyperlink" Target="https://www.sec.gov/Archives/edgar/data/3197/000119312517171790/d394916dex43.htm" TargetMode="External"/><Relationship Id="rId119" Type="http://schemas.openxmlformats.org/officeDocument/2006/relationships/hyperlink" Target="https://www.sec.gov/Archives/edgar/data/3197/000156459017016752/cece-ex102_87.htm" TargetMode="External"/><Relationship Id="rId120" Type="http://schemas.openxmlformats.org/officeDocument/2006/relationships/hyperlink" Target="https://www.sec.gov/Archives/edgar/data/3197/000156459017016752/cece-ex103_86.htm" TargetMode="External"/><Relationship Id="rId121" Type="http://schemas.openxmlformats.org/officeDocument/2006/relationships/hyperlink" Target="https://www.sec.gov/Archives/edgar/data/3197/000156459017016752/cece-ex104_88.htm" TargetMode="External"/><Relationship Id="rId122" Type="http://schemas.openxmlformats.org/officeDocument/2006/relationships/hyperlink" Target="https://www.sec.gov/Archives/edgar/data/3197/000156459017016752/cece-ex105_89.htm" TargetMode="External"/><Relationship Id="rId123" Type="http://schemas.openxmlformats.org/officeDocument/2006/relationships/hyperlink" Target="https://www.sec.gov/Archives/edgar/data/3197/000156459020029431/cece-ex101_16.htm" TargetMode="External"/><Relationship Id="rId124" Type="http://schemas.openxmlformats.org/officeDocument/2006/relationships/hyperlink" Target="https://www.sec.gov/Archives/edgar/data/3197/000156459021030239/cece-ex101_6.htm" TargetMode="External"/><Relationship Id="rId125" Type="http://schemas.openxmlformats.org/officeDocument/2006/relationships/hyperlink" Target="https://www.sec.gov/Archives/edgar/data/3197/000095017021003303/cece-ex10_1.htm" TargetMode="External"/><Relationship Id="rId126" Type="http://schemas.openxmlformats.org/officeDocument/2006/relationships/hyperlink" Target="https://www.sec.gov/Archives/edgar/data/3197/000119312519170723/d7660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2022-03-14T06:20:52Z</dcterms:created>
  <dcterms:modified xsi:type="dcterms:W3CDTF">2022-03-14T06:20:52Z</dcterms:modified>
</cp:coreProperties>
</file>