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t>As filed with the Securities and Exchange Commission on May 25, 2021</w:t>
      </w:r>
    </w:p>
    <w:p>
      <w:pPr>
        <w:spacing w:after="0" w:line="27" w:lineRule="exact"/>
        <w:rPr>
          <w:sz w:val="24"/>
          <w:szCs w:val="24"/>
          <w:color w:val="auto"/>
        </w:rPr>
      </w:pPr>
    </w:p>
    <w:p>
      <w:pPr>
        <w:ind w:left="8844"/>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REGISTRATION STATEMENT</w:t>
      </w:r>
    </w:p>
    <w:p>
      <w:pPr>
        <w:jc w:val="center"/>
        <w:ind w:right="-3"/>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24" w:type="dxa"/>
        <w:tblCellMar>
          <w:top w:w="0" w:type="dxa"/>
          <w:left w:w="0" w:type="dxa"/>
          <w:bottom w:w="0" w:type="dxa"/>
          <w:right w:w="0" w:type="dxa"/>
        </w:tblCellMar>
      </w:tblPr>
      <w:tr>
        <w:trPr>
          <w:trHeight w:val="212"/>
        </w:trPr>
        <w:tc>
          <w:tcPr>
            <w:tcW w:w="394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1942"/>
              <w:spacing w:after="0"/>
              <w:rPr>
                <w:sz w:val="20"/>
                <w:szCs w:val="20"/>
                <w:color w:val="auto"/>
              </w:rPr>
            </w:pPr>
            <w:r>
              <w:rPr>
                <w:rFonts w:ascii="Arial" w:cs="Arial" w:eastAsia="Arial" w:hAnsi="Arial"/>
                <w:sz w:val="18"/>
                <w:szCs w:val="18"/>
                <w:b w:val="1"/>
                <w:bCs w:val="1"/>
                <w:color w:val="auto"/>
                <w:w w:val="91"/>
              </w:rPr>
              <w:t>13-2566064</w:t>
            </w:r>
          </w:p>
        </w:tc>
      </w:tr>
      <w:tr>
        <w:trPr>
          <w:trHeight w:val="148"/>
        </w:trPr>
        <w:tc>
          <w:tcPr>
            <w:tcW w:w="394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40" w:type="dxa"/>
            <w:vAlign w:val="bottom"/>
          </w:tcPr>
          <w:p>
            <w:pPr>
              <w:jc w:val="center"/>
              <w:ind w:left="19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ind w:left="3224"/>
        <w:spacing w:after="0"/>
        <w:rPr>
          <w:sz w:val="20"/>
          <w:szCs w:val="20"/>
          <w:color w:val="auto"/>
        </w:rPr>
      </w:pPr>
      <w:r>
        <w:rPr>
          <w:rFonts w:ascii="Arial" w:cs="Arial" w:eastAsia="Arial" w:hAnsi="Arial"/>
          <w:sz w:val="18"/>
          <w:szCs w:val="18"/>
          <w:b w:val="1"/>
          <w:bCs w:val="1"/>
          <w:color w:val="auto"/>
        </w:rPr>
        <w:t>14651 North Dallas Parkway, Suite 500, Dallas, Texas 75254</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CECO Environmental Corp. 2021 Equity and Incentive Compensation Plan</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Chasity Henry, Esq.</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Senior Vice President, General Counsel and Corporate Secretary</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CECO Environmental Corp.</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14651 North Dallas Parkway, Suite 500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Dallas, Texas 75254</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(214) 357-6181</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Registered (1)(2)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 (3)</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2,580,698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$8.02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$20,516,549.10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$2,239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hanging="424"/>
        <w:spacing w:after="0"/>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number of shares of common stock, par value $0.01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CECO Environmental Corp. (the</w:t>
      </w:r>
    </w:p>
    <w:p>
      <w:pPr>
        <w:spacing w:after="0" w:line="34" w:lineRule="exact"/>
        <w:rPr>
          <w:rFonts w:ascii="Arial" w:cs="Arial" w:eastAsia="Arial" w:hAnsi="Arial"/>
          <w:sz w:val="17"/>
          <w:szCs w:val="17"/>
          <w:color w:val="auto"/>
        </w:rPr>
      </w:pPr>
    </w:p>
    <w:p>
      <w:pPr>
        <w:ind w:left="424" w:right="120"/>
        <w:spacing w:after="0" w:line="250"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available pursuant to the CECO Environmental Corp. 2021 Equity and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being registered hereon.</w:t>
      </w:r>
    </w:p>
    <w:p>
      <w:pPr>
        <w:ind w:left="424" w:right="3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also covers such additional shares of Common Stock as may become available pursuant to any anti-dilution provisions of the Plan.</w:t>
      </w:r>
    </w:p>
    <w:p>
      <w:pPr>
        <w:ind w:left="424" w:right="48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calculating the amount of the registration fee, pursuant to paragraphs (c) and (h) of Rule 457 of the General Rules and Regulations under the Securities Act, on the basis of the average of the high and low sale prices of the Common Stock on The Nasdaq Stock Market on May 20, 2021, a date that is within five business days prior to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29" w:right="439" w:bottom="732" w:gutter="0" w:footer="0" w:header="0"/>
        </w:sectPr>
      </w:pPr>
    </w:p>
    <w:bookmarkStart w:id="1" w:name="page2"/>
    <w:bookmarkEnd w:id="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Incorporation of Documents by Reference</w:t>
      </w:r>
      <w:r>
        <w:rPr>
          <w:rFonts w:ascii="Arial" w:cs="Arial" w:eastAsia="Arial" w:hAnsi="Arial"/>
          <w:sz w:val="18"/>
          <w:szCs w:val="18"/>
          <w:color w:val="auto"/>
        </w:rPr>
        <w:t>.</w:t>
      </w:r>
    </w:p>
    <w:p>
      <w:pPr>
        <w:spacing w:after="0" w:line="229"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The Registrant is subject to the informational and reporting requirements of Sections 13(a), 13(c), 14 and 15(d)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in accordance therewith, files reports, proxy statements and other information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The following documents have been filed by the Registrant with the Commission and are incorporated herein by reference:</w:t>
      </w:r>
    </w:p>
    <w:p>
      <w:pPr>
        <w:spacing w:after="0" w:line="92" w:lineRule="exact"/>
        <w:rPr>
          <w:sz w:val="20"/>
          <w:szCs w:val="20"/>
          <w:color w:val="auto"/>
        </w:rPr>
      </w:pPr>
    </w:p>
    <w:p>
      <w:pPr>
        <w:ind w:left="964" w:right="180" w:hanging="532"/>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w:t>
      </w:r>
      <w:hyperlink r:id="rId18">
        <w:r>
          <w:rPr>
            <w:rFonts w:ascii="Arial" w:cs="Arial" w:eastAsia="Arial" w:hAnsi="Arial"/>
            <w:sz w:val="18"/>
            <w:szCs w:val="18"/>
            <w:u w:val="single" w:color="auto"/>
            <w:color w:val="0000EE"/>
          </w:rPr>
          <w:t>Annual Report on Form 10-K for the year ended December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(Commission File No. 000-07099), filed March 3, 2021;</w:t>
      </w:r>
    </w:p>
    <w:p>
      <w:pPr>
        <w:spacing w:after="0" w:line="75" w:lineRule="exact"/>
        <w:rPr>
          <w:rFonts w:ascii="Arial" w:cs="Arial" w:eastAsia="Arial" w:hAnsi="Arial"/>
          <w:sz w:val="18"/>
          <w:szCs w:val="18"/>
          <w:color w:val="auto"/>
        </w:rPr>
      </w:pPr>
    </w:p>
    <w:p>
      <w:pPr>
        <w:ind w:left="964" w:right="240" w:hanging="532"/>
        <w:spacing w:after="0" w:line="277"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w:t>
      </w:r>
      <w:hyperlink r:id="rId19">
        <w:r>
          <w:rPr>
            <w:rFonts w:ascii="Arial" w:cs="Arial" w:eastAsia="Arial" w:hAnsi="Arial"/>
            <w:sz w:val="18"/>
            <w:szCs w:val="18"/>
            <w:u w:val="single" w:color="auto"/>
            <w:color w:val="0000EE"/>
          </w:rPr>
          <w:t>Quarterly Report on Form 10-Q for the quarter ended 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(Commission File No. 000-07099), filed May 6, 2021;</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Current Report on Form 8-K (Commission File No. 000-07099) filed </w:t>
      </w:r>
      <w:hyperlink r:id="rId20">
        <w:r>
          <w:rPr>
            <w:rFonts w:ascii="Arial" w:cs="Arial" w:eastAsia="Arial" w:hAnsi="Arial"/>
            <w:sz w:val="18"/>
            <w:szCs w:val="18"/>
            <w:u w:val="single" w:color="auto"/>
            <w:color w:val="0000EE"/>
          </w:rPr>
          <w:t>April 6, 2021 (Item 5.02)</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4" w:hanging="532"/>
        <w:spacing w:after="0" w:line="259" w:lineRule="auto"/>
        <w:tabs>
          <w:tab w:leader="none" w:pos="96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Common Stock contained in the Registrant’s Registration Statement on Form 10 (Commission File No. 000-07099), filed December 13, 1992, as amended by the description of the Common Stock contained in </w:t>
      </w:r>
      <w:hyperlink r:id="rId21">
        <w:r>
          <w:rPr>
            <w:rFonts w:ascii="Arial" w:cs="Arial" w:eastAsia="Arial" w:hAnsi="Arial"/>
            <w:sz w:val="18"/>
            <w:szCs w:val="18"/>
            <w:u w:val="single" w:color="auto"/>
            <w:color w:val="0000EE"/>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Registrant’s Annual Report on Form 10-K for the year ended December 31, 2019 (Commission File No. 000-07099), filed March 4, 2020, and as amended by any subsequent amendment or report filed for the purpose of updating such description.</w:t>
      </w:r>
    </w:p>
    <w:p>
      <w:pPr>
        <w:spacing w:after="0" w:line="187" w:lineRule="exact"/>
        <w:rPr>
          <w:rFonts w:ascii="Arial" w:cs="Arial" w:eastAsia="Arial" w:hAnsi="Arial"/>
          <w:sz w:val="18"/>
          <w:szCs w:val="18"/>
          <w:color w:val="auto"/>
        </w:rPr>
      </w:pPr>
    </w:p>
    <w:p>
      <w:pPr>
        <w:ind w:left="4" w:right="20" w:firstLine="440"/>
        <w:spacing w:after="0" w:line="291" w:lineRule="auto"/>
        <w:rPr>
          <w:sz w:val="20"/>
          <w:szCs w:val="20"/>
          <w:color w:val="auto"/>
        </w:rPr>
      </w:pPr>
      <w:r>
        <w:rPr>
          <w:rFonts w:ascii="Arial" w:cs="Arial" w:eastAsia="Arial" w:hAnsi="Arial"/>
          <w:sz w:val="16"/>
          <w:szCs w:val="16"/>
          <w:color w:val="auto"/>
        </w:rPr>
        <w:t>All documents filed by the Registrant with the Commission pursuant to Sections 13(a), 13(c), 14 and 15(d) of the Exchange Act subsequent to the date of this Registration Statement, and prior to the filing of a post-effective amendment that indicates that all securities offered have been sold or that deregisters all securities then remaining unsold, will be deemed to be incorporated by reference in this Registration Statement and to be part hereof from the date of filing of such documents. 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will not be deemed, except as modified or superseded, to constitute a part of this Registration Statement.</w:t>
      </w:r>
    </w:p>
    <w:p>
      <w:pPr>
        <w:spacing w:after="0" w:line="270"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8"/>
          <w:szCs w:val="18"/>
          <w:color w:val="auto"/>
        </w:rPr>
      </w:pPr>
    </w:p>
    <w:p>
      <w:pPr>
        <w:ind w:left="4" w:right="380" w:firstLine="440"/>
        <w:spacing w:after="0" w:line="287" w:lineRule="auto"/>
        <w:rPr>
          <w:sz w:val="20"/>
          <w:szCs w:val="20"/>
          <w:color w:val="auto"/>
        </w:rPr>
      </w:pPr>
      <w:r>
        <w:rPr>
          <w:rFonts w:ascii="Arial" w:cs="Arial" w:eastAsia="Arial" w:hAnsi="Arial"/>
          <w:sz w:val="16"/>
          <w:szCs w:val="16"/>
          <w:color w:val="auto"/>
        </w:rPr>
        <w:t>Pursuant to the provisions of the General Corporation Law of the State of Delaware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the Registrant has adopted provisions in its certificate of incorporation and bylaws that require the Registrant to indemnify its officers and directors to the fullest extent permitted by law, and eliminate the personal liability of its directors to the Registrant or its stockholders for monetary damages for breach of their duty of due care except</w:t>
      </w:r>
    </w:p>
    <w:p>
      <w:pPr>
        <w:spacing w:after="0" w:line="2" w:lineRule="exact"/>
        <w:rPr>
          <w:rFonts w:ascii="Arial" w:cs="Arial" w:eastAsia="Arial" w:hAnsi="Arial"/>
          <w:sz w:val="18"/>
          <w:szCs w:val="18"/>
          <w:color w:val="auto"/>
        </w:rPr>
      </w:pPr>
    </w:p>
    <w:p>
      <w:pPr>
        <w:ind w:left="4" w:right="120" w:hanging="4"/>
        <w:spacing w:after="0" w:line="273" w:lineRule="auto"/>
        <w:tabs>
          <w:tab w:leader="none" w:pos="249"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any breach of the directors’ duty of loyalty to the corporation or its stockholders, (b) for acts or omissions not in good faith or which involve intentional misconduct or a knowing violation of law, (c) for acts relating to unlawful payment of a dividend or an unlawful stock purchase or redemption or (d) for any transaction from which the director derived an improper personal benefit. These provisions do not eliminate a director’s duty of care. Moreover, the provisions do not apply to claims against a director for violation of certain laws, including federal securities laws.</w:t>
      </w:r>
    </w:p>
    <w:p>
      <w:pPr>
        <w:spacing w:after="0" w:line="176" w:lineRule="exact"/>
        <w:rPr>
          <w:rFonts w:ascii="Arial" w:cs="Arial" w:eastAsia="Arial" w:hAnsi="Arial"/>
          <w:sz w:val="18"/>
          <w:szCs w:val="18"/>
          <w:color w:val="auto"/>
        </w:rPr>
      </w:pPr>
    </w:p>
    <w:p>
      <w:pPr>
        <w:ind w:left="4" w:right="260" w:firstLine="440"/>
        <w:spacing w:after="0" w:line="255" w:lineRule="auto"/>
        <w:rPr>
          <w:sz w:val="20"/>
          <w:szCs w:val="20"/>
          <w:color w:val="auto"/>
        </w:rPr>
      </w:pPr>
      <w:r>
        <w:rPr>
          <w:rFonts w:ascii="Arial" w:cs="Arial" w:eastAsia="Arial" w:hAnsi="Arial"/>
          <w:sz w:val="18"/>
          <w:szCs w:val="18"/>
          <w:color w:val="auto"/>
        </w:rPr>
        <w:t>The Registrant’s certificate of incorporation and bylaws provide for mandatory indemnification of officers and directors of the corporation, including a director or officer of the corporation who is serving at the request of the corporation as a director, officer, employee or agent of another corporation, partnership, joint venture, trust or other enterprise, to the fullest extent permitted under the DGCL. The Registrant may also, at its discretion, provide the same benefits of indemnification to any employee or agent of the corporation. Also, the Registrant is authorized to purchase insurance on behalf of an individual for liabilities incurred whether or not the Registrant would have the power or obligation to indemnify him or her under its bylaws.</w:t>
      </w:r>
    </w:p>
    <w:p>
      <w:pPr>
        <w:spacing w:after="0" w:line="125" w:lineRule="exact"/>
        <w:rPr>
          <w:rFonts w:ascii="Arial" w:cs="Arial" w:eastAsia="Arial" w:hAnsi="Arial"/>
          <w:sz w:val="18"/>
          <w:szCs w:val="18"/>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 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20"/>
                <w:szCs w:val="20"/>
                <w:color w:val="auto"/>
              </w:rPr>
            </w:pPr>
            <w:r>
              <w:rPr>
                <w:rFonts w:ascii="Arial" w:cs="Arial" w:eastAsia="Arial" w:hAnsi="Arial"/>
                <w:sz w:val="14"/>
                <w:szCs w:val="14"/>
                <w:color w:val="auto"/>
                <w:w w:val="94"/>
              </w:rPr>
              <w:t>Exhibit Number</w:t>
            </w: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720" w:type="dxa"/>
            <w:vAlign w:val="bottom"/>
            <w:gridSpan w:val="8"/>
          </w:tcPr>
          <w:p>
            <w:pPr>
              <w:ind w:left="860"/>
              <w:spacing w:after="0"/>
              <w:rPr>
                <w:sz w:val="20"/>
                <w:szCs w:val="20"/>
                <w:color w:val="auto"/>
              </w:rPr>
            </w:pPr>
            <w:r>
              <w:rPr>
                <w:rFonts w:ascii="Arial" w:cs="Arial" w:eastAsia="Arial" w:hAnsi="Arial"/>
                <w:sz w:val="14"/>
                <w:szCs w:val="14"/>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920" w:type="dxa"/>
            <w:vAlign w:val="bottom"/>
          </w:tcPr>
          <w:p>
            <w:pPr>
              <w:spacing w:after="0"/>
              <w:rPr>
                <w:sz w:val="24"/>
                <w:szCs w:val="24"/>
                <w:color w:val="auto"/>
              </w:rPr>
            </w:pPr>
          </w:p>
        </w:tc>
        <w:tc>
          <w:tcPr>
            <w:tcW w:w="9060" w:type="dxa"/>
            <w:vAlign w:val="bottom"/>
            <w:tcBorders>
              <w:bottom w:val="single" w:sz="8" w:color="0000EE"/>
            </w:tcBorders>
            <w:gridSpan w:val="10"/>
          </w:tcPr>
          <w:p>
            <w:pPr>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Certificate of Incorporation (incorporated by reference to Exhibit 3(i) to the Registrant’s Annual Report on Form 10-K for the</w:t>
              </w:r>
            </w:hyperlink>
          </w:p>
        </w:tc>
        <w:tc>
          <w:tcPr>
            <w:tcW w:w="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20" w:type="dxa"/>
            <w:vAlign w:val="bottom"/>
            <w:gridSpan w:val="11"/>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year ended December 31, 2001 (Commission File No. 000-07099))</w:t>
              </w:r>
            </w:hyperlink>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920" w:type="dxa"/>
            <w:vAlign w:val="bottom"/>
          </w:tcPr>
          <w:p>
            <w:pPr>
              <w:spacing w:after="0"/>
              <w:rPr>
                <w:sz w:val="24"/>
                <w:szCs w:val="24"/>
                <w:color w:val="auto"/>
              </w:rPr>
            </w:pPr>
          </w:p>
        </w:tc>
        <w:tc>
          <w:tcPr>
            <w:tcW w:w="9120" w:type="dxa"/>
            <w:vAlign w:val="bottom"/>
            <w:gridSpan w:val="11"/>
          </w:tcPr>
          <w:p>
            <w:pPr>
              <w:spacing w:after="0"/>
              <w:rPr>
                <w:rFonts w:ascii="Arial" w:cs="Arial" w:eastAsia="Arial" w:hAnsi="Arial"/>
                <w:sz w:val="18"/>
                <w:szCs w:val="18"/>
                <w:color w:val="0000EE"/>
                <w:w w:val="95"/>
              </w:rPr>
            </w:pPr>
            <w:hyperlink r:id="rId24">
              <w:r>
                <w:rPr>
                  <w:rFonts w:ascii="Arial" w:cs="Arial" w:eastAsia="Arial" w:hAnsi="Arial"/>
                  <w:sz w:val="18"/>
                  <w:szCs w:val="18"/>
                  <w:color w:val="0000EE"/>
                  <w:w w:val="95"/>
                </w:rPr>
                <w:t>Amended and Restated Bylaws (incorporated by reference to Exhibit 3.1 to the Registrant’s Current Report on Form 8-K</w:t>
              </w:r>
            </w:hyperlink>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4">
              <w:r>
                <w:rPr>
                  <w:rFonts w:ascii="Arial" w:cs="Arial" w:eastAsia="Arial" w:hAnsi="Arial"/>
                  <w:sz w:val="18"/>
                  <w:szCs w:val="18"/>
                  <w:color w:val="0000EE"/>
                  <w:w w:val="91"/>
                </w:rPr>
                <w:t>(Commission File No. 000-07099) filed on December 13, 2017)</w:t>
              </w:r>
            </w:hyperlink>
          </w:p>
        </w:tc>
        <w:tc>
          <w:tcPr>
            <w:tcW w:w="4080" w:type="dxa"/>
            <w:vAlign w:val="bottom"/>
            <w:tcBorders>
              <w:top w:val="single" w:sz="8" w:color="0000EE"/>
            </w:tcBorders>
            <w:gridSpan w:val="4"/>
          </w:tcPr>
          <w:p>
            <w:pPr>
              <w:spacing w:after="0"/>
              <w:rPr>
                <w:sz w:val="17"/>
                <w:szCs w:val="17"/>
                <w:color w:val="auto"/>
              </w:rPr>
            </w:pPr>
          </w:p>
        </w:tc>
        <w:tc>
          <w:tcPr>
            <w:tcW w:w="420" w:type="dxa"/>
            <w:vAlign w:val="bottom"/>
            <w:gridSpan w:val="2"/>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920" w:type="dxa"/>
            <w:vAlign w:val="bottom"/>
          </w:tcPr>
          <w:p>
            <w:pPr>
              <w:spacing w:after="0"/>
              <w:rPr>
                <w:sz w:val="24"/>
                <w:szCs w:val="24"/>
                <w:color w:val="auto"/>
              </w:rPr>
            </w:pPr>
          </w:p>
        </w:tc>
        <w:tc>
          <w:tcPr>
            <w:tcW w:w="9120" w:type="dxa"/>
            <w:vAlign w:val="bottom"/>
            <w:tcBorders>
              <w:bottom w:val="single" w:sz="8" w:color="0000EE"/>
            </w:tcBorders>
            <w:gridSpan w:val="11"/>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CECO Environmental Corp. 2021 Equity and Incentive Compensation Plan (incorporated herein by reference to Appendix I to</w:t>
              </w:r>
            </w:hyperlink>
          </w:p>
        </w:tc>
      </w:tr>
      <w:tr>
        <w:trPr>
          <w:trHeight w:val="196"/>
        </w:trPr>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20" w:type="dxa"/>
            <w:vAlign w:val="bottom"/>
            <w:gridSpan w:val="11"/>
          </w:tcPr>
          <w:p>
            <w:pPr>
              <w:spacing w:after="0" w:line="196" w:lineRule="exact"/>
              <w:rPr>
                <w:rFonts w:ascii="Arial" w:cs="Arial" w:eastAsia="Arial" w:hAnsi="Arial"/>
                <w:sz w:val="18"/>
                <w:szCs w:val="18"/>
                <w:color w:val="0000EE"/>
                <w:w w:val="97"/>
              </w:rPr>
            </w:pPr>
            <w:hyperlink r:id="rId25">
              <w:r>
                <w:rPr>
                  <w:rFonts w:ascii="Arial" w:cs="Arial" w:eastAsia="Arial" w:hAnsi="Arial"/>
                  <w:sz w:val="18"/>
                  <w:szCs w:val="18"/>
                  <w:color w:val="0000EE"/>
                  <w:w w:val="97"/>
                </w:rPr>
                <w:t>the Registrant’s definitive proxy statement on Schedule 14A (Commission File No. 000-07099) filed on April 15, 2021)</w:t>
              </w:r>
            </w:hyperlink>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920" w:type="dxa"/>
            <w:vAlign w:val="bottom"/>
          </w:tcPr>
          <w:p>
            <w:pPr>
              <w:spacing w:after="0"/>
              <w:rPr>
                <w:sz w:val="24"/>
                <w:szCs w:val="24"/>
                <w:color w:val="auto"/>
              </w:rPr>
            </w:pPr>
          </w:p>
        </w:tc>
        <w:tc>
          <w:tcPr>
            <w:tcW w:w="15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Opinion of Jones Day</w:t>
              </w:r>
            </w:hyperlink>
          </w:p>
        </w:tc>
        <w:tc>
          <w:tcPr>
            <w:tcW w:w="7060" w:type="dxa"/>
            <w:vAlign w:val="bottom"/>
            <w:tcBorders>
              <w:top w:val="single" w:sz="8" w:color="0000EE"/>
            </w:tcBorders>
            <w:gridSpan w:val="6"/>
          </w:tcPr>
          <w:p>
            <w:pPr>
              <w:spacing w:after="0"/>
              <w:rPr>
                <w:sz w:val="24"/>
                <w:szCs w:val="24"/>
                <w:color w:val="auto"/>
              </w:rPr>
            </w:pPr>
          </w:p>
        </w:tc>
        <w:tc>
          <w:tcPr>
            <w:tcW w:w="480" w:type="dxa"/>
            <w:vAlign w:val="bottom"/>
            <w:gridSpan w:val="3"/>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920" w:type="dxa"/>
            <w:vAlign w:val="bottom"/>
          </w:tcPr>
          <w:p>
            <w:pPr>
              <w:spacing w:after="0"/>
              <w:rPr>
                <w:sz w:val="24"/>
                <w:szCs w:val="24"/>
                <w:color w:val="auto"/>
              </w:rPr>
            </w:pPr>
          </w:p>
        </w:tc>
        <w:tc>
          <w:tcPr>
            <w:tcW w:w="912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Consent of Independent Registered Public Accounting Firm</w:t>
              </w:r>
            </w:hyperlink>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920" w:type="dxa"/>
            <w:vAlign w:val="bottom"/>
          </w:tcPr>
          <w:p>
            <w:pPr>
              <w:spacing w:after="0"/>
              <w:rPr>
                <w:sz w:val="24"/>
                <w:szCs w:val="24"/>
                <w:color w:val="auto"/>
              </w:rPr>
            </w:pPr>
          </w:p>
        </w:tc>
        <w:tc>
          <w:tcPr>
            <w:tcW w:w="34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Consent of Jones Day (included in Exhibit 5.1)</w:t>
              </w:r>
            </w:hyperlink>
          </w:p>
        </w:tc>
        <w:tc>
          <w:tcPr>
            <w:tcW w:w="920" w:type="dxa"/>
            <w:vAlign w:val="bottom"/>
            <w:tcBorders>
              <w:top w:val="single" w:sz="8" w:color="0000EE"/>
            </w:tcBorders>
          </w:tcPr>
          <w:p>
            <w:pPr>
              <w:spacing w:after="0"/>
              <w:rPr>
                <w:sz w:val="24"/>
                <w:szCs w:val="24"/>
                <w:color w:val="auto"/>
              </w:rPr>
            </w:pPr>
          </w:p>
        </w:tc>
        <w:tc>
          <w:tcPr>
            <w:tcW w:w="4800" w:type="dxa"/>
            <w:vAlign w:val="bottom"/>
            <w:gridSpan w:val="7"/>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920" w:type="dxa"/>
            <w:vAlign w:val="bottom"/>
          </w:tcPr>
          <w:p>
            <w:pPr>
              <w:spacing w:after="0"/>
              <w:rPr>
                <w:sz w:val="24"/>
                <w:szCs w:val="24"/>
                <w:color w:val="auto"/>
              </w:rPr>
            </w:pPr>
          </w:p>
        </w:tc>
        <w:tc>
          <w:tcPr>
            <w:tcW w:w="9120" w:type="dxa"/>
            <w:vAlign w:val="bottom"/>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Power of Attorney</w:t>
              </w:r>
            </w:hyperlink>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r>
        <w:rPr>
          <w:rFonts w:ascii="Arial" w:cs="Arial" w:eastAsia="Arial" w:hAnsi="Arial"/>
          <w:sz w:val="18"/>
          <w:szCs w:val="18"/>
          <w:color w:val="auto"/>
        </w:rPr>
        <w:t>.</w:t>
      </w:r>
    </w:p>
    <w:p>
      <w:pPr>
        <w:spacing w:after="0" w:line="121" w:lineRule="exact"/>
        <w:rPr>
          <w:sz w:val="20"/>
          <w:szCs w:val="20"/>
          <w:color w:val="auto"/>
        </w:rPr>
      </w:pPr>
    </w:p>
    <w:p>
      <w:pPr>
        <w:ind w:left="680" w:hanging="24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00" w:hanging="212"/>
        <w:spacing w:after="0"/>
        <w:tabs>
          <w:tab w:leader="none" w:pos="1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80" w:firstLine="408"/>
        <w:spacing w:after="0" w:line="272" w:lineRule="auto"/>
        <w:tabs>
          <w:tab w:leader="none" w:pos="1646"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980" w:right="720" w:firstLine="408"/>
        <w:spacing w:after="0" w:line="277" w:lineRule="auto"/>
        <w:tabs>
          <w:tab w:leader="none" w:pos="169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40" w:right="380" w:firstLine="423"/>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3" w:name="page4"/>
    <w:bookmarkEnd w:id="3"/>
    <w:p>
      <w:pPr>
        <w:ind w:left="420" w:right="60" w:firstLine="419"/>
        <w:spacing w:after="0" w:line="263" w:lineRule="auto"/>
        <w:tabs>
          <w:tab w:leader="none" w:pos="1098"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5" w:lineRule="exact"/>
        <w:rPr>
          <w:rFonts w:ascii="Arial" w:cs="Arial" w:eastAsia="Arial" w:hAnsi="Arial"/>
          <w:sz w:val="18"/>
          <w:szCs w:val="18"/>
          <w:color w:val="auto"/>
        </w:rPr>
      </w:pPr>
    </w:p>
    <w:p>
      <w:pPr>
        <w:ind w:left="420" w:right="180" w:firstLine="419"/>
        <w:spacing w:after="0" w:line="277" w:lineRule="auto"/>
        <w:tabs>
          <w:tab w:leader="none" w:pos="109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20" w:firstLine="436"/>
        <w:spacing w:after="0" w:line="257"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9" w:lineRule="exact"/>
        <w:rPr>
          <w:rFonts w:ascii="Arial" w:cs="Arial" w:eastAsia="Arial" w:hAnsi="Arial"/>
          <w:sz w:val="18"/>
          <w:szCs w:val="18"/>
          <w:color w:val="auto"/>
        </w:rPr>
      </w:pPr>
    </w:p>
    <w:p>
      <w:pPr>
        <w:ind w:left="-20" w:right="40" w:firstLine="436"/>
        <w:spacing w:after="0" w:line="271" w:lineRule="auto"/>
        <w:tabs>
          <w:tab w:leader="none" w:pos="66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this 25th day of May,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CECO ENVIRONMENTAL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Chasity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Chasity Henry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97" w:lineRule="exact"/>
        <w:rPr>
          <w:sz w:val="20"/>
          <w:szCs w:val="20"/>
          <w:color w:val="auto"/>
        </w:rPr>
      </w:pPr>
    </w:p>
    <w:p>
      <w:pPr>
        <w:ind w:left="1780"/>
        <w:spacing w:after="0"/>
        <w:tabs>
          <w:tab w:leader="none" w:pos="7720" w:val="left"/>
        </w:tabs>
        <w:rPr>
          <w:sz w:val="20"/>
          <w:szCs w:val="20"/>
          <w:color w:val="auto"/>
        </w:rPr>
      </w:pPr>
      <w:r>
        <w:rPr>
          <w:rFonts w:ascii="Arial" w:cs="Arial" w:eastAsia="Arial" w:hAnsi="Arial"/>
          <w:sz w:val="18"/>
          <w:szCs w:val="18"/>
          <w:color w:val="auto"/>
        </w:rPr>
        <w:t>Date: May 25, 2021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Todd Gleason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Chief Executive Officer and Director (Principal Executive</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Officer)</w:t>
      </w:r>
    </w:p>
    <w:p>
      <w:pPr>
        <w:spacing w:after="0" w:line="224" w:lineRule="exact"/>
        <w:rPr>
          <w:sz w:val="20"/>
          <w:szCs w:val="20"/>
          <w:color w:val="auto"/>
        </w:rPr>
      </w:pPr>
    </w:p>
    <w:p>
      <w:pPr>
        <w:ind w:left="1780"/>
        <w:spacing w:after="0"/>
        <w:tabs>
          <w:tab w:leader="none" w:pos="7720" w:val="left"/>
        </w:tabs>
        <w:rPr>
          <w:sz w:val="20"/>
          <w:szCs w:val="20"/>
          <w:color w:val="auto"/>
        </w:rPr>
      </w:pPr>
      <w:r>
        <w:rPr>
          <w:rFonts w:ascii="Arial" w:cs="Arial" w:eastAsia="Arial" w:hAnsi="Arial"/>
          <w:sz w:val="18"/>
          <w:szCs w:val="18"/>
          <w:color w:val="auto"/>
        </w:rPr>
        <w:t>Date: May 25, 2021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(Principal Financial Officer)</w:t>
      </w:r>
    </w:p>
    <w:p>
      <w:pPr>
        <w:spacing w:after="0" w:line="224" w:lineRule="exact"/>
        <w:rPr>
          <w:sz w:val="20"/>
          <w:szCs w:val="20"/>
          <w:color w:val="auto"/>
        </w:rPr>
      </w:pPr>
    </w:p>
    <w:p>
      <w:pPr>
        <w:ind w:left="1780"/>
        <w:spacing w:after="0"/>
        <w:tabs>
          <w:tab w:leader="none" w:pos="7720" w:val="left"/>
        </w:tabs>
        <w:rPr>
          <w:sz w:val="20"/>
          <w:szCs w:val="20"/>
          <w:color w:val="auto"/>
        </w:rPr>
      </w:pPr>
      <w:r>
        <w:rPr>
          <w:rFonts w:ascii="Arial" w:cs="Arial" w:eastAsia="Arial" w:hAnsi="Arial"/>
          <w:sz w:val="18"/>
          <w:szCs w:val="18"/>
          <w:color w:val="auto"/>
        </w:rPr>
        <w:t>Date: May 25, 2021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Paul Gohr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Chief Accounting Officer (Principal Accounting Officer)</w:t>
      </w:r>
    </w:p>
    <w:p>
      <w:pPr>
        <w:spacing w:after="0" w:line="236" w:lineRule="exact"/>
        <w:rPr>
          <w:sz w:val="20"/>
          <w:szCs w:val="20"/>
          <w:color w:val="auto"/>
        </w:rPr>
      </w:pPr>
    </w:p>
    <w:p>
      <w:pPr>
        <w:ind w:left="1780"/>
        <w:spacing w:after="0"/>
        <w:tabs>
          <w:tab w:leader="none" w:pos="7720" w:val="left"/>
        </w:tabs>
        <w:rPr>
          <w:sz w:val="20"/>
          <w:szCs w:val="20"/>
          <w:color w:val="auto"/>
        </w:rPr>
      </w:pPr>
      <w:r>
        <w:rPr>
          <w:rFonts w:ascii="Arial" w:cs="Arial" w:eastAsia="Arial" w:hAnsi="Arial"/>
          <w:sz w:val="18"/>
          <w:szCs w:val="18"/>
          <w:color w:val="auto"/>
        </w:rPr>
        <w:t>Date: May 25, 2021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Jason DeZwirek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of the Board and Director</w:t>
      </w:r>
    </w:p>
    <w:p>
      <w:pPr>
        <w:spacing w:after="0" w:line="224" w:lineRule="exact"/>
        <w:rPr>
          <w:sz w:val="20"/>
          <w:szCs w:val="20"/>
          <w:color w:val="auto"/>
        </w:rPr>
      </w:pPr>
    </w:p>
    <w:p>
      <w:pPr>
        <w:ind w:left="1780"/>
        <w:spacing w:after="0"/>
        <w:tabs>
          <w:tab w:leader="none" w:pos="7720" w:val="left"/>
        </w:tabs>
        <w:rPr>
          <w:sz w:val="20"/>
          <w:szCs w:val="20"/>
          <w:color w:val="auto"/>
        </w:rPr>
      </w:pPr>
      <w:r>
        <w:rPr>
          <w:rFonts w:ascii="Arial" w:cs="Arial" w:eastAsia="Arial" w:hAnsi="Arial"/>
          <w:sz w:val="18"/>
          <w:szCs w:val="18"/>
          <w:color w:val="auto"/>
        </w:rPr>
        <w:t>Date: May 25, 2021</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Eric M. Goldberg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0800"/>
          </w:cols>
          <w:pgMar w:left="440" w:top="270" w:right="659" w:bottom="1440" w:gutter="0" w:footer="0" w:header="0"/>
        </w:sectPr>
      </w:pPr>
    </w:p>
    <w:bookmarkStart w:id="5" w:name="page6"/>
    <w:bookmarkEnd w:id="5"/>
    <w:p>
      <w:pPr>
        <w:ind w:left="1784"/>
        <w:spacing w:after="0"/>
        <w:rPr>
          <w:sz w:val="20"/>
          <w:szCs w:val="20"/>
          <w:color w:val="auto"/>
        </w:rPr>
      </w:pPr>
      <w:r>
        <w:rPr>
          <w:rFonts w:ascii="Arial" w:cs="Arial" w:eastAsia="Arial" w:hAnsi="Arial"/>
          <w:sz w:val="16"/>
          <w:szCs w:val="16"/>
          <w:color w:val="auto"/>
        </w:rPr>
        <w:t>Date: May 25, 2021</w:t>
      </w:r>
    </w:p>
    <w:p>
      <w:pPr>
        <w:spacing w:after="0" w:line="200" w:lineRule="exact"/>
        <w:rPr>
          <w:sz w:val="20"/>
          <w:szCs w:val="20"/>
          <w:color w:val="auto"/>
        </w:rPr>
      </w:pPr>
    </w:p>
    <w:p>
      <w:pPr>
        <w:spacing w:after="0" w:line="305" w:lineRule="exact"/>
        <w:rPr>
          <w:sz w:val="20"/>
          <w:szCs w:val="20"/>
          <w:color w:val="auto"/>
        </w:rPr>
      </w:pPr>
    </w:p>
    <w:p>
      <w:pPr>
        <w:ind w:left="1784"/>
        <w:spacing w:after="0"/>
        <w:rPr>
          <w:sz w:val="20"/>
          <w:szCs w:val="20"/>
          <w:color w:val="auto"/>
        </w:rPr>
      </w:pPr>
      <w:r>
        <w:rPr>
          <w:rFonts w:ascii="Arial" w:cs="Arial" w:eastAsia="Arial" w:hAnsi="Arial"/>
          <w:sz w:val="16"/>
          <w:szCs w:val="16"/>
          <w:color w:val="auto"/>
        </w:rPr>
        <w:t>Date: May 25, 2021</w:t>
      </w:r>
    </w:p>
    <w:p>
      <w:pPr>
        <w:spacing w:after="0" w:line="200" w:lineRule="exact"/>
        <w:rPr>
          <w:sz w:val="20"/>
          <w:szCs w:val="20"/>
          <w:color w:val="auto"/>
        </w:rPr>
      </w:pPr>
    </w:p>
    <w:p>
      <w:pPr>
        <w:spacing w:after="0" w:line="305" w:lineRule="exact"/>
        <w:rPr>
          <w:sz w:val="20"/>
          <w:szCs w:val="20"/>
          <w:color w:val="auto"/>
        </w:rPr>
      </w:pPr>
    </w:p>
    <w:p>
      <w:pPr>
        <w:ind w:left="1784"/>
        <w:spacing w:after="0"/>
        <w:rPr>
          <w:sz w:val="20"/>
          <w:szCs w:val="20"/>
          <w:color w:val="auto"/>
        </w:rPr>
      </w:pPr>
      <w:r>
        <w:rPr>
          <w:rFonts w:ascii="Arial" w:cs="Arial" w:eastAsia="Arial" w:hAnsi="Arial"/>
          <w:sz w:val="16"/>
          <w:szCs w:val="16"/>
          <w:color w:val="auto"/>
        </w:rPr>
        <w:t>Date: May 25, 2021</w:t>
      </w:r>
    </w:p>
    <w:p>
      <w:pPr>
        <w:spacing w:after="0" w:line="200" w:lineRule="exact"/>
        <w:rPr>
          <w:sz w:val="20"/>
          <w:szCs w:val="20"/>
          <w:color w:val="auto"/>
        </w:rPr>
      </w:pPr>
    </w:p>
    <w:p>
      <w:pPr>
        <w:spacing w:after="0" w:line="305" w:lineRule="exact"/>
        <w:rPr>
          <w:sz w:val="20"/>
          <w:szCs w:val="20"/>
          <w:color w:val="auto"/>
        </w:rPr>
      </w:pPr>
    </w:p>
    <w:p>
      <w:pPr>
        <w:ind w:left="1784"/>
        <w:spacing w:after="0"/>
        <w:rPr>
          <w:sz w:val="20"/>
          <w:szCs w:val="20"/>
          <w:color w:val="auto"/>
        </w:rPr>
      </w:pPr>
      <w:r>
        <w:rPr>
          <w:rFonts w:ascii="Arial" w:cs="Arial" w:eastAsia="Arial" w:hAnsi="Arial"/>
          <w:sz w:val="16"/>
          <w:szCs w:val="16"/>
          <w:color w:val="auto"/>
        </w:rPr>
        <w:t>Date: May 25, 2021</w:t>
      </w:r>
    </w:p>
    <w:p>
      <w:pPr>
        <w:spacing w:after="0" w:line="200" w:lineRule="exact"/>
        <w:rPr>
          <w:sz w:val="20"/>
          <w:szCs w:val="20"/>
          <w:color w:val="auto"/>
        </w:rPr>
      </w:pPr>
    </w:p>
    <w:p>
      <w:pPr>
        <w:spacing w:after="0" w:line="305" w:lineRule="exact"/>
        <w:rPr>
          <w:sz w:val="20"/>
          <w:szCs w:val="20"/>
          <w:color w:val="auto"/>
        </w:rPr>
      </w:pPr>
    </w:p>
    <w:p>
      <w:pPr>
        <w:ind w:left="1784"/>
        <w:spacing w:after="0"/>
        <w:rPr>
          <w:sz w:val="20"/>
          <w:szCs w:val="20"/>
          <w:color w:val="auto"/>
        </w:rPr>
      </w:pPr>
      <w:r>
        <w:rPr>
          <w:rFonts w:ascii="Arial" w:cs="Arial" w:eastAsia="Arial" w:hAnsi="Arial"/>
          <w:sz w:val="16"/>
          <w:szCs w:val="16"/>
          <w:color w:val="auto"/>
        </w:rPr>
        <w:t>Date: May 25, 2021</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-215900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8632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B. Liner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863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Claudio A. Mannarino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8632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Munish Nanda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8632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Jonathan Pollack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863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Valerie Gentile Sachs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784" w:space="720"/>
            <w:col w:w="4460"/>
          </w:cols>
          <w:pgMar w:left="436" w:top="274" w:right="499" w:bottom="1440" w:gutter="0" w:footer="0" w:header="0"/>
        </w:sectPr>
      </w:pPr>
    </w:p>
    <w:p>
      <w:pPr>
        <w:spacing w:after="0" w:line="24" w:lineRule="exact"/>
        <w:rPr>
          <w:sz w:val="20"/>
          <w:szCs w:val="20"/>
          <w:color w:val="auto"/>
        </w:rPr>
      </w:pPr>
    </w:p>
    <w:p>
      <w:pPr>
        <w:ind w:left="4" w:hanging="4"/>
        <w:spacing w:after="0" w:line="277" w:lineRule="auto"/>
        <w:tabs>
          <w:tab w:leader="none" w:pos="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Registration Statement has been signed on behalf of the above officers and directors by Chasity Henry, as attorney-in-fact, pursuant to a power of attorney filed as Exhibit 24.1 to this Registration Statement.</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Dated: May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Chasity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Chasity Henry</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30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171450</wp:posOffset>
            </wp:positionV>
            <wp:extent cx="119126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912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NORTH POINT • 901 LAKESIDE AVENUE • CLEVELAND, OHIO 44114.1190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+1.216.586.3939 • FACSIMILE: +1.216.579.0212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25¸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14651 North Dallas Parkway,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75254</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 Filed by CECO Environmental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acted as counsel to CECO Environmental Corp.,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CECO Environmental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Corp. 2021 Equity and Incentive Compensation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In connection with the opinion expressed herein, we have examined such documents,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records and matters of law as we have deemed relevant or necessary for purposes of such opinion. Based on the foregoing, and subject to the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limitations, qualifications and assumptions set forth herein, we are of the opinion that the 2,580,698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common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$0.01 per share, of the Company that may be issued or delivered and sold pursuant to the Plan and the authorized award agreements thereunder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Agreements</w:t>
      </w:r>
      <w:r>
        <w:rPr>
          <w:rFonts w:ascii="Arial" w:cs="Arial" w:eastAsia="Arial" w:hAnsi="Arial"/>
          <w:sz w:val="16"/>
          <w:szCs w:val="16"/>
          <w:color w:val="auto"/>
        </w:rPr>
        <w:t>”) will be, when issued or delivered and sold in accordance with the Plan and the Award Agreements, validly issued, fully paid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nonassessable, provided that the consideration for the Shares is at least equal to the stated par value thereof.</w:t>
      </w:r>
    </w:p>
    <w:p>
      <w:pPr>
        <w:spacing w:after="0" w:line="21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Plan and the Award Agreements will be in full force and effect at all times at which the Shares are issued or delivered or sold by the Company, and that the Company will take no action inconsistent with such resolutions. In rendering the opinion above, we have assumed that each award under the Plan will be approved by the Board of Directors of the Company or an authorized committee of the Board of Directors.</w:t>
      </w:r>
    </w:p>
    <w:p>
      <w:pPr>
        <w:spacing w:after="0" w:line="192" w:lineRule="exact"/>
        <w:rPr>
          <w:sz w:val="20"/>
          <w:szCs w:val="20"/>
          <w:color w:val="auto"/>
        </w:rPr>
      </w:pPr>
    </w:p>
    <w:p>
      <w:pPr>
        <w:jc w:val="both"/>
        <w:ind w:right="500" w:firstLine="440"/>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on Form S-8 filed by the Company to effect the registration of the Shares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1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Jones Day</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AMSTERDAM • ATLANTA • BEIJING • BOSTON • BRISBANE • BRUSSELS • CHICAGO • CLEVELAND • COLUMBUS • DALLAS • DETROIT DUBAI • DÜSSELDORF • FRANKFURT • HONG KONG • HOUSTON • IRVINE • LONDON • LOS ANGELES • MADRID • MELBOURNE MEXICO CITY • MIAMI • MILAN • MINNEAPOLIS • MOSCOW • MUNICH • NEW YORK • PARIS • PERTH • PITTSBURGH • SAN DIEGO SAN FRANCISCO • SÃO PAULO • SAUDI ARABIA • SHANGHAI • SILICON VALLEY • SINGAPORE • SYDNEY • TAIPEI • TOKYO • WASHINGTON</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171450</wp:posOffset>
            </wp:positionV>
            <wp:extent cx="6420485" cy="497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64204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11"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of our reports dated March 3, 2021, relating to the consolidated financial statements, and the effectiveness of CECO Environmental Corp. and Subsidiaries’ internal control over financial reporting, appearing in the Company’s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25, 2021</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24.1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KNOW ALL PERSONS BY THESE PRESENTS, that each of the undersigned officers and directors of CECO Environmental Corp., a Delaware corporation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constitutes and appoints Todd Gleason, Matthew Eckl, Paul Gohr and Chasity Henry, or any of them, each acting alone, as the true and lawful attorney-in-fact or agent, or attorneys-in-fact or agents, for each of the undersigned, with full power of substitution and resubstitution, and in the name, place and stead of each of the undersigned, to execute and file (1) one or more Registration Statements on Form S-8 (the “</w:t>
      </w:r>
      <w:r>
        <w:rPr>
          <w:rFonts w:ascii="Arial" w:cs="Arial" w:eastAsia="Arial" w:hAnsi="Arial"/>
          <w:sz w:val="16"/>
          <w:szCs w:val="16"/>
          <w:b w:val="1"/>
          <w:bCs w:val="1"/>
          <w:i w:val="1"/>
          <w:iCs w:val="1"/>
          <w:color w:val="auto"/>
        </w:rPr>
        <w:t>Form S-8 Registration Statement</w:t>
      </w:r>
      <w:r>
        <w:rPr>
          <w:rFonts w:ascii="Arial" w:cs="Arial" w:eastAsia="Arial" w:hAnsi="Arial"/>
          <w:sz w:val="16"/>
          <w:szCs w:val="16"/>
          <w:color w:val="auto"/>
        </w:rPr>
        <w:t>”) with respect to the registration under the Securities Act of 1933, as amended, of common stock, $0.01 par value per share, of the Registrant issuable or deliverable in connection with the CECO Environmental Corp. 2021 Equity and Incentive Compensation Plan,</w:t>
      </w:r>
    </w:p>
    <w:p>
      <w:pPr>
        <w:spacing w:after="0" w:line="4" w:lineRule="exact"/>
        <w:rPr>
          <w:sz w:val="20"/>
          <w:szCs w:val="20"/>
          <w:color w:val="auto"/>
        </w:rPr>
      </w:pPr>
    </w:p>
    <w:p>
      <w:pPr>
        <w:ind w:left="4" w:right="60" w:hanging="4"/>
        <w:spacing w:after="0" w:line="290" w:lineRule="auto"/>
        <w:tabs>
          <w:tab w:leader="none" w:pos="259"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and all amendments, including post-effective amendments, supplements and exhibits to the Form S-8 Registration Statement and (3) any and all applications or other documents to be filed with the Securities and Exchange Commission or any state securities commission or other regulatory authority or exchange with respect to the securities covered by the Form S-8 Registration Statement, granting unto said attorneys-in-fact and agents, and each of them, full power and authority to do and perform each and every act and thing necessary, appropriate or desirable to be done in and about the premises in order to effectuate the same as fully to all intents and purposes as he or she might or could do if personally present, hereby ratifying and confirming all that said attorneys-in-fact and agents, and each of them, may lawfully do or cause to be done by virtue hereof.</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Power of Attorney may be executed in multiple counterparts, each of which shall be deemed an original with respect to the person executing</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WITNESS WHEREOF, the undersigned have hereunto set their hands as of the 25th day of May 2021:</w:t>
      </w:r>
    </w:p>
    <w:p>
      <w:pPr>
        <w:sectPr>
          <w:pgSz w:w="11900" w:h="16838" w:orient="portrait"/>
          <w:cols w:equalWidth="0" w:num="1">
            <w:col w:w="11024"/>
          </w:cols>
          <w:pgMar w:left="436" w:top="121"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829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Todd Gleason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Chief Executive Officer and Director</w:t>
      </w:r>
    </w:p>
    <w:p>
      <w:pPr>
        <w:spacing w:after="0" w:line="247" w:lineRule="exact"/>
        <w:rPr>
          <w:sz w:val="20"/>
          <w:szCs w:val="20"/>
          <w:color w:val="auto"/>
        </w:rPr>
      </w:pPr>
    </w:p>
    <w:p>
      <w:pPr>
        <w:ind w:left="4"/>
        <w:spacing w:after="0"/>
        <w:rPr>
          <w:sz w:val="20"/>
          <w:szCs w:val="20"/>
          <w:color w:val="auto"/>
        </w:rPr>
      </w:pPr>
      <w:r>
        <w:rPr>
          <w:rFonts w:ascii="Arial" w:cs="Arial" w:eastAsia="Arial" w:hAnsi="Arial"/>
          <w:sz w:val="18"/>
          <w:szCs w:val="18"/>
          <w:color w:val="auto"/>
        </w:rPr>
        <w:t>/s/ Paul Gohr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829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Paul Gohr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Accounting Officer</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 Eric M.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829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Eric M. Goldberg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 Claudio A. Mannarino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82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Claudio A. Mannarino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Jonathan 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282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Jonathan Pollack</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DeZwirek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and Director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David B. Liner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B. Liner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Munish Nanda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Munish Nanda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Valerie Gentile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2143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Valerie Gentile Sachs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sectPr>
      <w:pgSz w:w="11900" w:h="16838" w:orient="portrait"/>
      <w:cols w:equalWidth="0" w:num="2">
        <w:col w:w="5224" w:space="720"/>
        <w:col w:w="5080"/>
      </w:cols>
      <w:pgMar w:left="436"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Letter"/>
      <w:start w:val="1"/>
    </w:lvl>
    <w:lvl w:ilvl="1">
      <w:lvlJc w:val="left"/>
      <w:lvlText w:val="(%2)"/>
      <w:numFmt w:val="decimal"/>
      <w:start w:val="2"/>
    </w:lvl>
  </w:abstractNum>
  <w:abstractNum w:abstractNumId="5">
    <w:nsid w:val="41B71EFB"/>
    <w:multiLevelType w:val="hybridMultilevel"/>
    <w:lvl w:ilvl="0">
      <w:lvlJc w:val="left"/>
      <w:lvlText w:val="(%1)"/>
      <w:numFmt w:val="lowerLetter"/>
      <w:start w:val="2"/>
    </w:lvl>
    <w:lvl w:ilvl="1">
      <w:lvlJc w:val="left"/>
      <w:lvlText w:val="%2"/>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jpeg"/><Relationship Id="rId42" Type="http://schemas.openxmlformats.org/officeDocument/2006/relationships/image" Target="media/image28.jpe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18" Type="http://schemas.openxmlformats.org/officeDocument/2006/relationships/hyperlink" Target="http://www.sec.gov/ix?doc=/Archives/edgar/data/0000003197/000156459021010416/cece-10k_20201231.htm" TargetMode="External"/><Relationship Id="rId19" Type="http://schemas.openxmlformats.org/officeDocument/2006/relationships/hyperlink" Target="http://www.sec.gov/ix?doc=/Archives/edgar/data/0000003197/000156459021024518/cece-10q_20210331.htm" TargetMode="External"/><Relationship Id="rId20" Type="http://schemas.openxmlformats.org/officeDocument/2006/relationships/hyperlink" Target="http://www.sec.gov/ix?doc=/Archives/edgar/data/0000003197/000119312521107777/d35257d8k.htm" TargetMode="External"/><Relationship Id="rId21" Type="http://schemas.openxmlformats.org/officeDocument/2006/relationships/hyperlink" Target="http://www.sec.gov/Archives/edgar/data/3197/000156459020008551/cece-ex41_99.htm" TargetMode="External"/><Relationship Id="rId23" Type="http://schemas.openxmlformats.org/officeDocument/2006/relationships/hyperlink" Target="http://www.sec.gov/Archives/edgar/data/0000003197/000095013102001241/dex3i.txt" TargetMode="External"/><Relationship Id="rId24" Type="http://schemas.openxmlformats.org/officeDocument/2006/relationships/hyperlink" Target="http://www.sec.gov/Archives/edgar/data/0000003197/000119312517368365/d477604dex31.htm" TargetMode="External"/><Relationship Id="rId25" Type="http://schemas.openxmlformats.org/officeDocument/2006/relationships/hyperlink" Target="http://www.sec.gov/Archives/edgar/data/3197/000119312521117463/d116097ddef14a.htm#tx116097_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2021-05-25T15:49:57Z</dcterms:created>
  <dcterms:modified xsi:type="dcterms:W3CDTF">2021-05-25T15:49:57Z</dcterms:modified>
</cp:coreProperties>
</file>