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18" w:space="0" w:color="000000"/>
        </w:pBdr>
        <w:rPr/>
      </w:pPr>
      <w:r>
        <w:rPr/>
      </w:r>
      <w:bookmarkStart w:id="0" w:name="d8k.htm"/>
      <w:bookmarkStart w:id="1" w:name="ksd8k"/>
      <w:bookmarkStart w:id="2" w:name="d8k.htm"/>
      <w:bookmarkStart w:id="3" w:name="ksd8k"/>
      <w:bookmarkEnd w:id="2"/>
      <w:bookmarkEnd w:id="3"/>
    </w:p>
    <w:p>
      <w:pPr>
        <w:pStyle w:val="TextBody"/>
        <w:spacing w:before="45"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180" w:after="0"/>
        <w:jc w:val="center"/>
        <w:rPr>
          <w:rFonts w:ascii="Times New Roman" w:hAnsi="Times New Roman"/>
          <w:b/>
          <w:sz w:val="24"/>
        </w:rPr>
      </w:pPr>
      <w:r>
        <w:rPr>
          <w:rFonts w:ascii="Times New Roman" w:hAnsi="Times New Roman"/>
          <w:b/>
          <w:sz w:val="24"/>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Securities Exchange Act of 1934 </w:t>
      </w:r>
    </w:p>
    <w:p>
      <w:pPr>
        <w:pStyle w:val="TextBody"/>
        <w:spacing w:before="180" w:after="0"/>
        <w:jc w:val="center"/>
        <w:rPr>
          <w:rFonts w:ascii="Times New Roman" w:hAnsi="Times New Roman"/>
          <w:b/>
          <w:sz w:val="20"/>
        </w:rPr>
      </w:pPr>
      <w:r>
        <w:rPr>
          <w:rFonts w:ascii="Times New Roman" w:hAnsi="Times New Roman"/>
          <w:b/>
          <w:sz w:val="20"/>
        </w:rPr>
        <w:t xml:space="preserve">Date of Report (Date of earliest event reported): November 12, 2007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0-7099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(Commission 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 45209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including zip code) </w:t>
      </w:r>
    </w:p>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(416) 593-6543 </w:t>
      </w:r>
    </w:p>
    <w:p>
      <w:pPr>
        <w:pStyle w:val="TextBody"/>
        <w:spacing w:before="18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000000"/>
              </w:rPr>
            </w:pPr>
            <w:r>
              <w:rPr>
                <w:color w:val="00000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2.02.</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spacing w:before="90" w:after="0"/>
        <w:rPr>
          <w:rFonts w:ascii="Times New Roman" w:hAnsi="Times New Roman"/>
          <w:sz w:val="20"/>
        </w:rPr>
      </w:pPr>
      <w:r>
        <w:rPr>
          <w:rFonts w:ascii="Times New Roman" w:hAnsi="Times New Roman"/>
          <w:sz w:val="20"/>
        </w:rPr>
        <w:t xml:space="preserve">On November 12, 2007, CECO Environmental Corp. issued a press release announcing its financial results for the three and nine months ended September 30, 2007. A copy of the press release is attached hereto as Exhibit 99.1 and is incorporated herein. </w:t>
      </w:r>
    </w:p>
    <w:p>
      <w:pPr>
        <w:pStyle w:val="TextBody"/>
        <w:spacing w:before="180" w:after="0"/>
        <w:rPr>
          <w:rFonts w:ascii="Times New Roman" w:hAnsi="Times New Roman"/>
          <w:sz w:val="20"/>
        </w:rPr>
      </w:pPr>
      <w:r>
        <w:rPr>
          <w:rFonts w:ascii="Times New Roman" w:hAnsi="Times New Roman"/>
          <w:sz w:val="20"/>
        </w:rPr>
        <w:t xml:space="preserve">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6"/>
        <w:gridCol w:w="409"/>
        <w:gridCol w:w="9290"/>
      </w:tblGrid>
      <w:tr>
        <w:trPr/>
        <w:tc>
          <w:tcPr>
            <w:tcW w:w="50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sz w:val="4"/>
                <w:szCs w:val="4"/>
              </w:rPr>
            </w:pPr>
            <w:r>
              <w:rPr>
                <w:sz w:val="4"/>
                <w:szCs w:val="4"/>
              </w:rPr>
            </w:r>
          </w:p>
        </w:tc>
        <w:tc>
          <w:tcPr>
            <w:tcW w:w="9290" w:type="dxa"/>
            <w:tcBorders/>
            <w:shd w:fill="auto" w:val="clear"/>
            <w:vAlign w:val="center"/>
          </w:tcPr>
          <w:p>
            <w:pPr>
              <w:pStyle w:val="TableContents"/>
              <w:spacing w:before="0" w:after="283"/>
              <w:rPr>
                <w:sz w:val="4"/>
                <w:szCs w:val="4"/>
              </w:rPr>
            </w:pPr>
            <w:r>
              <w:rPr>
                <w:sz w:val="4"/>
                <w:szCs w:val="4"/>
              </w:rPr>
            </w:r>
          </w:p>
        </w:tc>
      </w:tr>
      <w:tr>
        <w:trPr/>
        <w:tc>
          <w:tcPr>
            <w:tcW w:w="506"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b/>
                <w:sz w:val="14"/>
              </w:rPr>
            </w:pPr>
            <w:r>
              <w:rPr>
                <w:rFonts w:ascii="Times New Roman" w:hAnsi="Times New Roman"/>
                <w:b/>
                <w:sz w:val="14"/>
              </w:rPr>
              <w:t>Exhibit</w:t>
              <w:br/>
              <w:t>Number</w:t>
            </w:r>
          </w:p>
        </w:tc>
        <w:tc>
          <w:tcPr>
            <w:tcW w:w="409" w:type="dxa"/>
            <w:tcBorders/>
            <w:shd w:fill="auto" w:val="clear"/>
            <w:vAlign w:val="bottom"/>
          </w:tcPr>
          <w:p>
            <w:pPr>
              <w:pStyle w:val="TableContents"/>
              <w:spacing w:before="0" w:after="283"/>
              <w:rPr/>
            </w:pPr>
            <w:r>
              <w:rPr/>
              <w:t> </w:t>
            </w:r>
          </w:p>
        </w:tc>
        <w:tc>
          <w:tcPr>
            <w:tcW w:w="9290"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Exhibit Title</w:t>
            </w:r>
          </w:p>
        </w:tc>
      </w:tr>
      <w:tr>
        <w:trPr/>
        <w:tc>
          <w:tcPr>
            <w:tcW w:w="506"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409" w:type="dxa"/>
            <w:tcBorders/>
            <w:shd w:fill="auto" w:val="clear"/>
            <w:vAlign w:val="bottom"/>
          </w:tcPr>
          <w:p>
            <w:pPr>
              <w:pStyle w:val="TableContents"/>
              <w:spacing w:before="0" w:after="283"/>
              <w:rPr/>
            </w:pPr>
            <w:r>
              <w:rPr/>
              <w:t> </w:t>
            </w:r>
          </w:p>
        </w:tc>
        <w:tc>
          <w:tcPr>
            <w:tcW w:w="92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Press Release dated November 12, 2007.</w:t>
            </w:r>
          </w:p>
        </w:tc>
      </w:tr>
    </w:tbl>
    <w:p>
      <w:pPr>
        <w:pStyle w:val="HorizontalLine"/>
        <w:pBdr>
          <w:bottom w:val="double" w:sz="6" w:space="0" w:color="999999"/>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23"/>
        <w:gridCol w:w="119"/>
        <w:gridCol w:w="329"/>
        <w:gridCol w:w="119"/>
        <w:gridCol w:w="5015"/>
      </w:tblGrid>
      <w:tr>
        <w:trPr/>
        <w:tc>
          <w:tcPr>
            <w:tcW w:w="462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015" w:type="dxa"/>
            <w:tcBorders/>
            <w:shd w:fill="auto" w:val="clear"/>
            <w:vAlign w:val="center"/>
          </w:tcPr>
          <w:p>
            <w:pPr>
              <w:pStyle w:val="TableContents"/>
              <w:spacing w:before="0" w:after="283"/>
              <w:rPr>
                <w:sz w:val="4"/>
                <w:szCs w:val="4"/>
              </w:rPr>
            </w:pPr>
            <w:r>
              <w:rPr>
                <w:sz w:val="4"/>
                <w:szCs w:val="4"/>
              </w:rPr>
            </w:r>
          </w:p>
        </w:tc>
      </w:tr>
      <w:tr>
        <w:trPr/>
        <w:tc>
          <w:tcPr>
            <w:tcW w:w="4623" w:type="dxa"/>
            <w:tcBorders/>
            <w:shd w:fill="auto" w:val="clear"/>
          </w:tcPr>
          <w:p>
            <w:pPr>
              <w:pStyle w:val="TableContents"/>
              <w:spacing w:before="0" w:after="283"/>
              <w:rPr>
                <w:rFonts w:ascii="Times New Roman" w:hAnsi="Times New Roman"/>
                <w:sz w:val="20"/>
              </w:rPr>
            </w:pPr>
            <w:r>
              <w:rPr>
                <w:rFonts w:ascii="Times New Roman" w:hAnsi="Times New Roman"/>
                <w:sz w:val="20"/>
              </w:rPr>
              <w:t>Date: November 12, 2007</w:t>
            </w:r>
          </w:p>
        </w:tc>
        <w:tc>
          <w:tcPr>
            <w:tcW w:w="119" w:type="dxa"/>
            <w:tcBorders/>
            <w:shd w:fill="auto" w:val="clear"/>
            <w:vAlign w:val="bottom"/>
          </w:tcPr>
          <w:p>
            <w:pPr>
              <w:pStyle w:val="TableContents"/>
              <w:spacing w:before="0" w:after="283"/>
              <w:rPr/>
            </w:pPr>
            <w:r>
              <w:rPr/>
              <w:t> </w:t>
            </w:r>
          </w:p>
        </w:tc>
        <w:tc>
          <w:tcPr>
            <w:tcW w:w="5463"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623" w:type="dxa"/>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5134" w:type="dxa"/>
            <w:gridSpan w:val="2"/>
            <w:tcBorders/>
            <w:shd w:fill="auto" w:val="clear"/>
            <w:vAlign w:val="center"/>
          </w:tcPr>
          <w:p>
            <w:pPr>
              <w:pStyle w:val="TableContents"/>
              <w:spacing w:before="0" w:after="283"/>
              <w:rPr>
                <w:sz w:val="4"/>
                <w:szCs w:val="4"/>
              </w:rPr>
            </w:pPr>
            <w:r>
              <w:rPr>
                <w:sz w:val="4"/>
                <w:szCs w:val="4"/>
              </w:rPr>
            </w:r>
          </w:p>
        </w:tc>
      </w:tr>
      <w:tr>
        <w:trPr/>
        <w:tc>
          <w:tcPr>
            <w:tcW w:w="462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9" w:type="dxa"/>
            <w:tcBorders/>
            <w:shd w:fill="auto" w:val="clear"/>
            <w:vAlign w:val="bottom"/>
          </w:tcPr>
          <w:p>
            <w:pPr>
              <w:pStyle w:val="TableContents"/>
              <w:spacing w:before="0" w:after="283"/>
              <w:rPr/>
            </w:pPr>
            <w:r>
              <w:rPr/>
              <w:t> </w:t>
            </w:r>
          </w:p>
        </w:tc>
        <w:tc>
          <w:tcPr>
            <w:tcW w:w="5015"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62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50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62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50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Financial Officer</w:t>
            </w:r>
          </w:p>
        </w:tc>
      </w:tr>
      <w:tr>
        <w:trPr/>
        <w:tc>
          <w:tcPr>
            <w:tcW w:w="462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50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and Vice President  Finance and Administration</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TextBody"/>
        <w:spacing w:before="0" w:after="0"/>
        <w:jc w:val="center"/>
        <w:rPr/>
      </w:pPr>
      <w:bookmarkStart w:id="4" w:name="dex991.htm"/>
      <w:bookmarkStart w:id="5" w:name="ksdex991"/>
      <w:bookmarkEnd w:id="4"/>
      <w:bookmarkEnd w:id="5"/>
      <w:r>
        <w:rPr/>
        <w:drawing>
          <wp:inline distT="0" distB="0" distL="0" distR="0">
            <wp:extent cx="2571750"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0" cy="847725"/>
                    </a:xfrm>
                    <a:prstGeom prst="rect">
                      <a:avLst/>
                    </a:prstGeom>
                  </pic:spPr>
                </pic:pic>
              </a:graphicData>
            </a:graphic>
          </wp:inline>
        </w:drawing>
      </w:r>
      <w:r>
        <w:rPr/>
        <w:t xml:space="preserve"> </w:t>
      </w:r>
    </w:p>
    <w:tbl>
      <w:tblPr>
        <w:tblW w:w="5000" w:type="pct"/>
        <w:jc w:val="center"/>
        <w:tblInd w:w="0" w:type="dxa"/>
        <w:tblCellMar>
          <w:top w:w="0" w:type="dxa"/>
          <w:left w:w="0" w:type="dxa"/>
          <w:bottom w:w="0" w:type="dxa"/>
          <w:right w:w="0" w:type="dxa"/>
        </w:tblCellMar>
      </w:tblPr>
      <w:tblGrid>
        <w:gridCol w:w="5104"/>
        <w:gridCol w:w="203"/>
        <w:gridCol w:w="4898"/>
      </w:tblGrid>
      <w:tr>
        <w:trPr/>
        <w:tc>
          <w:tcPr>
            <w:tcW w:w="51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898"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rPr>
                <w:rFonts w:ascii="Times New Roman" w:hAnsi="Times New Roman"/>
                <w:b/>
                <w:sz w:val="20"/>
              </w:rPr>
            </w:pPr>
            <w:r>
              <w:rPr>
                <w:rFonts w:ascii="Times New Roman" w:hAnsi="Times New Roman"/>
                <w:b/>
                <w:sz w:val="20"/>
              </w:rPr>
              <w:t>NASDAQ:CECE</w:t>
            </w:r>
          </w:p>
        </w:tc>
        <w:tc>
          <w:tcPr>
            <w:tcW w:w="203" w:type="dxa"/>
            <w:tcBorders/>
            <w:shd w:fill="auto" w:val="clear"/>
            <w:vAlign w:val="bottom"/>
          </w:tcPr>
          <w:p>
            <w:pPr>
              <w:pStyle w:val="TableContents"/>
              <w:spacing w:before="0" w:after="283"/>
              <w:rPr/>
            </w:pPr>
            <w:r>
              <w:rPr/>
              <w:t> </w:t>
            </w:r>
          </w:p>
        </w:tc>
        <w:tc>
          <w:tcPr>
            <w:tcW w:w="4898" w:type="dxa"/>
            <w:tcBorders/>
            <w:shd w:fill="auto" w:val="clear"/>
          </w:tcPr>
          <w:p>
            <w:pPr>
              <w:pStyle w:val="TableContents"/>
              <w:spacing w:before="0" w:after="283"/>
              <w:jc w:val="right"/>
              <w:rPr>
                <w:rFonts w:ascii="Times New Roman" w:hAnsi="Times New Roman"/>
                <w:b/>
                <w:sz w:val="20"/>
              </w:rPr>
            </w:pPr>
            <w:r>
              <w:rPr>
                <w:rFonts w:ascii="Times New Roman" w:hAnsi="Times New Roman"/>
                <w:b/>
                <w:sz w:val="20"/>
              </w:rPr>
              <w:t>NEWS RELEASE</w:t>
            </w:r>
          </w:p>
        </w:tc>
      </w:tr>
    </w:tbl>
    <w:p>
      <w:pPr>
        <w:pStyle w:val="TextBody"/>
        <w:spacing w:before="180" w:after="0"/>
        <w:jc w:val="center"/>
        <w:rPr>
          <w:rFonts w:ascii="Times New Roman" w:hAnsi="Times New Roman"/>
          <w:b/>
          <w:sz w:val="20"/>
        </w:rPr>
      </w:pPr>
      <w:r>
        <w:rPr>
          <w:rFonts w:ascii="Times New Roman" w:hAnsi="Times New Roman"/>
          <w:b/>
          <w:sz w:val="20"/>
        </w:rPr>
        <w:t xml:space="preserve">CECO ENVIRONMENTAL REPORTS </w:t>
      </w:r>
    </w:p>
    <w:p>
      <w:pPr>
        <w:pStyle w:val="TextBody"/>
        <w:spacing w:before="0" w:after="0"/>
        <w:jc w:val="center"/>
        <w:rPr>
          <w:rFonts w:ascii="Times New Roman" w:hAnsi="Times New Roman"/>
          <w:b/>
          <w:sz w:val="20"/>
        </w:rPr>
      </w:pPr>
      <w:r>
        <w:rPr>
          <w:rFonts w:ascii="Times New Roman" w:hAnsi="Times New Roman"/>
          <w:b/>
          <w:sz w:val="20"/>
        </w:rPr>
        <w:t xml:space="preserve">RECORD THIRD QUARTER AND NINE MONTH 2007 RESULTS </w:t>
      </w:r>
    </w:p>
    <w:p>
      <w:pPr>
        <w:pStyle w:val="TextBody"/>
        <w:spacing w:before="0" w:after="0"/>
        <w:jc w:val="center"/>
        <w:rPr>
          <w:rFonts w:ascii="Times New Roman" w:hAnsi="Times New Roman"/>
          <w:b/>
          <w:sz w:val="20"/>
        </w:rPr>
      </w:pPr>
      <w:r>
        <w:rPr>
          <w:rFonts w:ascii="Times New Roman" w:hAnsi="Times New Roman"/>
          <w:b/>
          <w:sz w:val="20"/>
        </w:rPr>
        <w:t xml:space="preserve">Quarterly Revenues Increase 73% to $65.3 Million </w:t>
      </w:r>
    </w:p>
    <w:p>
      <w:pPr>
        <w:pStyle w:val="TextBody"/>
        <w:spacing w:before="0" w:after="0"/>
        <w:jc w:val="center"/>
        <w:rPr>
          <w:rFonts w:ascii="Times New Roman" w:hAnsi="Times New Roman"/>
          <w:b/>
          <w:sz w:val="20"/>
        </w:rPr>
      </w:pPr>
      <w:r>
        <w:rPr>
          <w:rFonts w:ascii="Times New Roman" w:hAnsi="Times New Roman"/>
          <w:b/>
          <w:sz w:val="20"/>
        </w:rPr>
        <w:t xml:space="preserve">Quarterly Operating Income Increases 141% to $4.1 Million </w:t>
      </w:r>
    </w:p>
    <w:p>
      <w:pPr>
        <w:pStyle w:val="TextBody"/>
        <w:spacing w:before="180" w:after="0"/>
        <w:rPr>
          <w:rFonts w:ascii="Times New Roman" w:hAnsi="Times New Roman"/>
          <w:sz w:val="20"/>
        </w:rPr>
      </w:pPr>
      <w:r>
        <w:rPr>
          <w:rFonts w:ascii="Times New Roman" w:hAnsi="Times New Roman"/>
          <w:b/>
          <w:sz w:val="20"/>
        </w:rPr>
        <w:t xml:space="preserve">NEW YORK, November 12, 2007CECO Environmental Corp. </w:t>
      </w:r>
      <w:r>
        <w:rPr>
          <w:rFonts w:ascii="Times New Roman" w:hAnsi="Times New Roman"/>
          <w:sz w:val="20"/>
        </w:rPr>
        <w:t xml:space="preserve">(NASDAQ:CECE), a leading provider of industrial ventilation and pollution control systems, today announced record third quarter results for the period ended September 30, 2007. </w:t>
      </w:r>
    </w:p>
    <w:p>
      <w:pPr>
        <w:pStyle w:val="TextBody"/>
        <w:spacing w:before="180" w:after="0"/>
        <w:rPr>
          <w:rFonts w:ascii="Times New Roman" w:hAnsi="Times New Roman"/>
          <w:b/>
          <w:sz w:val="20"/>
        </w:rPr>
      </w:pPr>
      <w:r>
        <w:rPr>
          <w:rFonts w:ascii="Times New Roman" w:hAnsi="Times New Roman"/>
          <w:b/>
          <w:sz w:val="20"/>
        </w:rPr>
        <w:t xml:space="preserve">Financial highlights for the third quarter of 2007 compared to the third quarter of 2006 include: </w:t>
      </w:r>
    </w:p>
    <w:p>
      <w:pPr>
        <w:pStyle w:val="TextBody"/>
        <w:spacing w:before="90" w:after="0"/>
        <w:rPr>
          <w:rFonts w:ascii="Times New Roman" w:hAnsi="Times New Roman"/>
          <w:sz w:val="20"/>
        </w:rPr>
      </w:pPr>
      <w:r>
        <w:rPr>
          <w:rFonts w:ascii="Times New Roman" w:hAnsi="Times New Roman"/>
          <w:sz w:val="20"/>
        </w:rPr>
        <w:t xml:space="preserve">Net sales increased 73% to $65.3 million; </w:t>
      </w:r>
    </w:p>
    <w:p>
      <w:pPr>
        <w:pStyle w:val="TextBody"/>
        <w:spacing w:before="180" w:after="0"/>
        <w:rPr>
          <w:rFonts w:ascii="Times New Roman" w:hAnsi="Times New Roman"/>
          <w:sz w:val="20"/>
        </w:rPr>
      </w:pPr>
      <w:r>
        <w:rPr>
          <w:rFonts w:ascii="Times New Roman" w:hAnsi="Times New Roman"/>
          <w:sz w:val="20"/>
        </w:rPr>
        <w:t xml:space="preserve">Gross profit increased 84% to $11.2 million; </w:t>
      </w:r>
    </w:p>
    <w:p>
      <w:pPr>
        <w:pStyle w:val="TextBody"/>
        <w:spacing w:before="180" w:after="0"/>
        <w:rPr>
          <w:rFonts w:ascii="Times New Roman" w:hAnsi="Times New Roman"/>
          <w:sz w:val="20"/>
        </w:rPr>
      </w:pPr>
      <w:r>
        <w:rPr>
          <w:rFonts w:ascii="Times New Roman" w:hAnsi="Times New Roman"/>
          <w:sz w:val="20"/>
        </w:rPr>
        <w:t xml:space="preserve">Operating income increased 141% to $4.1 million; </w:t>
      </w:r>
    </w:p>
    <w:p>
      <w:pPr>
        <w:pStyle w:val="TextBody"/>
        <w:spacing w:before="180" w:after="0"/>
        <w:rPr>
          <w:rFonts w:ascii="Times New Roman" w:hAnsi="Times New Roman"/>
          <w:sz w:val="20"/>
        </w:rPr>
      </w:pPr>
      <w:r>
        <w:rPr>
          <w:rFonts w:ascii="Times New Roman" w:hAnsi="Times New Roman"/>
          <w:sz w:val="20"/>
        </w:rPr>
        <w:t xml:space="preserve">Operating margin increased from 4.4% to 6.3%; </w:t>
      </w:r>
    </w:p>
    <w:p>
      <w:pPr>
        <w:pStyle w:val="TextBody"/>
        <w:spacing w:before="180" w:after="0"/>
        <w:rPr>
          <w:rFonts w:ascii="Times New Roman" w:hAnsi="Times New Roman"/>
          <w:sz w:val="20"/>
        </w:rPr>
      </w:pPr>
      <w:r>
        <w:rPr>
          <w:rFonts w:ascii="Times New Roman" w:hAnsi="Times New Roman"/>
          <w:sz w:val="20"/>
        </w:rPr>
        <w:t xml:space="preserve">Net income GAAP$2.2 million, a 100% increase over 2006; </w:t>
      </w:r>
    </w:p>
    <w:p>
      <w:pPr>
        <w:pStyle w:val="TextBody"/>
        <w:spacing w:before="180" w:after="0"/>
        <w:rPr>
          <w:rFonts w:ascii="Times New Roman" w:hAnsi="Times New Roman"/>
          <w:sz w:val="20"/>
        </w:rPr>
      </w:pPr>
      <w:r>
        <w:rPr>
          <w:rFonts w:ascii="Times New Roman" w:hAnsi="Times New Roman"/>
          <w:sz w:val="20"/>
        </w:rPr>
        <w:t xml:space="preserve">Net income non-GAAP$2.2 million, a 214% increase over 2006 non-GAAP; </w:t>
      </w:r>
    </w:p>
    <w:p>
      <w:pPr>
        <w:pStyle w:val="TextBody"/>
        <w:spacing w:before="180" w:after="0"/>
        <w:rPr>
          <w:rFonts w:ascii="Times New Roman" w:hAnsi="Times New Roman"/>
          <w:sz w:val="20"/>
        </w:rPr>
      </w:pPr>
      <w:r>
        <w:rPr>
          <w:rFonts w:ascii="Times New Roman" w:hAnsi="Times New Roman"/>
          <w:sz w:val="20"/>
        </w:rPr>
        <w:t xml:space="preserve">GAAP Earnings per diluted share increased 75% to $0.14 from $0.08 in 2006; </w:t>
      </w:r>
    </w:p>
    <w:p>
      <w:pPr>
        <w:pStyle w:val="TextBody"/>
        <w:spacing w:before="180" w:after="0"/>
        <w:rPr>
          <w:rFonts w:ascii="Times New Roman" w:hAnsi="Times New Roman"/>
          <w:sz w:val="20"/>
        </w:rPr>
      </w:pPr>
      <w:r>
        <w:rPr>
          <w:rFonts w:ascii="Times New Roman" w:hAnsi="Times New Roman"/>
          <w:sz w:val="20"/>
        </w:rPr>
        <w:t xml:space="preserve">Non-GAAP Earnings per diluted share increased 180% to $0.14 from $0.05. </w:t>
      </w:r>
    </w:p>
    <w:p>
      <w:pPr>
        <w:pStyle w:val="TextBody"/>
        <w:spacing w:before="180" w:after="0"/>
        <w:rPr>
          <w:rFonts w:ascii="Times New Roman" w:hAnsi="Times New Roman"/>
          <w:sz w:val="20"/>
        </w:rPr>
      </w:pPr>
      <w:r>
        <w:rPr>
          <w:rFonts w:ascii="Times New Roman" w:hAnsi="Times New Roman"/>
          <w:sz w:val="20"/>
        </w:rPr>
        <w:t xml:space="preserve">CECOs reported results for the three months ended September 30, 2006 included $409,000 in net non-cash income from the valuation of warrants. </w:t>
      </w:r>
    </w:p>
    <w:p>
      <w:pPr>
        <w:pStyle w:val="TextBody"/>
        <w:spacing w:before="180" w:after="0"/>
        <w:rPr>
          <w:rFonts w:ascii="Times New Roman" w:hAnsi="Times New Roman"/>
          <w:b/>
          <w:sz w:val="20"/>
        </w:rPr>
      </w:pPr>
      <w:r>
        <w:rPr>
          <w:rFonts w:ascii="Times New Roman" w:hAnsi="Times New Roman"/>
          <w:b/>
          <w:sz w:val="20"/>
        </w:rPr>
        <w:t xml:space="preserve">Financial highlights for the nine months ended September 30, 2007 compared to nine months ended September 30, 2006 include: </w:t>
      </w:r>
    </w:p>
    <w:p>
      <w:pPr>
        <w:pStyle w:val="TextBody"/>
        <w:spacing w:before="90" w:after="0"/>
        <w:rPr>
          <w:rFonts w:ascii="Times New Roman" w:hAnsi="Times New Roman"/>
          <w:sz w:val="20"/>
        </w:rPr>
      </w:pPr>
      <w:r>
        <w:rPr>
          <w:rFonts w:ascii="Times New Roman" w:hAnsi="Times New Roman"/>
          <w:sz w:val="20"/>
        </w:rPr>
        <w:t xml:space="preserve">Net sales increased 79% to $168.0 million; </w:t>
      </w:r>
    </w:p>
    <w:p>
      <w:pPr>
        <w:pStyle w:val="TextBody"/>
        <w:spacing w:before="180" w:after="0"/>
        <w:rPr>
          <w:rFonts w:ascii="Times New Roman" w:hAnsi="Times New Roman"/>
          <w:sz w:val="20"/>
        </w:rPr>
      </w:pPr>
      <w:r>
        <w:rPr>
          <w:rFonts w:ascii="Times New Roman" w:hAnsi="Times New Roman"/>
          <w:sz w:val="20"/>
        </w:rPr>
        <w:t xml:space="preserve">Gross profit increased 82% to $28.9 million; </w:t>
      </w:r>
    </w:p>
    <w:p>
      <w:pPr>
        <w:pStyle w:val="TextBody"/>
        <w:spacing w:before="180" w:after="0"/>
        <w:rPr>
          <w:rFonts w:ascii="Times New Roman" w:hAnsi="Times New Roman"/>
          <w:sz w:val="20"/>
        </w:rPr>
      </w:pPr>
      <w:r>
        <w:rPr>
          <w:rFonts w:ascii="Times New Roman" w:hAnsi="Times New Roman"/>
          <w:sz w:val="20"/>
        </w:rPr>
        <w:t xml:space="preserve">Operating income increased 172% to $9.8 million; </w:t>
      </w:r>
    </w:p>
    <w:p>
      <w:pPr>
        <w:pStyle w:val="TextBody"/>
        <w:spacing w:before="180" w:after="0"/>
        <w:rPr>
          <w:rFonts w:ascii="Times New Roman" w:hAnsi="Times New Roman"/>
          <w:sz w:val="20"/>
        </w:rPr>
      </w:pPr>
      <w:r>
        <w:rPr>
          <w:rFonts w:ascii="Times New Roman" w:hAnsi="Times New Roman"/>
          <w:sz w:val="20"/>
        </w:rPr>
        <w:t xml:space="preserve">Net income GAAP$4.5 million (increase of 137%); </w:t>
      </w:r>
    </w:p>
    <w:p>
      <w:pPr>
        <w:pStyle w:val="TextBody"/>
        <w:spacing w:before="180" w:after="0"/>
        <w:rPr>
          <w:rFonts w:ascii="Times New Roman" w:hAnsi="Times New Roman"/>
          <w:sz w:val="20"/>
        </w:rPr>
      </w:pPr>
      <w:r>
        <w:rPr>
          <w:rFonts w:ascii="Times New Roman" w:hAnsi="Times New Roman"/>
          <w:sz w:val="20"/>
        </w:rPr>
        <w:t xml:space="preserve">Net income non-GAAP$5.2 million (increase of 333%); </w:t>
      </w:r>
    </w:p>
    <w:p>
      <w:pPr>
        <w:pStyle w:val="TextBody"/>
        <w:spacing w:before="180" w:after="0"/>
        <w:rPr>
          <w:rFonts w:ascii="Times New Roman" w:hAnsi="Times New Roman"/>
          <w:sz w:val="20"/>
        </w:rPr>
      </w:pPr>
      <w:r>
        <w:rPr>
          <w:rFonts w:ascii="Times New Roman" w:hAnsi="Times New Roman"/>
          <w:sz w:val="20"/>
        </w:rPr>
        <w:t xml:space="preserve">GAAP Earnings per diluted share$0.33 (increase of 120%); </w:t>
      </w:r>
    </w:p>
    <w:p>
      <w:pPr>
        <w:pStyle w:val="TextBody"/>
        <w:spacing w:before="180" w:after="0"/>
        <w:rPr>
          <w:rFonts w:ascii="Times New Roman" w:hAnsi="Times New Roman"/>
          <w:sz w:val="20"/>
        </w:rPr>
      </w:pPr>
      <w:r>
        <w:rPr>
          <w:rFonts w:ascii="Times New Roman" w:hAnsi="Times New Roman"/>
          <w:sz w:val="20"/>
        </w:rPr>
        <w:t xml:space="preserve">Non-GAAP Earnings per diluted share $0.38 (increase of 280%). </w:t>
      </w:r>
    </w:p>
    <w:p>
      <w:pPr>
        <w:pStyle w:val="TextBody"/>
        <w:spacing w:before="180" w:after="0"/>
        <w:rPr>
          <w:rFonts w:ascii="Times New Roman" w:hAnsi="Times New Roman"/>
          <w:sz w:val="20"/>
        </w:rPr>
      </w:pPr>
      <w:r>
        <w:rPr>
          <w:rFonts w:ascii="Times New Roman" w:hAnsi="Times New Roman"/>
          <w:sz w:val="20"/>
        </w:rPr>
        <w:t xml:space="preserve">CECOs reported results for the nine months ended September 30, 2006 included $663,000 in net non-cash income from the valuation of warrants and CECOs reported results for the nine months ended September 30, 2007 include a non-cash interest expense of $740,000 related to retirement of subordinated debt. </w:t>
      </w:r>
    </w:p>
    <w:p>
      <w:pPr>
        <w:pStyle w:val="TextBody"/>
        <w:spacing w:before="180" w:after="0"/>
        <w:rPr>
          <w:rFonts w:ascii="Times New Roman" w:hAnsi="Times New Roman"/>
          <w:sz w:val="20"/>
        </w:rPr>
      </w:pPr>
      <w:r>
        <w:rPr>
          <w:rFonts w:ascii="Times New Roman" w:hAnsi="Times New Roman"/>
          <w:sz w:val="20"/>
        </w:rPr>
        <w:t xml:space="preserve">The adjustments to non-GAAP net income and non-GAAP earnings per diluted share are detailed in the tables below.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Backlog as of September 30, 2007 was $94.4 million compared to $97.1 million as of December 31, 2006. </w:t>
      </w:r>
    </w:p>
    <w:p>
      <w:pPr>
        <w:pStyle w:val="TextBody"/>
        <w:spacing w:before="180" w:after="0"/>
        <w:rPr>
          <w:rFonts w:ascii="Times New Roman" w:hAnsi="Times New Roman"/>
          <w:sz w:val="20"/>
        </w:rPr>
      </w:pPr>
      <w:r>
        <w:rPr>
          <w:rFonts w:ascii="Times New Roman" w:hAnsi="Times New Roman"/>
          <w:sz w:val="20"/>
        </w:rPr>
        <w:t xml:space="preserve">Chairman and CEO, Phillip DeZwirek, stated, Our third quarter results mark our seventh consecutive quarter of record revenues and gross profitability. After eliminating those certain non-cash income and expense items related to the valuation of warrants and the related subordinated debt discount discussed above, our adjusted results for the quarters and nine month periods more accurately reflect our significant progress. </w:t>
      </w:r>
    </w:p>
    <w:p>
      <w:pPr>
        <w:pStyle w:val="TextBody"/>
        <w:spacing w:before="180" w:after="0"/>
        <w:rPr>
          <w:rFonts w:ascii="Times New Roman" w:hAnsi="Times New Roman"/>
          <w:sz w:val="20"/>
        </w:rPr>
      </w:pPr>
      <w:r>
        <w:rPr>
          <w:rFonts w:ascii="Times New Roman" w:hAnsi="Times New Roman"/>
          <w:sz w:val="20"/>
        </w:rPr>
        <w:t xml:space="preserve">Mr. DeZwirek continued, Our order flow this year has remained consistently strong with bookings through October of over $165 million compared to $127 million through October of 2006. Although bookings in 2006 included a large $50 million order received in December, we are currently on pace to meet or exceed that level in 2007 without the benefit of a similar large single order. </w:t>
      </w:r>
    </w:p>
    <w:p>
      <w:pPr>
        <w:pStyle w:val="TextBody"/>
        <w:spacing w:before="180" w:after="0"/>
        <w:rPr>
          <w:rFonts w:ascii="Times New Roman" w:hAnsi="Times New Roman"/>
          <w:sz w:val="20"/>
        </w:rPr>
      </w:pPr>
      <w:r>
        <w:rPr>
          <w:rFonts w:ascii="Times New Roman" w:hAnsi="Times New Roman"/>
          <w:sz w:val="20"/>
        </w:rPr>
        <w:t xml:space="preserve">Rick Blum, COO, commented, It is also worth noting that we recently announced the acquisition of GMD Environmental and that we continue to search for acquisition candidates that fit into our turn-key strategy of horizontal and vertical integration. </w:t>
      </w:r>
    </w:p>
    <w:p>
      <w:pPr>
        <w:pStyle w:val="TextBody"/>
        <w:spacing w:before="180" w:after="0"/>
        <w:rPr>
          <w:rFonts w:ascii="Times New Roman" w:hAnsi="Times New Roman"/>
          <w:sz w:val="20"/>
        </w:rPr>
      </w:pPr>
      <w:r>
        <w:rPr>
          <w:rFonts w:ascii="Times New Roman" w:hAnsi="Times New Roman"/>
          <w:sz w:val="20"/>
        </w:rPr>
        <w:t xml:space="preserve">CECO will release earnings and hold its quarterly conference call to discuss third quarter results on Monday, November 12, 2007. Earnings will be released at 8:30 a.m. EST and the conference call will be held at 10:00 a.m. Eastern Standard Time (9:00 a.m. Central Time). </w:t>
      </w:r>
    </w:p>
    <w:p>
      <w:pPr>
        <w:pStyle w:val="TextBody"/>
        <w:spacing w:before="180" w:after="0"/>
        <w:rPr>
          <w:rFonts w:ascii="Times New Roman" w:hAnsi="Times New Roman"/>
          <w:sz w:val="20"/>
        </w:rPr>
      </w:pPr>
      <w:r>
        <w:rPr>
          <w:rFonts w:ascii="Times New Roman" w:hAnsi="Times New Roman"/>
          <w:sz w:val="20"/>
        </w:rPr>
        <w:t xml:space="preserve">Dial in number: 866.202.0886 </w:t>
      </w:r>
    </w:p>
    <w:p>
      <w:pPr>
        <w:pStyle w:val="TextBody"/>
        <w:spacing w:before="0" w:after="0"/>
        <w:rPr>
          <w:rFonts w:ascii="Times New Roman" w:hAnsi="Times New Roman"/>
          <w:sz w:val="20"/>
        </w:rPr>
      </w:pPr>
      <w:r>
        <w:rPr>
          <w:rFonts w:ascii="Times New Roman" w:hAnsi="Times New Roman"/>
          <w:sz w:val="20"/>
        </w:rPr>
        <w:t xml:space="preserve">International: 617.213.8841 </w:t>
      </w:r>
    </w:p>
    <w:p>
      <w:pPr>
        <w:pStyle w:val="TextBody"/>
        <w:spacing w:before="0" w:after="0"/>
        <w:rPr>
          <w:rFonts w:ascii="Times New Roman" w:hAnsi="Times New Roman"/>
          <w:sz w:val="20"/>
        </w:rPr>
      </w:pPr>
      <w:r>
        <w:rPr>
          <w:rFonts w:ascii="Times New Roman" w:hAnsi="Times New Roman"/>
          <w:sz w:val="20"/>
        </w:rPr>
        <w:t xml:space="preserve">Passcode: 49675017 </w:t>
      </w:r>
    </w:p>
    <w:p>
      <w:pPr>
        <w:pStyle w:val="TextBody"/>
        <w:spacing w:before="180" w:after="0"/>
        <w:rPr>
          <w:rFonts w:ascii="Times New Roman" w:hAnsi="Times New Roman"/>
          <w:sz w:val="20"/>
        </w:rPr>
      </w:pPr>
      <w:r>
        <w:rPr>
          <w:rFonts w:ascii="Times New Roman" w:hAnsi="Times New Roman"/>
          <w:sz w:val="20"/>
        </w:rPr>
        <w:t xml:space="preserve">Additional information on CECOs reported results, including a reconciliation of the non-GAAP adjusted results, are included in the financial tables below. </w:t>
      </w:r>
    </w:p>
    <w:p>
      <w:pPr>
        <w:pStyle w:val="TextBody"/>
        <w:spacing w:before="270" w:after="0"/>
        <w:rPr>
          <w:rFonts w:ascii="Times New Roman" w:hAnsi="Times New Roman"/>
          <w:b/>
          <w:sz w:val="20"/>
        </w:rPr>
      </w:pPr>
      <w:r>
        <w:rPr>
          <w:rFonts w:ascii="Times New Roman" w:hAnsi="Times New Roman"/>
          <w:b/>
          <w:sz w:val="20"/>
        </w:rPr>
        <w:t xml:space="preserve">ABOUT CECO ENVIRONMENTAL </w:t>
      </w:r>
    </w:p>
    <w:p>
      <w:pPr>
        <w:pStyle w:val="TextBody"/>
        <w:spacing w:before="90" w:after="0"/>
        <w:rPr>
          <w:rFonts w:ascii="Times New Roman" w:hAnsi="Times New Roman"/>
          <w:sz w:val="20"/>
        </w:rPr>
      </w:pPr>
      <w:r>
        <w:rPr>
          <w:rFonts w:ascii="Times New Roman" w:hAnsi="Times New Roman"/>
          <w:sz w:val="20"/>
        </w:rPr>
        <w:t xml:space="preserve">CECO Environmental Corp. is North America's largest independent air pollution control company. Through its nine subsidiariesBusch, CECOaire, CECO Filters, CECO Abatement Systems, kbd/Technic, Kirk &amp; Blum, H. M. White, Inc. Effox and GMD EnvironmentalCECO provides a wide spectrum of air quality services and products including: industrial air filters, environmental maintenance, monitoring and management services, and air quality improvements systems. CECO is a full-service provider to the steel, military, aluminum, automotive, ethanol, aerospace, electric power, semiconductor, chemical, cement, metalworking, glass, foundry and virtually all industrial process industries. </w:t>
      </w:r>
    </w:p>
    <w:p>
      <w:pPr>
        <w:pStyle w:val="TextBody"/>
        <w:spacing w:before="180" w:after="0"/>
        <w:rPr>
          <w:rFonts w:ascii="Times New Roman" w:hAnsi="Times New Roman"/>
          <w:sz w:val="20"/>
        </w:rPr>
      </w:pPr>
      <w:r>
        <w:rPr>
          <w:rFonts w:ascii="Times New Roman" w:hAnsi="Times New Roman"/>
          <w:sz w:val="20"/>
        </w:rPr>
        <w:t xml:space="preserve">For more information on CECO Environmental please visit the Company's website at http://www.cecoenviro.com/ </w:t>
      </w:r>
    </w:p>
    <w:p>
      <w:pPr>
        <w:pStyle w:val="TextBody"/>
        <w:spacing w:before="180" w:after="0"/>
        <w:rPr>
          <w:rFonts w:ascii="Times New Roman" w:hAnsi="Times New Roman"/>
          <w:sz w:val="20"/>
        </w:rPr>
      </w:pPr>
      <w:r>
        <w:rPr>
          <w:rFonts w:ascii="Times New Roman" w:hAnsi="Times New Roman"/>
          <w:sz w:val="20"/>
        </w:rPr>
        <w:t xml:space="preserve">Contact: </w:t>
      </w:r>
    </w:p>
    <w:p>
      <w:pPr>
        <w:pStyle w:val="TextBody"/>
        <w:spacing w:before="0" w:after="0"/>
        <w:rPr>
          <w:rFonts w:ascii="Times New Roman" w:hAnsi="Times New Roman"/>
          <w:sz w:val="20"/>
        </w:rPr>
      </w:pPr>
      <w:r>
        <w:rPr>
          <w:rFonts w:ascii="Times New Roman" w:hAnsi="Times New Roman"/>
          <w:sz w:val="20"/>
        </w:rPr>
        <w:t xml:space="preserve">Corporate Information </w:t>
      </w:r>
    </w:p>
    <w:p>
      <w:pPr>
        <w:pStyle w:val="TextBody"/>
        <w:spacing w:before="0" w:after="0"/>
        <w:rPr>
          <w:rFonts w:ascii="Times New Roman" w:hAnsi="Times New Roman"/>
          <w:sz w:val="20"/>
        </w:rPr>
      </w:pPr>
      <w:r>
        <w:rPr>
          <w:rFonts w:ascii="Times New Roman" w:hAnsi="Times New Roman"/>
          <w:sz w:val="20"/>
        </w:rPr>
        <w:t xml:space="preserve">Phillip DeZwirek, CECO Environmental Corp. </w:t>
      </w:r>
    </w:p>
    <w:p>
      <w:pPr>
        <w:pStyle w:val="TextBody"/>
        <w:spacing w:before="0" w:after="0"/>
        <w:rPr>
          <w:rFonts w:ascii="Times New Roman" w:hAnsi="Times New Roman"/>
          <w:sz w:val="20"/>
        </w:rPr>
      </w:pPr>
      <w:r>
        <w:rPr>
          <w:rFonts w:ascii="Times New Roman" w:hAnsi="Times New Roman"/>
          <w:sz w:val="20"/>
        </w:rPr>
        <w:t xml:space="preserve">Email: investors@cecoenviro.com </w:t>
      </w:r>
    </w:p>
    <w:p>
      <w:pPr>
        <w:pStyle w:val="TextBody"/>
        <w:spacing w:before="0" w:after="0"/>
        <w:rPr>
          <w:rFonts w:ascii="Times New Roman" w:hAnsi="Times New Roman"/>
          <w:sz w:val="20"/>
        </w:rPr>
      </w:pPr>
      <w:r>
        <w:rPr>
          <w:rFonts w:ascii="Times New Roman" w:hAnsi="Times New Roman"/>
          <w:sz w:val="20"/>
        </w:rPr>
        <w:t xml:space="preserve">1-800-606-CECO (2326) </w:t>
      </w:r>
      <w:r>
        <w:br w:type="page"/>
      </w:r>
    </w:p>
    <w:p>
      <w:pPr>
        <w:pStyle w:val="HorizontalLine"/>
        <w:pBdr>
          <w:bottom w:val="double" w:sz="6" w:space="0" w:color="999999"/>
        </w:pBdr>
        <w:rPr/>
      </w:pP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CONDENSED CONSOLIDATED STATEMENTS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Dollars in millions,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931"/>
        <w:gridCol w:w="447"/>
        <w:gridCol w:w="125"/>
        <w:gridCol w:w="956"/>
        <w:gridCol w:w="80"/>
        <w:gridCol w:w="393"/>
        <w:gridCol w:w="125"/>
        <w:gridCol w:w="956"/>
        <w:gridCol w:w="80"/>
        <w:gridCol w:w="393"/>
        <w:gridCol w:w="124"/>
        <w:gridCol w:w="956"/>
        <w:gridCol w:w="80"/>
        <w:gridCol w:w="393"/>
        <w:gridCol w:w="125"/>
        <w:gridCol w:w="956"/>
        <w:gridCol w:w="85"/>
      </w:tblGrid>
      <w:tr>
        <w:trPr/>
        <w:tc>
          <w:tcPr>
            <w:tcW w:w="393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r>
      <w:tr>
        <w:trPr/>
        <w:tc>
          <w:tcPr>
            <w:tcW w:w="3931"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63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SEPTEMBER 30,</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2634"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NINE MONTHS ENDED</w:t>
              <w:br/>
              <w:t>SEPTEMBER 30,</w:t>
            </w:r>
          </w:p>
        </w:tc>
        <w:tc>
          <w:tcPr>
            <w:tcW w:w="85" w:type="dxa"/>
            <w:tcBorders/>
            <w:shd w:fill="auto"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0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0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0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5" w:type="dxa"/>
            <w:tcBorders/>
            <w:shd w:fill="auto" w:val="clear"/>
            <w:vAlign w:val="bottom"/>
          </w:tcPr>
          <w:p>
            <w:pPr>
              <w:pStyle w:val="TableContents"/>
              <w:spacing w:before="0" w:after="283"/>
              <w:rPr/>
            </w:pPr>
            <w:r>
              <w:rPr/>
              <w:t> </w:t>
            </w:r>
          </w:p>
        </w:tc>
      </w:tr>
      <w:tr>
        <w:trPr/>
        <w:tc>
          <w:tcPr>
            <w:tcW w:w="3931"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4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65.3</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37.7</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168.0</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93.9</w:t>
            </w:r>
          </w:p>
        </w:tc>
        <w:tc>
          <w:tcPr>
            <w:tcW w:w="85" w:type="dxa"/>
            <w:tcBorders/>
            <w:shd w:fill="CCEEFF" w:val="clear"/>
            <w:vAlign w:val="bottom"/>
          </w:tcPr>
          <w:p>
            <w:pPr>
              <w:pStyle w:val="TableContents"/>
              <w:spacing w:before="0" w:after="283"/>
              <w:rPr/>
            </w:pPr>
            <w:r>
              <w:rPr/>
              <w:t> </w:t>
            </w:r>
          </w:p>
        </w:tc>
      </w:tr>
      <w:tr>
        <w:trPr/>
        <w:tc>
          <w:tcPr>
            <w:tcW w:w="3931"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4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r>
      <w:tr>
        <w:trPr/>
        <w:tc>
          <w:tcPr>
            <w:tcW w:w="3931"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sales</w:t>
            </w:r>
          </w:p>
        </w:tc>
        <w:tc>
          <w:tcPr>
            <w:tcW w:w="4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54.1</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139.1</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78.0</w:t>
            </w:r>
          </w:p>
        </w:tc>
        <w:tc>
          <w:tcPr>
            <w:tcW w:w="85" w:type="dxa"/>
            <w:tcBorders/>
            <w:shd w:fill="CCEEFF"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3931" w:type="dxa"/>
            <w:tcBorders/>
            <w:shd w:fill="auto" w:val="clear"/>
          </w:tcPr>
          <w:p>
            <w:pPr>
              <w:pStyle w:val="TableContents"/>
              <w:spacing w:before="0" w:after="283"/>
              <w:rPr>
                <w:rFonts w:ascii="Times New Roman" w:hAnsi="Times New Roman"/>
                <w:sz w:val="20"/>
              </w:rPr>
            </w:pPr>
            <w:r>
              <w:rPr>
                <w:rFonts w:ascii="Times New Roman" w:hAnsi="Times New Roman"/>
                <w:sz w:val="20"/>
              </w:rPr>
              <w:t>Gross profit (excluding depreciation)</w:t>
            </w:r>
          </w:p>
        </w:tc>
        <w:tc>
          <w:tcPr>
            <w:tcW w:w="4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28.9</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w:t>
            </w:r>
          </w:p>
        </w:tc>
        <w:tc>
          <w:tcPr>
            <w:tcW w:w="85" w:type="dxa"/>
            <w:tcBorders/>
            <w:shd w:fill="auto" w:val="clear"/>
            <w:vAlign w:val="bottom"/>
          </w:tcPr>
          <w:p>
            <w:pPr>
              <w:pStyle w:val="TableContents"/>
              <w:spacing w:before="0" w:after="283"/>
              <w:rPr/>
            </w:pPr>
            <w:r>
              <w:rPr/>
              <w:t> </w:t>
            </w:r>
          </w:p>
        </w:tc>
      </w:tr>
      <w:tr>
        <w:trPr/>
        <w:tc>
          <w:tcPr>
            <w:tcW w:w="3931"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4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85" w:type="dxa"/>
            <w:tcBorders/>
            <w:shd w:fill="CCEEFF" w:val="clear"/>
            <w:vAlign w:val="bottom"/>
          </w:tcPr>
          <w:p>
            <w:pPr>
              <w:pStyle w:val="TableContents"/>
              <w:spacing w:before="0" w:after="283"/>
              <w:rPr/>
            </w:pPr>
            <w:r>
              <w:rPr/>
              <w:t> </w:t>
            </w:r>
          </w:p>
        </w:tc>
      </w:tr>
      <w:tr>
        <w:trPr/>
        <w:tc>
          <w:tcPr>
            <w:tcW w:w="3931"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4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w:t>
            </w:r>
          </w:p>
        </w:tc>
        <w:tc>
          <w:tcPr>
            <w:tcW w:w="85" w:type="dxa"/>
            <w:tcBorders/>
            <w:shd w:fill="auto"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3931"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operations</w:t>
            </w:r>
          </w:p>
        </w:tc>
        <w:tc>
          <w:tcPr>
            <w:tcW w:w="4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85" w:type="dxa"/>
            <w:tcBorders/>
            <w:shd w:fill="CCEEFF" w:val="clear"/>
            <w:vAlign w:val="bottom"/>
          </w:tcPr>
          <w:p>
            <w:pPr>
              <w:pStyle w:val="TableContents"/>
              <w:spacing w:before="0" w:after="283"/>
              <w:rPr/>
            </w:pPr>
            <w:r>
              <w:rPr/>
              <w:t> </w:t>
            </w:r>
          </w:p>
        </w:tc>
      </w:tr>
      <w:tr>
        <w:trPr>
          <w:trHeight w:val="120" w:hRule="atLeast"/>
        </w:trPr>
        <w:tc>
          <w:tcPr>
            <w:tcW w:w="3931" w:type="dxa"/>
            <w:tcBorders/>
            <w:shd w:fill="auto" w:val="clear"/>
            <w:vAlign w:val="center"/>
          </w:tcPr>
          <w:p>
            <w:pPr>
              <w:pStyle w:val="TableContents"/>
              <w:spacing w:before="0" w:after="283"/>
              <w:rPr>
                <w:sz w:val="4"/>
                <w:szCs w:val="4"/>
              </w:rPr>
            </w:pPr>
            <w:r>
              <w:rPr>
                <w:sz w:val="4"/>
                <w:szCs w:val="4"/>
              </w:rPr>
            </w:r>
          </w:p>
        </w:tc>
        <w:tc>
          <w:tcPr>
            <w:tcW w:w="1608" w:type="dxa"/>
            <w:gridSpan w:val="4"/>
            <w:tcBorders/>
            <w:shd w:fill="auto" w:val="clear"/>
            <w:vAlign w:val="center"/>
          </w:tcPr>
          <w:p>
            <w:pPr>
              <w:pStyle w:val="TableContents"/>
              <w:spacing w:before="0" w:after="283"/>
              <w:rPr>
                <w:sz w:val="4"/>
                <w:szCs w:val="4"/>
              </w:rPr>
            </w:pPr>
            <w:r>
              <w:rPr>
                <w:sz w:val="4"/>
                <w:szCs w:val="4"/>
              </w:rPr>
            </w:r>
          </w:p>
        </w:tc>
        <w:tc>
          <w:tcPr>
            <w:tcW w:w="1554"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559" w:type="dxa"/>
            <w:gridSpan w:val="4"/>
            <w:tcBorders/>
            <w:shd w:fill="auto" w:val="clear"/>
            <w:vAlign w:val="center"/>
          </w:tcPr>
          <w:p>
            <w:pPr>
              <w:pStyle w:val="TableContents"/>
              <w:spacing w:before="0" w:after="283"/>
              <w:rPr>
                <w:sz w:val="4"/>
                <w:szCs w:val="4"/>
              </w:rPr>
            </w:pPr>
            <w:r>
              <w:rPr>
                <w:sz w:val="4"/>
                <w:szCs w:val="4"/>
              </w:rPr>
            </w:r>
          </w:p>
        </w:tc>
      </w:tr>
      <w:tr>
        <w:trPr/>
        <w:tc>
          <w:tcPr>
            <w:tcW w:w="3931"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w:t>
            </w:r>
          </w:p>
        </w:tc>
        <w:tc>
          <w:tcPr>
            <w:tcW w:w="4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85" w:type="dxa"/>
            <w:tcBorders/>
            <w:shd w:fill="auto" w:val="clear"/>
            <w:vAlign w:val="bottom"/>
          </w:tcPr>
          <w:p>
            <w:pPr>
              <w:pStyle w:val="TableContents"/>
              <w:spacing w:before="0" w:after="283"/>
              <w:rPr/>
            </w:pPr>
            <w:r>
              <w:rPr/>
              <w:t> </w:t>
            </w:r>
          </w:p>
        </w:tc>
      </w:tr>
      <w:tr>
        <w:trPr>
          <w:trHeight w:val="120" w:hRule="atLeast"/>
        </w:trPr>
        <w:tc>
          <w:tcPr>
            <w:tcW w:w="3931" w:type="dxa"/>
            <w:tcBorders/>
            <w:shd w:fill="auto" w:val="clear"/>
            <w:vAlign w:val="center"/>
          </w:tcPr>
          <w:p>
            <w:pPr>
              <w:pStyle w:val="TableContents"/>
              <w:spacing w:before="0" w:after="283"/>
              <w:rPr>
                <w:sz w:val="4"/>
                <w:szCs w:val="4"/>
              </w:rPr>
            </w:pPr>
            <w:r>
              <w:rPr>
                <w:sz w:val="4"/>
                <w:szCs w:val="4"/>
              </w:rPr>
            </w:r>
          </w:p>
        </w:tc>
        <w:tc>
          <w:tcPr>
            <w:tcW w:w="1608" w:type="dxa"/>
            <w:gridSpan w:val="4"/>
            <w:tcBorders/>
            <w:shd w:fill="auto" w:val="clear"/>
            <w:vAlign w:val="center"/>
          </w:tcPr>
          <w:p>
            <w:pPr>
              <w:pStyle w:val="TableContents"/>
              <w:spacing w:before="0" w:after="283"/>
              <w:rPr>
                <w:sz w:val="4"/>
                <w:szCs w:val="4"/>
              </w:rPr>
            </w:pPr>
            <w:r>
              <w:rPr>
                <w:sz w:val="4"/>
                <w:szCs w:val="4"/>
              </w:rPr>
            </w:r>
          </w:p>
        </w:tc>
        <w:tc>
          <w:tcPr>
            <w:tcW w:w="1554"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559" w:type="dxa"/>
            <w:gridSpan w:val="4"/>
            <w:tcBorders/>
            <w:shd w:fill="auto" w:val="clear"/>
            <w:vAlign w:val="center"/>
          </w:tcPr>
          <w:p>
            <w:pPr>
              <w:pStyle w:val="TableContents"/>
              <w:spacing w:before="0" w:after="283"/>
              <w:rPr>
                <w:sz w:val="4"/>
                <w:szCs w:val="4"/>
              </w:rPr>
            </w:pPr>
            <w:r>
              <w:rPr>
                <w:sz w:val="4"/>
                <w:szCs w:val="4"/>
              </w:rPr>
            </w:r>
          </w:p>
        </w:tc>
      </w:tr>
      <w:tr>
        <w:trPr/>
        <w:tc>
          <w:tcPr>
            <w:tcW w:w="3931"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(including related party interest of $0 and $155, and $1,101 and $576, respectively)</w:t>
            </w:r>
          </w:p>
        </w:tc>
        <w:tc>
          <w:tcPr>
            <w:tcW w:w="4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931"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3931"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continuing operations before income taxes</w:t>
            </w:r>
          </w:p>
        </w:tc>
        <w:tc>
          <w:tcPr>
            <w:tcW w:w="4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85" w:type="dxa"/>
            <w:tcBorders/>
            <w:shd w:fill="auto" w:val="clear"/>
            <w:vAlign w:val="bottom"/>
          </w:tcPr>
          <w:p>
            <w:pPr>
              <w:pStyle w:val="TableContents"/>
              <w:spacing w:before="0" w:after="283"/>
              <w:rPr/>
            </w:pPr>
            <w:r>
              <w:rPr/>
              <w:t> </w:t>
            </w:r>
          </w:p>
        </w:tc>
      </w:tr>
      <w:tr>
        <w:trPr>
          <w:trHeight w:val="120" w:hRule="atLeast"/>
        </w:trPr>
        <w:tc>
          <w:tcPr>
            <w:tcW w:w="3931" w:type="dxa"/>
            <w:tcBorders/>
            <w:shd w:fill="auto" w:val="clear"/>
            <w:vAlign w:val="center"/>
          </w:tcPr>
          <w:p>
            <w:pPr>
              <w:pStyle w:val="TableContents"/>
              <w:spacing w:before="0" w:after="283"/>
              <w:rPr>
                <w:sz w:val="4"/>
                <w:szCs w:val="4"/>
              </w:rPr>
            </w:pPr>
            <w:r>
              <w:rPr>
                <w:sz w:val="4"/>
                <w:szCs w:val="4"/>
              </w:rPr>
            </w:r>
          </w:p>
        </w:tc>
        <w:tc>
          <w:tcPr>
            <w:tcW w:w="1608" w:type="dxa"/>
            <w:gridSpan w:val="4"/>
            <w:tcBorders/>
            <w:shd w:fill="auto" w:val="clear"/>
            <w:vAlign w:val="center"/>
          </w:tcPr>
          <w:p>
            <w:pPr>
              <w:pStyle w:val="TableContents"/>
              <w:spacing w:before="0" w:after="283"/>
              <w:rPr>
                <w:sz w:val="4"/>
                <w:szCs w:val="4"/>
              </w:rPr>
            </w:pPr>
            <w:r>
              <w:rPr>
                <w:sz w:val="4"/>
                <w:szCs w:val="4"/>
              </w:rPr>
            </w:r>
          </w:p>
        </w:tc>
        <w:tc>
          <w:tcPr>
            <w:tcW w:w="1554"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559" w:type="dxa"/>
            <w:gridSpan w:val="4"/>
            <w:tcBorders/>
            <w:shd w:fill="auto" w:val="clear"/>
            <w:vAlign w:val="center"/>
          </w:tcPr>
          <w:p>
            <w:pPr>
              <w:pStyle w:val="TableContents"/>
              <w:spacing w:before="0" w:after="283"/>
              <w:rPr>
                <w:sz w:val="4"/>
                <w:szCs w:val="4"/>
              </w:rPr>
            </w:pPr>
            <w:r>
              <w:rPr>
                <w:sz w:val="4"/>
                <w:szCs w:val="4"/>
              </w:rPr>
            </w:r>
          </w:p>
        </w:tc>
      </w:tr>
      <w:tr>
        <w:trPr/>
        <w:tc>
          <w:tcPr>
            <w:tcW w:w="3931"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provision</w:t>
            </w:r>
          </w:p>
        </w:tc>
        <w:tc>
          <w:tcPr>
            <w:tcW w:w="4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85" w:type="dxa"/>
            <w:tcBorders/>
            <w:shd w:fill="CCEEFF"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3931"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4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85" w:type="dxa"/>
            <w:tcBorders/>
            <w:shd w:fill="auto"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3931" w:type="dxa"/>
            <w:tcBorders/>
            <w:shd w:fill="CCEEFF" w:val="clear"/>
          </w:tcPr>
          <w:p>
            <w:pPr>
              <w:pStyle w:val="TableContents"/>
              <w:spacing w:before="0" w:after="283"/>
              <w:rPr>
                <w:rFonts w:ascii="Times New Roman" w:hAnsi="Times New Roman"/>
                <w:sz w:val="20"/>
              </w:rPr>
            </w:pPr>
            <w:r>
              <w:rPr>
                <w:rFonts w:ascii="Times New Roman" w:hAnsi="Times New Roman"/>
                <w:sz w:val="20"/>
              </w:rPr>
              <w:t>Per share data:</w:t>
            </w:r>
          </w:p>
        </w:tc>
        <w:tc>
          <w:tcPr>
            <w:tcW w:w="4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95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6"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sz w:val="4"/>
                <w:szCs w:val="4"/>
              </w:rPr>
            </w:pPr>
            <w:r>
              <w:rPr>
                <w:sz w:val="4"/>
                <w:szCs w:val="4"/>
              </w:rPr>
            </w:r>
          </w:p>
        </w:tc>
      </w:tr>
      <w:tr>
        <w:trPr/>
        <w:tc>
          <w:tcPr>
            <w:tcW w:w="3931"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income</w:t>
            </w:r>
          </w:p>
        </w:tc>
        <w:tc>
          <w:tcPr>
            <w:tcW w:w="4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85" w:type="dxa"/>
            <w:tcBorders/>
            <w:shd w:fill="auto"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3931"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net income</w:t>
            </w:r>
          </w:p>
        </w:tc>
        <w:tc>
          <w:tcPr>
            <w:tcW w:w="4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85" w:type="dxa"/>
            <w:tcBorders/>
            <w:shd w:fill="CCEEFF"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3931"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4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r>
      <w:tr>
        <w:trPr/>
        <w:tc>
          <w:tcPr>
            <w:tcW w:w="3931" w:type="dxa"/>
            <w:tcBorders/>
            <w:shd w:fill="CCEEFF" w:val="clear"/>
          </w:tcPr>
          <w:p>
            <w:pPr>
              <w:pStyle w:val="TableContents"/>
              <w:spacing w:before="0" w:after="283"/>
              <w:rPr>
                <w:rFonts w:ascii="Times New Roman" w:hAnsi="Times New Roman"/>
                <w:sz w:val="20"/>
              </w:rPr>
            </w:pPr>
            <w:r>
              <w:rPr>
                <w:rFonts w:ascii="Times New Roman" w:hAnsi="Times New Roman"/>
                <w:sz w:val="20"/>
              </w:rPr>
              <w:t>Basic</w:t>
            </w:r>
          </w:p>
        </w:tc>
        <w:tc>
          <w:tcPr>
            <w:tcW w:w="4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14,633,479</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11,412,369</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13,054,347</w:t>
            </w:r>
          </w:p>
        </w:tc>
        <w:tc>
          <w:tcPr>
            <w:tcW w:w="8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11,185,464</w:t>
            </w:r>
          </w:p>
        </w:tc>
        <w:tc>
          <w:tcPr>
            <w:tcW w:w="85" w:type="dxa"/>
            <w:tcBorders/>
            <w:shd w:fill="CCEEFF"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3931" w:type="dxa"/>
            <w:tcBorders/>
            <w:shd w:fill="auto" w:val="clear"/>
          </w:tcPr>
          <w:p>
            <w:pPr>
              <w:pStyle w:val="TableContents"/>
              <w:spacing w:before="0" w:after="283"/>
              <w:rPr>
                <w:rFonts w:ascii="Times New Roman" w:hAnsi="Times New Roman"/>
                <w:sz w:val="20"/>
              </w:rPr>
            </w:pPr>
            <w:r>
              <w:rPr>
                <w:rFonts w:ascii="Times New Roman" w:hAnsi="Times New Roman"/>
                <w:sz w:val="20"/>
              </w:rPr>
              <w:t>Diluted</w:t>
            </w:r>
          </w:p>
        </w:tc>
        <w:tc>
          <w:tcPr>
            <w:tcW w:w="4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15,211,538</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13,033,824</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13,634,829</w:t>
            </w:r>
          </w:p>
        </w:tc>
        <w:tc>
          <w:tcPr>
            <w:tcW w:w="8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12,778,806</w:t>
            </w:r>
          </w:p>
        </w:tc>
        <w:tc>
          <w:tcPr>
            <w:tcW w:w="85" w:type="dxa"/>
            <w:tcBorders/>
            <w:shd w:fill="auto"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bl>
    <w:p>
      <w:pPr>
        <w:pStyle w:val="HorizontalLine"/>
        <w:pBdr>
          <w:bottom w:val="double" w:sz="6" w:space="0" w:color="999999"/>
        </w:pBdr>
        <w:rPr/>
      </w:pPr>
      <w:r>
        <w:br w:type="page"/>
      </w:r>
      <w:r>
        <w:rPr/>
      </w:r>
    </w:p>
    <w:p>
      <w:pPr>
        <w:pStyle w:val="TextBody"/>
        <w:spacing w:before="0" w:after="0"/>
        <w:jc w:val="center"/>
        <w:rPr>
          <w:rFonts w:ascii="Times New Roman" w:hAnsi="Times New Roman"/>
          <w:sz w:val="20"/>
        </w:rPr>
      </w:pPr>
      <w:r>
        <w:rPr>
          <w:rFonts w:ascii="Times New Roman" w:hAnsi="Times New Roman"/>
          <w:sz w:val="20"/>
        </w:rPr>
        <w:t xml:space="preserve">CECO Environmental </w:t>
      </w:r>
    </w:p>
    <w:p>
      <w:pPr>
        <w:pStyle w:val="TextBody"/>
        <w:spacing w:before="0" w:after="0"/>
        <w:jc w:val="center"/>
        <w:rPr>
          <w:rFonts w:ascii="Times New Roman" w:hAnsi="Times New Roman"/>
          <w:sz w:val="20"/>
        </w:rPr>
      </w:pPr>
      <w:r>
        <w:rPr>
          <w:rFonts w:ascii="Times New Roman" w:hAnsi="Times New Roman"/>
          <w:sz w:val="20"/>
        </w:rPr>
        <w:t xml:space="preserve">Supplemental Financial Information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In millions except per share data </w:t>
      </w:r>
    </w:p>
    <w:p>
      <w:pPr>
        <w:pStyle w:val="TextBody"/>
        <w:spacing w:before="180" w:after="0"/>
        <w:rPr>
          <w:rFonts w:ascii="Times New Roman" w:hAnsi="Times New Roman"/>
          <w:sz w:val="20"/>
          <w:u w:val="single"/>
        </w:rPr>
      </w:pPr>
      <w:r>
        <w:rPr>
          <w:rFonts w:ascii="Times New Roman" w:hAnsi="Times New Roman"/>
          <w:sz w:val="20"/>
          <w:u w:val="single"/>
        </w:rPr>
        <w:t xml:space="preserve">Reconciliation of GAAP net income to adjusted net income is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957"/>
        <w:gridCol w:w="455"/>
        <w:gridCol w:w="125"/>
        <w:gridCol w:w="954"/>
        <w:gridCol w:w="455"/>
        <w:gridCol w:w="125"/>
        <w:gridCol w:w="954"/>
        <w:gridCol w:w="80"/>
        <w:gridCol w:w="401"/>
        <w:gridCol w:w="124"/>
        <w:gridCol w:w="954"/>
        <w:gridCol w:w="455"/>
        <w:gridCol w:w="125"/>
        <w:gridCol w:w="954"/>
        <w:gridCol w:w="87"/>
      </w:tblGrid>
      <w:tr>
        <w:trPr/>
        <w:tc>
          <w:tcPr>
            <w:tcW w:w="3957"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r>
      <w:tr>
        <w:trPr/>
        <w:tc>
          <w:tcPr>
            <w:tcW w:w="3957"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613"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r>
          </w:p>
        </w:tc>
        <w:tc>
          <w:tcPr>
            <w:tcW w:w="80"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612"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Nine months ended</w:t>
            </w:r>
          </w:p>
        </w:tc>
        <w:tc>
          <w:tcPr>
            <w:tcW w:w="87" w:type="dxa"/>
            <w:tcBorders/>
            <w:shd w:fill="auto" w:val="clear"/>
            <w:vAlign w:val="bottom"/>
          </w:tcPr>
          <w:p>
            <w:pPr>
              <w:pStyle w:val="TableContents"/>
              <w:spacing w:before="0" w:after="283"/>
              <w:rPr/>
            </w:pPr>
            <w:r>
              <w:rPr/>
              <w:t> </w:t>
            </w:r>
          </w:p>
        </w:tc>
      </w:tr>
      <w:tr>
        <w:trPr/>
        <w:tc>
          <w:tcPr>
            <w:tcW w:w="3957"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0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9/30/2007</w:t>
            </w:r>
          </w:p>
        </w:tc>
        <w:tc>
          <w:tcPr>
            <w:tcW w:w="455" w:type="dxa"/>
            <w:tcBorders/>
            <w:shd w:fill="auto" w:val="clear"/>
            <w:vAlign w:val="bottom"/>
          </w:tcPr>
          <w:p>
            <w:pPr>
              <w:pStyle w:val="TableContents"/>
              <w:spacing w:before="0" w:after="283"/>
              <w:rPr/>
            </w:pPr>
            <w:r>
              <w:rPr/>
              <w:t>  </w:t>
            </w:r>
          </w:p>
        </w:tc>
        <w:tc>
          <w:tcPr>
            <w:tcW w:w="10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9/30/2006</w:t>
            </w:r>
          </w:p>
        </w:tc>
        <w:tc>
          <w:tcPr>
            <w:tcW w:w="80"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0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9/30/2007</w:t>
            </w:r>
          </w:p>
        </w:tc>
        <w:tc>
          <w:tcPr>
            <w:tcW w:w="455" w:type="dxa"/>
            <w:tcBorders/>
            <w:shd w:fill="auto" w:val="clear"/>
            <w:vAlign w:val="bottom"/>
          </w:tcPr>
          <w:p>
            <w:pPr>
              <w:pStyle w:val="TableContents"/>
              <w:spacing w:before="0" w:after="283"/>
              <w:rPr/>
            </w:pPr>
            <w:r>
              <w:rPr/>
              <w:t>  </w:t>
            </w:r>
          </w:p>
        </w:tc>
        <w:tc>
          <w:tcPr>
            <w:tcW w:w="10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9/30/2006</w:t>
            </w:r>
          </w:p>
        </w:tc>
        <w:tc>
          <w:tcPr>
            <w:tcW w:w="87" w:type="dxa"/>
            <w:tcBorders/>
            <w:shd w:fill="auto" w:val="clear"/>
            <w:vAlign w:val="bottom"/>
          </w:tcPr>
          <w:p>
            <w:pPr>
              <w:pStyle w:val="TableContents"/>
              <w:spacing w:before="0" w:after="283"/>
              <w:rPr/>
            </w:pPr>
            <w:r>
              <w:rPr/>
              <w:t> </w:t>
            </w:r>
          </w:p>
        </w:tc>
      </w:tr>
      <w:tr>
        <w:trPr/>
        <w:tc>
          <w:tcPr>
            <w:tcW w:w="395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in accordance with GAAP</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80"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87" w:type="dxa"/>
            <w:tcBorders/>
            <w:shd w:fill="CCEEFF" w:val="clear"/>
            <w:vAlign w:val="bottom"/>
          </w:tcPr>
          <w:p>
            <w:pPr>
              <w:pStyle w:val="TableContents"/>
              <w:spacing w:before="0" w:after="283"/>
              <w:rPr/>
            </w:pPr>
            <w:r>
              <w:rPr/>
              <w:t> </w:t>
            </w:r>
          </w:p>
        </w:tc>
      </w:tr>
      <w:tr>
        <w:trPr/>
        <w:tc>
          <w:tcPr>
            <w:tcW w:w="3957"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 related to warrant valuation</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4"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954"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957"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related to subordinated debt discount</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4" w:type="dxa"/>
            <w:tcBorders/>
            <w:shd w:fill="CCEEFF" w:val="clear"/>
            <w:vAlign w:val="bottom"/>
          </w:tcPr>
          <w:p>
            <w:pPr>
              <w:pStyle w:val="TableContents"/>
              <w:spacing w:before="0" w:after="283"/>
              <w:rPr>
                <w:sz w:val="4"/>
                <w:szCs w:val="4"/>
              </w:rPr>
            </w:pPr>
            <w:r>
              <w:rPr>
                <w:sz w:val="4"/>
                <w:szCs w:val="4"/>
              </w:rPr>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0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7" w:type="dxa"/>
            <w:tcBorders/>
            <w:shd w:fill="CCEEFF" w:val="clear"/>
            <w:vAlign w:val="bottom"/>
          </w:tcPr>
          <w:p>
            <w:pPr>
              <w:pStyle w:val="TableContents"/>
              <w:spacing w:before="0" w:after="283"/>
              <w:rPr/>
            </w:pPr>
            <w:r>
              <w:rPr/>
              <w:t> </w:t>
            </w:r>
          </w:p>
        </w:tc>
      </w:tr>
      <w:tr>
        <w:trPr/>
        <w:tc>
          <w:tcPr>
            <w:tcW w:w="3957"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4" w:type="dxa"/>
            <w:tcBorders>
              <w:top w:val="single" w:sz="2" w:space="0" w:color="000000"/>
            </w:tcBorders>
            <w:shd w:fill="auto" w:val="clear"/>
            <w:tcMar>
              <w:top w:w="28" w:type="dxa"/>
            </w:tcM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4" w:type="dxa"/>
            <w:tcBorders>
              <w:top w:val="single" w:sz="2" w:space="0" w:color="000000"/>
            </w:tcBorders>
            <w:shd w:fill="auto" w:val="clear"/>
            <w:tcMar>
              <w:top w:w="28" w:type="dxa"/>
            </w:tcM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4" w:type="dxa"/>
            <w:tcBorders>
              <w:top w:val="single" w:sz="2" w:space="0" w:color="000000"/>
            </w:tcBorders>
            <w:shd w:fill="auto" w:val="clear"/>
            <w:tcMar>
              <w:top w:w="28" w:type="dxa"/>
            </w:tcMar>
            <w:vAlign w:val="bottom"/>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r>
      <w:tr>
        <w:trPr/>
        <w:tc>
          <w:tcPr>
            <w:tcW w:w="3957" w:type="dxa"/>
            <w:tcBorders/>
            <w:shd w:fill="auto" w:val="clear"/>
          </w:tcPr>
          <w:p>
            <w:pPr>
              <w:pStyle w:val="TableContents"/>
              <w:spacing w:before="0" w:after="283"/>
              <w:rPr>
                <w:rFonts w:ascii="Times New Roman" w:hAnsi="Times New Roman"/>
                <w:sz w:val="20"/>
              </w:rPr>
            </w:pPr>
            <w:r>
              <w:rPr>
                <w:rFonts w:ascii="Times New Roman" w:hAnsi="Times New Roman"/>
                <w:sz w:val="20"/>
              </w:rPr>
              <w:t>Adjusted net income</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80"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87" w:type="dxa"/>
            <w:tcBorders/>
            <w:shd w:fill="auto" w:val="clear"/>
            <w:vAlign w:val="bottom"/>
          </w:tcPr>
          <w:p>
            <w:pPr>
              <w:pStyle w:val="TableContents"/>
              <w:spacing w:before="0" w:after="283"/>
              <w:rPr/>
            </w:pPr>
            <w:r>
              <w:rPr/>
              <w:t> </w:t>
            </w:r>
          </w:p>
        </w:tc>
      </w:tr>
      <w:tr>
        <w:trPr>
          <w:trHeight w:val="120" w:hRule="atLeast"/>
        </w:trPr>
        <w:tc>
          <w:tcPr>
            <w:tcW w:w="3957" w:type="dxa"/>
            <w:tcBorders/>
            <w:shd w:fill="auto" w:val="clear"/>
            <w:vAlign w:val="center"/>
          </w:tcPr>
          <w:p>
            <w:pPr>
              <w:pStyle w:val="TableContents"/>
              <w:spacing w:before="0" w:after="283"/>
              <w:rPr>
                <w:sz w:val="4"/>
                <w:szCs w:val="4"/>
              </w:rPr>
            </w:pPr>
            <w:r>
              <w:rPr>
                <w:sz w:val="4"/>
                <w:szCs w:val="4"/>
              </w:rPr>
            </w:r>
          </w:p>
        </w:tc>
        <w:tc>
          <w:tcPr>
            <w:tcW w:w="1534" w:type="dxa"/>
            <w:gridSpan w:val="3"/>
            <w:tcBorders/>
            <w:shd w:fill="auto" w:val="clear"/>
            <w:vAlign w:val="center"/>
          </w:tcPr>
          <w:p>
            <w:pPr>
              <w:pStyle w:val="TableContents"/>
              <w:spacing w:before="0" w:after="283"/>
              <w:rPr>
                <w:sz w:val="4"/>
                <w:szCs w:val="4"/>
              </w:rPr>
            </w:pPr>
            <w:r>
              <w:rPr>
                <w:sz w:val="4"/>
                <w:szCs w:val="4"/>
              </w:rPr>
            </w:r>
          </w:p>
        </w:tc>
        <w:tc>
          <w:tcPr>
            <w:tcW w:w="1614" w:type="dxa"/>
            <w:gridSpan w:val="4"/>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c>
          <w:tcPr>
            <w:tcW w:w="1621" w:type="dxa"/>
            <w:gridSpan w:val="4"/>
            <w:tcBorders/>
            <w:shd w:fill="auto" w:val="clear"/>
            <w:vAlign w:val="center"/>
          </w:tcPr>
          <w:p>
            <w:pPr>
              <w:pStyle w:val="TableContents"/>
              <w:spacing w:before="0" w:after="283"/>
              <w:rPr>
                <w:sz w:val="4"/>
                <w:szCs w:val="4"/>
              </w:rPr>
            </w:pPr>
            <w:r>
              <w:rPr>
                <w:sz w:val="4"/>
                <w:szCs w:val="4"/>
              </w:rPr>
            </w:r>
          </w:p>
        </w:tc>
      </w:tr>
      <w:tr>
        <w:trPr/>
        <w:tc>
          <w:tcPr>
            <w:tcW w:w="3957" w:type="dxa"/>
            <w:tcBorders/>
            <w:shd w:fill="CCEEFF" w:val="clear"/>
          </w:tcPr>
          <w:p>
            <w:pPr>
              <w:pStyle w:val="TableContents"/>
              <w:spacing w:before="0" w:after="283"/>
              <w:rPr>
                <w:rFonts w:ascii="Times New Roman" w:hAnsi="Times New Roman"/>
                <w:sz w:val="20"/>
              </w:rPr>
            </w:pPr>
            <w:r>
              <w:rPr>
                <w:rFonts w:ascii="Times New Roman" w:hAnsi="Times New Roman"/>
                <w:sz w:val="20"/>
              </w:rPr>
              <w:t>GAAP basic net income per share</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0.15</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80"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0.17</w:t>
            </w:r>
          </w:p>
        </w:tc>
        <w:tc>
          <w:tcPr>
            <w:tcW w:w="87" w:type="dxa"/>
            <w:tcBorders/>
            <w:shd w:fill="CCEEFF" w:val="clear"/>
            <w:vAlign w:val="bottom"/>
          </w:tcPr>
          <w:p>
            <w:pPr>
              <w:pStyle w:val="TableContents"/>
              <w:spacing w:before="0" w:after="283"/>
              <w:rPr/>
            </w:pPr>
            <w:r>
              <w:rPr/>
              <w:t> </w:t>
            </w:r>
          </w:p>
        </w:tc>
      </w:tr>
      <w:tr>
        <w:trPr/>
        <w:tc>
          <w:tcPr>
            <w:tcW w:w="3957" w:type="dxa"/>
            <w:tcBorders/>
            <w:shd w:fill="auto" w:val="clear"/>
          </w:tcPr>
          <w:p>
            <w:pPr>
              <w:pStyle w:val="TableContents"/>
              <w:spacing w:before="0" w:after="283"/>
              <w:rPr>
                <w:rFonts w:ascii="Times New Roman" w:hAnsi="Times New Roman"/>
                <w:sz w:val="20"/>
              </w:rPr>
            </w:pPr>
            <w:r>
              <w:rPr>
                <w:rFonts w:ascii="Times New Roman" w:hAnsi="Times New Roman"/>
                <w:sz w:val="20"/>
              </w:rPr>
              <w:t>GAAP diluted net income per share</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0.14</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0.08</w:t>
            </w:r>
          </w:p>
        </w:tc>
        <w:tc>
          <w:tcPr>
            <w:tcW w:w="80"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0.33</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0.15</w:t>
            </w:r>
          </w:p>
        </w:tc>
        <w:tc>
          <w:tcPr>
            <w:tcW w:w="87" w:type="dxa"/>
            <w:tcBorders/>
            <w:shd w:fill="auto" w:val="clear"/>
            <w:vAlign w:val="bottom"/>
          </w:tcPr>
          <w:p>
            <w:pPr>
              <w:pStyle w:val="TableContents"/>
              <w:spacing w:before="0" w:after="283"/>
              <w:rPr/>
            </w:pPr>
            <w:r>
              <w:rPr/>
              <w:t> </w:t>
            </w:r>
          </w:p>
        </w:tc>
      </w:tr>
      <w:tr>
        <w:trPr>
          <w:trHeight w:val="120" w:hRule="atLeast"/>
        </w:trPr>
        <w:tc>
          <w:tcPr>
            <w:tcW w:w="3957" w:type="dxa"/>
            <w:tcBorders/>
            <w:shd w:fill="auto" w:val="clear"/>
            <w:vAlign w:val="center"/>
          </w:tcPr>
          <w:p>
            <w:pPr>
              <w:pStyle w:val="TableContents"/>
              <w:spacing w:before="0" w:after="283"/>
              <w:rPr>
                <w:sz w:val="4"/>
                <w:szCs w:val="4"/>
              </w:rPr>
            </w:pPr>
            <w:r>
              <w:rPr>
                <w:sz w:val="4"/>
                <w:szCs w:val="4"/>
              </w:rPr>
            </w:r>
          </w:p>
        </w:tc>
        <w:tc>
          <w:tcPr>
            <w:tcW w:w="1534" w:type="dxa"/>
            <w:gridSpan w:val="3"/>
            <w:tcBorders/>
            <w:shd w:fill="auto" w:val="clear"/>
            <w:vAlign w:val="center"/>
          </w:tcPr>
          <w:p>
            <w:pPr>
              <w:pStyle w:val="TableContents"/>
              <w:spacing w:before="0" w:after="283"/>
              <w:rPr>
                <w:sz w:val="4"/>
                <w:szCs w:val="4"/>
              </w:rPr>
            </w:pPr>
            <w:r>
              <w:rPr>
                <w:sz w:val="4"/>
                <w:szCs w:val="4"/>
              </w:rPr>
            </w:r>
          </w:p>
        </w:tc>
        <w:tc>
          <w:tcPr>
            <w:tcW w:w="1614" w:type="dxa"/>
            <w:gridSpan w:val="4"/>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c>
          <w:tcPr>
            <w:tcW w:w="1621" w:type="dxa"/>
            <w:gridSpan w:val="4"/>
            <w:tcBorders/>
            <w:shd w:fill="auto" w:val="clear"/>
            <w:vAlign w:val="center"/>
          </w:tcPr>
          <w:p>
            <w:pPr>
              <w:pStyle w:val="TableContents"/>
              <w:spacing w:before="0" w:after="283"/>
              <w:rPr>
                <w:sz w:val="4"/>
                <w:szCs w:val="4"/>
              </w:rPr>
            </w:pPr>
            <w:r>
              <w:rPr>
                <w:sz w:val="4"/>
                <w:szCs w:val="4"/>
              </w:rPr>
            </w:r>
          </w:p>
        </w:tc>
      </w:tr>
      <w:tr>
        <w:trPr/>
        <w:tc>
          <w:tcPr>
            <w:tcW w:w="3957" w:type="dxa"/>
            <w:tcBorders/>
            <w:shd w:fill="CCEEFF" w:val="clear"/>
          </w:tcPr>
          <w:p>
            <w:pPr>
              <w:pStyle w:val="TableContents"/>
              <w:spacing w:before="0" w:after="283"/>
              <w:rPr>
                <w:rFonts w:ascii="Times New Roman" w:hAnsi="Times New Roman"/>
                <w:sz w:val="20"/>
              </w:rPr>
            </w:pPr>
            <w:r>
              <w:rPr>
                <w:rFonts w:ascii="Times New Roman" w:hAnsi="Times New Roman"/>
                <w:sz w:val="20"/>
              </w:rPr>
              <w:t>Adjusted basic net income per share</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0.15</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0.06</w:t>
            </w:r>
          </w:p>
        </w:tc>
        <w:tc>
          <w:tcPr>
            <w:tcW w:w="80"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0.40</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87" w:type="dxa"/>
            <w:tcBorders/>
            <w:shd w:fill="CCEEFF" w:val="clear"/>
            <w:vAlign w:val="bottom"/>
          </w:tcPr>
          <w:p>
            <w:pPr>
              <w:pStyle w:val="TableContents"/>
              <w:spacing w:before="0" w:after="283"/>
              <w:rPr/>
            </w:pPr>
            <w:r>
              <w:rPr/>
              <w:t> </w:t>
            </w:r>
          </w:p>
        </w:tc>
      </w:tr>
      <w:tr>
        <w:trPr/>
        <w:tc>
          <w:tcPr>
            <w:tcW w:w="3957" w:type="dxa"/>
            <w:tcBorders/>
            <w:shd w:fill="auto" w:val="clear"/>
          </w:tcPr>
          <w:p>
            <w:pPr>
              <w:pStyle w:val="TableContents"/>
              <w:spacing w:before="0" w:after="283"/>
              <w:rPr>
                <w:rFonts w:ascii="Times New Roman" w:hAnsi="Times New Roman"/>
                <w:sz w:val="20"/>
              </w:rPr>
            </w:pPr>
            <w:r>
              <w:rPr>
                <w:rFonts w:ascii="Times New Roman" w:hAnsi="Times New Roman"/>
                <w:sz w:val="20"/>
              </w:rPr>
              <w:t>Adjusted diluted net income per share</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0.14</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0.05</w:t>
            </w:r>
          </w:p>
        </w:tc>
        <w:tc>
          <w:tcPr>
            <w:tcW w:w="80"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0.38</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0.10</w:t>
            </w:r>
          </w:p>
        </w:tc>
        <w:tc>
          <w:tcPr>
            <w:tcW w:w="87" w:type="dxa"/>
            <w:tcBorders/>
            <w:shd w:fill="auto" w:val="clear"/>
            <w:vAlign w:val="bottom"/>
          </w:tcPr>
          <w:p>
            <w:pPr>
              <w:pStyle w:val="TableContents"/>
              <w:spacing w:before="0" w:after="283"/>
              <w:rPr/>
            </w:pPr>
            <w:r>
              <w:rPr/>
              <w:t> </w:t>
            </w:r>
          </w:p>
        </w:tc>
      </w:tr>
      <w:tr>
        <w:trPr>
          <w:trHeight w:val="120" w:hRule="atLeast"/>
        </w:trPr>
        <w:tc>
          <w:tcPr>
            <w:tcW w:w="3957" w:type="dxa"/>
            <w:tcBorders/>
            <w:shd w:fill="auto" w:val="clear"/>
            <w:vAlign w:val="center"/>
          </w:tcPr>
          <w:p>
            <w:pPr>
              <w:pStyle w:val="TableContents"/>
              <w:spacing w:before="0" w:after="283"/>
              <w:rPr>
                <w:sz w:val="4"/>
                <w:szCs w:val="4"/>
              </w:rPr>
            </w:pPr>
            <w:r>
              <w:rPr>
                <w:sz w:val="4"/>
                <w:szCs w:val="4"/>
              </w:rPr>
            </w:r>
          </w:p>
        </w:tc>
        <w:tc>
          <w:tcPr>
            <w:tcW w:w="1534" w:type="dxa"/>
            <w:gridSpan w:val="3"/>
            <w:tcBorders/>
            <w:shd w:fill="auto" w:val="clear"/>
            <w:vAlign w:val="center"/>
          </w:tcPr>
          <w:p>
            <w:pPr>
              <w:pStyle w:val="TableContents"/>
              <w:spacing w:before="0" w:after="283"/>
              <w:rPr>
                <w:sz w:val="4"/>
                <w:szCs w:val="4"/>
              </w:rPr>
            </w:pPr>
            <w:r>
              <w:rPr>
                <w:sz w:val="4"/>
                <w:szCs w:val="4"/>
              </w:rPr>
            </w:r>
          </w:p>
        </w:tc>
        <w:tc>
          <w:tcPr>
            <w:tcW w:w="1614" w:type="dxa"/>
            <w:gridSpan w:val="4"/>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c>
          <w:tcPr>
            <w:tcW w:w="1621" w:type="dxa"/>
            <w:gridSpan w:val="4"/>
            <w:tcBorders/>
            <w:shd w:fill="auto" w:val="clear"/>
            <w:vAlign w:val="center"/>
          </w:tcPr>
          <w:p>
            <w:pPr>
              <w:pStyle w:val="TableContents"/>
              <w:spacing w:before="0" w:after="283"/>
              <w:rPr>
                <w:sz w:val="4"/>
                <w:szCs w:val="4"/>
              </w:rPr>
            </w:pPr>
            <w:r>
              <w:rPr>
                <w:sz w:val="4"/>
                <w:szCs w:val="4"/>
              </w:rPr>
            </w:r>
          </w:p>
        </w:tc>
      </w:tr>
      <w:tr>
        <w:trPr/>
        <w:tc>
          <w:tcPr>
            <w:tcW w:w="3957" w:type="dxa"/>
            <w:tcBorders/>
            <w:shd w:fill="CCEEFF" w:val="clear"/>
          </w:tcPr>
          <w:p>
            <w:pPr>
              <w:pStyle w:val="TableContents"/>
              <w:spacing w:before="0" w:after="283"/>
              <w:rPr>
                <w:rFonts w:ascii="Times New Roman" w:hAnsi="Times New Roman"/>
                <w:sz w:val="20"/>
              </w:rPr>
            </w:pPr>
            <w:r>
              <w:rPr>
                <w:rFonts w:ascii="Times New Roman" w:hAnsi="Times New Roman"/>
                <w:sz w:val="20"/>
              </w:rPr>
              <w:t>Shares used to compute basic net income per share</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14,633,479</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11,412,369</w:t>
            </w:r>
          </w:p>
        </w:tc>
        <w:tc>
          <w:tcPr>
            <w:tcW w:w="80"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13,054,347</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11,185,464</w:t>
            </w:r>
          </w:p>
        </w:tc>
        <w:tc>
          <w:tcPr>
            <w:tcW w:w="87" w:type="dxa"/>
            <w:tcBorders/>
            <w:shd w:fill="CCEEFF" w:val="clear"/>
            <w:vAlign w:val="bottom"/>
          </w:tcPr>
          <w:p>
            <w:pPr>
              <w:pStyle w:val="TableContents"/>
              <w:spacing w:before="0" w:after="283"/>
              <w:rPr/>
            </w:pPr>
            <w:r>
              <w:rPr/>
              <w:t> </w:t>
            </w:r>
          </w:p>
        </w:tc>
      </w:tr>
      <w:tr>
        <w:trPr>
          <w:trHeight w:val="120" w:hRule="atLeast"/>
        </w:trPr>
        <w:tc>
          <w:tcPr>
            <w:tcW w:w="3957" w:type="dxa"/>
            <w:tcBorders/>
            <w:shd w:fill="auto" w:val="clear"/>
            <w:vAlign w:val="center"/>
          </w:tcPr>
          <w:p>
            <w:pPr>
              <w:pStyle w:val="TableContents"/>
              <w:spacing w:before="0" w:after="283"/>
              <w:rPr>
                <w:sz w:val="4"/>
                <w:szCs w:val="4"/>
              </w:rPr>
            </w:pPr>
            <w:r>
              <w:rPr>
                <w:sz w:val="4"/>
                <w:szCs w:val="4"/>
              </w:rPr>
            </w:r>
          </w:p>
        </w:tc>
        <w:tc>
          <w:tcPr>
            <w:tcW w:w="1534" w:type="dxa"/>
            <w:gridSpan w:val="3"/>
            <w:tcBorders/>
            <w:shd w:fill="auto" w:val="clear"/>
            <w:vAlign w:val="center"/>
          </w:tcPr>
          <w:p>
            <w:pPr>
              <w:pStyle w:val="TableContents"/>
              <w:spacing w:before="0" w:after="283"/>
              <w:rPr>
                <w:sz w:val="4"/>
                <w:szCs w:val="4"/>
              </w:rPr>
            </w:pPr>
            <w:r>
              <w:rPr>
                <w:sz w:val="4"/>
                <w:szCs w:val="4"/>
              </w:rPr>
            </w:r>
          </w:p>
        </w:tc>
        <w:tc>
          <w:tcPr>
            <w:tcW w:w="1614" w:type="dxa"/>
            <w:gridSpan w:val="4"/>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c>
          <w:tcPr>
            <w:tcW w:w="1621" w:type="dxa"/>
            <w:gridSpan w:val="4"/>
            <w:tcBorders/>
            <w:shd w:fill="auto" w:val="clear"/>
            <w:vAlign w:val="center"/>
          </w:tcPr>
          <w:p>
            <w:pPr>
              <w:pStyle w:val="TableContents"/>
              <w:spacing w:before="0" w:after="283"/>
              <w:rPr>
                <w:sz w:val="4"/>
                <w:szCs w:val="4"/>
              </w:rPr>
            </w:pPr>
            <w:r>
              <w:rPr>
                <w:sz w:val="4"/>
                <w:szCs w:val="4"/>
              </w:rPr>
            </w:r>
          </w:p>
        </w:tc>
      </w:tr>
      <w:tr>
        <w:trPr/>
        <w:tc>
          <w:tcPr>
            <w:tcW w:w="3957" w:type="dxa"/>
            <w:tcBorders/>
            <w:shd w:fill="auto" w:val="clear"/>
          </w:tcPr>
          <w:p>
            <w:pPr>
              <w:pStyle w:val="TableContents"/>
              <w:spacing w:before="0" w:after="283"/>
              <w:rPr>
                <w:rFonts w:ascii="Times New Roman" w:hAnsi="Times New Roman"/>
                <w:sz w:val="20"/>
              </w:rPr>
            </w:pPr>
            <w:r>
              <w:rPr>
                <w:rFonts w:ascii="Times New Roman" w:hAnsi="Times New Roman"/>
                <w:sz w:val="20"/>
              </w:rPr>
              <w:t>Shares used to compute diluted net income per share</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15,211,538</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13,033,824</w:t>
            </w:r>
          </w:p>
        </w:tc>
        <w:tc>
          <w:tcPr>
            <w:tcW w:w="80"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13,634,829</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12,778,806</w:t>
            </w:r>
          </w:p>
        </w:tc>
        <w:tc>
          <w:tcPr>
            <w:tcW w:w="87"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CECO is providing the non-GAAP historical financial measures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 </w:t>
      </w:r>
    </w:p>
    <w:p>
      <w:pPr>
        <w:pStyle w:val="TextBody"/>
        <w:spacing w:before="180" w:after="0"/>
        <w:rPr>
          <w:rFonts w:ascii="Times New Roman" w:hAnsi="Times New Roman"/>
          <w:sz w:val="20"/>
        </w:rPr>
      </w:pPr>
      <w:r>
        <w:rPr>
          <w:rFonts w:ascii="Times New Roman" w:hAnsi="Times New Roman"/>
          <w:sz w:val="20"/>
        </w:rPr>
        <w:t xml:space="preserve">Non-GAAP adjusted net income and non-GAAP adjusted earnings per diluted share, as we present them in the financial data included in this press release, have been adjusted to exclude the effects of income and expenses for the valuation of warrants and the related subordinated debt discount interest expense. Management believes that these non-GAAP financial measures excluding these items better reflect its operating performance as these non-GAAP figures exclude the effects of certain non-recurring or non-cash expenses relating to warrants. Management believes that these items are not necessarily representative of underlying trends in the Company's performance and their exclusion provides individuals with additional information to compare the company's results over multiple periods. We expect our financial statements to continue to be affected by items similar to those excluded in the non-GAAP adjustments described above, and exclusion of these items from our non-GAAP financial measures should not be construed as an inference that all such costs are unusual or infrequent. </w:t>
      </w:r>
    </w:p>
    <w:p>
      <w:pPr>
        <w:pStyle w:val="TextBody"/>
        <w:spacing w:before="180" w:after="0"/>
        <w:rPr>
          <w:rFonts w:ascii="Times New Roman" w:hAnsi="Times New Roman"/>
          <w:sz w:val="20"/>
        </w:rPr>
      </w:pPr>
      <w:r>
        <w:rPr>
          <w:rFonts w:ascii="Times New Roman" w:hAnsi="Times New Roman"/>
          <w:sz w:val="20"/>
        </w:rPr>
        <w:t xml:space="preserve">Adjusted net income and adjusted earnings per diluted share are not calculated in accordance with GAAP, and should be considered supplemental to, and not as a substitute for, or superior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w:t>
      </w:r>
    </w:p>
    <w:p>
      <w:pPr>
        <w:pStyle w:val="TextBody"/>
        <w:spacing w:before="180" w:after="0"/>
        <w:rPr>
          <w:rFonts w:ascii="Times New Roman" w:hAnsi="Times New Roman"/>
          <w:sz w:val="20"/>
        </w:rPr>
      </w:pPr>
      <w:r>
        <w:rPr>
          <w:rFonts w:ascii="Times New Roman" w:hAnsi="Times New Roman"/>
          <w:sz w:val="20"/>
        </w:rPr>
        <w:t xml:space="preserve">In accordance with the requirements of Regulation G issued by the Securities and Exchange Commission, the tables above present the most directly comparable GAAP financial measure and reconcile non-GAAP adjusted net income and non-GAAP adjusted earnings per diluted share to the comparable GAAP measures. </w:t>
      </w:r>
    </w:p>
    <w:p>
      <w:pPr>
        <w:pStyle w:val="TextBody"/>
        <w:spacing w:before="180" w:after="0"/>
        <w:rPr>
          <w:rFonts w:ascii="Times New Roman" w:hAnsi="Times New Roman"/>
          <w:sz w:val="20"/>
        </w:rPr>
      </w:pPr>
      <w:r>
        <w:rPr>
          <w:rFonts w:ascii="Times New Roman" w:hAnsi="Times New Roman"/>
          <w:sz w:val="20"/>
        </w:rPr>
        <w:t xml:space="preserve">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assumptions prove incorrect, actual results may vary in material aspects from those currently anticipated.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1874</Words>
  <CharactersWithSpaces>12413</CharactersWithSpaces>
  <Paragraphs>756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 Dated November 12, 2007</dc:title>
</cp:coreProperties>
</file>