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0"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628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188595</wp:posOffset>
            </wp:positionV>
            <wp:extent cx="71120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tbl>
      <w:tblPr>
        <w:tblLayout w:type="fixed"/>
        <w:tblInd w:w="790" w:type="dxa"/>
        <w:tblCellMar>
          <w:top w:w="0" w:type="dxa"/>
          <w:left w:w="0" w:type="dxa"/>
          <w:bottom w:w="0" w:type="dxa"/>
          <w:right w:w="0" w:type="dxa"/>
        </w:tblCellMar>
      </w:tblPr>
      <w:tr>
        <w:trPr>
          <w:trHeight w:val="234"/>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780"/>
              <w:spacing w:after="0"/>
              <w:rPr>
                <w:sz w:val="20"/>
                <w:szCs w:val="20"/>
                <w:color w:val="auto"/>
              </w:rPr>
            </w:pPr>
            <w:r>
              <w:rPr>
                <w:rFonts w:ascii="Arial" w:cs="Arial" w:eastAsia="Arial" w:hAnsi="Arial"/>
                <w:sz w:val="18"/>
                <w:szCs w:val="18"/>
                <w:b w:val="1"/>
                <w:bCs w:val="1"/>
                <w:color w:val="auto"/>
              </w:rPr>
              <w:t>13-2566064</w:t>
            </w:r>
          </w:p>
        </w:tc>
      </w:tr>
      <w:tr>
        <w:trPr>
          <w:trHeight w:val="153"/>
        </w:trPr>
        <w:tc>
          <w:tcPr>
            <w:tcW w:w="3200" w:type="dxa"/>
            <w:vAlign w:val="bottom"/>
          </w:tcPr>
          <w:p>
            <w:pPr>
              <w:jc w:val="center"/>
              <w:ind w:left="677"/>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40" w:type="dxa"/>
            <w:vAlign w:val="bottom"/>
          </w:tcPr>
          <w:p>
            <w:pPr>
              <w:jc w:val="center"/>
              <w:ind w:right="860"/>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677"/>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14651 North Dallas Parkway</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Suite 500</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3200" w:type="dxa"/>
            <w:vAlign w:val="bottom"/>
          </w:tcPr>
          <w:p>
            <w:pPr>
              <w:jc w:val="center"/>
              <w:ind w:left="717"/>
              <w:spacing w:after="0"/>
              <w:rPr>
                <w:sz w:val="20"/>
                <w:szCs w:val="20"/>
                <w:color w:val="auto"/>
              </w:rPr>
            </w:pPr>
            <w:r>
              <w:rPr>
                <w:rFonts w:ascii="Arial" w:cs="Arial" w:eastAsia="Arial" w:hAnsi="Arial"/>
                <w:sz w:val="18"/>
                <w:szCs w:val="18"/>
                <w:b w:val="1"/>
                <w:bCs w:val="1"/>
                <w:color w:val="auto"/>
                <w:w w:val="87"/>
              </w:rPr>
              <w:t>Dallas, Texas</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980"/>
              <w:spacing w:after="0"/>
              <w:rPr>
                <w:sz w:val="20"/>
                <w:szCs w:val="20"/>
                <w:color w:val="auto"/>
              </w:rPr>
            </w:pPr>
            <w:r>
              <w:rPr>
                <w:rFonts w:ascii="Arial" w:cs="Arial" w:eastAsia="Arial" w:hAnsi="Arial"/>
                <w:sz w:val="18"/>
                <w:szCs w:val="18"/>
                <w:b w:val="1"/>
                <w:bCs w:val="1"/>
                <w:color w:val="auto"/>
              </w:rPr>
              <w:t>75254</w:t>
            </w:r>
          </w:p>
        </w:tc>
      </w:tr>
      <w:tr>
        <w:trPr>
          <w:trHeight w:val="190"/>
        </w:trPr>
        <w:tc>
          <w:tcPr>
            <w:tcW w:w="3200" w:type="dxa"/>
            <w:vAlign w:val="bottom"/>
          </w:tcPr>
          <w:p>
            <w:pPr>
              <w:jc w:val="center"/>
              <w:ind w:left="69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10000" w:type="dxa"/>
            <w:vAlign w:val="bottom"/>
            <w:gridSpan w:val="4"/>
          </w:tcPr>
          <w:p>
            <w:pPr>
              <w:ind w:left="226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26"/>
        </w:trPr>
        <w:tc>
          <w:tcPr>
            <w:tcW w:w="32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188"/>
        </w:trPr>
        <w:tc>
          <w:tcPr>
            <w:tcW w:w="3200" w:type="dxa"/>
            <w:vAlign w:val="bottom"/>
            <w:tcBorders>
              <w:left w:val="single" w:sz="8" w:color="auto"/>
            </w:tcBorders>
          </w:tcPr>
          <w:p>
            <w:pPr>
              <w:jc w:val="center"/>
              <w:ind w:left="257"/>
              <w:spacing w:after="0"/>
              <w:rPr>
                <w:sz w:val="20"/>
                <w:szCs w:val="20"/>
                <w:color w:val="auto"/>
              </w:rPr>
            </w:pPr>
            <w:r>
              <w:rPr>
                <w:rFonts w:ascii="Arial" w:cs="Arial" w:eastAsia="Arial" w:hAnsi="Arial"/>
                <w:sz w:val="16"/>
                <w:szCs w:val="16"/>
                <w:color w:val="auto"/>
                <w:w w:val="92"/>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90"/>
        </w:trPr>
        <w:tc>
          <w:tcPr>
            <w:tcW w:w="320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r>
      <w:tr>
        <w:trPr>
          <w:trHeight w:val="187"/>
        </w:trPr>
        <w:tc>
          <w:tcPr>
            <w:tcW w:w="3200" w:type="dxa"/>
            <w:vAlign w:val="bottom"/>
            <w:tcBorders>
              <w:left w:val="single" w:sz="8" w:color="auto"/>
            </w:tcBorders>
          </w:tcPr>
          <w:p>
            <w:pPr>
              <w:jc w:val="center"/>
              <w:ind w:left="257"/>
              <w:spacing w:after="0"/>
              <w:rPr>
                <w:sz w:val="20"/>
                <w:szCs w:val="20"/>
                <w:color w:val="auto"/>
              </w:rPr>
            </w:pPr>
            <w:r>
              <w:rPr>
                <w:rFonts w:ascii="Arial" w:cs="Arial" w:eastAsia="Arial" w:hAnsi="Arial"/>
                <w:sz w:val="16"/>
                <w:szCs w:val="16"/>
                <w:color w:val="auto"/>
                <w:w w:val="91"/>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CECO</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60"/>
        </w:trPr>
        <w:tc>
          <w:tcPr>
            <w:tcW w:w="32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jc w:val="both"/>
        <w:ind w:right="40" w:firstLine="26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ind w:right="20" w:firstLine="269"/>
        <w:spacing w:after="0" w:line="22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ind w:right="260" w:firstLine="26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260" w:type="dxa"/>
        <w:tblCellMar>
          <w:top w:w="0" w:type="dxa"/>
          <w:left w:w="0" w:type="dxa"/>
          <w:bottom w:w="0" w:type="dxa"/>
          <w:right w:w="0" w:type="dxa"/>
        </w:tblCellMar>
      </w:tblPr>
      <w:tr>
        <w:trPr>
          <w:trHeight w:val="287"/>
        </w:trPr>
        <w:tc>
          <w:tcPr>
            <w:tcW w:w="21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4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2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29"/>
        </w:trPr>
        <w:tc>
          <w:tcPr>
            <w:tcW w:w="21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4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2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1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4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74" w:lineRule="exact"/>
        <w:rPr>
          <w:sz w:val="24"/>
          <w:szCs w:val="24"/>
          <w:color w:val="auto"/>
        </w:rPr>
      </w:pPr>
    </w:p>
    <w:p>
      <w:pPr>
        <w:ind w:right="260" w:firstLine="26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3" w:lineRule="exact"/>
        <w:rPr>
          <w:sz w:val="24"/>
          <w:szCs w:val="24"/>
          <w:color w:val="auto"/>
        </w:rPr>
      </w:pPr>
    </w:p>
    <w:p>
      <w:pPr>
        <w:ind w:left="280"/>
        <w:spacing w:after="0" w:line="196"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3" w:lineRule="exact"/>
        <w:rPr>
          <w:sz w:val="24"/>
          <w:szCs w:val="24"/>
          <w:color w:val="auto"/>
        </w:rPr>
      </w:pPr>
    </w:p>
    <w:p>
      <w:pPr>
        <w:ind w:firstLine="269"/>
        <w:spacing w:after="0" w:line="256" w:lineRule="auto"/>
        <w:rPr>
          <w:sz w:val="20"/>
          <w:szCs w:val="20"/>
          <w:color w:val="auto"/>
        </w:rPr>
      </w:pPr>
      <w:r>
        <w:rPr>
          <w:rFonts w:ascii="Arial" w:cs="Arial" w:eastAsia="Arial" w:hAnsi="Arial"/>
          <w:sz w:val="17"/>
          <w:szCs w:val="17"/>
          <w:color w:val="auto"/>
        </w:rPr>
        <w:t>The number of shares outstanding of each of the issuer’s classes of common equity, as of the latest practical date: 34,812,539 shares of common stock, par value $0.01 per share, as of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ind w:left="580"/>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For the quarter ended September 30, 2023</w:t>
      </w:r>
    </w:p>
    <w:p>
      <w:pPr>
        <w:spacing w:after="0" w:line="99"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Part I –</w:t>
      </w:r>
      <w:r>
        <w:rPr>
          <w:sz w:val="20"/>
          <w:szCs w:val="20"/>
          <w:color w:val="auto"/>
        </w:rPr>
        <w:tab/>
      </w:r>
      <w:r>
        <w:rPr>
          <w:rFonts w:ascii="Arial" w:cs="Arial" w:eastAsia="Arial" w:hAnsi="Arial"/>
          <w:sz w:val="16"/>
          <w:szCs w:val="16"/>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999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307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0000FF"/>
        </w:rPr>
        <w:t>Condensed Consolidated Balance Sheets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-10160</wp:posOffset>
            </wp:positionV>
            <wp:extent cx="4175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75760"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7"/>
          <w:szCs w:val="17"/>
          <w:u w:val="single" w:color="auto"/>
          <w:color w:val="0000FF"/>
        </w:rPr>
        <w:t>Condensed Consolidated Statements of Income for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-3175</wp:posOffset>
            </wp:positionV>
            <wp:extent cx="5232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2400" cy="8255"/>
                    </a:xfrm>
                    <a:prstGeom prst="rect">
                      <a:avLst/>
                    </a:prstGeom>
                    <a:noFill/>
                  </pic:spPr>
                </pic:pic>
              </a:graphicData>
            </a:graphic>
          </wp:anchor>
        </w:drawing>
      </w:r>
    </w:p>
    <w:p>
      <w:pPr>
        <w:spacing w:after="0" w:line="176" w:lineRule="exact"/>
        <w:rPr>
          <w:sz w:val="20"/>
          <w:szCs w:val="20"/>
          <w:color w:val="auto"/>
        </w:rPr>
      </w:pPr>
    </w:p>
    <w:p>
      <w:pPr>
        <w:ind w:left="1560" w:hanging="219"/>
        <w:spacing w:after="0" w:line="277" w:lineRule="auto"/>
        <w:rPr>
          <w:sz w:val="20"/>
          <w:szCs w:val="20"/>
          <w:color w:val="auto"/>
        </w:rPr>
      </w:pPr>
      <w:r>
        <w:rPr>
          <w:rFonts w:ascii="Arial" w:cs="Arial" w:eastAsia="Arial" w:hAnsi="Arial"/>
          <w:sz w:val="18"/>
          <w:szCs w:val="18"/>
          <w:u w:val="single" w:color="auto"/>
          <w:color w:val="0000FF"/>
        </w:rPr>
        <w:t>Condensed Consolidated Statements of Comprehensive Income (Loss) for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-182245</wp:posOffset>
            </wp:positionV>
            <wp:extent cx="5619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9115" cy="825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-45085</wp:posOffset>
            </wp:positionV>
            <wp:extent cx="678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6"/>
          <w:szCs w:val="16"/>
          <w:u w:val="single" w:color="auto"/>
          <w:color w:val="0000FF"/>
        </w:rPr>
        <w:t>Condensed Consolidated Statements of Shareholders’ Equity for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3810</wp:posOffset>
            </wp:positionV>
            <wp:extent cx="5407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7025" cy="8890"/>
                    </a:xfrm>
                    <a:prstGeom prst="rect">
                      <a:avLst/>
                    </a:prstGeom>
                    <a:noFill/>
                  </pic:spPr>
                </pic:pic>
              </a:graphicData>
            </a:graphic>
          </wp:anchor>
        </w:drawing>
      </w:r>
    </w:p>
    <w:p>
      <w:pPr>
        <w:spacing w:after="0" w:line="18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0000FF"/>
        </w:rPr>
        <w:t>Condensed Consolidated Statements of Cash Flows for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-10160</wp:posOffset>
            </wp:positionV>
            <wp:extent cx="4975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5860"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-10160</wp:posOffset>
            </wp:positionV>
            <wp:extent cx="25355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44519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3087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475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6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Part II –</w:t>
      </w:r>
      <w:r>
        <w:rPr>
          <w:sz w:val="20"/>
          <w:szCs w:val="20"/>
          <w:color w:val="auto"/>
        </w:rPr>
        <w:tab/>
      </w:r>
      <w:r>
        <w:rPr>
          <w:rFonts w:ascii="Arial" w:cs="Arial" w:eastAsia="Arial" w:hAnsi="Arial"/>
          <w:sz w:val="16"/>
          <w:szCs w:val="16"/>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834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199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009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2. Unregistered Sales of Equity Securities, Use of Proceeds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48641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6410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827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7530"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475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1186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7327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82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ectPr>
          <w:pgSz w:w="11900" w:h="16838" w:orient="portrait"/>
          <w:cols w:equalWidth="0" w:num="2">
            <w:col w:w="10140" w:space="420"/>
            <w:col w:w="180"/>
          </w:cols>
          <w:pgMar w:left="580" w:top="337" w:right="5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6"/>
                <w:szCs w:val="16"/>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 2023</w:t>
            </w:r>
          </w:p>
        </w:tc>
        <w:tc>
          <w:tcPr>
            <w:tcW w:w="18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2022</w:t>
            </w:r>
          </w:p>
        </w:tc>
      </w:tr>
      <w:tr>
        <w:trPr>
          <w:trHeight w:val="23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45,522</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112,433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83,086</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64,856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71,016</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285,385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240,658</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183,197</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Intangible assets – finite life,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52,340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indefinite life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600,057</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504,721</w:t>
            </w:r>
          </w:p>
        </w:tc>
        <w:tc>
          <w:tcPr>
            <w:tcW w:w="100" w:type="dxa"/>
            <w:vAlign w:val="bottom"/>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94,236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73,407</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54,209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0"/>
                <w:szCs w:val="20"/>
                <w:color w:val="auto"/>
              </w:rPr>
            </w:pPr>
          </w:p>
        </w:tc>
      </w:tr>
      <w:tr>
        <w:trPr>
          <w:trHeight w:val="24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203,298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146,700</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less current portion</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107,625</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7,591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369,915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286,573</w:t>
            </w:r>
          </w:p>
        </w:tc>
        <w:tc>
          <w:tcPr>
            <w:tcW w:w="100" w:type="dxa"/>
            <w:vAlign w:val="bottom"/>
          </w:tcPr>
          <w:p>
            <w:pPr>
              <w:spacing w:after="0"/>
              <w:rPr>
                <w:sz w:val="20"/>
                <w:szCs w:val="20"/>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440" w:type="dxa"/>
            <w:vAlign w:val="bottom"/>
          </w:tcPr>
          <w:p>
            <w:pPr>
              <w:ind w:left="240"/>
              <w:spacing w:after="0"/>
              <w:rPr>
                <w:sz w:val="20"/>
                <w:szCs w:val="20"/>
                <w:color w:val="auto"/>
              </w:rPr>
            </w:pPr>
            <w:r>
              <w:rPr>
                <w:rFonts w:ascii="Arial" w:cs="Arial" w:eastAsia="Arial" w:hAnsi="Arial"/>
                <w:sz w:val="18"/>
                <w:szCs w:val="18"/>
                <w:color w:val="auto"/>
              </w:rPr>
              <w:t>Common stock, $.01 par value; 100,000,000 shares authorized, 34,811,077 and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Arial" w:cs="Arial" w:eastAsia="Arial" w:hAnsi="Arial"/>
                <w:sz w:val="18"/>
                <w:szCs w:val="18"/>
                <w:color w:val="auto"/>
                <w:w w:val="98"/>
              </w:rPr>
              <w:t>34,381,668 shares issued and outstanding at September 30, 2023 and December 31, 2022,</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r>
      <w:tr>
        <w:trPr>
          <w:trHeight w:val="250"/>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253,613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250,174</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Accumulated loss</w:t>
            </w:r>
          </w:p>
        </w:tc>
        <w:tc>
          <w:tcPr>
            <w:tcW w:w="18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(10,266 )</w:t>
            </w:r>
          </w:p>
        </w:tc>
        <w:tc>
          <w:tcPr>
            <w:tcW w:w="18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(19,298 )</w:t>
            </w:r>
          </w:p>
        </w:tc>
      </w:tr>
      <w:tr>
        <w:trPr>
          <w:trHeight w:val="243"/>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(18,251 )</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(17,996 )</w:t>
            </w:r>
          </w:p>
        </w:tc>
      </w:tr>
      <w:tr>
        <w:trPr>
          <w:trHeight w:val="236"/>
        </w:trPr>
        <w:tc>
          <w:tcPr>
            <w:tcW w:w="74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CECO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225,443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213,224</w:t>
            </w:r>
          </w:p>
        </w:tc>
        <w:tc>
          <w:tcPr>
            <w:tcW w:w="100" w:type="dxa"/>
            <w:vAlign w:val="bottom"/>
            <w:tcBorders>
              <w:top w:val="single" w:sz="8" w:color="CFF0FC"/>
            </w:tcBorders>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230,142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218,148</w:t>
            </w:r>
          </w:p>
        </w:tc>
        <w:tc>
          <w:tcPr>
            <w:tcW w:w="100" w:type="dxa"/>
            <w:vAlign w:val="bottom"/>
          </w:tcPr>
          <w:p>
            <w:pPr>
              <w:spacing w:after="0"/>
              <w:rPr>
                <w:sz w:val="20"/>
                <w:szCs w:val="20"/>
                <w:color w:val="auto"/>
              </w:rPr>
            </w:pPr>
          </w:p>
        </w:tc>
      </w:tr>
      <w:tr>
        <w:trPr>
          <w:trHeight w:val="276"/>
        </w:trPr>
        <w:tc>
          <w:tcPr>
            <w:tcW w:w="74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600,057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-5640070</wp:posOffset>
            </wp:positionV>
            <wp:extent cx="7683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-4396740</wp:posOffset>
            </wp:positionV>
            <wp:extent cx="768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-2193925</wp:posOffset>
            </wp:positionV>
            <wp:extent cx="768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-668020</wp:posOffset>
            </wp:positionV>
            <wp:extent cx="7683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-351155</wp:posOffset>
            </wp:positionV>
            <wp:extent cx="7683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149,390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391,134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306,225</w:t>
            </w:r>
          </w:p>
        </w:tc>
        <w:tc>
          <w:tcPr>
            <w:tcW w:w="100" w:type="dxa"/>
            <w:vAlign w:val="bottom"/>
            <w:shd w:val="clear" w:color="auto" w:fill="CFF0FC"/>
          </w:tcPr>
          <w:p>
            <w:pPr>
              <w:spacing w:after="0"/>
              <w:rPr>
                <w:sz w:val="20"/>
                <w:szCs w:val="20"/>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106,269</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75,988</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273,303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215,696</w:t>
            </w:r>
          </w:p>
        </w:tc>
        <w:tc>
          <w:tcPr>
            <w:tcW w:w="100" w:type="dxa"/>
            <w:vAlign w:val="bottom"/>
          </w:tcPr>
          <w:p>
            <w:pPr>
              <w:spacing w:after="0"/>
              <w:rPr>
                <w:sz w:val="21"/>
                <w:szCs w:val="21"/>
                <w:color w:val="auto"/>
              </w:rPr>
            </w:pPr>
          </w:p>
        </w:tc>
      </w:tr>
      <w:tr>
        <w:trPr>
          <w:trHeight w:val="237"/>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90,529</w:t>
            </w: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30,439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66,806</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Acquisition and integration expenses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transition expenses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r>
      <w:tr>
        <w:trPr>
          <w:trHeight w:val="237"/>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7,853</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21,917</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(216 )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(670 )</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(3,340 )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(1,569 )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(9,498 )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(3,489 )</w:t>
            </w:r>
          </w:p>
        </w:tc>
      </w:tr>
      <w:tr>
        <w:trPr>
          <w:trHeight w:val="230"/>
        </w:trPr>
        <w:tc>
          <w:tcPr>
            <w:tcW w:w="53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Borders>
              <w:top w:val="single" w:sz="8" w:color="CFF0FC"/>
            </w:tcBorders>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Net income attributable to CECO Environmental Corp.</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20"/>
                <w:szCs w:val="20"/>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34,771,742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34,455,657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34,612,163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34,791,129</w:t>
            </w:r>
          </w:p>
        </w:tc>
        <w:tc>
          <w:tcPr>
            <w:tcW w:w="100" w:type="dxa"/>
            <w:vAlign w:val="bottom"/>
            <w:shd w:val="clear" w:color="auto" w:fill="CFF0FC"/>
          </w:tcPr>
          <w:p>
            <w:pPr>
              <w:spacing w:after="0"/>
              <w:rPr>
                <w:sz w:val="21"/>
                <w:szCs w:val="2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35,301,429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34,871,313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35,215,843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35,035,041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-1774190</wp:posOffset>
            </wp:positionV>
            <wp:extent cx="7683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-1774190</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-1774190</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-1457325</wp:posOffset>
            </wp:positionV>
            <wp:extent cx="7683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-1457325</wp:posOffset>
            </wp:positionV>
            <wp:extent cx="685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-1457325</wp:posOffset>
            </wp:positionV>
            <wp:extent cx="685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-1457325</wp:posOffset>
            </wp:positionV>
            <wp:extent cx="685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-1139825</wp:posOffset>
            </wp:positionV>
            <wp:extent cx="7683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-1139825</wp:posOffset>
            </wp:positionV>
            <wp:extent cx="685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-1139825</wp:posOffset>
            </wp:positionV>
            <wp:extent cx="685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-480060</wp:posOffset>
            </wp:positionV>
            <wp:extent cx="291465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0" cy="17970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Pr>
          <w:p>
            <w:pPr>
              <w:spacing w:after="0"/>
              <w:rPr>
                <w:sz w:val="16"/>
                <w:szCs w:val="16"/>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10,172</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(1,160 )</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(5,890 )</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(255 )</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(9,387 )</w:t>
            </w:r>
          </w:p>
        </w:tc>
      </w:tr>
      <w:tr>
        <w:trPr>
          <w:trHeight w:val="20"/>
        </w:trPr>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(3,724 )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9,917</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-505460</wp:posOffset>
            </wp:positionV>
            <wp:extent cx="7747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-505460</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-505460</wp:posOffset>
            </wp:positionV>
            <wp:extent cx="68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7747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6"/>
            <w:vMerge w:val="restart"/>
          </w:tcPr>
          <w:p>
            <w:pPr>
              <w:jc w:val="right"/>
              <w:ind w:right="49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9"/>
              </w:rPr>
              <w:t>Capital in</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4"/>
              </w:rPr>
              <w:t>excess of</w:t>
            </w:r>
          </w:p>
        </w:tc>
        <w:tc>
          <w:tcPr>
            <w:tcW w:w="112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2"/>
              </w:rPr>
              <w:t>controlling</w:t>
            </w:r>
          </w:p>
        </w:tc>
        <w:tc>
          <w:tcPr>
            <w:tcW w:w="10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900" w:type="dxa"/>
            <w:vAlign w:val="bottom"/>
            <w:gridSpan w:val="3"/>
          </w:tcPr>
          <w:p>
            <w:pPr>
              <w:jc w:val="right"/>
              <w:ind w:right="193"/>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33"/>
              <w:spacing w:after="0" w:line="142"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line="142" w:lineRule="exact"/>
              <w:rPr>
                <w:sz w:val="20"/>
                <w:szCs w:val="20"/>
                <w:color w:val="auto"/>
              </w:rPr>
            </w:pPr>
            <w:r>
              <w:rPr>
                <w:rFonts w:ascii="Arial" w:cs="Arial" w:eastAsia="Arial" w:hAnsi="Arial"/>
                <w:sz w:val="13"/>
                <w:szCs w:val="13"/>
                <w:b w:val="1"/>
                <w:bCs w:val="1"/>
                <w:color w:val="auto"/>
                <w:w w:val="94"/>
              </w:rPr>
              <w:t>par value</w:t>
            </w:r>
          </w:p>
        </w:tc>
        <w:tc>
          <w:tcPr>
            <w:tcW w:w="320" w:type="dxa"/>
            <w:vAlign w:val="bottom"/>
          </w:tcPr>
          <w:p>
            <w:pPr>
              <w:spacing w:after="0"/>
              <w:rPr>
                <w:sz w:val="12"/>
                <w:szCs w:val="12"/>
                <w:color w:val="auto"/>
              </w:rPr>
            </w:pPr>
          </w:p>
        </w:tc>
        <w:tc>
          <w:tcPr>
            <w:tcW w:w="800" w:type="dxa"/>
            <w:vAlign w:val="bottom"/>
            <w:gridSpan w:val="3"/>
          </w:tcPr>
          <w:p>
            <w:pPr>
              <w:jc w:val="right"/>
              <w:ind w:right="520"/>
              <w:spacing w:after="0" w:line="142" w:lineRule="exact"/>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2" w:lineRule="exact"/>
              <w:rPr>
                <w:sz w:val="20"/>
                <w:szCs w:val="20"/>
                <w:color w:val="auto"/>
              </w:rPr>
            </w:pPr>
            <w:r>
              <w:rPr>
                <w:rFonts w:ascii="Arial" w:cs="Arial" w:eastAsia="Arial" w:hAnsi="Arial"/>
                <w:sz w:val="13"/>
                <w:szCs w:val="13"/>
                <w:b w:val="1"/>
                <w:bCs w:val="1"/>
                <w:color w:val="auto"/>
                <w:w w:val="93"/>
              </w:rPr>
              <w:t>interest</w:t>
            </w:r>
          </w:p>
        </w:tc>
        <w:tc>
          <w:tcPr>
            <w:tcW w:w="160" w:type="dxa"/>
            <w:vAlign w:val="bottom"/>
          </w:tcPr>
          <w:p>
            <w:pPr>
              <w:spacing w:after="0"/>
              <w:rPr>
                <w:sz w:val="12"/>
                <w:szCs w:val="12"/>
                <w:color w:val="auto"/>
              </w:rPr>
            </w:pPr>
          </w:p>
        </w:tc>
        <w:tc>
          <w:tcPr>
            <w:tcW w:w="860" w:type="dxa"/>
            <w:vAlign w:val="bottom"/>
            <w:gridSpan w:val="4"/>
          </w:tcPr>
          <w:p>
            <w:pPr>
              <w:jc w:val="center"/>
              <w:ind w:right="28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2022</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34,382</w:t>
            </w:r>
          </w:p>
        </w:tc>
        <w:tc>
          <w:tcPr>
            <w:tcW w:w="42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250,174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(19,298 )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(17,996 )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4,924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218,148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w w:val="97"/>
              </w:rPr>
              <w:t>Net income for the three months ended March 31, 2023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1,978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2,469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611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3"/>
                <w:szCs w:val="13"/>
                <w:color w:val="auto"/>
              </w:rPr>
              <w:t>(622 )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(621 )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808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766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March 31, 2023</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34,557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250,971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(17,320 )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(17,230 )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5,415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222,182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income for the three months ended June 30, 2023</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3,724</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266</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3,990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132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3"/>
                <w:szCs w:val="13"/>
                <w:color w:val="auto"/>
              </w:rPr>
              <w:t>(271 )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(270 )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1,389</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1,389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Noncontrolling interest distributions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(599 )</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(599 )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Balance June 30, 2023</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34,738</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347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252,406</w:t>
            </w:r>
          </w:p>
        </w:tc>
        <w:tc>
          <w:tcPr>
            <w:tcW w:w="20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(13,596 )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tcPr>
          <w:p>
            <w:pPr>
              <w:jc w:val="right"/>
              <w:ind w:right="160"/>
              <w:spacing w:after="0"/>
              <w:rPr>
                <w:sz w:val="20"/>
                <w:szCs w:val="20"/>
                <w:color w:val="auto"/>
              </w:rPr>
            </w:pPr>
            <w:r>
              <w:rPr>
                <w:rFonts w:ascii="Arial" w:cs="Arial" w:eastAsia="Arial" w:hAnsi="Arial"/>
                <w:sz w:val="13"/>
                <w:szCs w:val="13"/>
                <w:color w:val="auto"/>
              </w:rPr>
              <w:t>(17,091 )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5,082</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227,148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60" w:type="dxa"/>
            <w:vAlign w:val="bottom"/>
            <w:shd w:val="clear" w:color="auto" w:fill="CFF0FC"/>
          </w:tcPr>
          <w:p>
            <w:pPr>
              <w:ind w:left="20"/>
              <w:spacing w:after="0" w:line="132" w:lineRule="exact"/>
              <w:rPr>
                <w:sz w:val="20"/>
                <w:szCs w:val="20"/>
                <w:color w:val="auto"/>
              </w:rPr>
            </w:pPr>
            <w:r>
              <w:rPr>
                <w:rFonts w:ascii="Arial" w:cs="Arial" w:eastAsia="Arial" w:hAnsi="Arial"/>
                <w:sz w:val="13"/>
                <w:szCs w:val="13"/>
                <w:color w:val="auto"/>
                <w:w w:val="99"/>
              </w:rPr>
              <w:t>Net income for the three months ended September 30,</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2" w:lineRule="exact"/>
              <w:rPr>
                <w:sz w:val="20"/>
                <w:szCs w:val="20"/>
                <w:color w:val="auto"/>
              </w:rPr>
            </w:pPr>
            <w:r>
              <w:rPr>
                <w:rFonts w:ascii="Arial" w:cs="Arial" w:eastAsia="Arial" w:hAnsi="Arial"/>
                <w:sz w:val="13"/>
                <w:szCs w:val="13"/>
                <w:color w:val="auto"/>
              </w:rPr>
              <w:t>3,330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3"/>
            <w:shd w:val="clear" w:color="auto" w:fill="CFF0FC"/>
          </w:tcPr>
          <w:p>
            <w:pPr>
              <w:jc w:val="right"/>
              <w:spacing w:after="0" w:line="132" w:lineRule="exact"/>
              <w:rPr>
                <w:sz w:val="20"/>
                <w:szCs w:val="20"/>
                <w:color w:val="auto"/>
              </w:rPr>
            </w:pPr>
            <w:r>
              <w:rPr>
                <w:rFonts w:ascii="Arial" w:cs="Arial" w:eastAsia="Arial" w:hAnsi="Arial"/>
                <w:sz w:val="13"/>
                <w:szCs w:val="13"/>
                <w:color w:val="auto"/>
              </w:rPr>
              <w:t>382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ind w:right="20"/>
              <w:spacing w:after="0" w:line="132" w:lineRule="exact"/>
              <w:rPr>
                <w:sz w:val="20"/>
                <w:szCs w:val="20"/>
                <w:color w:val="auto"/>
              </w:rPr>
            </w:pPr>
            <w:r>
              <w:rPr>
                <w:rFonts w:ascii="Arial" w:cs="Arial" w:eastAsia="Arial" w:hAnsi="Arial"/>
                <w:sz w:val="13"/>
                <w:szCs w:val="13"/>
                <w:color w:val="auto"/>
              </w:rPr>
              <w:t>3,712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2023</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281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(203 )</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(203 )</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1,129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1,129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(1,160 )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(1,160 )</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(765 )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(765 )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September 30, 2023</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34,811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253,613</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(10,266 )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(18,251 )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4,699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230,142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-1748155</wp:posOffset>
            </wp:positionV>
            <wp:extent cx="45605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6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-1054100</wp:posOffset>
            </wp:positionV>
            <wp:extent cx="7683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-1054100</wp:posOffset>
            </wp:positionV>
            <wp:extent cx="7683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-1054100</wp:posOffset>
            </wp:positionV>
            <wp:extent cx="6858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-1054100</wp:posOffset>
            </wp:positionV>
            <wp:extent cx="685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-1054100</wp:posOffset>
            </wp:positionV>
            <wp:extent cx="6858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-1054100</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7"/>
            <w:vMerge w:val="restart"/>
          </w:tcPr>
          <w:p>
            <w:pPr>
              <w:jc w:val="right"/>
              <w:ind w:right="47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5"/>
              </w:rPr>
              <w:t>Capital in</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0"/>
              </w:rPr>
              <w:t>excess of</w:t>
            </w: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2"/>
              </w:rPr>
              <w:t>controlling</w:t>
            </w:r>
          </w:p>
        </w:tc>
        <w:tc>
          <w:tcPr>
            <w:tcW w:w="10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Arial" w:cs="Arial" w:eastAsia="Arial" w:hAnsi="Arial"/>
                <w:sz w:val="13"/>
                <w:szCs w:val="13"/>
                <w:b w:val="1"/>
                <w:bCs w:val="1"/>
                <w:color w:val="auto"/>
                <w:w w:val="82"/>
              </w:rPr>
              <w:t>Shares</w:t>
            </w:r>
          </w:p>
        </w:tc>
        <w:tc>
          <w:tcPr>
            <w:tcW w:w="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4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par value</w:t>
            </w:r>
          </w:p>
        </w:tc>
        <w:tc>
          <w:tcPr>
            <w:tcW w:w="38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Loss</w:t>
            </w:r>
          </w:p>
        </w:tc>
        <w:tc>
          <w:tcPr>
            <w:tcW w:w="5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2" w:lineRule="exact"/>
              <w:rPr>
                <w:sz w:val="20"/>
                <w:szCs w:val="20"/>
                <w:color w:val="auto"/>
              </w:rPr>
            </w:pPr>
            <w:r>
              <w:rPr>
                <w:rFonts w:ascii="Arial" w:cs="Arial" w:eastAsia="Arial" w:hAnsi="Arial"/>
                <w:sz w:val="13"/>
                <w:szCs w:val="13"/>
                <w:b w:val="1"/>
                <w:bCs w:val="1"/>
                <w:color w:val="auto"/>
                <w:w w:val="93"/>
              </w:rPr>
              <w:t>interest</w:t>
            </w:r>
          </w:p>
        </w:tc>
        <w:tc>
          <w:tcPr>
            <w:tcW w:w="160" w:type="dxa"/>
            <w:vAlign w:val="bottom"/>
          </w:tcPr>
          <w:p>
            <w:pPr>
              <w:spacing w:after="0"/>
              <w:rPr>
                <w:sz w:val="12"/>
                <w:szCs w:val="12"/>
                <w:color w:val="auto"/>
              </w:rPr>
            </w:pPr>
          </w:p>
        </w:tc>
        <w:tc>
          <w:tcPr>
            <w:tcW w:w="860" w:type="dxa"/>
            <w:vAlign w:val="bottom"/>
            <w:gridSpan w:val="4"/>
          </w:tcPr>
          <w:p>
            <w:pPr>
              <w:jc w:val="center"/>
              <w:ind w:right="28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35,028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252,989</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(36,715 )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(12,070 )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1,403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205,957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w w:val="98"/>
              </w:rPr>
              <w:t>Net income for the three months ended March 31, 2022</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2,792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2,810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(67 )</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953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(531 )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(531 )</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(900 )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(900 )</w:t>
            </w:r>
          </w:p>
        </w:tc>
        <w:tc>
          <w:tcPr>
            <w:tcW w:w="0" w:type="dxa"/>
            <w:vAlign w:val="bottom"/>
          </w:tcPr>
          <w:p>
            <w:pPr>
              <w:spacing w:after="0"/>
              <w:rPr>
                <w:sz w:val="1"/>
                <w:szCs w:val="1"/>
                <w:color w:val="auto"/>
              </w:rPr>
            </w:pPr>
          </w:p>
        </w:tc>
      </w:tr>
      <w:tr>
        <w:trPr>
          <w:trHeight w:val="176"/>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Fair value of noncontrolling interest equity issued</w:t>
            </w:r>
          </w:p>
        </w:tc>
        <w:tc>
          <w:tcPr>
            <w:tcW w:w="26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5,000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Balance March 31, 2022</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35,076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350</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253,875</w:t>
            </w:r>
          </w:p>
        </w:tc>
        <w:tc>
          <w:tcPr>
            <w:tcW w:w="20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(33,923 )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tcPr>
          <w:p>
            <w:pPr>
              <w:jc w:val="right"/>
              <w:ind w:right="160"/>
              <w:spacing w:after="0"/>
              <w:rPr>
                <w:sz w:val="20"/>
                <w:szCs w:val="20"/>
                <w:color w:val="auto"/>
              </w:rPr>
            </w:pPr>
            <w:r>
              <w:rPr>
                <w:rFonts w:ascii="Arial" w:cs="Arial" w:eastAsia="Arial" w:hAnsi="Arial"/>
                <w:sz w:val="13"/>
                <w:szCs w:val="13"/>
                <w:color w:val="auto"/>
              </w:rPr>
              <w:t>(12,601 )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5,521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213,222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for the three months ended June 30, 2022</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4,385</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4,724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3"/>
                <w:szCs w:val="13"/>
                <w:color w:val="auto"/>
              </w:rPr>
              <w:t>(211 )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(209 )</w:t>
            </w: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915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Common stock repurchase and retirement</w:t>
            </w:r>
          </w:p>
        </w:tc>
        <w:tc>
          <w:tcPr>
            <w:tcW w:w="1140" w:type="dxa"/>
            <w:vAlign w:val="bottom"/>
            <w:gridSpan w:val="4"/>
          </w:tcPr>
          <w:p>
            <w:pPr>
              <w:jc w:val="right"/>
              <w:ind w:right="180"/>
              <w:spacing w:after="0"/>
              <w:rPr>
                <w:sz w:val="20"/>
                <w:szCs w:val="20"/>
                <w:color w:val="auto"/>
              </w:rPr>
            </w:pPr>
            <w:r>
              <w:rPr>
                <w:rFonts w:ascii="Arial" w:cs="Arial" w:eastAsia="Arial" w:hAnsi="Arial"/>
                <w:sz w:val="13"/>
                <w:szCs w:val="13"/>
                <w:color w:val="auto"/>
              </w:rPr>
              <w:t>(725 )</w:t>
            </w:r>
          </w:p>
        </w:tc>
        <w:tc>
          <w:tcPr>
            <w:tcW w:w="120" w:type="dxa"/>
            <w:vAlign w:val="bottom"/>
          </w:tcPr>
          <w:p>
            <w:pPr>
              <w:spacing w:after="0"/>
              <w:rPr>
                <w:sz w:val="15"/>
                <w:szCs w:val="15"/>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3"/>
                <w:szCs w:val="13"/>
                <w:color w:val="auto"/>
              </w:rPr>
              <w:t>(7 )</w:t>
            </w:r>
          </w:p>
        </w:tc>
        <w:tc>
          <w:tcPr>
            <w:tcW w:w="140" w:type="dxa"/>
            <w:vAlign w:val="bottom"/>
          </w:tcPr>
          <w:p>
            <w:pPr>
              <w:spacing w:after="0"/>
              <w:rPr>
                <w:sz w:val="15"/>
                <w:szCs w:val="15"/>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3"/>
                <w:szCs w:val="13"/>
                <w:color w:val="auto"/>
              </w:rPr>
              <w:t>(4,317 )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(4,324 )</w:t>
            </w: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(2,966 )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(2,966 )</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Fair value of noncontrolling interest equity issued</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(901 )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(901 )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June 30, 2022</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34,534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250,262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(29,538 )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(15,567 )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4,959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210,461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180" w:type="dxa"/>
            <w:vAlign w:val="bottom"/>
            <w:tcBorders>
              <w:top w:val="single" w:sz="8" w:color="CFF0FC"/>
            </w:tcBorders>
          </w:tcPr>
          <w:p>
            <w:pPr>
              <w:ind w:left="20"/>
              <w:spacing w:after="0" w:line="132" w:lineRule="exact"/>
              <w:rPr>
                <w:sz w:val="20"/>
                <w:szCs w:val="20"/>
                <w:color w:val="auto"/>
              </w:rPr>
            </w:pPr>
            <w:r>
              <w:rPr>
                <w:rFonts w:ascii="Arial" w:cs="Arial" w:eastAsia="Arial" w:hAnsi="Arial"/>
                <w:sz w:val="13"/>
                <w:szCs w:val="13"/>
                <w:color w:val="auto"/>
                <w:w w:val="99"/>
              </w:rPr>
              <w:t>Net income for the three months ended September 30,</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32" w:lineRule="exact"/>
              <w:rPr>
                <w:sz w:val="20"/>
                <w:szCs w:val="20"/>
                <w:color w:val="auto"/>
              </w:rPr>
            </w:pPr>
            <w:r>
              <w:rPr>
                <w:rFonts w:ascii="Arial" w:cs="Arial" w:eastAsia="Arial" w:hAnsi="Arial"/>
                <w:sz w:val="13"/>
                <w:szCs w:val="13"/>
                <w:color w:val="auto"/>
              </w:rPr>
              <w:t>1,943</w:t>
            </w: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32" w:lineRule="exact"/>
              <w:rPr>
                <w:sz w:val="20"/>
                <w:szCs w:val="20"/>
                <w:color w:val="auto"/>
              </w:rPr>
            </w:pPr>
            <w:r>
              <w:rPr>
                <w:rFonts w:ascii="Arial" w:cs="Arial" w:eastAsia="Arial" w:hAnsi="Arial"/>
                <w:sz w:val="13"/>
                <w:szCs w:val="13"/>
                <w:color w:val="auto"/>
              </w:rPr>
              <w:t>223</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ind w:right="20"/>
              <w:spacing w:after="0" w:line="132" w:lineRule="exact"/>
              <w:rPr>
                <w:sz w:val="20"/>
                <w:szCs w:val="20"/>
                <w:color w:val="auto"/>
              </w:rPr>
            </w:pPr>
            <w:r>
              <w:rPr>
                <w:rFonts w:ascii="Arial" w:cs="Arial" w:eastAsia="Arial" w:hAnsi="Arial"/>
                <w:sz w:val="13"/>
                <w:szCs w:val="13"/>
                <w:color w:val="auto"/>
              </w:rPr>
              <w:t>2,166</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Arial" w:cs="Arial" w:eastAsia="Arial" w:hAnsi="Arial"/>
                <w:sz w:val="13"/>
                <w:szCs w:val="13"/>
                <w:color w:val="auto"/>
              </w:rPr>
              <w:t>2022</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(65 )</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1,242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1,242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Common stock repurchase and retirement (see Note 9)</w:t>
            </w:r>
          </w:p>
        </w:tc>
        <w:tc>
          <w:tcPr>
            <w:tcW w:w="114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(256 )</w:t>
            </w:r>
          </w:p>
        </w:tc>
        <w:tc>
          <w:tcPr>
            <w:tcW w:w="120" w:type="dxa"/>
            <w:vAlign w:val="bottom"/>
            <w:shd w:val="clear" w:color="auto" w:fill="CFF0FC"/>
          </w:tcPr>
          <w:p>
            <w:pPr>
              <w:spacing w:after="0"/>
              <w:rPr>
                <w:sz w:val="15"/>
                <w:szCs w:val="15"/>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(2 )</w:t>
            </w:r>
          </w:p>
        </w:tc>
        <w:tc>
          <w:tcPr>
            <w:tcW w:w="140" w:type="dxa"/>
            <w:vAlign w:val="bottom"/>
            <w:shd w:val="clear" w:color="auto" w:fill="CFF0FC"/>
          </w:tcPr>
          <w:p>
            <w:pPr>
              <w:spacing w:after="0"/>
              <w:rPr>
                <w:sz w:val="15"/>
                <w:szCs w:val="15"/>
                <w:color w:val="auto"/>
              </w:rPr>
            </w:pPr>
          </w:p>
        </w:tc>
        <w:tc>
          <w:tcPr>
            <w:tcW w:w="98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(2,191 )</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(2,193 )</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3"/>
                <w:szCs w:val="13"/>
                <w:color w:val="auto"/>
              </w:rPr>
              <w:t>Translation loss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3"/>
                <w:szCs w:val="13"/>
                <w:color w:val="auto"/>
              </w:rPr>
              <w:t>(5,890 )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(5,890 )</w:t>
            </w: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Noncontrolling interest distributions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(301 )</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(301 )</w:t>
            </w: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Balance September 30, 2022</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34,330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343</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249,248</w:t>
            </w:r>
          </w:p>
        </w:tc>
        <w:tc>
          <w:tcPr>
            <w:tcW w:w="20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(27,595 )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4"/>
          </w:tcPr>
          <w:p>
            <w:pPr>
              <w:jc w:val="right"/>
              <w:ind w:right="160"/>
              <w:spacing w:after="0"/>
              <w:rPr>
                <w:sz w:val="20"/>
                <w:szCs w:val="20"/>
                <w:color w:val="auto"/>
              </w:rPr>
            </w:pPr>
            <w:r>
              <w:rPr>
                <w:rFonts w:ascii="Arial" w:cs="Arial" w:eastAsia="Arial" w:hAnsi="Arial"/>
                <w:sz w:val="13"/>
                <w:szCs w:val="13"/>
                <w:color w:val="auto"/>
              </w:rPr>
              <w:t>(21,457 )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4,881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205,420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-1868170</wp:posOffset>
            </wp:positionV>
            <wp:extent cx="7683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-1868170</wp:posOffset>
            </wp:positionV>
            <wp:extent cx="7747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-1868170</wp:posOffset>
            </wp:positionV>
            <wp:extent cx="6858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-1868170</wp:posOffset>
            </wp:positionV>
            <wp:extent cx="6858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-1868170</wp:posOffset>
            </wp:positionV>
            <wp:extent cx="6858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-1868170</wp:posOffset>
            </wp:positionV>
            <wp:extent cx="6858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-934085</wp:posOffset>
            </wp:positionV>
            <wp:extent cx="4551680" cy="231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1680" cy="23114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-145415</wp:posOffset>
            </wp:positionV>
            <wp:extent cx="7683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-145415</wp:posOffset>
            </wp:positionV>
            <wp:extent cx="7747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-145415</wp:posOffset>
            </wp:positionV>
            <wp:extent cx="6858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-145415</wp:posOffset>
            </wp:positionV>
            <wp:extent cx="6858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-145415</wp:posOffset>
            </wp:positionV>
            <wp:extent cx="6858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-145415</wp:posOffset>
            </wp:positionV>
            <wp:extent cx="6858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10,172</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9,701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8,769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7,609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foreign currency (loss) gain</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(138 )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Fair value adjustment to earnout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Earnout payments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(1,007 )</w:t>
            </w: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Gain (loss) on sale of property and equipment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discount amortization</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Bad debt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Inventory reserve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(25,961 )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(15,772 )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6,006</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(4,846 )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(10,395 )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(4,620 )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(8,228 )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(1,900 )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(268 )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21,162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7,868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6,567</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(51 )</w:t>
            </w:r>
          </w:p>
        </w:tc>
      </w:tr>
      <w:tr>
        <w:trPr>
          <w:trHeight w:val="233"/>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liabilities, net</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(3,473 )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(2,538 )</w:t>
            </w:r>
          </w:p>
        </w:tc>
      </w:tr>
      <w:tr>
        <w:trPr>
          <w:trHeight w:val="223"/>
        </w:trPr>
        <w:tc>
          <w:tcPr>
            <w:tcW w:w="73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29,491</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19,696</w:t>
            </w:r>
          </w:p>
        </w:tc>
        <w:tc>
          <w:tcPr>
            <w:tcW w:w="100" w:type="dxa"/>
            <w:vAlign w:val="bottom"/>
            <w:tcBorders>
              <w:top w:val="single" w:sz="8" w:color="CFF0FC"/>
            </w:tcBorders>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(5,511 )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(2,367 )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proceeds from sale of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Net cash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(48,102 )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(44,900 )</w:t>
            </w: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(53,613 )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(47,260 )</w:t>
            </w:r>
          </w:p>
        </w:tc>
      </w:tr>
      <w:tr>
        <w:trPr>
          <w:trHeight w:val="220"/>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revolving credit lines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94,200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73,600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Repayments on revolving credit lines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(63,200 )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(35,900 )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 on long-term debt</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(2,478 )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(2,294 )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financing fees paid</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(1,247 )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(444 )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Earnout payments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(1,496 )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Noncontrolling interest distributions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(1,364 )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(1,201 )</w:t>
            </w:r>
          </w:p>
        </w:tc>
      </w:tr>
      <w:tr>
        <w:trPr>
          <w:trHeight w:val="233"/>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repurchased</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(6,558 )</w:t>
            </w:r>
          </w:p>
        </w:tc>
      </w:tr>
      <w:tr>
        <w:trPr>
          <w:trHeight w:val="223"/>
        </w:trPr>
        <w:tc>
          <w:tcPr>
            <w:tcW w:w="73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25,170</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38,242</w:t>
            </w:r>
          </w:p>
        </w:tc>
        <w:tc>
          <w:tcPr>
            <w:tcW w:w="100" w:type="dxa"/>
            <w:vAlign w:val="bottom"/>
            <w:tcBorders>
              <w:top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(6,459 )</w:t>
            </w:r>
          </w:p>
        </w:tc>
      </w:tr>
      <w:tr>
        <w:trPr>
          <w:trHeight w:val="220"/>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4,219</w:t>
            </w:r>
          </w:p>
        </w:tc>
        <w:tc>
          <w:tcPr>
            <w:tcW w:w="100" w:type="dxa"/>
            <w:vAlign w:val="bottom"/>
            <w:tcBorders>
              <w:top w:val="single" w:sz="8" w:color="CFF0FC"/>
            </w:tcBorders>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46,585</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48,336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36,214</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during the period for:</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320" w:type="dxa"/>
            <w:vAlign w:val="bottom"/>
          </w:tcPr>
          <w:p>
            <w:pPr>
              <w:ind w:left="200"/>
              <w:spacing w:after="0"/>
              <w:rPr>
                <w:sz w:val="20"/>
                <w:szCs w:val="20"/>
                <w:color w:val="auto"/>
              </w:rPr>
            </w:pPr>
            <w:r>
              <w:rPr>
                <w:rFonts w:ascii="Arial" w:cs="Arial" w:eastAsia="Arial" w:hAnsi="Arial"/>
                <w:sz w:val="16"/>
                <w:szCs w:val="16"/>
                <w:color w:val="auto"/>
              </w:rPr>
              <w:t>Interest</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8,531</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8,633</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-3942715</wp:posOffset>
            </wp:positionV>
            <wp:extent cx="6858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-3042285</wp:posOffset>
            </wp:positionV>
            <wp:extent cx="6858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-1285240</wp:posOffset>
            </wp:positionV>
            <wp:extent cx="6858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-976630</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-676275</wp:posOffset>
            </wp:positionV>
            <wp:extent cx="6858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-351155</wp:posOffset>
            </wp:positionV>
            <wp:extent cx="6858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(unaudited)</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sz w:val="20"/>
          <w:szCs w:val="20"/>
          <w:color w:val="auto"/>
        </w:rPr>
      </w:pPr>
    </w:p>
    <w:p>
      <w:pPr>
        <w:ind w:left="520" w:right="80"/>
        <w:spacing w:after="0" w:line="288" w:lineRule="auto"/>
        <w:rPr>
          <w:sz w:val="20"/>
          <w:szCs w:val="20"/>
          <w:color w:val="auto"/>
        </w:rPr>
      </w:pPr>
      <w:r>
        <w:rPr>
          <w:rFonts w:ascii="Arial" w:cs="Arial" w:eastAsia="Arial" w:hAnsi="Arial"/>
          <w:sz w:val="16"/>
          <w:szCs w:val="16"/>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2023 and the results of operations, cash flows and shareholders’ equity for the three and nine months ended September 30, 2023 and 2022. The results of operations for the three and nine months ended September 30, 2023 are not necessarily indicative of the results to be expected for the full year. The balance sheet as of December 31, 2022 has been derived from the audited consolidated financial statements included in the Company’s Annual Report on Form 10-K for the year ended December 31, 2022 as filed with the SEC on March 6, 2023 (the “Form 10-K”).</w:t>
      </w:r>
    </w:p>
    <w:p>
      <w:pPr>
        <w:spacing w:after="0" w:line="168" w:lineRule="exact"/>
        <w:rPr>
          <w:sz w:val="20"/>
          <w:szCs w:val="20"/>
          <w:color w:val="auto"/>
        </w:rPr>
      </w:pPr>
    </w:p>
    <w:p>
      <w:pPr>
        <w:jc w:val="both"/>
        <w:ind w:left="520" w:right="8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Form 10-K.</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otherwise indicated, all balances within tables are in thousands, except per share amounts.</w:t>
      </w:r>
    </w:p>
    <w:p>
      <w:pPr>
        <w:spacing w:after="0" w:line="221" w:lineRule="exact"/>
        <w:rPr>
          <w:sz w:val="20"/>
          <w:szCs w:val="20"/>
          <w:color w:val="auto"/>
        </w:rPr>
      </w:pPr>
    </w:p>
    <w:p>
      <w:pPr>
        <w:ind w:left="520" w:right="7200" w:hanging="512"/>
        <w:spacing w:after="0" w:line="566" w:lineRule="auto"/>
        <w:tabs>
          <w:tab w:leader="none" w:pos="37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2023</w:t>
      </w:r>
    </w:p>
    <w:p>
      <w:pPr>
        <w:ind w:left="520" w:right="60"/>
        <w:spacing w:after="0" w:line="259" w:lineRule="auto"/>
        <w:rPr>
          <w:sz w:val="20"/>
          <w:szCs w:val="20"/>
          <w:color w:val="auto"/>
        </w:rPr>
      </w:pPr>
      <w:r>
        <w:rPr>
          <w:rFonts w:ascii="Arial" w:cs="Arial" w:eastAsia="Arial" w:hAnsi="Arial"/>
          <w:sz w:val="18"/>
          <w:szCs w:val="18"/>
          <w:color w:val="auto"/>
        </w:rPr>
        <w:t>On January 1, 2023, the beginning of the Company's fiscal year, the Company adopted Accounting Standards Update ("ASU") 2021-08, Business Combinations (Topic 805): Accounting for Contract Assets and Contract Liabilities from Contracts with Customers, which addresses how an acquirer should recognize and measure revenue contracts acquired in a business combination. The adoption of ASU 2021-08 did not have a material impact on the Company's Consolidated Financial Statements.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Accounting Standards to be Adopted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Accounts receivable as of September 30, 2023 and December 31, 2022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September 30, 2023</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2022</w:t>
            </w: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116,786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87,306</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(4,353 )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(4,220 )</w:t>
            </w:r>
          </w:p>
        </w:tc>
      </w:tr>
      <w:tr>
        <w:trPr>
          <w:trHeight w:val="276"/>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112,433</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net as of the beginning of the prior year period, or January 1, 2022, were $75.0 million.</w:t>
      </w:r>
    </w:p>
    <w:p>
      <w:pPr>
        <w:spacing w:after="0" w:line="225" w:lineRule="exact"/>
        <w:rPr>
          <w:sz w:val="20"/>
          <w:szCs w:val="20"/>
          <w:color w:val="auto"/>
        </w:rPr>
      </w:pPr>
    </w:p>
    <w:p>
      <w:pPr>
        <w:jc w:val="both"/>
        <w:ind w:left="520" w:right="180"/>
        <w:spacing w:after="0" w:line="263"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$1.8 million and $1.6 million as of September 30, 2023 and December 31, 2022, respectively. Retainage receivables on contracts in progress are generally collected within a year or two subsequent to contract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520" w:right="600"/>
        <w:spacing w:after="0" w:line="277" w:lineRule="auto"/>
        <w:rPr>
          <w:sz w:val="20"/>
          <w:szCs w:val="20"/>
          <w:color w:val="auto"/>
        </w:rPr>
      </w:pPr>
      <w:r>
        <w:rPr>
          <w:rFonts w:ascii="Arial" w:cs="Arial" w:eastAsia="Arial" w:hAnsi="Arial"/>
          <w:sz w:val="18"/>
          <w:szCs w:val="18"/>
          <w:color w:val="auto"/>
        </w:rPr>
        <w:t>completion, and are recorded in either "Accounts receivable, net" or "Deferred charges and other assets" within the Condensed Consolidated Balance Sheets depending on timing of expected collection.</w:t>
      </w:r>
    </w:p>
    <w:p>
      <w:pPr>
        <w:spacing w:after="0" w:line="170"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Provision for credit losses was $0.2 million and $0.4 million for the three months ended September 30, 2023 and 2022, respectively, and $0.2 million and $0.8 million for the nine months ended September 30, 2023 and 2022, respectively.</w:t>
      </w:r>
    </w:p>
    <w:p>
      <w:pPr>
        <w:spacing w:after="0" w:line="16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Contract Assets and Liabilities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Contract assets and liabilities as of September 30, 2023 and December 31, 2022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71,016</w:t>
            </w:r>
          </w:p>
        </w:tc>
        <w:tc>
          <w:tcPr>
            <w:tcW w:w="100" w:type="dxa"/>
            <w:vAlign w:val="bottom"/>
            <w:shd w:val="clear" w:color="auto" w:fill="CFF0FC"/>
          </w:tcPr>
          <w:p>
            <w:pPr>
              <w:spacing w:after="0"/>
              <w:rPr>
                <w:sz w:val="20"/>
                <w:szCs w:val="20"/>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54,209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520" w:right="300"/>
        <w:spacing w:after="0" w:line="275" w:lineRule="auto"/>
        <w:rPr>
          <w:sz w:val="20"/>
          <w:szCs w:val="20"/>
          <w:color w:val="auto"/>
        </w:rPr>
      </w:pPr>
      <w:r>
        <w:rPr>
          <w:rFonts w:ascii="Arial" w:cs="Arial" w:eastAsia="Arial" w:hAnsi="Arial"/>
          <w:sz w:val="17"/>
          <w:szCs w:val="17"/>
          <w:color w:val="auto"/>
        </w:rPr>
        <w:t>As of the beginning of the prior year period, or January 1, 2022, costs and estimated earnings in excess of billings on uncompleted contracts and billings in excess of costs and estimated earnings on uncompleted contracts were $51.4 million and $28.9 million, respectively. The contract liabilities recorded in “Accrued expenses” on the Condensed Consolidated Balance Sheets were $9.2 million, $4.5 million and $4.4 million as of September 30, 2023, December 31, 2022 and January 1, 2022, respectively. Approximately 75% of the Company's contract liabilities as of December 31, 2022 were recognized as revenue in the nine months ended September 30, 2023.</w:t>
      </w:r>
    </w:p>
    <w:p>
      <w:pPr>
        <w:spacing w:after="0" w:line="200" w:lineRule="exact"/>
        <w:rPr>
          <w:sz w:val="20"/>
          <w:szCs w:val="20"/>
          <w:color w:val="auto"/>
        </w:rPr>
      </w:pP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Inventories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as of September 30, 2023 and December 31, 2022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September 30, 2023</w:t>
            </w:r>
          </w:p>
        </w:tc>
        <w:tc>
          <w:tcPr>
            <w:tcW w:w="18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2022</w:t>
            </w:r>
          </w:p>
        </w:tc>
      </w:tr>
      <w:tr>
        <w:trPr>
          <w:trHeight w:val="237"/>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27,273</w:t>
            </w: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100" w:type="dxa"/>
            <w:vAlign w:val="bottom"/>
            <w:shd w:val="clear" w:color="auto" w:fill="CFF0FC"/>
          </w:tcPr>
          <w:p>
            <w:pPr>
              <w:spacing w:after="0"/>
              <w:rPr>
                <w:sz w:val="20"/>
                <w:szCs w:val="20"/>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11,001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20"/>
                <w:szCs w:val="20"/>
                <w:color w:val="auto"/>
              </w:rPr>
            </w:pPr>
          </w:p>
        </w:tc>
      </w:tr>
      <w:tr>
        <w:trPr>
          <w:trHeight w:val="249"/>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FF0FC"/>
          </w:tcPr>
          <w:p>
            <w:pPr>
              <w:spacing w:after="0"/>
              <w:rPr>
                <w:sz w:val="21"/>
                <w:szCs w:val="21"/>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Obsolescence allowance</w:t>
            </w: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(3,310 )</w:t>
            </w:r>
          </w:p>
        </w:tc>
        <w:tc>
          <w:tcPr>
            <w:tcW w:w="18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(2,867 )</w:t>
            </w:r>
          </w:p>
        </w:tc>
      </w:tr>
      <w:tr>
        <w:trPr>
          <w:trHeight w:val="276"/>
        </w:trPr>
        <w:tc>
          <w:tcPr>
            <w:tcW w:w="7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37,911</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color w:val="auto"/>
        </w:rPr>
        <w:t>Amounts credited to the allowance for obsolete inventory and charged to cost of sales were zero for each of the three months ended September 30, 2023 and 2022, and $0.5 million and $0.1 million for the nine months ended September 30, 2023 and 2022,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Goodwill activity for the nine months ended September 30, 2023 and the year ended December 31, 2022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2"/>
              </w:rPr>
              <w:t>Nine months ended September 30, 2023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 2022</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Goodwill / Tradename</w:t>
            </w: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Tradename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Goodwill</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Tradename</w:t>
            </w:r>
          </w:p>
        </w:tc>
        <w:tc>
          <w:tcPr>
            <w:tcW w:w="10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183,197</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161,183</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100" w:type="dxa"/>
            <w:vAlign w:val="bottom"/>
            <w:shd w:val="clear" w:color="auto" w:fill="CFF0FC"/>
          </w:tcPr>
          <w:p>
            <w:pPr>
              <w:spacing w:after="0"/>
              <w:rPr>
                <w:sz w:val="20"/>
                <w:szCs w:val="20"/>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26,455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(1,298 )</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(121 )</w:t>
            </w:r>
          </w:p>
        </w:tc>
      </w:tr>
      <w:tr>
        <w:trPr>
          <w:trHeight w:val="237"/>
        </w:trPr>
        <w:tc>
          <w:tcPr>
            <w:tcW w:w="5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period</w:t>
            </w: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209,825</w:t>
            </w:r>
          </w:p>
        </w:tc>
        <w:tc>
          <w:tcPr>
            <w:tcW w:w="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183,197</w:t>
            </w: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Borders>
              <w:top w:val="single" w:sz="8" w:color="CFF0FC"/>
            </w:tcBorders>
          </w:tcPr>
          <w:p>
            <w:pPr>
              <w:spacing w:after="0"/>
              <w:rPr>
                <w:sz w:val="20"/>
                <w:szCs w:val="20"/>
                <w:color w:val="auto"/>
              </w:rPr>
            </w:pPr>
          </w:p>
        </w:tc>
      </w:tr>
      <w:tr>
        <w:trPr>
          <w:trHeight w:val="20"/>
        </w:trPr>
        <w:tc>
          <w:tcPr>
            <w:tcW w:w="524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320" w:type="dxa"/>
            <w:vAlign w:val="bottom"/>
            <w:gridSpan w:val="11"/>
          </w:tcPr>
          <w:p>
            <w:pPr>
              <w:ind w:left="540"/>
              <w:spacing w:after="0"/>
              <w:rPr>
                <w:sz w:val="20"/>
                <w:szCs w:val="20"/>
                <w:color w:val="auto"/>
              </w:rPr>
            </w:pPr>
            <w:r>
              <w:rPr>
                <w:rFonts w:ascii="Arial" w:cs="Arial" w:eastAsia="Arial" w:hAnsi="Arial"/>
                <w:sz w:val="18"/>
                <w:szCs w:val="18"/>
                <w:color w:val="auto"/>
                <w:w w:val="93"/>
              </w:rPr>
              <w:t>Finite life intangible assets as of September 30, 2023 and December 31, 2022 consisted of the following: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 2023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 2022</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Accum. Amort.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Accum. Amort.</w:t>
            </w:r>
          </w:p>
        </w:tc>
        <w:tc>
          <w:tcPr>
            <w:tcW w:w="10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16,517</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13,947</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14,457</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13,729</w:t>
            </w:r>
          </w:p>
        </w:tc>
        <w:tc>
          <w:tcPr>
            <w:tcW w:w="10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103,471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61,742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85,719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57,540</w:t>
            </w:r>
          </w:p>
        </w:tc>
        <w:tc>
          <w:tcPr>
            <w:tcW w:w="10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Tradenames</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14,094</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4,655</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11,604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Foreign currency adjustments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(1,725 )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(327 )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(1,864 )</w:t>
            </w:r>
          </w:p>
        </w:tc>
        <w:tc>
          <w:tcPr>
            <w:tcW w:w="1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(372 )</w:t>
            </w:r>
          </w:p>
        </w:tc>
      </w:tr>
      <w:tr>
        <w:trPr>
          <w:trHeight w:val="276"/>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 – finite life</w:t>
            </w: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132,357</w:t>
            </w: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80,017</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109,916</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-1645285</wp:posOffset>
            </wp:positionV>
            <wp:extent cx="7683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-1645285</wp:posOffset>
            </wp:positionV>
            <wp:extent cx="774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-1645285</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Finite life intangible asset activity for the nine months ended September 30, 2023 and 2022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Intangible assets – finite life, net at beginning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35,251</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25,841</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expense</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(5,306 )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(4,939 )</w:t>
            </w: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22,318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adjustments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(1,245 )</w:t>
            </w:r>
          </w:p>
        </w:tc>
      </w:tr>
      <w:tr>
        <w:trPr>
          <w:trHeight w:val="237"/>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Intangible assets – finite life, net at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52,340</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36,095</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Amortization expense of finite life intangible assets was $1.9 million and $2.0 million for the three months ended September 30, 2023 and 2022, respectively, and $5.3 million and $4.9 million for the nine months ended September 30, 2023 and 2022, respectively. Amortization over the next five years for finite life intangibles is expected to be $2.1 million for the remainder of 2023, $8.6 million in 2024, $7.6 million in 2025, $6.2 million in 2026, and $6.0 million in 2027.</w:t>
      </w:r>
    </w:p>
    <w:p>
      <w:pPr>
        <w:spacing w:after="0" w:line="187" w:lineRule="exact"/>
        <w:rPr>
          <w:sz w:val="20"/>
          <w:szCs w:val="20"/>
          <w:color w:val="auto"/>
        </w:rPr>
      </w:pPr>
    </w:p>
    <w:p>
      <w:pPr>
        <w:ind w:left="520" w:right="20"/>
        <w:spacing w:after="0" w:line="254" w:lineRule="auto"/>
        <w:rPr>
          <w:sz w:val="20"/>
          <w:szCs w:val="20"/>
          <w:color w:val="auto"/>
        </w:rPr>
      </w:pPr>
      <w:r>
        <w:rPr>
          <w:rFonts w:ascii="Arial" w:cs="Arial" w:eastAsia="Arial" w:hAnsi="Arial"/>
          <w:sz w:val="18"/>
          <w:szCs w:val="18"/>
          <w:color w:val="auto"/>
        </w:rPr>
        <w:t>The Company completes its goodwill and indefinite life intangible asset impairment assessment annually in the fourth quarter, or more often if circumstances require.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5"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As of September 30, 2023,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or nine months ended September 30, 2023 that would require an interim impairment assessment of goodwill or intangible assets.</w:t>
      </w:r>
    </w:p>
    <w:p>
      <w:pPr>
        <w:spacing w:after="0" w:line="187" w:lineRule="exact"/>
        <w:rPr>
          <w:sz w:val="20"/>
          <w:szCs w:val="20"/>
          <w:color w:val="auto"/>
        </w:rPr>
      </w:pPr>
    </w:p>
    <w:p>
      <w:pPr>
        <w:jc w:val="both"/>
        <w:ind w:left="520" w:right="20"/>
        <w:spacing w:after="0" w:line="263" w:lineRule="auto"/>
        <w:rPr>
          <w:sz w:val="20"/>
          <w:szCs w:val="20"/>
          <w:color w:val="auto"/>
        </w:rPr>
      </w:pPr>
      <w:r>
        <w:rPr>
          <w:rFonts w:ascii="Arial" w:cs="Arial" w:eastAsia="Arial" w:hAnsi="Arial"/>
          <w:sz w:val="18"/>
          <w:szCs w:val="18"/>
          <w:color w:val="auto"/>
        </w:rPr>
        <w:t>The Company’s assumptions about future conditions important to its assessment of potential impairment of its goodwill and indefinite life intangible assets are subject to uncertainty, and the Company will continue to monitor these conditions in future periods as new information becomes available, and will update its analysis accordingly.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as of September 30, 2023 and December 31, 2022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related benefits</w:t>
            </w:r>
          </w:p>
        </w:tc>
        <w:tc>
          <w:tcPr>
            <w:tcW w:w="620" w:type="dxa"/>
            <w:vAlign w:val="bottom"/>
            <w:tcBorders>
              <w:top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8,764</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Accrued warranty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liability</w:t>
            </w: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17,110</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200"/>
              <w:spacing w:after="0"/>
              <w:rPr>
                <w:sz w:val="20"/>
                <w:szCs w:val="20"/>
                <w:color w:val="auto"/>
              </w:rPr>
            </w:pPr>
            <w:r>
              <w:rPr>
                <w:rFonts w:ascii="Arial" w:cs="Arial" w:eastAsia="Arial" w:hAnsi="Arial"/>
                <w:sz w:val="18"/>
                <w:szCs w:val="18"/>
                <w:color w:val="auto"/>
              </w:rPr>
              <w:t>Total accrued expenses</w:t>
            </w:r>
          </w:p>
        </w:tc>
        <w:tc>
          <w:tcPr>
            <w:tcW w:w="6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44,154</w:t>
            </w:r>
          </w:p>
        </w:tc>
        <w:tc>
          <w:tcPr>
            <w:tcW w:w="28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8.   Senior Debt</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520"/>
              <w:spacing w:after="0"/>
              <w:rPr>
                <w:sz w:val="20"/>
                <w:szCs w:val="20"/>
                <w:color w:val="auto"/>
              </w:rPr>
            </w:pPr>
            <w:r>
              <w:rPr>
                <w:rFonts w:ascii="Arial" w:cs="Arial" w:eastAsia="Arial" w:hAnsi="Arial"/>
                <w:sz w:val="18"/>
                <w:szCs w:val="18"/>
                <w:color w:val="auto"/>
              </w:rPr>
              <w:t>Debt as of September 30, 2023 and December 31, 2022 consisted of the following: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September 30, 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Credit Facility (as defined below)</w:t>
            </w:r>
          </w:p>
        </w:tc>
        <w:tc>
          <w:tcPr>
            <w:tcW w:w="6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Term loan payable in quarterly principal installments of $550 through September 2023,</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$825 through September 2025 and $1,100 thereafter with balance due upon maturity in</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2026</w:t>
            </w: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Term loan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39,656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Revolving credit facility</w:t>
            </w:r>
          </w:p>
        </w:tc>
        <w:tc>
          <w:tcPr>
            <w:tcW w:w="6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92,300</w:t>
            </w: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Total outstanding borrowings under the Credit Facility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131,956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joint venture term debt</w:t>
            </w: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9,132</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color w:val="auto"/>
              </w:rPr>
              <w:t>(1,089 )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(1,488 )</w:t>
            </w:r>
          </w:p>
        </w:tc>
        <w:tc>
          <w:tcPr>
            <w:tcW w:w="0" w:type="dxa"/>
            <w:vAlign w:val="bottom"/>
          </w:tcPr>
          <w:p>
            <w:pPr>
              <w:spacing w:after="0"/>
              <w:rPr>
                <w:sz w:val="1"/>
                <w:szCs w:val="1"/>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outstanding borrowings</w:t>
            </w:r>
          </w:p>
        </w:tc>
        <w:tc>
          <w:tcPr>
            <w:tcW w:w="6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139,999</w:t>
            </w: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color w:val="auto"/>
              </w:rPr>
              <w:t>(4,726 )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(3,579 )</w:t>
            </w:r>
          </w:p>
        </w:tc>
        <w:tc>
          <w:tcPr>
            <w:tcW w:w="0" w:type="dxa"/>
            <w:vAlign w:val="bottom"/>
          </w:tcPr>
          <w:p>
            <w:pPr>
              <w:spacing w:after="0"/>
              <w:rPr>
                <w:sz w:val="1"/>
                <w:szCs w:val="1"/>
                <w:color w:val="auto"/>
              </w:rPr>
            </w:pP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 less current portion</w:t>
            </w:r>
          </w:p>
        </w:tc>
        <w:tc>
          <w:tcPr>
            <w:tcW w:w="6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135,273</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-2914015</wp:posOffset>
            </wp:positionV>
            <wp:extent cx="7683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-976630</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Scheduled principal payments under the Credit Facility and joint venture term debt are $1.1 million remaining in 2023, $4.9 million in 2024, $5.2 million in 2025, $126.0 million in 2026, and $3.9 million in 2027.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left="520" w:right="120"/>
        <w:spacing w:after="0" w:line="275" w:lineRule="auto"/>
        <w:rPr>
          <w:sz w:val="20"/>
          <w:szCs w:val="20"/>
          <w:color w:val="auto"/>
        </w:rPr>
      </w:pPr>
      <w:r>
        <w:rPr>
          <w:rFonts w:ascii="Arial" w:cs="Arial" w:eastAsia="Arial" w:hAnsi="Arial"/>
          <w:sz w:val="17"/>
          <w:szCs w:val="17"/>
          <w:color w:val="auto"/>
        </w:rPr>
        <w:t>As of September 30, 2023 and December 31, 2022, $21.0 million and $18.9 million of letters of credit were outstanding, respectively. Total unused credit availability, in consideration of borrowing limitations, under the Company’s senior secured term loan and senior secured revolver loan with sub-facilities for letters of credit, swing-line loans and senior secured multi-currency loans (the "Credit Facility") was $26.7 million and $59.8 million at September 30, 2023 and December 31, 2022, respectively. Revolving loans may be borrowed, repaid and reborrowed until December 17, 2026, at which time all outstanding balances of the Credit Facility must be repaid.</w:t>
      </w:r>
    </w:p>
    <w:p>
      <w:pPr>
        <w:spacing w:after="0" w:line="176" w:lineRule="exact"/>
        <w:rPr>
          <w:sz w:val="20"/>
          <w:szCs w:val="20"/>
          <w:color w:val="auto"/>
        </w:rPr>
      </w:pPr>
    </w:p>
    <w:p>
      <w:pPr>
        <w:ind w:left="520" w:right="100"/>
        <w:spacing w:after="0" w:line="275" w:lineRule="auto"/>
        <w:rPr>
          <w:sz w:val="20"/>
          <w:szCs w:val="20"/>
          <w:color w:val="auto"/>
        </w:rPr>
      </w:pPr>
      <w:r>
        <w:rPr>
          <w:rFonts w:ascii="Arial" w:cs="Arial" w:eastAsia="Arial" w:hAnsi="Arial"/>
          <w:sz w:val="17"/>
          <w:szCs w:val="17"/>
          <w:color w:val="auto"/>
        </w:rPr>
        <w:t>At the Company’s option, revolving loans and the term loans accrue interest at a per annum rate based on either the highest of (a) the federal funds rate plus 0.5%, (b) the Agent’s prime lending rate, (c) Daily Simple SOFR plus the Daily Simple SOFR Adjustment of 0.11448% plus 1.0%, or (d) 1.0%, plus a margin ranging from 1.75% to 2.75% depending on the Company’s Consolidated Leverage Ratio (“Base Rate”), or (d) a one/three/six-month Term SOFR Rate (as defined in the Credit Facility) plus the Term SOFR Adjustment ranging from 0.11% to 0.43% plus 1.75% to 2.75% depending on the Company’s Consolidated Leverage Ratio. Interest on swing line loans is the Base Rate.</w:t>
      </w:r>
    </w:p>
    <w:p>
      <w:pPr>
        <w:spacing w:after="0" w:line="176"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8.04% and 6.75% at September 30, 2023 and December 31, 2022,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left="520" w:right="20"/>
        <w:spacing w:after="0" w:line="259"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will decrease to 3.50 until the end of the term of the Credit Facility.</w:t>
      </w:r>
    </w:p>
    <w:p>
      <w:pPr>
        <w:spacing w:after="0" w:line="187" w:lineRule="exact"/>
        <w:rPr>
          <w:sz w:val="20"/>
          <w:szCs w:val="20"/>
          <w:color w:val="auto"/>
        </w:rPr>
      </w:pPr>
    </w:p>
    <w:p>
      <w:pPr>
        <w:jc w:val="both"/>
        <w:ind w:left="520" w:right="40"/>
        <w:spacing w:after="0" w:line="301" w:lineRule="auto"/>
        <w:rPr>
          <w:sz w:val="20"/>
          <w:szCs w:val="20"/>
          <w:color w:val="auto"/>
        </w:rPr>
      </w:pPr>
      <w:r>
        <w:rPr>
          <w:rFonts w:ascii="Arial" w:cs="Arial" w:eastAsia="Arial" w:hAnsi="Arial"/>
          <w:sz w:val="16"/>
          <w:szCs w:val="16"/>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157"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As of September 30, 2023 and December 31, 2022, the Company was in compliance with all related financial and other restrictive covenants under the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Joint Venture Debt</w:t>
      </w:r>
    </w:p>
    <w:p>
      <w:pPr>
        <w:spacing w:after="0" w:line="225" w:lineRule="exact"/>
        <w:rPr>
          <w:sz w:val="20"/>
          <w:szCs w:val="20"/>
          <w:color w:val="auto"/>
        </w:rPr>
      </w:pPr>
    </w:p>
    <w:p>
      <w:pPr>
        <w:ind w:left="520" w:right="180"/>
        <w:spacing w:after="0" w:line="271" w:lineRule="auto"/>
        <w:rPr>
          <w:sz w:val="20"/>
          <w:szCs w:val="20"/>
          <w:color w:val="auto"/>
        </w:rPr>
      </w:pPr>
      <w:r>
        <w:rPr>
          <w:rFonts w:ascii="Arial" w:cs="Arial" w:eastAsia="Arial" w:hAnsi="Arial"/>
          <w:sz w:val="17"/>
          <w:szCs w:val="17"/>
          <w:color w:val="auto"/>
        </w:rPr>
        <w:t>On March 7, 2022, the Company's Effox-Flextor-Mader, Inc. joint venture ("EFM JV") entered into a loan agreement secured by the assets of the EFM JV in the aggregate principal amount of $11.0 million for the acquisition of General Rubber, LLC ("GRC"). As of September 30, 2023 and December 31, 2022, $9.1 million and $10.0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September 30, 2023 and December 31, 2022 was 8.70% and 6.60%, respectively. As of September 30, 2023 and December 31, 2022, the EFM JV was in compliance with all related financial and other restrictive covenants under this loan agreement. This loan balance does not impact the Company’s borrowing capacity or the financial covenants under the Credit Facility.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Debt</w:t>
      </w:r>
    </w:p>
    <w:p>
      <w:pPr>
        <w:spacing w:after="0" w:line="225" w:lineRule="exact"/>
        <w:rPr>
          <w:sz w:val="20"/>
          <w:szCs w:val="20"/>
          <w:color w:val="auto"/>
        </w:rPr>
      </w:pPr>
    </w:p>
    <w:p>
      <w:pPr>
        <w:ind w:left="520" w:right="120"/>
        <w:spacing w:after="0" w:line="254" w:lineRule="auto"/>
        <w:rPr>
          <w:sz w:val="20"/>
          <w:szCs w:val="20"/>
          <w:color w:val="auto"/>
        </w:rPr>
      </w:pPr>
      <w:r>
        <w:rPr>
          <w:rFonts w:ascii="Arial" w:cs="Arial" w:eastAsia="Arial" w:hAnsi="Arial"/>
          <w:sz w:val="18"/>
          <w:szCs w:val="18"/>
          <w:color w:val="auto"/>
        </w:rPr>
        <w:t>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 million from the bilateral lines of credit secured through pledged assets and collateral under the Credit Facility. As of September 30, 2023 and December 31, 2022, $41.4 million and $30.4 million in bank guarantees were outstanding, respectively, inclusive of $2.0 million and $0.6 million in outstanding bank guarantees as of September 30, 2023 and December 31, 2022, respectively, under a Euro-denominated bank guarantee agreement held by a subsidiary of the Company located in the Netherlands and secured by local assets.</w:t>
      </w:r>
    </w:p>
    <w:p>
      <w:pPr>
        <w:spacing w:after="0" w:line="19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computational components of basic and diluted earnings per share for the three months ended September 30, 2023 and 2022 are as follows: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3820" w:type="dxa"/>
            <w:vAlign w:val="bottom"/>
            <w:gridSpan w:val="3"/>
          </w:tcPr>
          <w:p>
            <w:pPr>
              <w:jc w:val="right"/>
              <w:ind w:right="768"/>
              <w:spacing w:after="0"/>
              <w:rPr>
                <w:sz w:val="20"/>
                <w:szCs w:val="20"/>
                <w:color w:val="auto"/>
              </w:rPr>
            </w:pPr>
            <w:r>
              <w:rPr>
                <w:rFonts w:ascii="Arial" w:cs="Arial" w:eastAsia="Arial" w:hAnsi="Arial"/>
                <w:sz w:val="14"/>
                <w:szCs w:val="14"/>
                <w:b w:val="1"/>
                <w:bCs w:val="1"/>
                <w:color w:val="auto"/>
              </w:rPr>
              <w:t>Three months ended September 30,</w:t>
            </w:r>
          </w:p>
        </w:tc>
      </w:tr>
      <w:tr>
        <w:trPr>
          <w:trHeight w:val="185"/>
        </w:trPr>
        <w:tc>
          <w:tcPr>
            <w:tcW w:w="7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7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r>
    </w:tbl>
    <w:p>
      <w:pPr>
        <w:ind w:left="20"/>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320" w:type="dxa"/>
            <w:vAlign w:val="bottom"/>
            <w:shd w:val="clear" w:color="auto" w:fill="CCECFF"/>
          </w:tcPr>
          <w:p>
            <w:pPr>
              <w:ind w:left="60"/>
              <w:spacing w:after="0"/>
              <w:rPr>
                <w:sz w:val="20"/>
                <w:szCs w:val="20"/>
                <w:color w:val="auto"/>
              </w:rPr>
            </w:pPr>
            <w:r>
              <w:rPr>
                <w:rFonts w:ascii="Arial" w:cs="Arial" w:eastAsia="Arial" w:hAnsi="Arial"/>
                <w:sz w:val="18"/>
                <w:szCs w:val="18"/>
                <w:color w:val="auto"/>
              </w:rPr>
              <w:t>Net income attributable to CECO Environmental Corp.</w:t>
            </w:r>
          </w:p>
        </w:tc>
        <w:tc>
          <w:tcPr>
            <w:tcW w:w="680" w:type="dxa"/>
            <w:vAlign w:val="bottom"/>
            <w:shd w:val="clear" w:color="auto" w:fill="CCEC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3,330</w:t>
            </w:r>
          </w:p>
        </w:tc>
        <w:tc>
          <w:tcPr>
            <w:tcW w:w="960" w:type="dxa"/>
            <w:vAlign w:val="bottom"/>
            <w:gridSpan w:val="2"/>
            <w:shd w:val="clear" w:color="auto" w:fill="CCECFF"/>
          </w:tcPr>
          <w:p>
            <w:pPr>
              <w:jc w:val="right"/>
              <w:ind w:right="5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CFF"/>
          </w:tcPr>
          <w:p>
            <w:pPr>
              <w:spacing w:after="0"/>
              <w:rPr>
                <w:sz w:val="24"/>
                <w:szCs w:val="24"/>
                <w:color w:val="auto"/>
              </w:rPr>
            </w:pPr>
          </w:p>
        </w:tc>
      </w:tr>
      <w:tr>
        <w:trPr>
          <w:trHeight w:val="223"/>
        </w:trPr>
        <w:tc>
          <w:tcPr>
            <w:tcW w:w="7320" w:type="dxa"/>
            <w:vAlign w:val="bottom"/>
            <w:tcBorders>
              <w:top w:val="single" w:sz="8" w:color="CCEC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3"/>
        </w:trPr>
        <w:tc>
          <w:tcPr>
            <w:tcW w:w="73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Denominator</w:t>
            </w:r>
          </w:p>
        </w:tc>
        <w:tc>
          <w:tcPr>
            <w:tcW w:w="68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34,772</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34,456</w:t>
            </w:r>
          </w:p>
        </w:tc>
        <w:tc>
          <w:tcPr>
            <w:tcW w:w="100" w:type="dxa"/>
            <w:vAlign w:val="bottom"/>
          </w:tcPr>
          <w:p>
            <w:pPr>
              <w:spacing w:after="0"/>
              <w:rPr>
                <w:sz w:val="20"/>
                <w:szCs w:val="20"/>
                <w:color w:val="auto"/>
              </w:rPr>
            </w:pPr>
          </w:p>
        </w:tc>
      </w:tr>
      <w:tr>
        <w:trPr>
          <w:trHeight w:val="247"/>
        </w:trPr>
        <w:tc>
          <w:tcPr>
            <w:tcW w:w="7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680" w:type="dxa"/>
            <w:vAlign w:val="bottom"/>
            <w:tcBorders>
              <w:bottom w:val="single" w:sz="8" w:color="auto"/>
            </w:tcBorders>
            <w:shd w:val="clear" w:color="auto" w:fill="CCECFF"/>
          </w:tcPr>
          <w:p>
            <w:pPr>
              <w:spacing w:after="0"/>
              <w:rPr>
                <w:sz w:val="21"/>
                <w:szCs w:val="21"/>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8"/>
        </w:trPr>
        <w:tc>
          <w:tcPr>
            <w:tcW w:w="7320" w:type="dxa"/>
            <w:vAlign w:val="bottom"/>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35,301</w:t>
            </w: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34,871</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-831215</wp:posOffset>
            </wp:positionV>
            <wp:extent cx="136271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2710"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computational components of basic and diluted earnings per share for the nine months ended September 30, 2023 and 2022 are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60" w:right="2560" w:hanging="44"/>
        <w:spacing w:after="0" w:line="427" w:lineRule="auto"/>
        <w:rPr>
          <w:sz w:val="20"/>
          <w:szCs w:val="20"/>
          <w:color w:val="auto"/>
        </w:rPr>
      </w:pPr>
      <w:r>
        <w:rPr>
          <w:rFonts w:ascii="Arial" w:cs="Arial" w:eastAsia="Arial" w:hAnsi="Arial"/>
          <w:sz w:val="16"/>
          <w:szCs w:val="16"/>
          <w:b w:val="1"/>
          <w:bCs w:val="1"/>
          <w:color w:val="auto"/>
        </w:rPr>
        <w:t xml:space="preserve">Numerator </w:t>
      </w:r>
      <w:r>
        <w:rPr>
          <w:rFonts w:ascii="Arial" w:cs="Arial" w:eastAsia="Arial" w:hAnsi="Arial"/>
          <w:sz w:val="16"/>
          <w:szCs w:val="16"/>
          <w:color w:val="auto"/>
        </w:rPr>
        <w:t>(for basic and diluted earnings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3346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425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9" w:lineRule="exact"/>
        <w:rPr>
          <w:sz w:val="20"/>
          <w:szCs w:val="20"/>
          <w:color w:val="auto"/>
        </w:rPr>
      </w:pPr>
    </w:p>
    <w:p>
      <w:pPr>
        <w:spacing w:after="0"/>
        <w:tabs>
          <w:tab w:leader="none" w:pos="1340" w:val="left"/>
          <w:tab w:leader="none" w:pos="2060" w:val="left"/>
          <w:tab w:leader="none" w:pos="3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9,122</w:t>
      </w:r>
    </w:p>
    <w:p>
      <w:pPr>
        <w:spacing w:after="0" w:line="200" w:lineRule="exact"/>
        <w:rPr>
          <w:sz w:val="20"/>
          <w:szCs w:val="20"/>
          <w:color w:val="auto"/>
        </w:rPr>
      </w:pPr>
    </w:p>
    <w:p>
      <w:pPr>
        <w:spacing w:after="0" w:line="363" w:lineRule="exact"/>
        <w:rPr>
          <w:sz w:val="20"/>
          <w:szCs w:val="20"/>
          <w:color w:val="auto"/>
        </w:rPr>
      </w:pPr>
    </w:p>
    <w:p>
      <w:pPr>
        <w:jc w:val="both"/>
        <w:ind w:left="1260"/>
        <w:spacing w:after="0"/>
        <w:tabs>
          <w:tab w:leader="none" w:pos="3280" w:val="left"/>
        </w:tabs>
        <w:rPr>
          <w:sz w:val="20"/>
          <w:szCs w:val="20"/>
          <w:color w:val="auto"/>
        </w:rPr>
      </w:pPr>
      <w:r>
        <w:rPr>
          <w:rFonts w:ascii="Arial" w:cs="Arial" w:eastAsia="Arial" w:hAnsi="Arial"/>
          <w:sz w:val="18"/>
          <w:szCs w:val="18"/>
          <w:color w:val="auto"/>
        </w:rPr>
        <w:t>34,612</w:t>
      </w:r>
      <w:r>
        <w:rPr>
          <w:sz w:val="20"/>
          <w:szCs w:val="20"/>
          <w:color w:val="auto"/>
        </w:rPr>
        <w:tab/>
      </w:r>
      <w:r>
        <w:rPr>
          <w:rFonts w:ascii="Arial" w:cs="Arial" w:eastAsia="Arial" w:hAnsi="Arial"/>
          <w:sz w:val="18"/>
          <w:szCs w:val="18"/>
          <w:color w:val="auto"/>
        </w:rPr>
        <w:t>34,791</w:t>
      </w:r>
    </w:p>
    <w:p>
      <w:pPr>
        <w:spacing w:after="0" w:line="43" w:lineRule="exact"/>
        <w:rPr>
          <w:sz w:val="20"/>
          <w:szCs w:val="20"/>
          <w:color w:val="auto"/>
        </w:rPr>
      </w:pPr>
    </w:p>
    <w:p>
      <w:pPr>
        <w:sectPr>
          <w:pgSz w:w="11900" w:h="16838" w:orient="portrait"/>
          <w:cols w:equalWidth="0" w:num="2">
            <w:col w:w="6600" w:space="720"/>
            <w:col w:w="3920"/>
          </w:cols>
          <w:pgMar w:left="320" w:top="441" w:right="339" w:bottom="1440" w:gutter="0" w:footer="0" w:header="0"/>
        </w:sectPr>
      </w:pPr>
    </w:p>
    <w:tbl>
      <w:tblPr>
        <w:tblLayout w:type="fixed"/>
        <w:tblInd w:w="0" w:type="dxa"/>
        <w:tblCellMar>
          <w:top w:w="0" w:type="dxa"/>
          <w:left w:w="0" w:type="dxa"/>
          <w:bottom w:w="0" w:type="dxa"/>
          <w:right w:w="0" w:type="dxa"/>
        </w:tblCellMar>
      </w:tblPr>
      <w:tr>
        <w:trPr>
          <w:trHeight w:val="236"/>
        </w:trPr>
        <w:tc>
          <w:tcPr>
            <w:tcW w:w="7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Borders>
              <w:bottom w:val="single" w:sz="8" w:color="CCECFF"/>
            </w:tcBorders>
            <w:shd w:val="clear" w:color="auto" w:fill="CCECFF"/>
          </w:tcPr>
          <w:p>
            <w:pPr>
              <w:spacing w:after="0"/>
              <w:rPr>
                <w:sz w:val="20"/>
                <w:szCs w:val="20"/>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780" w:type="dxa"/>
            <w:vAlign w:val="bottom"/>
          </w:tcPr>
          <w:p>
            <w:pPr>
              <w:jc w:val="right"/>
              <w:spacing w:after="0"/>
              <w:rPr>
                <w:sz w:val="20"/>
                <w:szCs w:val="20"/>
                <w:color w:val="auto"/>
              </w:rPr>
            </w:pPr>
            <w:r>
              <w:rPr>
                <w:rFonts w:ascii="Arial" w:cs="Arial" w:eastAsia="Arial" w:hAnsi="Arial"/>
                <w:sz w:val="18"/>
                <w:szCs w:val="18"/>
                <w:color w:val="auto"/>
              </w:rPr>
              <w:t>35,216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35,035</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 months ended September 30, 2023 and 2022, zero and 1.2 million, respectively, and for the nine months ended September 30, 2023 and 2022, 0.7 million and 1.7 million, respectively, of outstanding options and restricted stock units were excluded from the computation of diluted earnings per share due to their anti-dilutive effect.</w:t>
      </w:r>
    </w:p>
    <w:p>
      <w:pPr>
        <w:spacing w:after="0" w:line="18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 Repurchase</w:t>
      </w:r>
    </w:p>
    <w:p>
      <w:pPr>
        <w:spacing w:after="0" w:line="225" w:lineRule="exact"/>
        <w:rPr>
          <w:sz w:val="20"/>
          <w:szCs w:val="20"/>
          <w:color w:val="auto"/>
        </w:rPr>
      </w:pPr>
    </w:p>
    <w:p>
      <w:pPr>
        <w:ind w:left="520" w:right="40"/>
        <w:spacing w:after="0" w:line="273" w:lineRule="auto"/>
        <w:rPr>
          <w:sz w:val="20"/>
          <w:szCs w:val="20"/>
          <w:color w:val="auto"/>
        </w:rPr>
      </w:pPr>
      <w:r>
        <w:rPr>
          <w:rFonts w:ascii="Arial" w:cs="Arial" w:eastAsia="Arial" w:hAnsi="Arial"/>
          <w:sz w:val="17"/>
          <w:szCs w:val="17"/>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Under the program, the Company repurchased zero and 256,000 shares at a cost of zero and $2.2 million during the three months ended September 30, 2023 and 2022, respectively, and zero and 981,000 shares at a cost of zero and $6.5 million during the nine months ended September 30, 2023 and 2022,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$1.2 million and $1.1 million of share-based compensation related expense during the three months ended September 30, 2023 and 2022, respectively, and $3.1 million and $2.9 million of share-based compensation related expense during the nine months ended September 30, 2023 and 2022, respectively.</w:t>
      </w:r>
    </w:p>
    <w:p>
      <w:pPr>
        <w:spacing w:after="0" w:line="188" w:lineRule="exact"/>
        <w:rPr>
          <w:sz w:val="20"/>
          <w:szCs w:val="20"/>
          <w:color w:val="auto"/>
        </w:rPr>
      </w:pPr>
    </w:p>
    <w:p>
      <w:pPr>
        <w:ind w:left="520" w:right="540"/>
        <w:spacing w:after="0" w:line="263" w:lineRule="auto"/>
        <w:rPr>
          <w:sz w:val="20"/>
          <w:szCs w:val="20"/>
          <w:color w:val="auto"/>
        </w:rPr>
      </w:pPr>
      <w:r>
        <w:rPr>
          <w:rFonts w:ascii="Arial" w:cs="Arial" w:eastAsia="Arial" w:hAnsi="Arial"/>
          <w:sz w:val="18"/>
          <w:szCs w:val="18"/>
          <w:color w:val="auto"/>
        </w:rPr>
        <w:t>The Company granted approximately 345,000 and 68,000 restricted stock units during the three months ended September 30, 2023 and 2022, respectively, and approximately 733,000 and 755,000 restricted stock units during the nine months ended September 30, 2023 and 2022, respectively.</w:t>
      </w:r>
    </w:p>
    <w:p>
      <w:pPr>
        <w:spacing w:after="0" w:line="184" w:lineRule="exact"/>
        <w:rPr>
          <w:sz w:val="20"/>
          <w:szCs w:val="20"/>
          <w:color w:val="auto"/>
        </w:rPr>
      </w:pPr>
    </w:p>
    <w:p>
      <w:pPr>
        <w:ind w:left="520" w:right="140"/>
        <w:spacing w:after="0" w:line="279" w:lineRule="auto"/>
        <w:rPr>
          <w:sz w:val="20"/>
          <w:szCs w:val="20"/>
          <w:color w:val="auto"/>
        </w:rPr>
      </w:pPr>
      <w:r>
        <w:rPr>
          <w:rFonts w:ascii="Arial" w:cs="Arial" w:eastAsia="Arial" w:hAnsi="Arial"/>
          <w:sz w:val="17"/>
          <w:szCs w:val="17"/>
          <w:color w:val="auto"/>
        </w:rPr>
        <w:t>There were approximately 25,000 and 101,000 options exercised during the three and nine months ended September 30, 2023, respectively. The Company received $0.3 million and $1.2 million in cash from employees and directors exercising options during the three and nine months ended September 30, 2023, respectively. The intrinsic value of options exercised was $0.1 million for each of the three and nine months ended September 30, 2023. There were no options exercised during the three and nine months ended September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Employee Benefit Plans</w:t>
      </w:r>
    </w:p>
    <w:p>
      <w:pPr>
        <w:spacing w:after="0" w:line="229"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The Company sponsors a non-contributory defined benefit pension plan for certain union employees. The plan is funded in accordance with the funding requirements of the Employee Retirement Income Security Act of 1974.</w:t>
      </w:r>
    </w:p>
    <w:p>
      <w:pPr>
        <w:spacing w:after="0" w:line="170"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The Company presents the components of net periodic benefit cost (gain) within “Other (expense) income, net” on the Condensed Consolidated Statements of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4" w:name="page15"/>
    <w:bookmarkEnd w:id="14"/>
    <w:p>
      <w:pPr>
        <w:ind w:left="520" w:right="140"/>
        <w:spacing w:after="0" w:line="277" w:lineRule="auto"/>
        <w:rPr>
          <w:sz w:val="20"/>
          <w:szCs w:val="20"/>
          <w:color w:val="auto"/>
        </w:rPr>
      </w:pPr>
      <w:r>
        <w:rPr>
          <w:rFonts w:ascii="Arial" w:cs="Arial" w:eastAsia="Arial" w:hAnsi="Arial"/>
          <w:sz w:val="18"/>
          <w:szCs w:val="18"/>
          <w:color w:val="auto"/>
        </w:rPr>
        <w:t>Retirement plan expense is based on valuations performed by plan actuaries as of the beginning of each fiscal year. The components of the pension plan expense consisted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5"/>
                <w:szCs w:val="15"/>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5"/>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(285 )</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(390 )</w:t>
            </w: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(856 )</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(1,170 )</w:t>
            </w: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net actuarial loss</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Net periodic benefit cost (gain)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(315 )</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The Company made no contributions to its defined benefit plan during the nine months ended September 30, 2023 and 2022. For the remainder of 2023, the Company does not expect to make any contributions to fund the pension plan. The unfunded liability of the plan of $5.8 million and $5.5 million as of September 30, 2023 and December 31, 2022, respectively, is included in “Other liabilities” on the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The Company files income tax returns in various federal, state and local jurisdictions. Tax years from 2018 forward remain open for examination by Federal authorities. Tax years from 2017 forward remain open for all significant state and foreign authorities.</w:t>
      </w:r>
    </w:p>
    <w:p>
      <w:pPr>
        <w:spacing w:after="0" w:line="170"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The Company accounts for uncertain tax positions pursuant to ASC Topic 740, “Income Taxes.” As of September 30, 2023 and December 31, 2022, the liability for uncertain tax positions totaled $0.1 million,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87" w:lineRule="exact"/>
        <w:rPr>
          <w:sz w:val="20"/>
          <w:szCs w:val="20"/>
          <w:color w:val="auto"/>
        </w:rPr>
      </w:pPr>
    </w:p>
    <w:p>
      <w:pPr>
        <w:ind w:left="520" w:right="80"/>
        <w:spacing w:after="0" w:line="275" w:lineRule="auto"/>
        <w:rPr>
          <w:sz w:val="20"/>
          <w:szCs w:val="20"/>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September 30, 2023 and December 31, 2022, the Company recorded deferred income taxes of approximately $0.8 million and $1.3 million, respectively, on the undistributed earnings of its foreign subsidiaries.</w:t>
      </w:r>
    </w:p>
    <w:p>
      <w:pPr>
        <w:spacing w:after="0" w:line="176" w:lineRule="exact"/>
        <w:rPr>
          <w:sz w:val="20"/>
          <w:szCs w:val="20"/>
          <w:color w:val="auto"/>
        </w:rPr>
      </w:pPr>
    </w:p>
    <w:p>
      <w:pPr>
        <w:ind w:left="520" w:right="40"/>
        <w:spacing w:after="0" w:line="272" w:lineRule="auto"/>
        <w:rPr>
          <w:sz w:val="20"/>
          <w:szCs w:val="20"/>
          <w:color w:val="auto"/>
        </w:rPr>
      </w:pPr>
      <w:r>
        <w:rPr>
          <w:rFonts w:ascii="Arial" w:cs="Arial" w:eastAsia="Arial" w:hAnsi="Arial"/>
          <w:sz w:val="17"/>
          <w:szCs w:val="17"/>
          <w:color w:val="auto"/>
        </w:rPr>
        <w:t>Income tax expense was $0.6 million and $0.3 million for the three months ended September 30, 2023 and 2022, respectively, and $1.6 million and $3.3 million for the nine months ended September 30, 2023 and 2022, respectively. The effective income tax rate for the three months ended September 30, 2023 was 13.6% compared with 12.7% for the three months ended September 30, 2022, and the effective income tax rate for the nine months ended September 30, 2023 was 13.4% compared with 25.3% for the nine months ended September 30, 2022. The effective income tax rates for the three and nine months ended September 30, 2023 and 2022 differ from the United States federal statutory rate. The Company's effective rate is affected by certain other permanent differences, including state income taxes, non-deductible incentive stock-based compensation and differences in tax rates among jurisdictions in which it operates.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229" w:lineRule="exact"/>
        <w:rPr>
          <w:sz w:val="20"/>
          <w:szCs w:val="20"/>
          <w:color w:val="auto"/>
        </w:rPr>
      </w:pPr>
    </w:p>
    <w:p>
      <w:pPr>
        <w:ind w:left="520" w:right="320"/>
        <w:spacing w:after="0" w:line="342" w:lineRule="auto"/>
        <w:rPr>
          <w:sz w:val="20"/>
          <w:szCs w:val="20"/>
          <w:color w:val="auto"/>
        </w:rPr>
      </w:pPr>
      <w:r>
        <w:rPr>
          <w:rFonts w:ascii="Arial" w:cs="Arial" w:eastAsia="Arial" w:hAnsi="Arial"/>
          <w:sz w:val="16"/>
          <w:szCs w:val="16"/>
          <w:color w:val="auto"/>
        </w:rPr>
        <w:t>The Company's financial instruments consist primarily of investments in cash and cash equivalents, receivables and certain other assets, notes payable, foreign debt and accounts payable, which approximate fair value due to their short-term nature or variable, market-driven interest rates.</w:t>
      </w:r>
    </w:p>
    <w:p>
      <w:pPr>
        <w:spacing w:after="0" w:line="124"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color w:val="auto"/>
        </w:rPr>
        <w:t>The fair value of the debt issued under the Credit Facility and joint venture term loan was $141.1 million and $112.7 million at September 30, 2023 and December 31, 2022, respectively. The fair value was determined considering market conditions, the Company's credit worthiness and the current terms of our debt, which is considered Level 2 on the fair value hierarchy.</w:t>
      </w:r>
    </w:p>
    <w:p>
      <w:pPr>
        <w:spacing w:after="0" w:line="184"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color w:val="auto"/>
        </w:rPr>
        <w:t>At September 30, 2023 and December 31, 2022, the Company had cash and cash equivalents of $47.6 million and $45.5 million, respectively, of which $37.0 million and $31.7 million, respectively, was held outside of the United States, principally in the Netherlands, United Kingdom, United Arab Emirates and China.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Asbestos cases</w:t>
      </w:r>
    </w:p>
    <w:p>
      <w:pPr>
        <w:spacing w:after="0" w:line="225" w:lineRule="exact"/>
        <w:rPr>
          <w:sz w:val="20"/>
          <w:szCs w:val="20"/>
          <w:color w:val="auto"/>
        </w:rPr>
      </w:pPr>
    </w:p>
    <w:p>
      <w:pPr>
        <w:ind w:left="520" w:right="40"/>
        <w:spacing w:after="0" w:line="287" w:lineRule="auto"/>
        <w:rPr>
          <w:sz w:val="20"/>
          <w:szCs w:val="20"/>
          <w:color w:val="auto"/>
        </w:rPr>
      </w:pPr>
      <w:r>
        <w:rPr>
          <w:rFonts w:ascii="Arial" w:cs="Arial" w:eastAsia="Arial" w:hAnsi="Arial"/>
          <w:sz w:val="16"/>
          <w:szCs w:val="16"/>
          <w:color w:val="auto"/>
        </w:rPr>
        <w:t>The Company's subsidiary, Met-Pro Technologies LLC (“Met-Pro”), beginning in 2002, has been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September 30, 2023 for cases involving asbestos-related claims were $6.4 million which together with all legal fees other than corporate counsel expenses have substantially been paid by the Company’s insurers. The average cost per settled claim, excluding legal fees, was approximately $37,000.</w:t>
      </w:r>
    </w:p>
    <w:p>
      <w:pPr>
        <w:spacing w:after="0" w:line="172"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Based upon the most recent information available to the Company regarding such claims, there were a total of 301 cases pending against the Company as of September 30, 2023 with Illinois, New York, Pennsylvania and West Virginia having the largest number of cases, as compared with 247 cases that were pending as of December 31, 2022. During the nine months ended September 30, 2023, 132 new cases were filed against the Company, and the Company was dismissed from 54 cases and settled 24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7"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66" w:lineRule="exact"/>
        <w:rPr>
          <w:sz w:val="20"/>
          <w:szCs w:val="20"/>
          <w:color w:val="auto"/>
        </w:rPr>
      </w:pPr>
    </w:p>
    <w:p>
      <w:pPr>
        <w:ind w:left="520" w:right="8300" w:hanging="512"/>
        <w:spacing w:after="0" w:line="603" w:lineRule="auto"/>
        <w:tabs>
          <w:tab w:leader="none" w:pos="506"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Joint Ventures </w:t>
      </w:r>
      <w:r>
        <w:rPr>
          <w:rFonts w:ascii="Arial" w:cs="Arial" w:eastAsia="Arial" w:hAnsi="Arial"/>
          <w:sz w:val="15"/>
          <w:szCs w:val="15"/>
          <w:i w:val="1"/>
          <w:iCs w:val="1"/>
          <w:color w:val="auto"/>
        </w:rPr>
        <w:t>Kemco Systems Co., LLC</w:t>
      </w:r>
    </w:p>
    <w:p>
      <w:pPr>
        <w:spacing w:after="0" w:line="1" w:lineRule="exact"/>
        <w:rPr>
          <w:rFonts w:ascii="Arial" w:cs="Arial" w:eastAsia="Arial" w:hAnsi="Arial"/>
          <w:sz w:val="15"/>
          <w:szCs w:val="15"/>
          <w:b w:val="1"/>
          <w:bCs w:val="1"/>
          <w:color w:val="auto"/>
        </w:rPr>
      </w:pPr>
    </w:p>
    <w:p>
      <w:pPr>
        <w:ind w:left="520" w:right="100"/>
        <w:spacing w:after="0" w:line="253" w:lineRule="auto"/>
        <w:rPr>
          <w:rFonts w:ascii="Arial" w:cs="Arial" w:eastAsia="Arial" w:hAnsi="Arial"/>
          <w:sz w:val="15"/>
          <w:szCs w:val="15"/>
          <w:b w:val="1"/>
          <w:bCs w:val="1"/>
          <w:color w:val="auto"/>
        </w:rPr>
      </w:pPr>
      <w:r>
        <w:rPr>
          <w:rFonts w:ascii="Arial" w:cs="Arial" w:eastAsia="Arial" w:hAnsi="Arial"/>
          <w:sz w:val="18"/>
          <w:szCs w:val="18"/>
          <w:color w:val="auto"/>
        </w:rPr>
        <w:t>On August 23, 2023, the Company acquired 100% of the equity interests of Kemco Systems Co., LLC ("Kemco") for $24.0 million in cash, which was financed with a draw on the Company’s revolving credit facility. As additional consideration, the former owners are entitled to earn-out payments up to $4.0 million based upon specified financial results through August 31, 2026. Based on projections at the acquisition date, the Company estimated the fair value of the earn-out to be $2.2 million. This fair value measurement is based on inputs not observable in the market, which is considered Level 3 on the fair value hierarchy. As of September 30, 2023, the earnout liability recorded in “Accrued expenses” and "Other liabilities", depending on the anticipated payout timing, on the Condensed Consolidated Balance Sheets is $2.2 million.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fair values of the assets acquired and liabilities assumed at the date of closing.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 (including accounts receivable, net of $2,328)</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8,902</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Intangible - finite life</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assets acquired</w:t>
            </w:r>
          </w:p>
        </w:tc>
        <w:tc>
          <w:tcPr>
            <w:tcW w:w="7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33,476</w:t>
            </w:r>
          </w:p>
        </w:tc>
        <w:tc>
          <w:tcPr>
            <w:tcW w:w="100" w:type="dxa"/>
            <w:vAlign w:val="bottom"/>
            <w:shd w:val="clear" w:color="auto" w:fill="CFF0FC"/>
          </w:tcPr>
          <w:p>
            <w:pPr>
              <w:spacing w:after="0"/>
              <w:rPr>
                <w:sz w:val="20"/>
                <w:szCs w:val="20"/>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Current liabilities assumed</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(6,853 )</w:t>
            </w: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(404 )</w:t>
            </w:r>
          </w:p>
        </w:tc>
      </w:tr>
      <w:tr>
        <w:trPr>
          <w:trHeight w:val="236"/>
        </w:trPr>
        <w:tc>
          <w:tcPr>
            <w:tcW w:w="92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assets acquired</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26,219</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right="920"/>
        <w:spacing w:after="0" w:line="277" w:lineRule="auto"/>
        <w:rPr>
          <w:sz w:val="20"/>
          <w:szCs w:val="20"/>
          <w:color w:val="auto"/>
        </w:rPr>
      </w:pPr>
      <w:r>
        <w:rPr>
          <w:rFonts w:ascii="Arial" w:cs="Arial" w:eastAsia="Arial" w:hAnsi="Arial"/>
          <w:sz w:val="18"/>
          <w:szCs w:val="18"/>
          <w:color w:val="auto"/>
        </w:rPr>
        <w:t>The Company acquired technology, customer lists and tradename intangible assets valued at $1.4 million, $8.7 million and $1.5 million, respectively. These assets were determined to have useful lives of 7, 10 and 10 years, respectively.</w:t>
      </w:r>
    </w:p>
    <w:p>
      <w:pPr>
        <w:spacing w:after="0" w:line="170"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During the three months ended September 30, 2023, Kemco accounted for $3.6 million in revenue and $0.5 million of net income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Transcend Solutions</w:t>
      </w:r>
    </w:p>
    <w:p>
      <w:pPr>
        <w:spacing w:after="0" w:line="225" w:lineRule="exact"/>
        <w:rPr>
          <w:sz w:val="20"/>
          <w:szCs w:val="20"/>
          <w:color w:val="auto"/>
        </w:rPr>
      </w:pPr>
    </w:p>
    <w:p>
      <w:pPr>
        <w:ind w:left="520" w:right="60"/>
        <w:spacing w:after="0" w:line="272" w:lineRule="auto"/>
        <w:rPr>
          <w:sz w:val="20"/>
          <w:szCs w:val="20"/>
          <w:color w:val="auto"/>
        </w:rPr>
      </w:pPr>
      <w:r>
        <w:rPr>
          <w:rFonts w:ascii="Arial" w:cs="Arial" w:eastAsia="Arial" w:hAnsi="Arial"/>
          <w:sz w:val="17"/>
          <w:szCs w:val="17"/>
          <w:color w:val="auto"/>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paid within one year and $2.0 million of notes payable due in equal installments over two years.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fair values of the assets acquired and liabilities assumed at the date of closing.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 (including cash of $52 and accounts receivable, net of $1,493)</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 finite life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20"/>
                <w:szCs w:val="20"/>
                <w:color w:val="auto"/>
              </w:rPr>
            </w:pPr>
          </w:p>
        </w:tc>
      </w:tr>
      <w:tr>
        <w:trPr>
          <w:trHeight w:val="24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926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(1,203 )</w:t>
            </w:r>
          </w:p>
        </w:tc>
      </w:tr>
      <w:tr>
        <w:trPr>
          <w:trHeight w:val="237"/>
        </w:trPr>
        <w:tc>
          <w:tcPr>
            <w:tcW w:w="92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assets acquired</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right="920"/>
        <w:spacing w:after="0" w:line="277" w:lineRule="auto"/>
        <w:rPr>
          <w:sz w:val="20"/>
          <w:szCs w:val="20"/>
          <w:color w:val="auto"/>
        </w:rPr>
      </w:pPr>
      <w:r>
        <w:rPr>
          <w:rFonts w:ascii="Arial" w:cs="Arial" w:eastAsia="Arial" w:hAnsi="Arial"/>
          <w:sz w:val="18"/>
          <w:szCs w:val="18"/>
          <w:color w:val="auto"/>
        </w:rPr>
        <w:t>The Company acquired technology, customer lists and tradename intangible assets valued at $0.6 million, $7.6 million and $0.7 million, respectively. These assets were determined to have useful lives of 7, 10 and 10 years, respectively.</w:t>
      </w:r>
    </w:p>
    <w:p>
      <w:pPr>
        <w:spacing w:after="0" w:line="170"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During the three and nine months ended September 30, 2023, Transcend accounted for $3.8 million and $6.2 million in revenue, respectively, and $0.5 million and $1.0 million of net income, respectively,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Malvar Engineering Limited</w:t>
      </w:r>
    </w:p>
    <w:p>
      <w:pPr>
        <w:spacing w:after="0" w:line="225" w:lineRule="exact"/>
        <w:rPr>
          <w:sz w:val="20"/>
          <w:szCs w:val="20"/>
          <w:color w:val="auto"/>
        </w:rPr>
      </w:pPr>
    </w:p>
    <w:p>
      <w:pPr>
        <w:ind w:left="520" w:right="20"/>
        <w:spacing w:after="0" w:line="269" w:lineRule="auto"/>
        <w:rPr>
          <w:sz w:val="20"/>
          <w:szCs w:val="20"/>
          <w:color w:val="auto"/>
        </w:rPr>
      </w:pPr>
      <w:r>
        <w:rPr>
          <w:rFonts w:ascii="Arial" w:cs="Arial" w:eastAsia="Arial" w:hAnsi="Arial"/>
          <w:sz w:val="17"/>
          <w:szCs w:val="17"/>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are entitled to earn-out payments based upon specified financial results through July 31, 2023. Based on projections at the acquisition date, the Company estimated the fair value of the earn-out to be $0.6 million. As of September 30, 2023, the earnout liability recorded in “Accrued expenses” on the Condensed Consolidated Balance Sheets is $0.6 million, representing the fully earned amount to be paid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 w:name="page18"/>
    <w:bookmarkEnd w:id="17"/>
    <w:p>
      <w:pPr>
        <w:ind w:left="520" w:right="220"/>
        <w:spacing w:after="0" w:line="277" w:lineRule="auto"/>
        <w:rPr>
          <w:sz w:val="20"/>
          <w:szCs w:val="20"/>
          <w:color w:val="auto"/>
        </w:rPr>
      </w:pPr>
      <w:r>
        <w:rPr>
          <w:rFonts w:ascii="Arial" w:cs="Arial" w:eastAsia="Arial" w:hAnsi="Arial"/>
          <w:sz w:val="18"/>
          <w:szCs w:val="18"/>
          <w:color w:val="auto"/>
        </w:rPr>
        <w:t>of solutions and access to new geographic markets within the Engineered Systems segment. The following table summarizes the fair values of the assets acquired and liabilities assumed at the date of closing.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 (including accounts receivable, net of $2,467)</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 finite life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assets acquired</w:t>
            </w:r>
          </w:p>
        </w:tc>
        <w:tc>
          <w:tcPr>
            <w:tcW w:w="7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100" w:type="dxa"/>
            <w:vAlign w:val="bottom"/>
            <w:shd w:val="clear" w:color="auto" w:fill="CFF0FC"/>
          </w:tcPr>
          <w:p>
            <w:pPr>
              <w:spacing w:after="0"/>
              <w:rPr>
                <w:sz w:val="20"/>
                <w:szCs w:val="20"/>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Current liabilities assumed</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(4,860 )</w:t>
            </w: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liability</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(444 )</w:t>
            </w:r>
          </w:p>
        </w:tc>
      </w:tr>
      <w:tr>
        <w:trPr>
          <w:trHeight w:val="237"/>
        </w:trPr>
        <w:tc>
          <w:tcPr>
            <w:tcW w:w="92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assets acquired</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$1.5 million and $0.3 million, respectively. These assets were determined to have useful lives of 10 years.</w:t>
      </w:r>
    </w:p>
    <w:p>
      <w:pPr>
        <w:spacing w:after="0" w:line="170"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During the three and nine months ended September 30, 2023, Wakefield accounted for $4.8 million and $10.3 million in revenue, respectively, and $0.5 million and $0.8 million of net income, respectively,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DS21 Co., Ltd.</w:t>
      </w:r>
    </w:p>
    <w:p>
      <w:pPr>
        <w:spacing w:after="0" w:line="225"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color w:val="auto"/>
        </w:rPr>
        <w:t>On September 19, 2022, the Company acquired 100% of the equity interests of DS21 Co., Ltd. ("DS21") for $9.2 million, including $8.9 million in cash, which was financed with a draw on the Company’s revolving credit facility, and deferred cash consideration of $0.3 million paid within one year from the date of closing.</w:t>
      </w:r>
    </w:p>
    <w:p>
      <w:pPr>
        <w:spacing w:after="0" w:line="184"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9180" w:type="dxa"/>
            <w:vAlign w:val="bottom"/>
          </w:tcPr>
          <w:p>
            <w:pPr>
              <w:ind w:left="20"/>
              <w:spacing w:after="0"/>
              <w:rPr>
                <w:sz w:val="20"/>
                <w:szCs w:val="20"/>
                <w:color w:val="auto"/>
              </w:rPr>
            </w:pPr>
            <w:r>
              <w:rPr>
                <w:rFonts w:ascii="Arial" w:cs="Arial" w:eastAsia="Arial" w:hAnsi="Arial"/>
                <w:sz w:val="16"/>
                <w:szCs w:val="16"/>
                <w:color w:val="auto"/>
              </w:rPr>
              <w:t>Current assets (including cash of $1,453 and accounts receivable, net of $575)</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5,099</w:t>
            </w:r>
          </w:p>
        </w:tc>
        <w:tc>
          <w:tcPr>
            <w:tcW w:w="100" w:type="dxa"/>
            <w:vAlign w:val="bottom"/>
          </w:tcPr>
          <w:p>
            <w:pPr>
              <w:spacing w:after="0"/>
              <w:rPr>
                <w:sz w:val="20"/>
                <w:szCs w:val="20"/>
                <w:color w:val="auto"/>
              </w:rPr>
            </w:pPr>
          </w:p>
        </w:tc>
      </w:tr>
      <w:tr>
        <w:trPr>
          <w:trHeight w:val="239"/>
        </w:trPr>
        <w:tc>
          <w:tcPr>
            <w:tcW w:w="9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w:t>
            </w:r>
          </w:p>
        </w:tc>
        <w:tc>
          <w:tcPr>
            <w:tcW w:w="8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4,112</w:t>
            </w:r>
          </w:p>
        </w:tc>
        <w:tc>
          <w:tcPr>
            <w:tcW w:w="100" w:type="dxa"/>
            <w:vAlign w:val="bottom"/>
            <w:shd w:val="clear" w:color="auto" w:fill="CFF0FC"/>
          </w:tcPr>
          <w:p>
            <w:pPr>
              <w:spacing w:after="0"/>
              <w:rPr>
                <w:sz w:val="20"/>
                <w:szCs w:val="20"/>
                <w:color w:val="auto"/>
              </w:rPr>
            </w:pPr>
          </w:p>
        </w:tc>
      </w:tr>
      <w:tr>
        <w:trPr>
          <w:trHeight w:val="220"/>
        </w:trPr>
        <w:tc>
          <w:tcPr>
            <w:tcW w:w="9180" w:type="dxa"/>
            <w:vAlign w:val="bottom"/>
          </w:tcPr>
          <w:p>
            <w:pPr>
              <w:ind w:left="20"/>
              <w:spacing w:after="0"/>
              <w:rPr>
                <w:sz w:val="20"/>
                <w:szCs w:val="20"/>
                <w:color w:val="auto"/>
              </w:rPr>
            </w:pPr>
            <w:r>
              <w:rPr>
                <w:rFonts w:ascii="Arial" w:cs="Arial" w:eastAsia="Arial" w:hAnsi="Arial"/>
                <w:sz w:val="16"/>
                <w:szCs w:val="16"/>
                <w:color w:val="auto"/>
              </w:rPr>
              <w:t>Intangible - finite life</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9"/>
                <w:szCs w:val="19"/>
                <w:color w:val="auto"/>
              </w:rPr>
            </w:pPr>
          </w:p>
        </w:tc>
      </w:tr>
      <w:tr>
        <w:trPr>
          <w:trHeight w:val="239"/>
        </w:trPr>
        <w:tc>
          <w:tcPr>
            <w:tcW w:w="9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w:t>
            </w:r>
          </w:p>
        </w:tc>
        <w:tc>
          <w:tcPr>
            <w:tcW w:w="8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FF0FC"/>
          </w:tcPr>
          <w:p>
            <w:pPr>
              <w:spacing w:after="0"/>
              <w:rPr>
                <w:sz w:val="20"/>
                <w:szCs w:val="20"/>
                <w:color w:val="auto"/>
              </w:rPr>
            </w:pPr>
          </w:p>
        </w:tc>
      </w:tr>
      <w:tr>
        <w:trPr>
          <w:trHeight w:val="226"/>
        </w:trPr>
        <w:tc>
          <w:tcPr>
            <w:tcW w:w="91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8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9"/>
                <w:szCs w:val="19"/>
                <w:color w:val="auto"/>
              </w:rPr>
            </w:pPr>
          </w:p>
        </w:tc>
      </w:tr>
      <w:tr>
        <w:trPr>
          <w:trHeight w:val="226"/>
        </w:trPr>
        <w:tc>
          <w:tcPr>
            <w:tcW w:w="9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assets acquired</w:t>
            </w:r>
          </w:p>
        </w:tc>
        <w:tc>
          <w:tcPr>
            <w:tcW w:w="8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10,359</w:t>
            </w:r>
          </w:p>
        </w:tc>
        <w:tc>
          <w:tcPr>
            <w:tcW w:w="100" w:type="dxa"/>
            <w:vAlign w:val="bottom"/>
            <w:shd w:val="clear" w:color="auto" w:fill="CFF0FC"/>
          </w:tcPr>
          <w:p>
            <w:pPr>
              <w:spacing w:after="0"/>
              <w:rPr>
                <w:sz w:val="19"/>
                <w:szCs w:val="19"/>
                <w:color w:val="auto"/>
              </w:rPr>
            </w:pPr>
          </w:p>
        </w:tc>
      </w:tr>
      <w:tr>
        <w:trPr>
          <w:trHeight w:val="220"/>
        </w:trPr>
        <w:tc>
          <w:tcPr>
            <w:tcW w:w="9180" w:type="dxa"/>
            <w:vAlign w:val="bottom"/>
          </w:tcPr>
          <w:p>
            <w:pPr>
              <w:ind w:left="20"/>
              <w:spacing w:after="0"/>
              <w:rPr>
                <w:sz w:val="20"/>
                <w:szCs w:val="20"/>
                <w:color w:val="auto"/>
              </w:rPr>
            </w:pPr>
            <w:r>
              <w:rPr>
                <w:rFonts w:ascii="Arial" w:cs="Arial" w:eastAsia="Arial" w:hAnsi="Arial"/>
                <w:sz w:val="16"/>
                <w:szCs w:val="16"/>
                <w:color w:val="auto"/>
              </w:rPr>
              <w:t>Current liabilities assumed</w:t>
            </w:r>
          </w:p>
        </w:tc>
        <w:tc>
          <w:tcPr>
            <w:tcW w:w="8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(1,008 )</w:t>
            </w:r>
          </w:p>
        </w:tc>
      </w:tr>
      <w:tr>
        <w:trPr>
          <w:trHeight w:val="236"/>
        </w:trPr>
        <w:tc>
          <w:tcPr>
            <w:tcW w:w="9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8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(113 )</w:t>
            </w:r>
          </w:p>
        </w:tc>
      </w:tr>
      <w:tr>
        <w:trPr>
          <w:trHeight w:val="226"/>
        </w:trPr>
        <w:tc>
          <w:tcPr>
            <w:tcW w:w="91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Net assets acquired</w:t>
            </w:r>
          </w:p>
        </w:tc>
        <w:tc>
          <w:tcPr>
            <w:tcW w:w="80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9,238</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$0.1 million and $0.3 million, respectively. These assets were determined to have useful lives of 10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Western Air Ducts Limited</w:t>
      </w:r>
    </w:p>
    <w:p>
      <w:pPr>
        <w:spacing w:after="0" w:line="225"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On June 22, 2022, the Company acquired 100% of the equity interests of Western Air Ducts Limited ("Western Air Ducts") for $10.7 million in cash, which was financed with a draw on the Company’s revolving credit facility, and deferred cash consideration of $0.8 million paid one year from the date of closing.</w:t>
      </w:r>
    </w:p>
    <w:p>
      <w:pPr>
        <w:spacing w:after="0" w:line="184" w:lineRule="exact"/>
        <w:rPr>
          <w:sz w:val="20"/>
          <w:szCs w:val="20"/>
          <w:color w:val="auto"/>
        </w:rPr>
      </w:pPr>
    </w:p>
    <w:p>
      <w:pPr>
        <w:jc w:val="both"/>
        <w:ind w:left="520" w:right="100"/>
        <w:spacing w:after="0" w:line="286" w:lineRule="auto"/>
        <w:rPr>
          <w:sz w:val="20"/>
          <w:szCs w:val="20"/>
          <w:color w:val="auto"/>
        </w:rPr>
      </w:pPr>
      <w:r>
        <w:rPr>
          <w:rFonts w:ascii="Arial" w:cs="Arial" w:eastAsia="Arial" w:hAnsi="Arial"/>
          <w:sz w:val="17"/>
          <w:szCs w:val="17"/>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9180" w:type="dxa"/>
            <w:vAlign w:val="bottom"/>
          </w:tcPr>
          <w:p>
            <w:pPr>
              <w:ind w:left="20"/>
              <w:spacing w:after="0"/>
              <w:rPr>
                <w:sz w:val="20"/>
                <w:szCs w:val="20"/>
                <w:color w:val="auto"/>
              </w:rPr>
            </w:pPr>
            <w:r>
              <w:rPr>
                <w:rFonts w:ascii="Arial" w:cs="Arial" w:eastAsia="Arial" w:hAnsi="Arial"/>
                <w:sz w:val="16"/>
                <w:szCs w:val="16"/>
                <w:color w:val="auto"/>
              </w:rPr>
              <w:t>Current assets (including cash of $1,557 and accounts receivable, net of $936)</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20"/>
                <w:szCs w:val="20"/>
                <w:color w:val="auto"/>
              </w:rPr>
            </w:pPr>
          </w:p>
        </w:tc>
      </w:tr>
      <w:tr>
        <w:trPr>
          <w:trHeight w:val="239"/>
        </w:trPr>
        <w:tc>
          <w:tcPr>
            <w:tcW w:w="9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w:t>
            </w:r>
          </w:p>
        </w:tc>
        <w:tc>
          <w:tcPr>
            <w:tcW w:w="8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FF0FC"/>
          </w:tcPr>
          <w:p>
            <w:pPr>
              <w:spacing w:after="0"/>
              <w:rPr>
                <w:sz w:val="20"/>
                <w:szCs w:val="20"/>
                <w:color w:val="auto"/>
              </w:rPr>
            </w:pPr>
          </w:p>
        </w:tc>
      </w:tr>
      <w:tr>
        <w:trPr>
          <w:trHeight w:val="220"/>
        </w:trPr>
        <w:tc>
          <w:tcPr>
            <w:tcW w:w="9180" w:type="dxa"/>
            <w:vAlign w:val="bottom"/>
          </w:tcPr>
          <w:p>
            <w:pPr>
              <w:ind w:left="20"/>
              <w:spacing w:after="0"/>
              <w:rPr>
                <w:sz w:val="20"/>
                <w:szCs w:val="20"/>
                <w:color w:val="auto"/>
              </w:rPr>
            </w:pPr>
            <w:r>
              <w:rPr>
                <w:rFonts w:ascii="Arial" w:cs="Arial" w:eastAsia="Arial" w:hAnsi="Arial"/>
                <w:sz w:val="16"/>
                <w:szCs w:val="16"/>
                <w:color w:val="auto"/>
              </w:rPr>
              <w:t>Intangible - finite life</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9"/>
                <w:szCs w:val="19"/>
                <w:color w:val="auto"/>
              </w:rPr>
            </w:pPr>
          </w:p>
        </w:tc>
      </w:tr>
      <w:tr>
        <w:trPr>
          <w:trHeight w:val="236"/>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8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9180" w:type="dxa"/>
            <w:vAlign w:val="bottom"/>
          </w:tcPr>
          <w:p>
            <w:pPr>
              <w:ind w:left="200"/>
              <w:spacing w:after="0"/>
              <w:rPr>
                <w:sz w:val="20"/>
                <w:szCs w:val="20"/>
                <w:color w:val="auto"/>
              </w:rPr>
            </w:pPr>
            <w:r>
              <w:rPr>
                <w:rFonts w:ascii="Arial" w:cs="Arial" w:eastAsia="Arial" w:hAnsi="Arial"/>
                <w:sz w:val="16"/>
                <w:szCs w:val="16"/>
                <w:color w:val="auto"/>
              </w:rPr>
              <w:t>Total assets acquired</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13,401</w:t>
            </w:r>
          </w:p>
        </w:tc>
        <w:tc>
          <w:tcPr>
            <w:tcW w:w="100" w:type="dxa"/>
            <w:vAlign w:val="bottom"/>
          </w:tcPr>
          <w:p>
            <w:pPr>
              <w:spacing w:after="0"/>
              <w:rPr>
                <w:sz w:val="18"/>
                <w:szCs w:val="18"/>
                <w:color w:val="auto"/>
              </w:rPr>
            </w:pPr>
          </w:p>
        </w:tc>
      </w:tr>
      <w:tr>
        <w:trPr>
          <w:trHeight w:val="239"/>
        </w:trPr>
        <w:tc>
          <w:tcPr>
            <w:tcW w:w="9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 assumed</w:t>
            </w:r>
          </w:p>
        </w:tc>
        <w:tc>
          <w:tcPr>
            <w:tcW w:w="8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(1,127 )</w:t>
            </w:r>
          </w:p>
        </w:tc>
      </w:tr>
      <w:tr>
        <w:trPr>
          <w:trHeight w:val="226"/>
        </w:trPr>
        <w:tc>
          <w:tcPr>
            <w:tcW w:w="9180" w:type="dxa"/>
            <w:vAlign w:val="bottom"/>
          </w:tcPr>
          <w:p>
            <w:pPr>
              <w:ind w:left="20"/>
              <w:spacing w:after="0"/>
              <w:rPr>
                <w:sz w:val="20"/>
                <w:szCs w:val="20"/>
                <w:color w:val="auto"/>
              </w:rPr>
            </w:pPr>
            <w:r>
              <w:rPr>
                <w:rFonts w:ascii="Arial" w:cs="Arial" w:eastAsia="Arial" w:hAnsi="Arial"/>
                <w:sz w:val="16"/>
                <w:szCs w:val="16"/>
                <w:color w:val="auto"/>
              </w:rPr>
              <w:t>Deferred income tax liability</w:t>
            </w:r>
          </w:p>
        </w:tc>
        <w:tc>
          <w:tcPr>
            <w:tcW w:w="8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(824 )</w:t>
            </w:r>
          </w:p>
        </w:tc>
      </w:tr>
      <w:tr>
        <w:trPr>
          <w:trHeight w:val="266"/>
        </w:trPr>
        <w:tc>
          <w:tcPr>
            <w:tcW w:w="9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assets acquired</w:t>
            </w:r>
          </w:p>
        </w:tc>
        <w:tc>
          <w:tcPr>
            <w:tcW w:w="800" w:type="dxa"/>
            <w:vAlign w:val="bottom"/>
            <w:tcBorders>
              <w:top w:val="single" w:sz="8" w:color="auto"/>
              <w:bottom w:val="single" w:sz="8" w:color="auto"/>
            </w:tcBorders>
            <w:shd w:val="clear" w:color="auto" w:fill="CFF0FC"/>
          </w:tcPr>
          <w:p>
            <w:pPr>
              <w:jc w:val="right"/>
              <w:ind w:right="64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$2.8 million and $0.4 million, respectively. These assets were determined to have useful lives of 10 years.</w:t>
      </w:r>
    </w:p>
    <w:p>
      <w:pPr>
        <w:spacing w:after="0" w:line="170"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During the three and nine months ended September 30, 2022, Western Air Ducts accounted for $0.7 million in revenue and $0.2 million of net loss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Compass Water Solutions, Inc.</w:t>
      </w:r>
    </w:p>
    <w:p>
      <w:pPr>
        <w:spacing w:after="0" w:line="225" w:lineRule="exact"/>
        <w:rPr>
          <w:sz w:val="20"/>
          <w:szCs w:val="20"/>
          <w:color w:val="auto"/>
        </w:rPr>
      </w:pPr>
    </w:p>
    <w:p>
      <w:pPr>
        <w:ind w:left="520" w:right="80"/>
        <w:spacing w:after="0" w:line="257" w:lineRule="auto"/>
        <w:rPr>
          <w:sz w:val="20"/>
          <w:szCs w:val="20"/>
          <w:color w:val="auto"/>
        </w:rPr>
      </w:pPr>
      <w:r>
        <w:rPr>
          <w:rFonts w:ascii="Arial" w:cs="Arial" w:eastAsia="Arial" w:hAnsi="Arial"/>
          <w:sz w:val="18"/>
          <w:szCs w:val="18"/>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which was paid in the third quarter of 2023.</w:t>
      </w:r>
    </w:p>
    <w:p>
      <w:pPr>
        <w:spacing w:after="0" w:line="188" w:lineRule="exact"/>
        <w:rPr>
          <w:sz w:val="20"/>
          <w:szCs w:val="20"/>
          <w:color w:val="auto"/>
        </w:rPr>
      </w:pPr>
    </w:p>
    <w:p>
      <w:pPr>
        <w:jc w:val="both"/>
        <w:ind w:left="520" w:right="60"/>
        <w:spacing w:after="0" w:line="259" w:lineRule="auto"/>
        <w:rPr>
          <w:sz w:val="20"/>
          <w:szCs w:val="20"/>
          <w:color w:val="auto"/>
        </w:rPr>
      </w:pPr>
      <w:r>
        <w:rPr>
          <w:rFonts w:ascii="Arial" w:cs="Arial" w:eastAsia="Arial" w:hAnsi="Arial"/>
          <w:sz w:val="18"/>
          <w:szCs w:val="18"/>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the Engineered Systems segment. The following table summarizes the fair values of the assets acquired and liabilities assumed at the date of closing.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9160" w:type="dxa"/>
            <w:vAlign w:val="bottom"/>
          </w:tcPr>
          <w:p>
            <w:pPr>
              <w:ind w:left="20"/>
              <w:spacing w:after="0"/>
              <w:rPr>
                <w:sz w:val="20"/>
                <w:szCs w:val="20"/>
                <w:color w:val="auto"/>
              </w:rPr>
            </w:pPr>
            <w:r>
              <w:rPr>
                <w:rFonts w:ascii="Arial" w:cs="Arial" w:eastAsia="Arial" w:hAnsi="Arial"/>
                <w:sz w:val="16"/>
                <w:szCs w:val="16"/>
                <w:color w:val="auto"/>
              </w:rPr>
              <w:t>Current assets (including cash of $334 and accounts receivable, net of $1,254)</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20"/>
                <w:szCs w:val="20"/>
                <w:color w:val="auto"/>
              </w:rPr>
            </w:pPr>
          </w:p>
        </w:tc>
      </w:tr>
      <w:tr>
        <w:trPr>
          <w:trHeight w:val="239"/>
        </w:trPr>
        <w:tc>
          <w:tcPr>
            <w:tcW w:w="9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w:t>
            </w:r>
          </w:p>
        </w:tc>
        <w:tc>
          <w:tcPr>
            <w:tcW w:w="8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20"/>
                <w:szCs w:val="20"/>
                <w:color w:val="auto"/>
              </w:rPr>
            </w:pPr>
          </w:p>
        </w:tc>
      </w:tr>
      <w:tr>
        <w:trPr>
          <w:trHeight w:val="220"/>
        </w:trPr>
        <w:tc>
          <w:tcPr>
            <w:tcW w:w="9160" w:type="dxa"/>
            <w:vAlign w:val="bottom"/>
          </w:tcPr>
          <w:p>
            <w:pPr>
              <w:ind w:left="20"/>
              <w:spacing w:after="0"/>
              <w:rPr>
                <w:sz w:val="20"/>
                <w:szCs w:val="20"/>
                <w:color w:val="auto"/>
              </w:rPr>
            </w:pPr>
            <w:r>
              <w:rPr>
                <w:rFonts w:ascii="Arial" w:cs="Arial" w:eastAsia="Arial" w:hAnsi="Arial"/>
                <w:sz w:val="16"/>
                <w:szCs w:val="16"/>
                <w:color w:val="auto"/>
              </w:rPr>
              <w:t>Intangible - finite life</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4,900</w:t>
            </w:r>
          </w:p>
        </w:tc>
        <w:tc>
          <w:tcPr>
            <w:tcW w:w="100" w:type="dxa"/>
            <w:vAlign w:val="bottom"/>
          </w:tcPr>
          <w:p>
            <w:pPr>
              <w:spacing w:after="0"/>
              <w:rPr>
                <w:sz w:val="19"/>
                <w:szCs w:val="19"/>
                <w:color w:val="auto"/>
              </w:rPr>
            </w:pPr>
          </w:p>
        </w:tc>
      </w:tr>
      <w:tr>
        <w:trPr>
          <w:trHeight w:val="236"/>
        </w:trPr>
        <w:tc>
          <w:tcPr>
            <w:tcW w:w="9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8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9160" w:type="dxa"/>
            <w:vAlign w:val="bottom"/>
          </w:tcPr>
          <w:p>
            <w:pPr>
              <w:ind w:left="200"/>
              <w:spacing w:after="0"/>
              <w:rPr>
                <w:sz w:val="20"/>
                <w:szCs w:val="20"/>
                <w:color w:val="auto"/>
              </w:rPr>
            </w:pPr>
            <w:r>
              <w:rPr>
                <w:rFonts w:ascii="Arial" w:cs="Arial" w:eastAsia="Arial" w:hAnsi="Arial"/>
                <w:sz w:val="16"/>
                <w:szCs w:val="16"/>
                <w:color w:val="auto"/>
              </w:rPr>
              <w:t>Total assets acquired</w:t>
            </w: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14,645</w:t>
            </w:r>
          </w:p>
        </w:tc>
        <w:tc>
          <w:tcPr>
            <w:tcW w:w="100" w:type="dxa"/>
            <w:vAlign w:val="bottom"/>
          </w:tcPr>
          <w:p>
            <w:pPr>
              <w:spacing w:after="0"/>
              <w:rPr>
                <w:sz w:val="18"/>
                <w:szCs w:val="18"/>
                <w:color w:val="auto"/>
              </w:rPr>
            </w:pPr>
          </w:p>
        </w:tc>
      </w:tr>
      <w:tr>
        <w:trPr>
          <w:trHeight w:val="239"/>
        </w:trPr>
        <w:tc>
          <w:tcPr>
            <w:tcW w:w="9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 assumed</w:t>
            </w:r>
          </w:p>
        </w:tc>
        <w:tc>
          <w:tcPr>
            <w:tcW w:w="8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(623 )</w:t>
            </w:r>
          </w:p>
        </w:tc>
      </w:tr>
      <w:tr>
        <w:trPr>
          <w:trHeight w:val="226"/>
        </w:trPr>
        <w:tc>
          <w:tcPr>
            <w:tcW w:w="9160" w:type="dxa"/>
            <w:vAlign w:val="bottom"/>
          </w:tcPr>
          <w:p>
            <w:pPr>
              <w:ind w:left="20"/>
              <w:spacing w:after="0"/>
              <w:rPr>
                <w:sz w:val="20"/>
                <w:szCs w:val="20"/>
                <w:color w:val="auto"/>
              </w:rPr>
            </w:pPr>
            <w:r>
              <w:rPr>
                <w:rFonts w:ascii="Arial" w:cs="Arial" w:eastAsia="Arial" w:hAnsi="Arial"/>
                <w:sz w:val="16"/>
                <w:szCs w:val="16"/>
                <w:color w:val="auto"/>
              </w:rPr>
              <w:t>Deferred income tax liability</w:t>
            </w:r>
          </w:p>
        </w:tc>
        <w:tc>
          <w:tcPr>
            <w:tcW w:w="8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(1,627 )</w:t>
            </w:r>
          </w:p>
        </w:tc>
      </w:tr>
      <w:tr>
        <w:trPr>
          <w:trHeight w:val="266"/>
        </w:trPr>
        <w:tc>
          <w:tcPr>
            <w:tcW w:w="9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assets acquired</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12,395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$4.4 million and $0.5 million, respectively. These assets were determined to have useful lives of 10 years.</w:t>
      </w:r>
    </w:p>
    <w:p>
      <w:pPr>
        <w:spacing w:after="0" w:line="170"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color w:val="auto"/>
        </w:rPr>
        <w:t>During the three and nine months ended September 30, 2022, Compass accounted for $1.5 million and $2.3 million in revenue, respectively, and $0.1 million and $0.2 million, respectively, of net loss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Rubber LLC</w:t>
      </w:r>
    </w:p>
    <w:p>
      <w:pPr>
        <w:spacing w:after="0" w:line="225"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fair value ascribed to the equity interest of the former owners of GRC was approximately $4.1 million. As of September 30, 2023, there were $15.5 million in current assets, $27.2 million in long-lived assets, and $31.5 million in total liabilities related to the EFM JV included in the Condensed Consolidated Balance Sheets. For the three months and nine months ended September 30, 2023, the EFM JV accounted for $9.9 million and $19.3 million, respectively, in revenue included in the Company's results.</w:t>
      </w:r>
    </w:p>
    <w:p>
      <w:pPr>
        <w:spacing w:after="0" w:line="177" w:lineRule="exact"/>
        <w:rPr>
          <w:sz w:val="20"/>
          <w:szCs w:val="20"/>
          <w:color w:val="auto"/>
        </w:rPr>
      </w:pPr>
    </w:p>
    <w:p>
      <w:pPr>
        <w:ind w:left="520" w:right="280"/>
        <w:spacing w:after="0" w:line="259" w:lineRule="auto"/>
        <w:rPr>
          <w:sz w:val="20"/>
          <w:szCs w:val="20"/>
          <w:color w:val="auto"/>
        </w:rPr>
      </w:pPr>
      <w:r>
        <w:rPr>
          <w:rFonts w:ascii="Arial" w:cs="Arial" w:eastAsia="Arial" w:hAnsi="Arial"/>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91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9160" w:type="dxa"/>
            <w:vAlign w:val="bottom"/>
          </w:tcPr>
          <w:p>
            <w:pPr>
              <w:ind w:left="20"/>
              <w:spacing w:after="0"/>
              <w:rPr>
                <w:sz w:val="20"/>
                <w:szCs w:val="20"/>
                <w:color w:val="auto"/>
              </w:rPr>
            </w:pPr>
            <w:r>
              <w:rPr>
                <w:rFonts w:ascii="Arial" w:cs="Arial" w:eastAsia="Arial" w:hAnsi="Arial"/>
                <w:sz w:val="16"/>
                <w:szCs w:val="16"/>
                <w:color w:val="auto"/>
              </w:rPr>
              <w:t>Current assets (including cash of $137 and accounts receivable, net of $2,043)</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Pr>
          <w:p>
            <w:pPr>
              <w:spacing w:after="0"/>
              <w:rPr>
                <w:sz w:val="20"/>
                <w:szCs w:val="20"/>
                <w:color w:val="auto"/>
              </w:rPr>
            </w:pPr>
          </w:p>
        </w:tc>
      </w:tr>
      <w:tr>
        <w:trPr>
          <w:trHeight w:val="239"/>
        </w:trPr>
        <w:tc>
          <w:tcPr>
            <w:tcW w:w="9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w:t>
            </w:r>
          </w:p>
        </w:tc>
        <w:tc>
          <w:tcPr>
            <w:tcW w:w="8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FF0FC"/>
          </w:tcPr>
          <w:p>
            <w:pPr>
              <w:spacing w:after="0"/>
              <w:rPr>
                <w:sz w:val="20"/>
                <w:szCs w:val="20"/>
                <w:color w:val="auto"/>
              </w:rPr>
            </w:pPr>
          </w:p>
        </w:tc>
      </w:tr>
      <w:tr>
        <w:trPr>
          <w:trHeight w:val="220"/>
        </w:trPr>
        <w:tc>
          <w:tcPr>
            <w:tcW w:w="9160" w:type="dxa"/>
            <w:vAlign w:val="bottom"/>
          </w:tcPr>
          <w:p>
            <w:pPr>
              <w:ind w:left="20"/>
              <w:spacing w:after="0"/>
              <w:rPr>
                <w:sz w:val="20"/>
                <w:szCs w:val="20"/>
                <w:color w:val="auto"/>
              </w:rPr>
            </w:pPr>
            <w:r>
              <w:rPr>
                <w:rFonts w:ascii="Arial" w:cs="Arial" w:eastAsia="Arial" w:hAnsi="Arial"/>
                <w:sz w:val="16"/>
                <w:szCs w:val="16"/>
                <w:color w:val="auto"/>
              </w:rPr>
              <w:t>Intangible - finite life</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8,380</w:t>
            </w:r>
          </w:p>
        </w:tc>
        <w:tc>
          <w:tcPr>
            <w:tcW w:w="100" w:type="dxa"/>
            <w:vAlign w:val="bottom"/>
          </w:tcPr>
          <w:p>
            <w:pPr>
              <w:spacing w:after="0"/>
              <w:rPr>
                <w:sz w:val="19"/>
                <w:szCs w:val="19"/>
                <w:color w:val="auto"/>
              </w:rPr>
            </w:pPr>
          </w:p>
        </w:tc>
      </w:tr>
      <w:tr>
        <w:trPr>
          <w:trHeight w:val="236"/>
        </w:trPr>
        <w:tc>
          <w:tcPr>
            <w:tcW w:w="9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8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9160" w:type="dxa"/>
            <w:vAlign w:val="bottom"/>
          </w:tcPr>
          <w:p>
            <w:pPr>
              <w:ind w:left="200"/>
              <w:spacing w:after="0"/>
              <w:rPr>
                <w:sz w:val="20"/>
                <w:szCs w:val="20"/>
                <w:color w:val="auto"/>
              </w:rPr>
            </w:pPr>
            <w:r>
              <w:rPr>
                <w:rFonts w:ascii="Arial" w:cs="Arial" w:eastAsia="Arial" w:hAnsi="Arial"/>
                <w:sz w:val="16"/>
                <w:szCs w:val="16"/>
                <w:color w:val="auto"/>
              </w:rPr>
              <w:t>Total assets acquired</w:t>
            </w: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24,922</w:t>
            </w:r>
          </w:p>
        </w:tc>
        <w:tc>
          <w:tcPr>
            <w:tcW w:w="100" w:type="dxa"/>
            <w:vAlign w:val="bottom"/>
          </w:tcPr>
          <w:p>
            <w:pPr>
              <w:spacing w:after="0"/>
              <w:rPr>
                <w:sz w:val="18"/>
                <w:szCs w:val="18"/>
                <w:color w:val="auto"/>
              </w:rPr>
            </w:pPr>
          </w:p>
        </w:tc>
      </w:tr>
      <w:tr>
        <w:trPr>
          <w:trHeight w:val="239"/>
        </w:trPr>
        <w:tc>
          <w:tcPr>
            <w:tcW w:w="9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 assumed</w:t>
            </w:r>
          </w:p>
        </w:tc>
        <w:tc>
          <w:tcPr>
            <w:tcW w:w="8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(714 )</w:t>
            </w:r>
          </w:p>
        </w:tc>
      </w:tr>
      <w:tr>
        <w:trPr>
          <w:trHeight w:val="227"/>
        </w:trPr>
        <w:tc>
          <w:tcPr>
            <w:tcW w:w="9160" w:type="dxa"/>
            <w:vAlign w:val="bottom"/>
          </w:tcPr>
          <w:p>
            <w:pPr>
              <w:ind w:left="20"/>
              <w:spacing w:after="0"/>
              <w:rPr>
                <w:sz w:val="20"/>
                <w:szCs w:val="20"/>
                <w:color w:val="auto"/>
              </w:rPr>
            </w:pPr>
            <w:r>
              <w:rPr>
                <w:rFonts w:ascii="Arial" w:cs="Arial" w:eastAsia="Arial" w:hAnsi="Arial"/>
                <w:sz w:val="16"/>
                <w:szCs w:val="16"/>
                <w:color w:val="auto"/>
              </w:rPr>
              <w:t>Deferred income tax liability</w:t>
            </w:r>
          </w:p>
        </w:tc>
        <w:tc>
          <w:tcPr>
            <w:tcW w:w="8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(388 )</w:t>
            </w:r>
          </w:p>
        </w:tc>
      </w:tr>
      <w:tr>
        <w:trPr>
          <w:trHeight w:val="266"/>
        </w:trPr>
        <w:tc>
          <w:tcPr>
            <w:tcW w:w="9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assets acquired</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$7.7 million and $0.7 million, respectively. These assets were determined to have useful lives of 10 years.</w:t>
      </w:r>
    </w:p>
    <w:p>
      <w:pPr>
        <w:spacing w:after="0" w:line="170"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During the three and nine months ended September 30, 2022, GRC accounted for $3.9 million and $8.3 million in revenue, respectively, and $0.7 million and $1.5 million, respectively, of net income included in the Company’s results.</w:t>
      </w:r>
    </w:p>
    <w:p>
      <w:pPr>
        <w:spacing w:after="0" w:line="170" w:lineRule="exact"/>
        <w:rPr>
          <w:sz w:val="20"/>
          <w:szCs w:val="20"/>
          <w:color w:val="auto"/>
        </w:rPr>
      </w:pPr>
    </w:p>
    <w:p>
      <w:pPr>
        <w:ind w:left="520" w:right="40"/>
        <w:spacing w:after="0" w:line="255" w:lineRule="auto"/>
        <w:rPr>
          <w:sz w:val="20"/>
          <w:szCs w:val="20"/>
          <w:color w:val="auto"/>
        </w:rPr>
      </w:pPr>
      <w:r>
        <w:rPr>
          <w:rFonts w:ascii="Arial" w:cs="Arial" w:eastAsia="Arial" w:hAnsi="Arial"/>
          <w:sz w:val="18"/>
          <w:szCs w:val="18"/>
          <w:color w:val="auto"/>
        </w:rPr>
        <w:t>The Company has finalized the valuation of assets acquired and liabilities assumed related to the 2022 acquisitions. The purchase accounting related to the 2023 acquisitions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92"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84"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70"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following unaudited pro forma financial information represents the Company’s results of operations as if these acquisitions had occurred at the beginning of the fiscal year prior to the acquisition: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153,443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121,567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404,819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349,803</w:t>
            </w:r>
          </w:p>
        </w:tc>
        <w:tc>
          <w:tcPr>
            <w:tcW w:w="100" w:type="dxa"/>
            <w:vAlign w:val="bottom"/>
            <w:shd w:val="clear" w:color="auto" w:fill="CFF0FC"/>
          </w:tcPr>
          <w:p>
            <w:pPr>
              <w:spacing w:after="0"/>
              <w:rPr>
                <w:sz w:val="20"/>
                <w:szCs w:val="20"/>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Net income attributable to CECO Environmental Corp.</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10,898</w:t>
            </w:r>
          </w:p>
        </w:tc>
        <w:tc>
          <w:tcPr>
            <w:tcW w:w="100" w:type="dxa"/>
            <w:vAlign w:val="bottom"/>
          </w:tcPr>
          <w:p>
            <w:pPr>
              <w:spacing w:after="0"/>
              <w:rPr>
                <w:sz w:val="20"/>
                <w:szCs w:val="20"/>
                <w:color w:val="auto"/>
              </w:rPr>
            </w:pPr>
          </w:p>
        </w:tc>
      </w:tr>
      <w:tr>
        <w:trPr>
          <w:trHeight w:val="24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940" w:type="dxa"/>
            <w:vAlign w:val="bottom"/>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r>
      <w:tr>
        <w:trPr>
          <w:trHeight w:val="249"/>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520" w:right="20"/>
        <w:spacing w:after="0" w:line="279" w:lineRule="auto"/>
        <w:rPr>
          <w:sz w:val="20"/>
          <w:szCs w:val="20"/>
          <w:color w:val="auto"/>
        </w:rPr>
      </w:pPr>
      <w:r>
        <w:rPr>
          <w:rFonts w:ascii="Arial" w:cs="Arial" w:eastAsia="Arial" w:hAnsi="Arial"/>
          <w:sz w:val="17"/>
          <w:szCs w:val="17"/>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left="520" w:right="560"/>
        <w:spacing w:after="0" w:line="263" w:lineRule="auto"/>
        <w:rPr>
          <w:sz w:val="20"/>
          <w:szCs w:val="20"/>
          <w:color w:val="auto"/>
        </w:rPr>
      </w:pPr>
      <w:r>
        <w:rPr>
          <w:rFonts w:ascii="Arial" w:cs="Arial" w:eastAsia="Arial" w:hAnsi="Arial"/>
          <w:sz w:val="18"/>
          <w:szCs w:val="18"/>
          <w:color w:val="auto"/>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Arial" w:cs="Arial" w:eastAsia="Arial" w:hAnsi="Arial"/>
          <w:sz w:val="21"/>
          <w:szCs w:val="21"/>
          <w:color w:val="auto"/>
        </w:rPr>
        <w: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ind w:left="520"/>
        <w:spacing w:after="0" w:line="259" w:lineRule="auto"/>
        <w:rPr>
          <w:sz w:val="20"/>
          <w:szCs w:val="20"/>
          <w:color w:val="auto"/>
        </w:rPr>
      </w:pPr>
      <w:r>
        <w:rPr>
          <w:rFonts w:ascii="Arial" w:cs="Arial" w:eastAsia="Arial" w:hAnsi="Arial"/>
          <w:sz w:val="18"/>
          <w:szCs w:val="18"/>
          <w:u w:val="single" w:color="auto"/>
          <w:color w:val="auto"/>
        </w:rPr>
        <w:t>Engineered Systems segment:</w:t>
      </w:r>
      <w:r>
        <w:rPr>
          <w:rFonts w:ascii="Arial" w:cs="Arial" w:eastAsia="Arial" w:hAnsi="Arial"/>
          <w:sz w:val="18"/>
          <w:szCs w:val="18"/>
          <w:color w:val="auto"/>
        </w:rPr>
        <w:t xml:space="preserve"> The Engineered Systems segment serves the power generation, hydrocarbon processing, water/wastewater treatment, oily water separation and treatment, marine and naval vessels, and midstream oil and gas sectors. The Company addresses the global demand for environmental and equipment protection solutions with its highly engineered platforms including emissions management, fluid bed cyclones, thermal acoustics, separation and filtration, and dampers and expansion joints.</w:t>
      </w:r>
    </w:p>
    <w:p>
      <w:pPr>
        <w:spacing w:after="0" w:line="187"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u w:val="single" w:color="auto"/>
          <w:color w:val="auto"/>
        </w:rPr>
        <w:t>Industrial Process Solutions segment:</w:t>
      </w:r>
      <w:r>
        <w:rPr>
          <w:rFonts w:ascii="Arial" w:cs="Arial" w:eastAsia="Arial" w:hAnsi="Arial"/>
          <w:sz w:val="16"/>
          <w:szCs w:val="16"/>
          <w:color w:val="auto"/>
        </w:rPr>
        <w:t xml:space="preserve"> The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segment information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Net sales (less intra-, inter-segment sales)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105,540</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65,630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267,516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189,938</w:t>
            </w:r>
          </w:p>
        </w:tc>
        <w:tc>
          <w:tcPr>
            <w:tcW w:w="100" w:type="dxa"/>
            <w:vAlign w:val="bottom"/>
          </w:tcPr>
          <w:p>
            <w:pPr>
              <w:spacing w:after="0"/>
              <w:rPr>
                <w:sz w:val="20"/>
                <w:szCs w:val="20"/>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149,390</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108,414</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391,134</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306,225</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15,759</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8,991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39,601</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24,467</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14,847</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line="24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(1)</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(13,492 )</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(11,444 )</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(33,453 )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(25,591 )</w:t>
            </w:r>
          </w:p>
        </w:tc>
      </w:tr>
      <w:tr>
        <w:trPr>
          <w:trHeight w:val="277"/>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income from operations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7,853</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21,917</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-1508125</wp:posOffset>
            </wp:positionV>
            <wp:extent cx="768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-1508125</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-1508125</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Property and equipment additions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Engineered Systems segment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Industrial Process Solutions segment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and Other</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392</w:t>
            </w:r>
          </w:p>
        </w:tc>
        <w:tc>
          <w:tcPr>
            <w:tcW w:w="12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1,081</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330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50"/>
        </w:trPr>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508</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r>
      <w:tr>
        <w:trPr>
          <w:trHeight w:val="237"/>
        </w:trPr>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1,591</w:t>
            </w: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934</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r>
      <w:tr>
        <w:trPr>
          <w:trHeight w:val="20"/>
        </w:trPr>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94"/>
        </w:trPr>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-1002030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-685165</wp:posOffset>
            </wp:positionV>
            <wp:extent cx="713232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588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3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5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1,462</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1,398</w:t>
            </w: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3,948</w:t>
            </w: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5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r>
      <w:tr>
        <w:trPr>
          <w:trHeight w:val="277"/>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depreciation and amortization</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3,119</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8,769</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September 30, 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December 31, 2022</w:t>
            </w:r>
          </w:p>
        </w:tc>
        <w:tc>
          <w:tcPr>
            <w:tcW w:w="100" w:type="dxa"/>
            <w:vAlign w:val="bottom"/>
          </w:tcPr>
          <w:p>
            <w:pPr>
              <w:spacing w:after="0"/>
              <w:rPr>
                <w:sz w:val="16"/>
                <w:szCs w:val="16"/>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420,665</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332,820</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150,458</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line="24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21,443</w:t>
            </w:r>
          </w:p>
        </w:tc>
        <w:tc>
          <w:tcPr>
            <w:tcW w:w="100" w:type="dxa"/>
            <w:vAlign w:val="bottom"/>
          </w:tcPr>
          <w:p>
            <w:pPr>
              <w:spacing w:after="0"/>
              <w:rPr>
                <w:sz w:val="21"/>
                <w:szCs w:val="21"/>
                <w:color w:val="auto"/>
              </w:rPr>
            </w:pPr>
          </w:p>
        </w:tc>
      </w:tr>
      <w:tr>
        <w:trPr>
          <w:trHeight w:val="270"/>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identifiable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600,057</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504,721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and Other assets consist primarily of cash and income tax related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September 30, 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December 31, 2022</w:t>
            </w:r>
          </w:p>
        </w:tc>
        <w:tc>
          <w:tcPr>
            <w:tcW w:w="100" w:type="dxa"/>
            <w:vAlign w:val="bottom"/>
          </w:tcPr>
          <w:p>
            <w:pPr>
              <w:spacing w:after="0"/>
              <w:rPr>
                <w:sz w:val="16"/>
                <w:szCs w:val="16"/>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141,174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114,746</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68,651</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0"/>
              <w:spacing w:after="0"/>
              <w:rPr>
                <w:sz w:val="20"/>
                <w:szCs w:val="20"/>
                <w:color w:val="auto"/>
              </w:rPr>
            </w:pPr>
            <w:r>
              <w:rPr>
                <w:rFonts w:ascii="Arial" w:cs="Arial" w:eastAsia="Arial" w:hAnsi="Arial"/>
                <w:sz w:val="18"/>
                <w:szCs w:val="18"/>
                <w:color w:val="auto"/>
              </w:rPr>
              <w:t>Total 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209,825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183,197</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Intra-segment and Inter-segment Revenues</w:t>
      </w:r>
    </w:p>
    <w:p>
      <w:pPr>
        <w:spacing w:after="0" w:line="117"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Three months ended September 30, 2023</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2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79"/>
              <w:spacing w:after="0" w:line="160" w:lineRule="exact"/>
              <w:rPr>
                <w:sz w:val="20"/>
                <w:szCs w:val="20"/>
                <w:color w:val="auto"/>
              </w:rPr>
            </w:pPr>
            <w:r>
              <w:rPr>
                <w:rFonts w:ascii="Arial" w:cs="Arial" w:eastAsia="Arial" w:hAnsi="Arial"/>
                <w:sz w:val="14"/>
                <w:szCs w:val="14"/>
                <w:b w:val="1"/>
                <w:bCs w:val="1"/>
                <w:color w:val="auto"/>
                <w:w w:val="89"/>
              </w:rPr>
              <w:t>Net Sales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260"/>
              <w:spacing w:after="0"/>
              <w:rPr>
                <w:sz w:val="20"/>
                <w:szCs w:val="20"/>
                <w:color w:val="auto"/>
              </w:rPr>
            </w:pPr>
            <w:r>
              <w:rPr>
                <w:rFonts w:ascii="Arial" w:cs="Arial" w:eastAsia="Arial" w:hAnsi="Arial"/>
                <w:sz w:val="18"/>
                <w:szCs w:val="18"/>
                <w:color w:val="auto"/>
                <w:w w:val="86"/>
              </w:rPr>
              <w:t>114,605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(8,639 )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w w:val="87"/>
              </w:rPr>
              <w:t>49,264</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(5,231 )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260"/>
              <w:spacing w:after="0"/>
              <w:rPr>
                <w:sz w:val="20"/>
                <w:szCs w:val="20"/>
                <w:color w:val="auto"/>
              </w:rPr>
            </w:pPr>
            <w:r>
              <w:rPr>
                <w:rFonts w:ascii="Arial" w:cs="Arial" w:eastAsia="Arial" w:hAnsi="Arial"/>
                <w:sz w:val="18"/>
                <w:szCs w:val="18"/>
                <w:color w:val="auto"/>
                <w:w w:val="86"/>
              </w:rPr>
              <w:t>163,869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(13,870 )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Three months ended September 30, 2022</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2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79"/>
              <w:spacing w:after="0" w:line="160" w:lineRule="exact"/>
              <w:rPr>
                <w:sz w:val="20"/>
                <w:szCs w:val="20"/>
                <w:color w:val="auto"/>
              </w:rPr>
            </w:pPr>
            <w:r>
              <w:rPr>
                <w:rFonts w:ascii="Arial" w:cs="Arial" w:eastAsia="Arial" w:hAnsi="Arial"/>
                <w:sz w:val="14"/>
                <w:szCs w:val="14"/>
                <w:b w:val="1"/>
                <w:bCs w:val="1"/>
                <w:color w:val="auto"/>
                <w:w w:val="89"/>
              </w:rPr>
              <w:t>Net Sales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Sales</w:t>
            </w:r>
          </w:p>
        </w:tc>
        <w:tc>
          <w:tcPr>
            <w:tcW w:w="1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68,738</w:t>
            </w:r>
          </w:p>
        </w:tc>
        <w:tc>
          <w:tcPr>
            <w:tcW w:w="24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(2,904 )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65,630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44,079</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(1,126 )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112,817</w:t>
            </w:r>
          </w:p>
        </w:tc>
        <w:tc>
          <w:tcPr>
            <w:tcW w:w="24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(4,030 )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Nine months ended September 30, 2023</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2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79"/>
              <w:spacing w:after="0" w:line="160" w:lineRule="exact"/>
              <w:rPr>
                <w:sz w:val="20"/>
                <w:szCs w:val="20"/>
                <w:color w:val="auto"/>
              </w:rPr>
            </w:pPr>
            <w:r>
              <w:rPr>
                <w:rFonts w:ascii="Arial" w:cs="Arial" w:eastAsia="Arial" w:hAnsi="Arial"/>
                <w:sz w:val="14"/>
                <w:szCs w:val="14"/>
                <w:b w:val="1"/>
                <w:bCs w:val="1"/>
                <w:color w:val="auto"/>
                <w:w w:val="89"/>
              </w:rPr>
              <w:t>Net Sales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Sales</w:t>
            </w:r>
          </w:p>
        </w:tc>
        <w:tc>
          <w:tcPr>
            <w:tcW w:w="1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260"/>
              <w:spacing w:after="0"/>
              <w:rPr>
                <w:sz w:val="20"/>
                <w:szCs w:val="20"/>
                <w:color w:val="auto"/>
              </w:rPr>
            </w:pPr>
            <w:r>
              <w:rPr>
                <w:rFonts w:ascii="Arial" w:cs="Arial" w:eastAsia="Arial" w:hAnsi="Arial"/>
                <w:sz w:val="18"/>
                <w:szCs w:val="18"/>
                <w:color w:val="auto"/>
                <w:w w:val="86"/>
              </w:rPr>
              <w:t>286,575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(18,173 )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86"/>
              </w:rPr>
              <w:t>132,946</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(8,871 )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(457 )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260"/>
              <w:spacing w:after="0"/>
              <w:rPr>
                <w:sz w:val="20"/>
                <w:szCs w:val="20"/>
                <w:color w:val="auto"/>
              </w:rPr>
            </w:pPr>
            <w:r>
              <w:rPr>
                <w:rFonts w:ascii="Arial" w:cs="Arial" w:eastAsia="Arial" w:hAnsi="Arial"/>
                <w:sz w:val="18"/>
                <w:szCs w:val="18"/>
                <w:color w:val="auto"/>
                <w:w w:val="86"/>
              </w:rPr>
              <w:t>419,521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(27,044 )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Nine months ended September 30, 2022</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2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79"/>
              <w:spacing w:after="0" w:line="160" w:lineRule="exact"/>
              <w:rPr>
                <w:sz w:val="20"/>
                <w:szCs w:val="20"/>
                <w:color w:val="auto"/>
              </w:rPr>
            </w:pPr>
            <w:r>
              <w:rPr>
                <w:rFonts w:ascii="Arial" w:cs="Arial" w:eastAsia="Arial" w:hAnsi="Arial"/>
                <w:sz w:val="14"/>
                <w:szCs w:val="14"/>
                <w:b w:val="1"/>
                <w:bCs w:val="1"/>
                <w:color w:val="auto"/>
                <w:w w:val="89"/>
              </w:rPr>
              <w:t>Net Sales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260"/>
              <w:spacing w:after="0"/>
              <w:rPr>
                <w:sz w:val="20"/>
                <w:szCs w:val="20"/>
                <w:color w:val="auto"/>
              </w:rPr>
            </w:pPr>
            <w:r>
              <w:rPr>
                <w:rFonts w:ascii="Arial" w:cs="Arial" w:eastAsia="Arial" w:hAnsi="Arial"/>
                <w:sz w:val="18"/>
                <w:szCs w:val="18"/>
                <w:color w:val="auto"/>
                <w:w w:val="86"/>
              </w:rPr>
              <w:t>201,092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(10,693 )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86"/>
              </w:rPr>
              <w:t>121,122</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(4,468 )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(367 )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260"/>
              <w:spacing w:after="0"/>
              <w:rPr>
                <w:sz w:val="20"/>
                <w:szCs w:val="20"/>
                <w:color w:val="auto"/>
              </w:rPr>
            </w:pPr>
            <w:r>
              <w:rPr>
                <w:rFonts w:ascii="Arial" w:cs="Arial" w:eastAsia="Arial" w:hAnsi="Arial"/>
                <w:sz w:val="18"/>
                <w:szCs w:val="18"/>
                <w:color w:val="auto"/>
                <w:w w:val="86"/>
              </w:rPr>
              <w:t>322,214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(15,161 )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-5048250</wp:posOffset>
            </wp:positionV>
            <wp:extent cx="7747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-5048250</wp:posOffset>
            </wp:positionV>
            <wp:extent cx="7747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-5048250</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-5048250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-3556635</wp:posOffset>
            </wp:positionV>
            <wp:extent cx="7683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-3556635</wp:posOffset>
            </wp:positionV>
            <wp:extent cx="768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-3556635</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-3556635</wp:posOffset>
            </wp:positionV>
            <wp:extent cx="685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-2065020</wp:posOffset>
            </wp:positionV>
            <wp:extent cx="7683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-2065020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-2065020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-2065020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-685165</wp:posOffset>
            </wp:positionV>
            <wp:extent cx="7747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-685165</wp:posOffset>
            </wp:positionV>
            <wp:extent cx="7747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-685165</wp:posOffset>
            </wp:positionV>
            <wp:extent cx="685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-685165</wp:posOffset>
            </wp:positionV>
            <wp:extent cx="6858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 w:name="page23"/>
    <w:bookmarkEnd w:id="22"/>
    <w:p>
      <w:pPr>
        <w:jc w:val="center"/>
        <w:ind w:left="340" w:right="2480"/>
        <w:spacing w:after="0" w:line="263"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Condensed Consolidated Statements of Income for the three and nine months ended September 30, 2023 and 2022 reflect the consolidated operations of the Company and its subsidiaries.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senior management team monitors and manages the Company’s ability to operate effectively as the result of market pressures. In particular, we are currently experiencing challenges in obtaining certain raw materials and labor on a timely basis at a reasonable cost. We expect these supply chain challenges and cost impacts to continue for the foreseeable future. Although we have taken mitigating actions, including securing additional raw materials from existing and alternate suppliers, to minimize supply chain disruptions, we cannot guarantee that these efforts will continue to be successful. In this event, our business, results and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Income for the three and nine months ended September 30, 2023 and 2022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2"/>
              </w:rPr>
              <w:t>Three months ended September 30,</w:t>
            </w:r>
          </w:p>
        </w:tc>
        <w:tc>
          <w:tcPr>
            <w:tcW w:w="140" w:type="dxa"/>
            <w:vAlign w:val="bottom"/>
          </w:tcPr>
          <w:p>
            <w:pPr>
              <w:spacing w:after="0"/>
              <w:rPr>
                <w:sz w:val="19"/>
                <w:szCs w:val="19"/>
                <w:color w:val="auto"/>
              </w:rPr>
            </w:pPr>
          </w:p>
        </w:tc>
        <w:tc>
          <w:tcPr>
            <w:tcW w:w="2780" w:type="dxa"/>
            <w:vAlign w:val="bottom"/>
            <w:gridSpan w:val="6"/>
          </w:tcPr>
          <w:p>
            <w:pPr>
              <w:jc w:val="right"/>
              <w:ind w:right="36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27"/>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ratios)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260" w:type="dxa"/>
            <w:vAlign w:val="bottom"/>
          </w:tcPr>
          <w:p>
            <w:pPr>
              <w:ind w:left="200"/>
              <w:spacing w:after="0"/>
              <w:rPr>
                <w:sz w:val="20"/>
                <w:szCs w:val="20"/>
                <w:color w:val="auto"/>
              </w:rPr>
            </w:pPr>
            <w:r>
              <w:rPr>
                <w:rFonts w:ascii="Arial" w:cs="Arial" w:eastAsia="Arial" w:hAnsi="Arial"/>
                <w:sz w:val="16"/>
                <w:szCs w:val="16"/>
                <w:i w:val="1"/>
                <w:iCs w:val="1"/>
                <w:color w:val="auto"/>
              </w:rPr>
              <w:t>Percent of sales</w:t>
            </w: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28.8 %</w:t>
            </w: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29.9 %</w:t>
            </w: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30.1 %</w:t>
            </w: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i w:val="1"/>
                <w:iCs w:val="1"/>
                <w:color w:val="auto"/>
              </w:rPr>
              <w:t>29.6 %</w:t>
            </w:r>
          </w:p>
        </w:tc>
      </w:tr>
      <w:tr>
        <w:trPr>
          <w:trHeight w:val="23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260" w:type="dxa"/>
            <w:vAlign w:val="bottom"/>
          </w:tcPr>
          <w:p>
            <w:pPr>
              <w:ind w:left="200"/>
              <w:spacing w:after="0"/>
              <w:rPr>
                <w:sz w:val="20"/>
                <w:szCs w:val="20"/>
                <w:color w:val="auto"/>
              </w:rPr>
            </w:pPr>
            <w:r>
              <w:rPr>
                <w:rFonts w:ascii="Arial" w:cs="Arial" w:eastAsia="Arial" w:hAnsi="Arial"/>
                <w:sz w:val="16"/>
                <w:szCs w:val="16"/>
                <w:i w:val="1"/>
                <w:iCs w:val="1"/>
                <w:color w:val="auto"/>
              </w:rPr>
              <w:t>Percent of sales</w:t>
            </w: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20.3 %</w:t>
            </w: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23.2 %</w:t>
            </w: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22.0 %</w:t>
            </w: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i w:val="1"/>
                <w:iCs w:val="1"/>
                <w:color w:val="auto"/>
              </w:rPr>
              <w:t>21.8 %</w:t>
            </w:r>
          </w:p>
        </w:tc>
      </w:tr>
      <w:tr>
        <w:trPr>
          <w:trHeight w:val="23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and earnout expenses</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260" w:type="dxa"/>
            <w:vAlign w:val="bottom"/>
          </w:tcPr>
          <w:p>
            <w:pPr>
              <w:ind w:left="20"/>
              <w:spacing w:after="0"/>
              <w:rPr>
                <w:sz w:val="20"/>
                <w:szCs w:val="20"/>
                <w:color w:val="auto"/>
              </w:rPr>
            </w:pPr>
            <w:r>
              <w:rPr>
                <w:rFonts w:ascii="Arial" w:cs="Arial" w:eastAsia="Arial" w:hAnsi="Arial"/>
                <w:sz w:val="16"/>
                <w:szCs w:val="16"/>
                <w:color w:val="auto"/>
              </w:rPr>
              <w:t>Acquisition and integration expenses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Executive transition expenses</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5260" w:type="dxa"/>
            <w:vAlign w:val="bottom"/>
          </w:tcPr>
          <w:p>
            <w:pPr>
              <w:ind w:left="200"/>
              <w:spacing w:after="0"/>
              <w:rPr>
                <w:sz w:val="20"/>
                <w:szCs w:val="20"/>
                <w:color w:val="auto"/>
              </w:rPr>
            </w:pPr>
            <w:r>
              <w:rPr>
                <w:rFonts w:ascii="Arial" w:cs="Arial" w:eastAsia="Arial" w:hAnsi="Arial"/>
                <w:sz w:val="16"/>
                <w:szCs w:val="16"/>
                <w:i w:val="1"/>
                <w:iCs w:val="1"/>
                <w:color w:val="auto"/>
              </w:rPr>
              <w:t>Operating margin</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5.3 %</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2.6 %</w:t>
            </w: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5.6 %</w:t>
            </w: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i w:val="1"/>
                <w:iCs w:val="1"/>
                <w:color w:val="auto"/>
              </w:rPr>
              <w:t>4.5 %</w:t>
            </w:r>
          </w:p>
        </w:tc>
      </w:tr>
    </w:tbl>
    <w:p>
      <w:pPr>
        <w:spacing w:after="0" w:line="2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To compare operating performance between the three and nine months ended September 30, 2023 and 2022, the Company has adjusted GAAP operating income to exclude (1) amortization of intangible assets, earnout and retention expenses, (2) acquisition and integration expenses, which include legal, accounting, and other expenses, (3) executive transition expenses, including fees and expenses incurred in the search for and hiring of new executives and (4) restructuring expenses primarily relating to severance, facility exits, and associated legal expenses.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the reconciliation of GAAP operating income and GAAP operating margin to non-GAAP operating income and non-GAAP operating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ratios)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as reported in accordance with GAAP</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8"/>
                <w:szCs w:val="18"/>
                <w:i w:val="1"/>
                <w:iCs w:val="1"/>
                <w:color w:val="auto"/>
              </w:rPr>
              <w:t>Operating margin in accordance with GAAP</w:t>
            </w:r>
          </w:p>
        </w:tc>
        <w:tc>
          <w:tcPr>
            <w:tcW w:w="8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5.3 %</w:t>
            </w:r>
          </w:p>
        </w:tc>
        <w:tc>
          <w:tcPr>
            <w:tcW w:w="10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w w:val="86"/>
              </w:rPr>
              <w:t>2.6 %</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5.6 %</w:t>
            </w: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i w:val="1"/>
                <w:iCs w:val="1"/>
                <w:color w:val="auto"/>
              </w:rPr>
              <w:t>4.5 %</w:t>
            </w:r>
          </w:p>
        </w:tc>
      </w:tr>
      <w:tr>
        <w:trPr>
          <w:trHeight w:val="249"/>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and earnout expenses</w:t>
            </w:r>
          </w:p>
        </w:tc>
        <w:tc>
          <w:tcPr>
            <w:tcW w:w="8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Acquisition and integration expenses</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Executive transition expenses</w:t>
            </w:r>
          </w:p>
        </w:tc>
        <w:tc>
          <w:tcPr>
            <w:tcW w:w="8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Restructuring expenses</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operating income</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7.3</w:t>
            </w: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44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8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8.6 %</w:t>
            </w:r>
          </w:p>
        </w:tc>
        <w:tc>
          <w:tcPr>
            <w:tcW w:w="10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w w:val="86"/>
              </w:rPr>
              <w:t>6.7 %</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8.1 %</w:t>
            </w: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i w:val="1"/>
                <w:iCs w:val="1"/>
                <w:color w:val="auto"/>
              </w:rPr>
              <w:t>7.7 %</w:t>
            </w:r>
          </w:p>
        </w:tc>
      </w:tr>
    </w:tbl>
    <w:p>
      <w:pPr>
        <w:spacing w:after="0" w:line="21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Orders booked increased $43.8 million, or 43.1%, to $145.5 million during the three months ended September 30, 2023 compared with $101.7 million in the three months ended September 30, 2022. The increase is led by an increase of $22.4 million in our thermal acoustics business and $14.5 million in our separation, filtration and industrial water businesses. Of the $145.5 million in orders booked during the three months ended September 30, 2023, $17.1 million is attributable to acquisitions that have occurred during the preceding twelve month period.</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Orders booked increased $78.2 million, or 21%, to $454.4 million during the nine months ended September 30, 2023 compared with $376.2 million in the nine months ended September 30, 2022. The increase is led by increases of $25.7 million in our thermal acoustics business, $23.5 million in our separation, filtration and industrial water businesses and $21.8 million in our emissions management business. Of the $454.4 million in orders booked during the nine months ended September 30, 2023, $29.7 million is attributable to acquisitions that have occurred during the preceding twelve month period.</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sales for the three months ended September 30, 2023 increased $41.0 million, or 37.8%, to $149.4 million compared with $108.4 million for the three months ended September 30, 2022. The increase is broad-based, led by an increase of $26.3 million in our separation, filtration and industrial water businesses. Approximately 89%, or $133.6 million, of net sales for the three months ended September 30, 2023 is attributable to organic revenue, defined as revenue recorded subsequent to the twelve month period post-acquisition date.</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24" w:name="page25"/>
    <w:bookmarkEnd w:id="24"/>
    <w:p>
      <w:pPr>
        <w:ind w:right="140"/>
        <w:spacing w:after="0" w:line="259" w:lineRule="auto"/>
        <w:rPr>
          <w:sz w:val="20"/>
          <w:szCs w:val="20"/>
          <w:color w:val="auto"/>
        </w:rPr>
      </w:pPr>
      <w:r>
        <w:rPr>
          <w:rFonts w:ascii="Arial" w:cs="Arial" w:eastAsia="Arial" w:hAnsi="Arial"/>
          <w:sz w:val="18"/>
          <w:szCs w:val="18"/>
          <w:color w:val="auto"/>
        </w:rPr>
        <w:t>Net sales for the nine months ended September 30, 2023 increased $84.9 million, or 27.7%, to $391.1 million compared with $306.2 million for the nine months ended September 30, 2022. The increase is broad-based, led by increases of $54.1 million in separation, filtration, and industrial water businesses, and $14.9 million in our thermal acoustics business. Approximately 91% or $354.8 million, of net sales for the nine months ended September 30, 2023 is attributable to organic revenue.</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Gross profit increased $10.7 million, or 33.0%, to $43.1 million in the three months ended September 30, 2023 compared with $32.4 million in the three months ended September 30, 2022. The increase in gross profit is primarily attributable to higher organic sales as described above, operating performance and acquisitions of businesses with favorable margins. Gross profit as a percentage of sales decreased by 100 basis points to 28.8% in the three months ended September 30, 2023 compared with 29.9% in the three months ended September 30, 2022.</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Gross profit increased $27.3 million, or 30.2%, to $117.8 million in the nine months ended September 30, 2023 compared with $90.5 million in the nine months ended September 30, 2022. The increase in gross profit is primarily attributable to higher organic sales as described above, favorable project margin mix and acquisitions of businesses with favorable margins. Gross profit as a percentage of sales increased by 60 basis points to 30.2% in the nine months ended September 30, 2023 compared with 29.6% in the nine months ended September 30, 2022.</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Selling and administrative expenses were $30.3 million for the three months ended September 30, 2023 compared with $25.1 million for the three months ended September 30, 2022. The increase is primarily attributable to acquisitions during the prior and current year, and increased sales and engineering headcount to support our growth, execute against our backlog, and expand our global footprint.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Selling and administrative expenses were $86.1 million for the nine months ended September 30, 2023 compared with $66.8 million for the nine months ended September 30, 2022. The increase is primarily attributable to acquisitions during the prior and current year, a $2.5 million favorable insurance settlement in the prior year, and increased investments to support our growth and expand our global footprint.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earnout expense was $2.0 million for each of the three months ended September 30, 2023 and September 30, 2022.</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Amortization and earnout expense was $6.0 million for the nine months ended September 30, 2023 compared with $4.9 million for the nine months ended September 30, 2022. The increase in expense is attributable to an increase of $0.7 million in earnout expense and an increase of $0.4 million in definite lived asset amortization due to increased intangible assets attributable to current and prior year acquisitions.</w:t>
      </w:r>
    </w:p>
    <w:p>
      <w:pPr>
        <w:spacing w:after="0" w:line="16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Operating income increased $5.1 million to $7.9 million for the three months ended September 30, 2023 compared with operating income of $2.8 million for the three months ended September 30, 2022. The increase in operating income is primarily attributable to higher organic sales.</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income increased $8.2 million to $21.9 million for the nine months ended September 30, 2023 compared with operating income of $13.7 million for the nine months ended September 30, 2022. The increase in operating income is primarily attributable to higher organic sales.</w:t>
      </w:r>
    </w:p>
    <w:p>
      <w:pPr>
        <w:spacing w:after="0" w:line="1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Non-GAAP operating income was $12.8 million for the three months ended September 30, 2023 compared with $7.3 million for the three months ended September 30, 2022. Non-GAAP operating income as a percentage of sales increased 190 basis points to 8.6% for the three months ended September 30, 2023 from 6.7% for the three months ended September 30, 2022.</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Non-GAAP operating income was $31.7 million for the nine months ended September 30, 2023 compared with $23.7 million for the nine months ended September 30, 2022. Non-GAAP operating income as a percentage of sales increased 40 basis points to 8.1% for the three months ended September 30, 2023 from 7.7% for the nine months ended September 30, 2022.</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Interest expense increased to $3.3 million in the three months ended September 30, 2023 compared with interest expense of $1.6 million for the three months ended September 30, 2022. The increase in interest expense is primarily due to increased debt balances and rising interest rates.</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expense increased to $9.5 million in the nine months ended September 30, 2023 compared with interest expense of $3.5 million for the nine months ended September 30, 2022. The increase in interest expense is primarily due to increased debt balances and rising interest rates.</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Income tax expense was $0.6 million for the three months ended September 30, 2023 compared with income tax expense of $0.3 million for the three months ended September 30, 2022. Income tax expense was $1.6 million for the nine months 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September 30, 2023 compared with income tax expense of $3.3 million for the nine months ended September 30, 2022. The effective income tax rate for the three months ended September 30, 2023 was 13.6% compared with 12.7% for the three months ended September 30, 2022. The effective income tax rate for the nine months ended September 30, 2023 was 13.4% compared with 25.3% for the nine months ended September 30, 2022. The effective income tax rates for the three and nine months ended September 30, 2023 differ from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Net Sales (less intra- and inter-segment sales)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105,540</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65,630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267,516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189,938</w:t>
            </w:r>
          </w:p>
        </w:tc>
        <w:tc>
          <w:tcPr>
            <w:tcW w:w="100" w:type="dxa"/>
            <w:vAlign w:val="bottom"/>
          </w:tcPr>
          <w:p>
            <w:pPr>
              <w:spacing w:after="0"/>
              <w:rPr>
                <w:sz w:val="20"/>
                <w:szCs w:val="20"/>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149,390</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108,414</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391,134</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306,225</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4"/>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15,759</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8,991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39,601</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24,467</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14,847</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line="24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(1)</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(13,492 )</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(11,444 )</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(33,453 )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(25,591 )</w:t>
            </w:r>
          </w:p>
        </w:tc>
      </w:tr>
      <w:tr>
        <w:trPr>
          <w:trHeight w:val="270"/>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income from operations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7,853</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21,917</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-1508125</wp:posOffset>
            </wp:positionV>
            <wp:extent cx="7683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-1508125</wp:posOffset>
            </wp:positionV>
            <wp:extent cx="685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-1508125</wp:posOffset>
            </wp:positionV>
            <wp:extent cx="685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Engineered Systems segment net sales increased $39.9 million to $105.5 million for the three months ended September 30, 2023 compared with $65.6 million for the three months ended September 30, 2022. The increase is led by an increase of $26.3 million in separation, filtration, and industrial water businesses. Approximately 86%, or $90.2 million, of net sales for the three months ended September 30, 2023 is attributable to organic revenue.</w:t>
      </w:r>
    </w:p>
    <w:p>
      <w:pPr>
        <w:spacing w:after="0" w:line="14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Engineered Systems segment net sales increased $77.6 million to $267.5 million for the nine months ended September 30, 2023 compared with $189.9 million for the nine months ended September 30, 2022. The increase is led by an increase of $54.1 million in separation, filtration, and industrial water businesses. Approximately 87%, or $233.6 million, of net sales for the nine months ended September 30, 2023 is attributable to organic revenue.</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Operating income for the Engineered Systems segment increased $6.8 million to $15.8 million for the three months ended September 30, 2023 compared with $9.0 million for the three months ended September 30, 2022. The increase is primarily attributable to increased organic sales, partially offset by an increase in direct costs.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Operating income for the Engineered Systems segment increased $15.1 million to $39.6 million for the nine months ended September 30, 2023 compared with $24.5 million for the nine months ended September 30, 2022. The increase is primarily attributable to increased organic sales, partially offset by an increase in direct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Industrial Process Solutions segment net sales increased $1.1 million to $43.9 million for the three months ended September 30, 2023 compared with $42.8 million for the three months ended September 30, 2022. The entirety of the increase represents organic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60"/>
        <w:spacing w:after="0" w:line="311" w:lineRule="auto"/>
        <w:rPr>
          <w:sz w:val="20"/>
          <w:szCs w:val="20"/>
          <w:color w:val="auto"/>
        </w:rPr>
      </w:pPr>
      <w:r>
        <w:rPr>
          <w:rFonts w:ascii="Arial" w:cs="Arial" w:eastAsia="Arial" w:hAnsi="Arial"/>
          <w:sz w:val="16"/>
          <w:szCs w:val="16"/>
          <w:color w:val="auto"/>
        </w:rPr>
        <w:t>Our Industrial Process Solutions segment net sales increased $7.3 million to $123.6 million for the nine months ended September 30, 2023 compared with $116.3 million for the nine months ended September 30, 2022. The increase is primarily attributable to an increase of $4.8 million in our fluid handling business. Approximately 98%, or $121.1 million, of net sales for the nine months ended September 30, 2023 is attributable to organic revenue.</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income for the Industrial Process Solutions segment increased $0.4 million to $5.6 million for the three months ended September 30, 2023 compared with $5.2 million for the three months ended September 30, 2022. The increase is primarily attributable to increased sales, partially offset by an increase in direct costs.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income for the Industrial Process Solutions segment increased $1.0 million to $15.8 million for the nine months ended September 30, 2023 compared with $14.8 million for the nine months ended September 30, 2022. The increase is primarily attributable to increased sales, partially offset by an increase in direct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Operating expense for the Corporate and Other segment increased $2.1 million to $13.5 million for the three months ended September 30, 2023 compared with $11.4 million for the three months ended September 30, 2022. The increase is primarily attributable to investments made to support growth inclusive of acquisition and integration expenses, and inflationary increases for wages and services.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expense for the Corporate and Other segment increased $7.9 million to $33.5 million for the nine months ended September 30, 2023 compared with $25.6 million for the nine months ended September 30, 2022. The increase is primarily attributable to investments made to support growth inclusive of acquisition and integration expenses, inflationary increases for wages and services, and a favorable insurance settlement of $2.5 million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Backlog increased to $394.0 million as of September 30, 2023 from $311.7 million as of December 31, 2022, with $57.2 million, or 69.5%, due to organic growth.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customer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Company had working capital of $82.1 million, compared with $94.0 million at December 31, 2022. The ratio of current assets to current liabilities was 1.40 to 1.00 on September 30, 2023, as compared with a ratio of 1.64 to 1.00 on December 31, 2022. The decrease in the ratio was driven by timing of cash receipts and payments to suppliers.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September 30, 2023 and December 31, 2022, cash and cash equivalents totaled $47.6 million and $45.5 million, respectively. As of September 30, 2023 and December 31, 2022, $37.0 million and $31.7 million, respectively, of our cash and cash equivalents were held by certain non-United States subsidiaries, as well as being denominated in foreign currencies.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2022</w:t>
            </w:r>
          </w:p>
        </w:tc>
      </w:tr>
      <w:tr>
        <w:trPr>
          <w:trHeight w:val="20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Credit Facility (as defined below)</w:t>
            </w:r>
          </w:p>
        </w:tc>
        <w:tc>
          <w:tcPr>
            <w:tcW w:w="1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Term loan payable in quarterly principal installments of $550 through September 2023,</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$825 through September 2025 and $1,100 thereafter with balance due upon maturity in</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2026</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Term 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39,656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41,309</w:t>
            </w:r>
          </w:p>
        </w:tc>
        <w:tc>
          <w:tcPr>
            <w:tcW w:w="100" w:type="dxa"/>
            <w:vAlign w:val="bottom"/>
          </w:tcPr>
          <w:p>
            <w:pPr>
              <w:spacing w:after="0"/>
              <w:rPr>
                <w:sz w:val="20"/>
                <w:szCs w:val="20"/>
                <w:color w:val="auto"/>
              </w:rPr>
            </w:pPr>
          </w:p>
        </w:tc>
      </w:tr>
      <w:tr>
        <w:trPr>
          <w:trHeight w:val="249"/>
        </w:trPr>
        <w:tc>
          <w:tcPr>
            <w:tcW w:w="7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Total outstanding borrowings under the Credit Facility</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131,956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102,609</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joint venture term debt</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(1,089 )</w:t>
            </w: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(1,488 )</w:t>
            </w:r>
          </w:p>
        </w:tc>
      </w:tr>
      <w:tr>
        <w:trPr>
          <w:trHeight w:val="23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outstanding borrowings</w:t>
            </w:r>
          </w:p>
        </w:tc>
        <w:tc>
          <w:tcPr>
            <w:tcW w:w="1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139,999</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111,204</w:t>
            </w:r>
          </w:p>
        </w:tc>
        <w:tc>
          <w:tcPr>
            <w:tcW w:w="100" w:type="dxa"/>
            <w:vAlign w:val="bottom"/>
            <w:shd w:val="clear" w:color="auto" w:fill="CFF0FC"/>
          </w:tcPr>
          <w:p>
            <w:pPr>
              <w:spacing w:after="0"/>
              <w:rPr>
                <w:sz w:val="20"/>
                <w:szCs w:val="20"/>
                <w:color w:val="auto"/>
              </w:rPr>
            </w:pP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(4,726 )</w:t>
            </w:r>
          </w:p>
        </w:tc>
        <w:tc>
          <w:tcPr>
            <w:tcW w:w="1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(3,579 )</w:t>
            </w: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 less current portion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135,273</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-976630</wp:posOffset>
            </wp:positionV>
            <wp:extent cx="6858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September 30, 2023 and December 31, 2022, the Company was in compliance with all related financial and other restrictive covenants under the Credit Facility.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8 to the unaudited condensed consolidated financial statements within Item 1 of this Quarterly Report on Form 10-Q for further information on the Company’s debt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September 30, 2023</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2022</w:t>
            </w: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 revolving loans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Draw down</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(92.3 )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(61.3 )</w:t>
            </w:r>
          </w:p>
        </w:tc>
      </w:tr>
      <w:tr>
        <w:trPr>
          <w:trHeight w:val="243"/>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Letters of credit open</w:t>
            </w:r>
          </w:p>
        </w:tc>
        <w:tc>
          <w:tcPr>
            <w:tcW w:w="1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(18.9 )</w:t>
            </w:r>
          </w:p>
        </w:tc>
      </w:tr>
      <w:tr>
        <w:trPr>
          <w:trHeight w:val="236"/>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unused credit availability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 available based on borrowing limitations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27"/>
        </w:trPr>
        <w:tc>
          <w:tcPr>
            <w:tcW w:w="7320" w:type="dxa"/>
            <w:vAlign w:val="bottom"/>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19,696</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(53,613 )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(47,260 )</w:t>
            </w: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38,242</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(6,459 )</w:t>
            </w: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-1824990</wp:posOffset>
            </wp:positionV>
            <wp:extent cx="7683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-1482090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-1464945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nine months ended September 30, 2023, $29.5 million of cash was provided by operating activities compared with $19.7 million provided by operations in the prior year period, representing $9.8 million additional cash generated. Cash flow from operating activities in the first nine months of 2023 increased year-over-year primarily due to timing of costs and billings on uncompleted contracts, improved management of payments to suppliers, and the increase in net income compared to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2023, net cash used in investing activities was $53.6 million compared with $47.3 million used in investing activities in the prior year period. For the nine months ended September 30, 2023, the $53.6 million cash used in investing activities was the result of $48.1 million cash used for acquisitions as described in Note 15 to the unaudited condensed consolidated financial statements, and $5.5 million for the acquisition of property and equipment. In the prior year period, the $47.3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firstLine="45"/>
        <w:spacing w:after="0" w:line="277" w:lineRule="auto"/>
        <w:rPr>
          <w:sz w:val="20"/>
          <w:szCs w:val="20"/>
          <w:color w:val="auto"/>
        </w:rPr>
      </w:pPr>
      <w:r>
        <w:rPr>
          <w:rFonts w:ascii="Arial" w:cs="Arial" w:eastAsia="Arial" w:hAnsi="Arial"/>
          <w:sz w:val="18"/>
          <w:szCs w:val="18"/>
          <w:color w:val="auto"/>
        </w:rPr>
        <w:t>million cash used in investing activities was the result of $44.9 million used for acquisitions as described in Note 15 and $2.4 million for the acquisition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nine months ended September 30, 2023, $25.2 million was provided by financing activities compared with $38.2 million provided by financing activities in the prior year period, for a decrease of $13.0 million. For the nine months ended September 30, 2023, the Company used $31.0 million for net borrowings on the Company’s revolving credit lines, primarily used to finance current year acquisitions, $2.5 million in repayment on long-term debt, $1.2 million on deferred payments for acquisitions, $1.5 million on earnout payments, and $1.4 million on distributions to the noncontrolling interest. The Company also received $1.4 million of proceeds from the exercise of stock options and the employee stock purchase plan. In the prior year period, the Company used $37.7 million for net borrowings on the Company’s revolving credit lines and $8.7 million for net borrowings on long-term debt, primarily used to finance acquisitions, as well as $6.6 million on common stock repurchases and $1.2 million on distributions to the noncontrolling interest.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Management believes there have been no changes during the nine months ended September 30, 2023 to the items that the Company disclosed as its critical accounting policies and estimates in Management’s Discussion and Analysis of Financial Condition and Results of Operations in the Company’s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2022, and include, but are not limited to:</w:t>
      </w:r>
    </w:p>
    <w:p>
      <w:pPr>
        <w:spacing w:after="0" w:line="185"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sensitivity of our business to economic and financial market conditions generally and economic conditions in CECO’s service areas;</w:t>
      </w:r>
    </w:p>
    <w:p>
      <w:pPr>
        <w:spacing w:after="0" w:line="128" w:lineRule="exact"/>
        <w:rPr>
          <w:rFonts w:ascii="Arial" w:cs="Arial" w:eastAsia="Arial" w:hAnsi="Arial"/>
          <w:sz w:val="17"/>
          <w:szCs w:val="17"/>
          <w:color w:val="auto"/>
        </w:rPr>
      </w:pPr>
    </w:p>
    <w:p>
      <w:pPr>
        <w:ind w:left="760" w:right="6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growth on CECO’s infrastructure, resources and existing sales;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expand operations in both new and existing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contract delay or cancellation as a result of on-going or worsening supply chain challenges;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liabilities arising from faulty services or products that could result in significant professional or product liability, warranty or other claims;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9" w:name="page30"/>
    <w:bookmarkEnd w:id="29"/>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117" w:lineRule="exact"/>
        <w:rPr>
          <w:rFonts w:ascii="Arial" w:cs="Arial" w:eastAsia="Arial" w:hAnsi="Arial"/>
          <w:sz w:val="18"/>
          <w:szCs w:val="18"/>
          <w:color w:val="auto"/>
        </w:rPr>
      </w:pPr>
    </w:p>
    <w:p>
      <w:pPr>
        <w:ind w:left="760" w:right="5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fluctuations in prices for manufactured components and raw materials, including as a result of tariffs and surcharges, and rising energy costs;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inflationary pressures relating to rising raw material costs and the cost of labor;</w:t>
      </w:r>
    </w:p>
    <w:p>
      <w:pPr>
        <w:spacing w:after="0" w:line="117"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repurchase shares of our common stock and the amounts and timing of repurchases,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realize the expected benefits of our restructuring program;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political conditions generally;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 realize the synergies from strategic transactions;</w:t>
      </w:r>
    </w:p>
    <w:p>
      <w:pPr>
        <w:spacing w:after="0" w:line="117"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cybersecurity threats, acts of terrorism or outbreak of war or hostilities or public health crises, as well as management’s response to any of the aforementioned factors; and</w:t>
      </w:r>
    </w:p>
    <w:p>
      <w:pPr>
        <w:spacing w:after="0" w:line="62"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remediate our material weaknesses, or any other material weakness that we may identify in the future that could result in material misstatements in our financial statements.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carrying value of the Company’s total long-term debt and current maturities of long-term debt at September 30, 2023 was $141.1 million. Market risk was estimated as the potential decrease (increase) in future earnings and cash flows resulting from a hypothetical 10% increase (decrease) in the Company’s estimated weighted average borrowing rate at September 30, 2023. Most of the interest on the Company’s debt is indexed to SOFR market rates. The estimated annual impact of a hypothetical 10% change in the estimated weighted average borrowing rate at September 30, 2023 is $1.1 million.</w:t>
      </w:r>
    </w:p>
    <w:p>
      <w:pPr>
        <w:spacing w:after="0" w:line="15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has wholly-owned subsidiaries in several countries, including in the Netherlands, Canada, the People’s Republic of China, Mexico, United Kingdom, Singapore, India, United Arab Emirates and South Korea. In the past, we have not hedged our foreign currency exposure, and fluctuations in exchange rates have not materially affected our operating results. Future changes in exchange rates may positively or negatively impact our revenues, operating expenses and earnings. Transaction (losses) gains included in “Other (expense) income, net” line of the Condensed Consolidated Statements of Income were $(0.6) million and $(3.6) million for the three months ended September 30, 2023 and 2022, respectively, and $0.2 million and $(4.9) million for the nine months ended September 30, 2023 and 2022,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not effective as of September 30, 2023, as the result of the material weaknesses in our internal control over financial reporting discussed below, which are currently being remediated.</w:t>
      </w:r>
    </w:p>
    <w:p>
      <w:pPr>
        <w:spacing w:after="0" w:line="18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Notwithstanding these material weaknesses, 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previously reported, we identified a material weakness in internal control over financial reporting for the first quarter ended March 31, 2023 relating to management’s review of its revenue recognition for contracts recognized over time isolated to our Engineered Systems segment. Specifically, for the quarter ended March 31, 2023, management did not retain appropriate documentation supporting the review of over time revenue recognition for customer contracts within the Engineered Systems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Reconciliations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connection with our evaluation as of September 30, 2023, we identified a material weakness in internal control over financial reporting relating to management’s review of balance sheet reconciliations for certain divisions within our Engineered Systems segment. Specifically, management did not review the reconciliations prepared for balance sheet accounts for certain divisions within the Engineered Systems segment as required by Company policy.</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These material weaknesses did not result in any material misstatement in our interim financial statements or disclosures, and there were no changes required to any of our previously released interim or audited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Management is committed to maintaining a strong internal control environment. In response to the identified material weakness, management, with the oversight of the Audit Committee of the Board of Directors, has taken actions toward the remediation of the material weaknesses in internal control over financial reporting, including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September 30, 2023, these remediation efforts are ongoing.</w:t>
      </w:r>
    </w:p>
    <w:p>
      <w:pPr>
        <w:spacing w:after="0" w:line="17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anticipates the actions described above and resulting improvements in controls will strengthen the Company’s processes, procedures and controls related to management’s review of over time revenue recognition and balance sheet reconciliations and will address the related material weaknesses. However, the material weaknesses cannot be considered remediated until the applicable control has operated for a sufficient period of time, and management has concluded, through testing, that the control is operating effectively.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than the material weaknesses described above and the ongoing remediation of such material weaknesses, there were no changes in the Company’s internal control over financial reporting (as defined in Rule 13a-15(f) of the Exchange Act) during the quarter 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September 30, 2023 that materially affected, or are reasonably likely to materially affect, the Company’s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See Note 14 to the unaudited Condensed Consolidated Financial Statements contained in Part I, Item 1 of this Quarterly Report on Form 10-Q for information regarding legal proceedings in which the Company is involved.</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risk factors that were disclosed in “Part I – Item 1A. Risk Factors” of the Company's Annual Report on Form 10-K for the year ended December 31, 2022 are hereby supplemented to include the following:</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develop and maintain adequate internal controls, we may not be able to accurately report our financial results in a timely manner, which may adversely affect investor confidence in us and materially and adversely affect our business.</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continue to devote substantial time and resources to the documentation and testing of our controls, and to plan for and the implementation of remedial efforts in those instances where remediation is indicated.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disclosed in Item 4. “Controls and Procedures” in this Quarterly Report on Form 10-Q, we have material weaknesses in our control environment with regard to management’s review of revenue recognition for contracts and balance sheet reconciliations. These material weaknesses could result in a misstatement of account balances or disclosures that would result in a material misstatement to the annual or interim financial statements that would not be prevented or detected.</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To address these material weaknesses, we have developed a remediation plan that includes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September 30, 2023, these remediation efforts are ongoing.</w:t>
      </w:r>
    </w:p>
    <w:p>
      <w:pPr>
        <w:spacing w:after="0" w:line="14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Until these material weaknesses are remediated, we plan to continue to perform additional analyses and other procedures to ensure that our consolidated financial statements are prepared in accordance with GAAP.</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continue to have material weaknesses in our internal controls, or, if we fail to develop and maintain adequate internal controls in the future, including remediating any material weaknesses or deficiencies in our internal controls,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our purchases of the Company's equity securities for the three months ended September 30, 2023: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br w:type="column"/>
      </w:r>
    </w:p>
    <w:p>
      <w:pPr>
        <w:ind w:left="1780"/>
        <w:spacing w:after="0"/>
        <w:rPr>
          <w:sz w:val="20"/>
          <w:szCs w:val="20"/>
          <w:color w:val="auto"/>
        </w:rPr>
      </w:pPr>
      <w:r>
        <w:rPr>
          <w:rFonts w:ascii="Arial" w:cs="Arial" w:eastAsia="Arial" w:hAnsi="Arial"/>
          <w:sz w:val="14"/>
          <w:szCs w:val="14"/>
          <w:b w:val="1"/>
          <w:bCs w:val="1"/>
          <w:color w:val="auto"/>
        </w:rPr>
        <w:t>Issuer's Purchases of Equity Securities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380" w:type="dxa"/>
            <w:vAlign w:val="bottom"/>
            <w:tcBorders>
              <w:top w:val="single" w:sz="8" w:color="auto"/>
            </w:tcBorders>
          </w:tcPr>
          <w:p>
            <w:pPr>
              <w:jc w:val="center"/>
              <w:ind w:left="8"/>
              <w:spacing w:after="0" w:line="133"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3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8"/>
        </w:trPr>
        <w:tc>
          <w:tcPr>
            <w:tcW w:w="1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Total Number of</w:t>
            </w:r>
          </w:p>
        </w:tc>
        <w:tc>
          <w:tcPr>
            <w:tcW w:w="15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1"/>
              </w:rPr>
              <w:t>Average Price Paid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3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15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Announced Plans or</w:t>
            </w:r>
          </w:p>
        </w:tc>
        <w:tc>
          <w:tcPr>
            <w:tcW w:w="138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Shares Purchased </w:t>
            </w:r>
            <w:r>
              <w:rPr>
                <w:rFonts w:ascii="Arial" w:cs="Arial" w:eastAsia="Arial" w:hAnsi="Arial"/>
                <w:sz w:val="19"/>
                <w:szCs w:val="19"/>
                <w:b w:val="1"/>
                <w:bCs w:val="1"/>
                <w:color w:val="auto"/>
                <w:w w:val="87"/>
                <w:vertAlign w:val="superscript"/>
              </w:rPr>
              <w:t>1</w:t>
            </w:r>
          </w:p>
        </w:tc>
        <w:tc>
          <w:tcPr>
            <w:tcW w:w="152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38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460" w:space="720"/>
            <w:col w:w="6060"/>
          </w:cols>
          <w:pgMar w:left="320" w:top="346"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5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2023 - July 31, 2023</w:t>
            </w:r>
          </w:p>
        </w:tc>
        <w:tc>
          <w:tcPr>
            <w:tcW w:w="148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ind w:left="11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FF0FC"/>
          </w:tcPr>
          <w:p>
            <w:pPr>
              <w:spacing w:after="0"/>
              <w:rPr>
                <w:sz w:val="18"/>
                <w:szCs w:val="18"/>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August 1, 2023 - August 31, 2023</w:t>
            </w: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94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0"/>
                <w:szCs w:val="20"/>
                <w:color w:val="auto"/>
              </w:rPr>
            </w:pPr>
          </w:p>
        </w:tc>
      </w:tr>
      <w:tr>
        <w:trPr>
          <w:trHeight w:val="24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2023 - September 30, 2023</w:t>
            </w:r>
          </w:p>
        </w:tc>
        <w:tc>
          <w:tcPr>
            <w:tcW w:w="148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gridSpan w:val="2"/>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180" w:type="dxa"/>
            <w:vAlign w:val="bottom"/>
          </w:tcPr>
          <w:p>
            <w:pPr>
              <w:ind w:left="200"/>
              <w:spacing w:after="0"/>
              <w:rPr>
                <w:sz w:val="20"/>
                <w:szCs w:val="20"/>
                <w:color w:val="auto"/>
              </w:rPr>
            </w:pPr>
            <w:r>
              <w:rPr>
                <w:rFonts w:ascii="Arial" w:cs="Arial" w:eastAsia="Arial" w:hAnsi="Arial"/>
                <w:sz w:val="18"/>
                <w:szCs w:val="18"/>
                <w:color w:val="auto"/>
              </w:rPr>
              <w:t>Total</w:t>
            </w: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94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-187960</wp:posOffset>
            </wp:positionV>
            <wp:extent cx="7747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14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May 10, 2022, the Board of Directors authorized a $20.0 million share repurchase program as described within Note 9 to the unaudited Condensed Consolidated Financial Statements. The program expires on April 30, 2025.</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12"/>
          </w:tcPr>
          <w:p>
            <w:pPr>
              <w:spacing w:after="0"/>
              <w:rPr>
                <w:sz w:val="20"/>
                <w:szCs w:val="20"/>
                <w:color w:val="auto"/>
              </w:rPr>
            </w:pPr>
            <w:r>
              <w:rPr>
                <w:rFonts w:ascii="Arial" w:cs="Arial" w:eastAsia="Arial" w:hAnsi="Arial"/>
                <w:sz w:val="18"/>
                <w:szCs w:val="18"/>
                <w:color w:val="0000FF"/>
              </w:rPr>
              <w:t>Separation Agreement, dated as of August 21, 2023, by and between CECO Environmental Corp. and Ramesh Nuggihalli</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gridSpan w:val="12"/>
          </w:tcPr>
          <w:p>
            <w:pPr>
              <w:spacing w:after="0"/>
              <w:rPr>
                <w:sz w:val="20"/>
                <w:szCs w:val="20"/>
                <w:color w:val="auto"/>
              </w:rPr>
            </w:pPr>
            <w:r>
              <w:rPr>
                <w:rFonts w:ascii="Arial" w:cs="Arial" w:eastAsia="Arial" w:hAnsi="Arial"/>
                <w:sz w:val="18"/>
                <w:szCs w:val="18"/>
                <w:color w:val="0000FF"/>
              </w:rPr>
              <w:t>Separation Agreement, dated as of September 1, 2023, by and between CECO Environmental Corp. and Paul Gohr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gridSpan w:val="12"/>
          </w:tcPr>
          <w:p>
            <w:pPr>
              <w:spacing w:after="0"/>
              <w:rPr>
                <w:rFonts w:ascii="Arial" w:cs="Arial" w:eastAsia="Arial" w:hAnsi="Arial"/>
                <w:sz w:val="18"/>
                <w:szCs w:val="18"/>
                <w:color w:val="0000FF"/>
                <w:w w:val="91"/>
              </w:rPr>
            </w:pPr>
            <w:hyperlink r:id="rId300">
              <w:r>
                <w:rPr>
                  <w:rFonts w:ascii="Arial" w:cs="Arial" w:eastAsia="Arial" w:hAnsi="Arial"/>
                  <w:sz w:val="18"/>
                  <w:szCs w:val="18"/>
                  <w:color w:val="0000FF"/>
                  <w:w w:val="91"/>
                </w:rPr>
                <w:t>Equity Award Agreement between the Company and Peter Johansson, dated September 29, 2023 (incorporated by reference to Exhibit</w:t>
              </w:r>
            </w:hyperlink>
          </w:p>
        </w:tc>
      </w:tr>
      <w:tr>
        <w:trPr>
          <w:trHeight w:val="20"/>
        </w:trPr>
        <w:tc>
          <w:tcPr>
            <w:tcW w:w="1160" w:type="dxa"/>
            <w:vAlign w:val="bottom"/>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300">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with the SEC on October 5,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12"/>
          </w:tcPr>
          <w:p>
            <w:pPr>
              <w:spacing w:after="0"/>
              <w:rPr>
                <w:rFonts w:ascii="Arial" w:cs="Arial" w:eastAsia="Arial" w:hAnsi="Arial"/>
                <w:sz w:val="18"/>
                <w:szCs w:val="18"/>
                <w:color w:val="0000FF"/>
                <w:w w:val="90"/>
              </w:rPr>
            </w:pPr>
            <w:hyperlink r:id="rId301">
              <w:r>
                <w:rPr>
                  <w:rFonts w:ascii="Arial" w:cs="Arial" w:eastAsia="Arial" w:hAnsi="Arial"/>
                  <w:sz w:val="18"/>
                  <w:szCs w:val="18"/>
                  <w:color w:val="0000FF"/>
                  <w:w w:val="90"/>
                </w:rPr>
                <w:t>Equity Award Agreement between the Company and Joycelynn Watkins-Asiyanbi, dated September 29, 2023 (incorporated by reference</w:t>
              </w:r>
            </w:hyperlink>
          </w:p>
        </w:tc>
      </w:tr>
      <w:tr>
        <w:trPr>
          <w:trHeight w:val="20"/>
        </w:trPr>
        <w:tc>
          <w:tcPr>
            <w:tcW w:w="1160" w:type="dxa"/>
            <w:vAlign w:val="bottom"/>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301">
              <w:r>
                <w:rPr>
                  <w:rFonts w:ascii="Arial" w:cs="Arial" w:eastAsia="Arial" w:hAnsi="Arial"/>
                  <w:sz w:val="18"/>
                  <w:szCs w:val="18"/>
                  <w:color w:val="0000FF"/>
                </w:rPr>
                <w:t>to Exhibit 10.2 to the Company’s Current Report on Form 8-K filed with the SEC on October 5,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gridSpan w:val="12"/>
          </w:tcPr>
          <w:p>
            <w:pPr>
              <w:spacing w:after="0"/>
              <w:rPr>
                <w:rFonts w:ascii="Arial" w:cs="Arial" w:eastAsia="Arial" w:hAnsi="Arial"/>
                <w:sz w:val="18"/>
                <w:szCs w:val="18"/>
                <w:color w:val="0000FF"/>
                <w:w w:val="91"/>
              </w:rPr>
            </w:pPr>
            <w:hyperlink r:id="rId302">
              <w:r>
                <w:rPr>
                  <w:rFonts w:ascii="Arial" w:cs="Arial" w:eastAsia="Arial" w:hAnsi="Arial"/>
                  <w:sz w:val="18"/>
                  <w:szCs w:val="18"/>
                  <w:color w:val="0000FF"/>
                  <w:w w:val="91"/>
                </w:rPr>
                <w:t>Letter agreement with Todd Gleason, dated July 5, 2023 (incorporated by reference to Exhibit 10.1 to the Company’s Current Report on</w:t>
              </w:r>
            </w:hyperlink>
          </w:p>
        </w:tc>
      </w:tr>
      <w:tr>
        <w:trPr>
          <w:trHeight w:val="20"/>
        </w:trPr>
        <w:tc>
          <w:tcPr>
            <w:tcW w:w="1160" w:type="dxa"/>
            <w:vAlign w:val="bottom"/>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302">
              <w:r>
                <w:rPr>
                  <w:rFonts w:ascii="Arial" w:cs="Arial" w:eastAsia="Arial" w:hAnsi="Arial"/>
                  <w:sz w:val="18"/>
                  <w:szCs w:val="18"/>
                  <w:color w:val="0000FF"/>
                </w:rPr>
                <w:t>Form 8-K filed with the SEC on July 11,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gridSpan w:val="12"/>
          </w:tcPr>
          <w:p>
            <w:pPr>
              <w:spacing w:after="0"/>
              <w:rPr>
                <w:rFonts w:ascii="Arial" w:cs="Arial" w:eastAsia="Arial" w:hAnsi="Arial"/>
                <w:sz w:val="18"/>
                <w:szCs w:val="18"/>
                <w:color w:val="0000FF"/>
                <w:w w:val="91"/>
              </w:rPr>
            </w:pPr>
            <w:hyperlink r:id="rId303">
              <w:r>
                <w:rPr>
                  <w:rFonts w:ascii="Arial" w:cs="Arial" w:eastAsia="Arial" w:hAnsi="Arial"/>
                  <w:sz w:val="18"/>
                  <w:szCs w:val="18"/>
                  <w:color w:val="0000FF"/>
                  <w:w w:val="91"/>
                </w:rPr>
                <w:t>Equity award agreement between the Company and Todd Gleason, dated July 5, 2023 (incorporated by reference to Exhibit 10.2 to the</w:t>
              </w:r>
            </w:hyperlink>
          </w:p>
        </w:tc>
      </w:tr>
      <w:tr>
        <w:trPr>
          <w:trHeight w:val="20"/>
        </w:trPr>
        <w:tc>
          <w:tcPr>
            <w:tcW w:w="1160" w:type="dxa"/>
            <w:vAlign w:val="bottom"/>
          </w:tcPr>
          <w:p>
            <w:pPr>
              <w:spacing w:after="0" w:line="20" w:lineRule="exact"/>
              <w:rPr>
                <w:sz w:val="1"/>
                <w:szCs w:val="1"/>
                <w:color w:val="auto"/>
              </w:rPr>
            </w:pPr>
          </w:p>
        </w:tc>
        <w:tc>
          <w:tcPr>
            <w:tcW w:w="4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303">
              <w:r>
                <w:rPr>
                  <w:rFonts w:ascii="Arial" w:cs="Arial" w:eastAsia="Arial" w:hAnsi="Arial"/>
                  <w:sz w:val="18"/>
                  <w:szCs w:val="18"/>
                  <w:color w:val="0000FF"/>
                </w:rPr>
                <w:t>Company’s Current Report on Form 8-K filed with the SEC on July 11,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gridSpan w:val="12"/>
          </w:tcPr>
          <w:p>
            <w:pPr>
              <w:spacing w:after="0"/>
              <w:rPr>
                <w:rFonts w:ascii="Arial" w:cs="Arial" w:eastAsia="Arial" w:hAnsi="Arial"/>
                <w:sz w:val="18"/>
                <w:szCs w:val="18"/>
                <w:color w:val="0000FF"/>
                <w:w w:val="91"/>
              </w:rPr>
            </w:pPr>
            <w:hyperlink r:id="rId304">
              <w:r>
                <w:rPr>
                  <w:rFonts w:ascii="Arial" w:cs="Arial" w:eastAsia="Arial" w:hAnsi="Arial"/>
                  <w:sz w:val="18"/>
                  <w:szCs w:val="18"/>
                  <w:color w:val="0000FF"/>
                  <w:w w:val="91"/>
                </w:rPr>
                <w:t>CECO Environmental Corp. Executive Change in Control and Severance Plan, as amended and restated July 6, 2023 (incorporated by</w:t>
              </w:r>
            </w:hyperlink>
          </w:p>
        </w:tc>
      </w:tr>
      <w:tr>
        <w:trPr>
          <w:trHeight w:val="20"/>
        </w:trPr>
        <w:tc>
          <w:tcPr>
            <w:tcW w:w="1160" w:type="dxa"/>
            <w:vAlign w:val="bottom"/>
          </w:tcPr>
          <w:p>
            <w:pPr>
              <w:spacing w:after="0" w:line="20" w:lineRule="exact"/>
              <w:rPr>
                <w:sz w:val="1"/>
                <w:szCs w:val="1"/>
                <w:color w:val="auto"/>
              </w:rPr>
            </w:pPr>
          </w:p>
        </w:tc>
        <w:tc>
          <w:tcPr>
            <w:tcW w:w="4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380" w:type="dxa"/>
            <w:vAlign w:val="bottom"/>
            <w:tcBorders>
              <w:left w:val="single" w:sz="8" w:color="0000FF"/>
            </w:tcBorders>
            <w:gridSpan w:val="4"/>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304">
              <w:r>
                <w:rPr>
                  <w:rFonts w:ascii="Arial" w:cs="Arial" w:eastAsia="Arial" w:hAnsi="Arial"/>
                  <w:sz w:val="18"/>
                  <w:szCs w:val="18"/>
                  <w:color w:val="0000FF"/>
                </w:rPr>
                <w:t>reference to Exhibit 10.3 to the Company’s Current Report on Form 8-K filed with the SEC on July 11,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380" w:type="dxa"/>
            <w:vAlign w:val="bottom"/>
            <w:tcBorders>
              <w:left w:val="single" w:sz="8" w:color="0000FF"/>
            </w:tcBorders>
            <w:gridSpan w:val="4"/>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12"/>
          </w:tcPr>
          <w:p>
            <w:pPr>
              <w:spacing w:after="0"/>
              <w:rPr>
                <w:sz w:val="20"/>
                <w:szCs w:val="20"/>
                <w:color w:val="auto"/>
              </w:rPr>
            </w:pPr>
            <w:r>
              <w:rPr>
                <w:rFonts w:ascii="Arial" w:cs="Arial" w:eastAsia="Arial" w:hAnsi="Arial"/>
                <w:sz w:val="18"/>
                <w:szCs w:val="18"/>
                <w:color w:val="0000FF"/>
              </w:rPr>
              <w:t>Rule 13(a)/15d-14(a) Certification by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12"/>
          </w:tcPr>
          <w:p>
            <w:pPr>
              <w:spacing w:after="0"/>
              <w:rPr>
                <w:sz w:val="20"/>
                <w:szCs w:val="20"/>
                <w:color w:val="auto"/>
              </w:rPr>
            </w:pPr>
            <w:r>
              <w:rPr>
                <w:rFonts w:ascii="Arial" w:cs="Arial" w:eastAsia="Arial" w:hAnsi="Arial"/>
                <w:sz w:val="18"/>
                <w:szCs w:val="18"/>
                <w:color w:val="0000FF"/>
              </w:rPr>
              <w:t>Rule 13(a)/15d-14(a) Certification by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(18 U.S. Section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360" w:type="dxa"/>
            <w:vAlign w:val="bottom"/>
            <w:tcBorders>
              <w:left w:val="single" w:sz="8" w:color="0000FF"/>
            </w:tcBorders>
            <w:gridSpan w:val="9"/>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12"/>
          </w:tcPr>
          <w:p>
            <w:pPr>
              <w:spacing w:after="0"/>
              <w:rPr>
                <w:sz w:val="20"/>
                <w:szCs w:val="20"/>
                <w:color w:val="auto"/>
              </w:rPr>
            </w:pPr>
            <w:r>
              <w:rPr>
                <w:rFonts w:ascii="Arial" w:cs="Arial" w:eastAsia="Arial" w:hAnsi="Arial"/>
                <w:sz w:val="18"/>
                <w:szCs w:val="18"/>
                <w:color w:val="0000FF"/>
              </w:rPr>
              <w:t>Certification of Chief Financial Officer (18 U.S. Section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61" w:lineRule="exact"/>
        <w:rPr>
          <w:sz w:val="20"/>
          <w:szCs w:val="20"/>
          <w:color w:val="auto"/>
        </w:rPr>
      </w:pPr>
    </w:p>
    <w:p>
      <w:pPr>
        <w:ind w:left="1220" w:hanging="1138"/>
        <w:spacing w:after="0"/>
        <w:tabs>
          <w:tab w:leader="none" w:pos="1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6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Kiril Kovachev</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Accounting Officer</w:t>
      </w:r>
    </w:p>
    <w:p>
      <w:pPr>
        <w:spacing w:after="0" w:line="24"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EXECUTIVE SEPARATION AGREEMENT AND RELEASE</w:t>
      </w:r>
    </w:p>
    <w:p>
      <w:pPr>
        <w:spacing w:after="0" w:line="212"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THIS EXECUTIVE SEPARATION AGREEMENT AND RELEASE (the “Agreement”) by and between CECO Environmental Corp. (the “Company”) and Ramesh Nuggihalli (the “Executive”) as of August 21, 2023.</w:t>
      </w:r>
    </w:p>
    <w:p>
      <w:pPr>
        <w:spacing w:after="0" w:line="15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WHEREAS, the Company has decided to terminate the Executive’s employment as the Company’s Chief Operating Officer, and the Company and the Executive have mutually agreed to the following satisfactory severance arrangements.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NOW, THEREFORE, in consideration of this mutual Agreement, the Company and the Executive hereby agree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both"/>
        <w:ind w:firstLine="757"/>
        <w:spacing w:after="0" w:line="245" w:lineRule="auto"/>
        <w:tabs>
          <w:tab w:leader="none" w:pos="1018"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Departure</w:t>
      </w:r>
      <w:r>
        <w:rPr>
          <w:rFonts w:ascii="Arial" w:cs="Arial" w:eastAsia="Arial" w:hAnsi="Arial"/>
          <w:sz w:val="21"/>
          <w:szCs w:val="21"/>
          <w:color w:val="auto"/>
        </w:rPr>
        <w:t>. Executive’s duties as Chief Operating Officer shall conclude on August 20, 2023 (the “Departure Date”) and Executive’s employment with the Company shall cease on the Departure Date. The Company notified Executive via written notice of his Departure Date forty-five days in advance of the Departure Date on July 6, 2023 and, accordingly, shall be deemed to have satisfied the notice requirements for a termination of the Executive’s employment to be effective as of the Departure Date under Section 4(a) of the Company’s Executive Change in Control Severance Plan (the “Plan”) with effective date July 6, 2023 (a copy attached hereto) in which the Executive is a Participant (as defined in the Plan). Executive shall be paid for any earned wages through the Departure Date without regard to whether Executive signs this Agreement within six days of the Departure Date or on the next payroll cycle after the Departure Date, whichever is earlier. Executive was not enrolled in Company benefits at time of Departure Date.</w:t>
      </w:r>
    </w:p>
    <w:p>
      <w:pPr>
        <w:spacing w:after="0" w:line="184" w:lineRule="exact"/>
        <w:rPr>
          <w:rFonts w:ascii="Arial" w:cs="Arial" w:eastAsia="Arial" w:hAnsi="Arial"/>
          <w:sz w:val="21"/>
          <w:szCs w:val="21"/>
          <w:color w:val="auto"/>
        </w:rPr>
      </w:pPr>
    </w:p>
    <w:p>
      <w:pPr>
        <w:jc w:val="both"/>
        <w:ind w:firstLine="757"/>
        <w:spacing w:after="0" w:line="238" w:lineRule="auto"/>
        <w:tabs>
          <w:tab w:leader="none" w:pos="101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Departure Payments</w:t>
      </w:r>
      <w:r>
        <w:rPr>
          <w:rFonts w:ascii="Arial" w:cs="Arial" w:eastAsia="Arial" w:hAnsi="Arial"/>
          <w:sz w:val="22"/>
          <w:szCs w:val="22"/>
          <w:color w:val="auto"/>
        </w:rPr>
        <w:t>. The Company will provide the Executive with the following compensation, provided that that the Executive has timely executed and has not revoked this Agreement (as defined in Section 6 of this Agreement), has fulfilled all of the Executive’s transition duties through the Departure Date, and has otherwise complied with his obligations under this Agreement:</w:t>
      </w:r>
    </w:p>
    <w:p>
      <w:pPr>
        <w:spacing w:after="0" w:line="184" w:lineRule="exact"/>
        <w:rPr>
          <w:rFonts w:ascii="Arial" w:cs="Arial" w:eastAsia="Arial" w:hAnsi="Arial"/>
          <w:sz w:val="22"/>
          <w:szCs w:val="22"/>
          <w:color w:val="auto"/>
        </w:rPr>
      </w:pPr>
    </w:p>
    <w:p>
      <w:pPr>
        <w:jc w:val="both"/>
        <w:ind w:left="760" w:firstLine="745"/>
        <w:spacing w:after="0" w:line="252" w:lineRule="auto"/>
        <w:tabs>
          <w:tab w:leader="none" w:pos="2048" w:val="left"/>
        </w:tabs>
        <w:numPr>
          <w:ilvl w:val="1"/>
          <w:numId w:val="18"/>
        </w:numPr>
        <w:rPr>
          <w:rFonts w:ascii="Arial" w:cs="Arial" w:eastAsia="Arial" w:hAnsi="Arial"/>
          <w:sz w:val="21"/>
          <w:szCs w:val="21"/>
          <w:color w:val="auto"/>
        </w:rPr>
      </w:pPr>
      <w:r>
        <w:rPr>
          <w:rFonts w:ascii="Arial" w:cs="Arial" w:eastAsia="Arial" w:hAnsi="Arial"/>
          <w:sz w:val="21"/>
          <w:szCs w:val="21"/>
          <w:color w:val="auto"/>
        </w:rPr>
        <w:t>The gross amount of Six Hundred Thirty Thousand Dollars and No Cents ($630,000), less applicable withholding taxes and other deductions required by applicable law or authorized by the Executive, representing one- and one-half times the Executive’s last effective base salary, which amount will be paid to the Executive as soon as practicable (but no later than 74 days) following the Departure Date.</w:t>
      </w:r>
    </w:p>
    <w:p>
      <w:pPr>
        <w:spacing w:after="0" w:line="173" w:lineRule="exact"/>
        <w:rPr>
          <w:rFonts w:ascii="Arial" w:cs="Arial" w:eastAsia="Arial" w:hAnsi="Arial"/>
          <w:sz w:val="21"/>
          <w:szCs w:val="21"/>
          <w:color w:val="auto"/>
        </w:rPr>
      </w:pPr>
    </w:p>
    <w:p>
      <w:pPr>
        <w:jc w:val="both"/>
        <w:ind w:left="760" w:firstLine="745"/>
        <w:spacing w:after="0" w:line="238" w:lineRule="auto"/>
        <w:tabs>
          <w:tab w:leader="none" w:pos="2048"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gross amount of Twenty Thousand Dollars and No Cents ($20,000), less applicable withholding taxes and other deductions required by applicable law or authorized by the Executive, to enable the Executive to obtain executive-level outplacement services, the Company will pay this amount to the Executive as soon as practicable (but no later than 74 days) following the Departure Date.</w:t>
      </w:r>
    </w:p>
    <w:p>
      <w:pPr>
        <w:spacing w:after="0" w:line="185" w:lineRule="exact"/>
        <w:rPr>
          <w:sz w:val="20"/>
          <w:szCs w:val="20"/>
          <w:color w:val="auto"/>
        </w:rPr>
      </w:pPr>
    </w:p>
    <w:p>
      <w:pPr>
        <w:jc w:val="both"/>
        <w:ind w:left="760" w:hanging="3"/>
        <w:spacing w:after="0" w:line="287" w:lineRule="auto"/>
        <w:tabs>
          <w:tab w:leader="none" w:pos="1029"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gross amount of Three Hundred Eighteen Thousand Nine Hundred Seventy Dollars and No Cents ($318,970), less applicable withholding taxes and other deductions required by applicable law or authorized by the Executive, representing Executive’s pro-rated annual target bonus for 2023, which is calculated by multiplying (A) the full year annual bonus that the Executive would have earned had the Executive remained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jc w:val="both"/>
        <w:ind w:left="3" w:firstLine="269"/>
        <w:spacing w:after="0" w:line="236" w:lineRule="auto"/>
        <w:rPr>
          <w:sz w:val="20"/>
          <w:szCs w:val="20"/>
          <w:color w:val="auto"/>
        </w:rPr>
      </w:pPr>
      <w:r>
        <w:rPr>
          <w:rFonts w:ascii="Arial" w:cs="Arial" w:eastAsia="Arial" w:hAnsi="Arial"/>
          <w:sz w:val="22"/>
          <w:szCs w:val="22"/>
          <w:color w:val="auto"/>
        </w:rPr>
        <w:t>through the end of the fiscal year in which the Departure Date occurs, assuming target performance under the applicable performance targets has been met, by (B) a fraction, the numerator of which is the total number of days that have elapsed during the fiscal year through the Departure Date (231 days) and the denominator of which is 365. The Company will pay this amount to Executive as soon as practicable (but no later than 74 days) following the Departure Date.</w:t>
      </w:r>
    </w:p>
    <w:p>
      <w:pPr>
        <w:spacing w:after="0" w:line="187" w:lineRule="exact"/>
        <w:rPr>
          <w:sz w:val="20"/>
          <w:szCs w:val="20"/>
          <w:color w:val="auto"/>
        </w:rPr>
      </w:pPr>
    </w:p>
    <w:p>
      <w:pPr>
        <w:jc w:val="both"/>
        <w:ind w:left="3"/>
        <w:spacing w:after="0" w:line="252" w:lineRule="auto"/>
        <w:rPr>
          <w:sz w:val="20"/>
          <w:szCs w:val="20"/>
          <w:color w:val="auto"/>
        </w:rPr>
      </w:pPr>
      <w:r>
        <w:rPr>
          <w:rFonts w:ascii="Arial" w:cs="Arial" w:eastAsia="Arial" w:hAnsi="Arial"/>
          <w:sz w:val="21"/>
          <w:szCs w:val="21"/>
          <w:color w:val="auto"/>
        </w:rPr>
        <w:t>(d)In lieu of and notwithstanding the default treatment set forth in the award agreements applicable to the service-based restricted stock unit awards granted to the Executive in 2021 and 2022 that remain unvested and outstanding as of the Departure Date (the “RSUs”), as set forth on Exhibit A, such RSUs shall accelerate and be deemed vested as of the Departure Date, and shall be settled in shares not later than March 15, 2024.</w:t>
      </w:r>
    </w:p>
    <w:p>
      <w:pPr>
        <w:spacing w:after="0" w:line="174" w:lineRule="exact"/>
        <w:rPr>
          <w:sz w:val="20"/>
          <w:szCs w:val="20"/>
          <w:color w:val="auto"/>
        </w:rPr>
      </w:pPr>
    </w:p>
    <w:p>
      <w:pPr>
        <w:jc w:val="both"/>
        <w:ind w:left="-757" w:firstLine="757"/>
        <w:spacing w:after="0" w:line="274" w:lineRule="auto"/>
        <w:tabs>
          <w:tab w:leader="none" w:pos="26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Obligations of Executive at Departure</w:t>
      </w:r>
      <w:r>
        <w:rPr>
          <w:rFonts w:ascii="Arial" w:cs="Arial" w:eastAsia="Arial" w:hAnsi="Arial"/>
          <w:sz w:val="19"/>
          <w:szCs w:val="19"/>
          <w:color w:val="auto"/>
        </w:rPr>
        <w:t>. Executive hereby resigns as an officer or director of any subsidiaries of the Company or any other position held with the Company or its subsidiaries effective as of the Departure Date and represents and warrants that Executive will, on or before the Departure Date, execute such documentation as the Company deems necessary with respect to such resignations. Executive further represents and warrants that Executive will, on or before such date, deliver to the Company the original and all copies of all documents, records, and property of any nature whatsoever which are in Executive’s possession or control and which are the property of the Company or which relate to Confidential Information (as described below), or to the business activities, facilities, employees, vendors, suppliers or customers of the Company, including any records (electronic or otherwise), documents or property created by the Executive, and shall permanently delete (and not retain copies of) any such records maintained on the Executive’s personal devices.</w:t>
      </w:r>
    </w:p>
    <w:p>
      <w:pPr>
        <w:spacing w:after="0" w:line="158" w:lineRule="exact"/>
        <w:rPr>
          <w:rFonts w:ascii="Arial" w:cs="Arial" w:eastAsia="Arial" w:hAnsi="Arial"/>
          <w:sz w:val="19"/>
          <w:szCs w:val="19"/>
          <w:color w:val="auto"/>
        </w:rPr>
      </w:pPr>
    </w:p>
    <w:p>
      <w:pPr>
        <w:jc w:val="both"/>
        <w:ind w:left="-757" w:firstLine="757"/>
        <w:spacing w:after="0" w:line="287" w:lineRule="auto"/>
        <w:tabs>
          <w:tab w:leader="none" w:pos="26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Except as provided below, this Agreement constitutes the entire agreement between the Company and the Executive with respect to the matters addressed herein, including but not limited to the Executive’s termination of employment from the Company, and it fully supersedes any and all prior agreements or understandings, written or oral, including any notice periods contained therein, between the Executive and the Company, including, but not limited to, the Plan, except that:</w:t>
      </w:r>
    </w:p>
    <w:p>
      <w:pPr>
        <w:spacing w:after="0" w:line="142" w:lineRule="exact"/>
        <w:rPr>
          <w:rFonts w:ascii="Arial" w:cs="Arial" w:eastAsia="Arial" w:hAnsi="Arial"/>
          <w:sz w:val="19"/>
          <w:szCs w:val="19"/>
          <w:color w:val="auto"/>
        </w:rPr>
      </w:pPr>
    </w:p>
    <w:p>
      <w:pPr>
        <w:ind w:left="1503" w:hanging="755"/>
        <w:spacing w:after="0" w:line="250" w:lineRule="auto"/>
        <w:tabs>
          <w:tab w:leader="none" w:pos="1503"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This Agreement does not affect the restrictive covenants set forth in Section 9 of the Plan, which shall remain in effect as binding obligations in accordance with their terms.</w:t>
      </w:r>
    </w:p>
    <w:p>
      <w:pPr>
        <w:spacing w:after="0" w:line="174" w:lineRule="exact"/>
        <w:rPr>
          <w:rFonts w:ascii="Arial" w:cs="Arial" w:eastAsia="Arial" w:hAnsi="Arial"/>
          <w:sz w:val="22"/>
          <w:szCs w:val="22"/>
          <w:color w:val="auto"/>
        </w:rPr>
      </w:pPr>
    </w:p>
    <w:p>
      <w:pPr>
        <w:jc w:val="both"/>
        <w:ind w:left="1503" w:hanging="755"/>
        <w:spacing w:after="0"/>
        <w:tabs>
          <w:tab w:leader="none" w:pos="1503"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This Agreement does not limit or restrict in any way Executive’s existing rights or obligations under the Company’s employee benefit plans (other than the Plan), including any retirement plan, retirement savings plan, or group medical plan.</w:t>
      </w:r>
    </w:p>
    <w:p>
      <w:pPr>
        <w:spacing w:after="0" w:line="186" w:lineRule="exact"/>
        <w:rPr>
          <w:rFonts w:ascii="Arial" w:cs="Arial" w:eastAsia="Arial" w:hAnsi="Arial"/>
          <w:sz w:val="22"/>
          <w:szCs w:val="22"/>
          <w:color w:val="auto"/>
        </w:rPr>
      </w:pPr>
    </w:p>
    <w:p>
      <w:pPr>
        <w:ind w:left="-757" w:firstLine="757"/>
        <w:spacing w:after="0" w:line="250" w:lineRule="auto"/>
        <w:tabs>
          <w:tab w:leader="none" w:pos="261"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Executive acknowledges and agrees to comply with the restrictive covenants set forth in Section 9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283210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1" w:right="339" w:bottom="1440" w:gutter="0" w:footer="0" w:header="0"/>
        </w:sectPr>
      </w:pPr>
    </w:p>
    <w:bookmarkStart w:id="38" w:name="page39"/>
    <w:bookmarkEnd w:id="38"/>
    <w:p>
      <w:pPr>
        <w:ind w:left="263" w:hanging="263"/>
        <w:spacing w:after="0"/>
        <w:tabs>
          <w:tab w:leader="none" w:pos="26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In accordance with Section 8(a) of the Plan:</w:t>
      </w:r>
    </w:p>
    <w:p>
      <w:pPr>
        <w:spacing w:after="0" w:line="206" w:lineRule="exact"/>
        <w:rPr>
          <w:rFonts w:ascii="Arial" w:cs="Arial" w:eastAsia="Arial" w:hAnsi="Arial"/>
          <w:sz w:val="22"/>
          <w:szCs w:val="22"/>
          <w:color w:val="auto"/>
        </w:rPr>
      </w:pPr>
    </w:p>
    <w:p>
      <w:pPr>
        <w:jc w:val="both"/>
        <w:ind w:left="1503" w:hanging="755"/>
        <w:spacing w:after="0" w:line="268" w:lineRule="auto"/>
        <w:tabs>
          <w:tab w:leader="none" w:pos="1503"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consideration of the promises and covenants made herein, the Executive, for the Executive, the Executive’s heirs, executors, administrators, successors and assigns, does hereby RELEASE, ACQUIT AND FOREVER DISCHARGE the Company, and each of its parents, subsidiaries, related and affiliated corporations or other entities, and each of their respective present or former officers, directors, shareholders, employees, agents, representatives, successors and assigns (all of whom are hereinafter collectively referred to as "Releasees") from any and all claims, demands, causes of action and liabilities of any kind or character, accrued or to accrue hereafter, which the Executive ever had, now has or may hereafter have against Releasees, through the Departure Date, arising out of any act, omission, statement, representation, transaction or occurrence, including, without limitation, those related to the Executive’s employment by the Company or the termination thereof. Without limiting the generality of the foregoing, it is understood and agreed that this Release constitutes a release of any claim or cause of action, including, but not limited to,: (i) for breach of any employment, commission or other agreement existing between the Executive and the Company, all of which are hereby acknowledged to have terminated, except as otherwise stated herein; or (ii) otherwise related, in any way, to the Executive’s employment by the Company, including the termination thereof, and includes, without limitation, claims under any of the following, as amended: Title VII of the Civil Rights Act of 1964; the Americans with Disabilities Act of 1990; the Age Discrimination in Employment Act; the Older Workers Benefit Protection Act; the Equal Pay Act; the Anti-Retaliation provision of the Texas Workers Compensation Act; the Fair Labor Standards Act; the Texas Pay Day Law; the Texas Labor Code; Pennsylvania Human Relations Act – 43 P.S. §951 et seq.; Pennsylvania Minimum Wage Act, as amended – 43 P.S. §33.101 et seq.; Pennsylvania Whistleblower Law – 43 P.S. §1421 et seq.; Pennsylvania Equal Pay Law, as amended – 43 P.S. §336.1 et seq.; The Pennsylvania Wage Payment and Collection Law; Pennsylvania’s Bona Fide Occupational Qualifications Rules; Pennsylvania’s Military Leave and Re-Employment Rights Laws; The Pennsylvania Criminal History Record Information Act; the Family and Medical Leave Act; the Occupational Safety and Health Act; the National Labor Relations Act; the Fair Credit Reporting Act; the Rehabilitation Act; the Employee Retirement Income Security Act of 1974 (ERISA); the Consolidated Omnibus Budget Reconciliation Act of 1985 (COBRA); the Sarbanes-Oxley Act of 2002; the Employee Polygraph Protection Act; the Financial Institutions Reform, Recovery and Enforcement Act; the Uniform Services Employment and Reemployment Rights Act of 1994; and any other state or federal statute or regulation governing the employment relationship or the Executive's rights, or the Company's obligations, in connection therewith. This release also includes a release of any claim or right to further wages, compensation, benefits, damages, penalties, attorneys’ fees, costs, or expenses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443865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1" w:right="339" w:bottom="1440" w:gutter="0" w:footer="0" w:header="0"/>
        </w:sectPr>
      </w:pPr>
    </w:p>
    <w:bookmarkStart w:id="39" w:name="page40"/>
    <w:bookmarkEnd w:id="39"/>
    <w:p>
      <w:pPr>
        <w:jc w:val="both"/>
        <w:ind w:left="1140"/>
        <w:spacing w:after="0" w:line="275" w:lineRule="auto"/>
        <w:rPr>
          <w:sz w:val="20"/>
          <w:szCs w:val="20"/>
          <w:color w:val="auto"/>
        </w:rPr>
      </w:pPr>
      <w:r>
        <w:rPr>
          <w:rFonts w:ascii="Arial" w:cs="Arial" w:eastAsia="Arial" w:hAnsi="Arial"/>
          <w:sz w:val="19"/>
          <w:szCs w:val="19"/>
          <w:color w:val="auto"/>
        </w:rPr>
        <w:t>from the Company or any of the other Releasees, except as provided for in this Agreement. This release also constitutes a release of any claim or cause of action for invasion of privacy, intentional or negligent infliction of emotional distress, wrongful termination, promissory estoppel, false imprisonment, defamation, negligence, gross negligence, breach of contract, libel or slander, tortious interference with contract or business relationship, misrepresentation, deceptive trade practices, fraud, and any employment-related claims, or for any personal injuries, however characterized, or by virtue of any fact(s), act(s) or event(s) occurring prior to the date of this Agreement. This release covers both claims that the Executive knows about and those the Executive may not know about.</w:t>
      </w:r>
    </w:p>
    <w:p>
      <w:pPr>
        <w:spacing w:after="0" w:line="151" w:lineRule="exact"/>
        <w:rPr>
          <w:sz w:val="20"/>
          <w:szCs w:val="20"/>
          <w:color w:val="auto"/>
        </w:rPr>
      </w:pPr>
    </w:p>
    <w:p>
      <w:pPr>
        <w:jc w:val="both"/>
        <w:ind w:left="1140" w:hanging="755"/>
        <w:spacing w:after="0" w:line="232" w:lineRule="auto"/>
        <w:tabs>
          <w:tab w:leader="none" w:pos="114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THE EXECUTIVE UNDERSTANDS THAT BY SIGNING AND NOT REVOKING THIS RELEASE, THE EXECUTIVE IS WAIVING ANY AND ALL RIGHTS OR CLAIMS WHICH THE EXECUTIVE MAY HAVE UNDER THE AGE DISCRIMINATION IN EMPLOYMENT ACT AND/OR THE OLDER WORKERS BENEFIT PROTECTION ACT (“OWBPA”) FOR AGE DISCRIMINATION ARISING FROM EMPLOYMENT WITH THE COMPANY, INCLUDING, WITHOUT LIMITATION, THE RIGHT TO SUE THE COMPANY IN FEDERAL OR STATE COURT FOR AGE DISCRIMINATION. THE EXECUTIVE FURTHER ACKNOWLEDGES THAT THE EXECUTIVE: (1) DOES NOT WAIVE ANY CLAIMS OR RIGHTS THAT MAY ARISE AFTER THE DATE THE AGREEMENT IS EXECUTED; (2) WAIVES CLAIMS OR RIGHTS ONLY IN EXCHANGE FOR CONSIDERATION IN ADDITION TO ANYTHING OF VALUE TO WHICH THE EXECUTIVE IS ALREADY ENTITLED; (3) IS AND HAS BEEN ADVISED BY THE COMPANY IN WRITING OF THE EXECUTIVE’S RIGHT TO CONSULT WITH AN ATTORNEY BEFORE SIGNING THIS RELEASE; AND (4) AGREES THAT THIS AGREEMENT IS WRITTEN IN A MANNER CALCULATED TO BE UNDERSTOOD BY THE EXECUTIVE, AND THE EXECUTIVE, IN FACT, UNDERSTANDS THE TERMS, CONTENTS, CONDITIONS, AND EFFECTS OF THIS AGREEMENT, AND HAS ENTERED INTO THIS AGREEMENT KNOWINGLY AND VOLUNTARILY.</w:t>
      </w:r>
    </w:p>
    <w:p>
      <w:pPr>
        <w:spacing w:after="0" w:line="194" w:lineRule="exact"/>
        <w:rPr>
          <w:rFonts w:ascii="Arial" w:cs="Arial" w:eastAsia="Arial" w:hAnsi="Arial"/>
          <w:sz w:val="22"/>
          <w:szCs w:val="22"/>
          <w:color w:val="auto"/>
        </w:rPr>
      </w:pPr>
    </w:p>
    <w:p>
      <w:pPr>
        <w:jc w:val="both"/>
        <w:ind w:left="1140" w:hanging="755"/>
        <w:spacing w:after="0" w:line="277" w:lineRule="auto"/>
        <w:tabs>
          <w:tab w:leader="none" w:pos="11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Anything herein to the contrary notwithstanding, this Agreement does not constitute a release nor a waiver of the Executive’s right to file a charge or complaint with or participate, testify, or assist in any investigation, hearing, or other proceeding before any federal, state, or local government agency (e.g., EEOC, NLRB, SEC) or in any legislative or judicial proceeding nor does anything in this Agreement preclude, prohibit or otherwise limit, in any way, Executive’s rights and abilities to contact, communicate with or report unlawful conduct to federal, state, or local officials for investigation or participate in any whistleblower program administered by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268605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40" w:name="page41"/>
    <w:bookmarkEnd w:id="40"/>
    <w:p>
      <w:pPr>
        <w:jc w:val="both"/>
        <w:ind w:left="2260"/>
        <w:spacing w:after="0"/>
        <w:rPr>
          <w:sz w:val="20"/>
          <w:szCs w:val="20"/>
          <w:color w:val="auto"/>
        </w:rPr>
      </w:pPr>
      <w:r>
        <w:rPr>
          <w:rFonts w:ascii="Arial" w:cs="Arial" w:eastAsia="Arial" w:hAnsi="Arial"/>
          <w:sz w:val="22"/>
          <w:szCs w:val="22"/>
          <w:color w:val="auto"/>
        </w:rPr>
        <w:t>agencies. However, to the maximum extent permitted by law, Executive agrees that if such an administrative claim is made, Executive shall not be entitled to recover any individual monetary relief or other individual remedies.</w:t>
      </w:r>
    </w:p>
    <w:p>
      <w:pPr>
        <w:spacing w:after="0" w:line="186" w:lineRule="exact"/>
        <w:rPr>
          <w:sz w:val="20"/>
          <w:szCs w:val="20"/>
          <w:color w:val="auto"/>
        </w:rPr>
      </w:pPr>
    </w:p>
    <w:p>
      <w:pPr>
        <w:jc w:val="both"/>
        <w:ind w:left="2260" w:hanging="755"/>
        <w:spacing w:after="0" w:line="238" w:lineRule="auto"/>
        <w:tabs>
          <w:tab w:leader="none" w:pos="22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If any claim is not subject to release, to the extent permitted by law, Executive waives any right or ability to be a class or collective action representative or to otherwise participate in any putative or certified class, collective or multi-party action or proceeding based on such a claim in which the Company or any other Releasee identified in this Agreement is a party.</w:t>
      </w:r>
    </w:p>
    <w:p>
      <w:pPr>
        <w:spacing w:after="0" w:line="184" w:lineRule="exact"/>
        <w:rPr>
          <w:rFonts w:ascii="Arial" w:cs="Arial" w:eastAsia="Arial" w:hAnsi="Arial"/>
          <w:sz w:val="22"/>
          <w:szCs w:val="22"/>
          <w:color w:val="auto"/>
        </w:rPr>
      </w:pPr>
    </w:p>
    <w:p>
      <w:pPr>
        <w:jc w:val="both"/>
        <w:ind w:left="2260" w:hanging="755"/>
        <w:spacing w:after="0" w:line="236" w:lineRule="auto"/>
        <w:tabs>
          <w:tab w:leader="none" w:pos="22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Executive acknowledges that the payments contemplated by Section 2 include consideration which the Executive would not be entitled to receive but for the Executive’s execution and non-revocation of this Agreement. Failure by Executive to timely execute, return and not-revoke this Agreement relieves the Company of the obligation to make the payments due to Executive pursuant to Paragraph 2 of this Agreement and the Plan.</w:t>
      </w:r>
    </w:p>
    <w:p>
      <w:pPr>
        <w:spacing w:after="0" w:line="187" w:lineRule="exact"/>
        <w:rPr>
          <w:rFonts w:ascii="Arial" w:cs="Arial" w:eastAsia="Arial" w:hAnsi="Arial"/>
          <w:sz w:val="22"/>
          <w:szCs w:val="22"/>
          <w:color w:val="auto"/>
        </w:rPr>
      </w:pPr>
    </w:p>
    <w:p>
      <w:pPr>
        <w:jc w:val="both"/>
        <w:ind w:left="2260" w:hanging="755"/>
        <w:spacing w:after="0" w:line="238" w:lineRule="auto"/>
        <w:tabs>
          <w:tab w:leader="none" w:pos="22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Executive states that the Executive has not filed or joined in any complaints, charges, lawsuits, or proceedings of any kind against the Company or any of the other Releasees. By signing this Agreement, Executive agrees not to sue the Company and/or any of the Releasees for anything which has been released pursuant to the Agreement.</w:t>
      </w:r>
    </w:p>
    <w:p>
      <w:pPr>
        <w:spacing w:after="0" w:line="184" w:lineRule="exact"/>
        <w:rPr>
          <w:rFonts w:ascii="Arial" w:cs="Arial" w:eastAsia="Arial" w:hAnsi="Arial"/>
          <w:sz w:val="22"/>
          <w:szCs w:val="22"/>
          <w:color w:val="auto"/>
        </w:rPr>
      </w:pPr>
    </w:p>
    <w:p>
      <w:pPr>
        <w:jc w:val="both"/>
        <w:ind w:left="2260" w:hanging="755"/>
        <w:spacing w:after="0" w:line="238" w:lineRule="auto"/>
        <w:tabs>
          <w:tab w:leader="none" w:pos="22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Nothing in this Agreement is meant to suggest, nor should the Agreement be construed as an admission, that the Company or any of the other Releasees have violated any law, contract, policy, or practice, or that the Executive has any claim against the Company or any of the other Releasees and any such liability is expressly denied.</w:t>
      </w:r>
    </w:p>
    <w:p>
      <w:pPr>
        <w:spacing w:after="0" w:line="184" w:lineRule="exact"/>
        <w:rPr>
          <w:rFonts w:ascii="Arial" w:cs="Arial" w:eastAsia="Arial" w:hAnsi="Arial"/>
          <w:sz w:val="22"/>
          <w:szCs w:val="22"/>
          <w:color w:val="auto"/>
        </w:rPr>
      </w:pPr>
    </w:p>
    <w:p>
      <w:pPr>
        <w:ind w:firstLine="757"/>
        <w:spacing w:after="0" w:line="250" w:lineRule="auto"/>
        <w:tabs>
          <w:tab w:leader="none" w:pos="101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Power of Attorney</w:t>
      </w:r>
      <w:r>
        <w:rPr>
          <w:rFonts w:ascii="Arial" w:cs="Arial" w:eastAsia="Arial" w:hAnsi="Arial"/>
          <w:sz w:val="22"/>
          <w:szCs w:val="22"/>
          <w:color w:val="auto"/>
        </w:rPr>
        <w:t>. The Company hereby revokes any and all powers of attorney the Company or any subsidiary thereof may have granted the Executive during the Executive’s employment with the Company.</w:t>
      </w:r>
    </w:p>
    <w:p>
      <w:pPr>
        <w:spacing w:after="0" w:line="174" w:lineRule="exact"/>
        <w:rPr>
          <w:rFonts w:ascii="Arial" w:cs="Arial" w:eastAsia="Arial" w:hAnsi="Arial"/>
          <w:sz w:val="22"/>
          <w:szCs w:val="22"/>
          <w:color w:val="auto"/>
        </w:rPr>
      </w:pPr>
    </w:p>
    <w:p>
      <w:pPr>
        <w:jc w:val="both"/>
        <w:ind w:firstLine="757"/>
        <w:spacing w:after="0" w:line="257" w:lineRule="auto"/>
        <w:tabs>
          <w:tab w:leader="none" w:pos="1018"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Executive agrees to refrain from making statements that are disparaging or defamatory about Releasees, or Releasees’ customers, suppliers, or vendors, including but not limited to communications on social media websites such as Facebook, Twitter, LinkedIn, or Glassdoor on blogs, by text or email or other electronic means.</w:t>
      </w:r>
    </w:p>
    <w:p>
      <w:pPr>
        <w:spacing w:after="0" w:line="169" w:lineRule="exact"/>
        <w:rPr>
          <w:rFonts w:ascii="Arial" w:cs="Arial" w:eastAsia="Arial" w:hAnsi="Arial"/>
          <w:sz w:val="21"/>
          <w:szCs w:val="21"/>
          <w:color w:val="auto"/>
        </w:rPr>
      </w:pPr>
    </w:p>
    <w:p>
      <w:pPr>
        <w:ind w:left="1020" w:hanging="263"/>
        <w:spacing w:after="0"/>
        <w:tabs>
          <w:tab w:leader="none" w:pos="102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Affirmations.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Executive affirms that he has no known workplace injuries or occupational diseases.</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(b)Executive also affirms that he has not divulged any proprietary or confidential information of the Company and will continue to maintain the confidentiality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consistent with the Company’s policies and Executive’s agreement(s) with the Company and/or common law.</w:t>
      </w:r>
    </w:p>
    <w:p>
      <w:pPr>
        <w:spacing w:after="0" w:line="206" w:lineRule="exact"/>
        <w:rPr>
          <w:sz w:val="20"/>
          <w:szCs w:val="20"/>
          <w:color w:val="auto"/>
        </w:rPr>
      </w:pPr>
    </w:p>
    <w:p>
      <w:pPr>
        <w:jc w:val="both"/>
        <w:ind w:firstLine="757"/>
        <w:spacing w:after="0"/>
        <w:tabs>
          <w:tab w:leader="none" w:pos="1018"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Executive further affirms that Executive has not reported internally to the Company any allegations of wrongdoing by the Company or its officers, including any allegations of corporate fraud, and Executive has not been retaliated against for reporting any such allegations internally to the Company.</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Expenses and Insurance</w:t>
      </w:r>
      <w:r>
        <w:rPr>
          <w:rFonts w:ascii="Arial" w:cs="Arial" w:eastAsia="Arial" w:hAnsi="Arial"/>
          <w:sz w:val="22"/>
          <w:szCs w:val="22"/>
          <w:color w:val="auto"/>
        </w:rPr>
        <w:t>. With respect to services provided by the Executive to the Departure Date and pursuant to this Agreement, the Company shall (a) reimburse Executive for reasonable business expenses incurred in the performance of Executive’s services, (b) maintain Director and Officer insurance coverage for the Executive consistent with that provided to other Company directors and officers, and (c) provide Executive with full indemnification as permitted by the Company’s by-laws.</w:t>
      </w:r>
    </w:p>
    <w:p>
      <w:pPr>
        <w:spacing w:after="0" w:line="18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Taxes</w:t>
      </w:r>
      <w:r>
        <w:rPr>
          <w:rFonts w:ascii="Arial" w:cs="Arial" w:eastAsia="Arial" w:hAnsi="Arial"/>
          <w:sz w:val="19"/>
          <w:szCs w:val="19"/>
          <w:color w:val="auto"/>
        </w:rPr>
        <w:t>. All payments made herein or the value of all property transferred to Executive hereunder shall be subject to applicable payroll and withholding taxes. The Plan, this Agreement, and the payments hereunder shall be construed and administered in a manner that satisfies an exemption from, or is compliant with, Section 409A of the Internal Revenue Code. The parties agree to amend the Agreement as may be necessary to avoid application of Code Section 409A excise taxes or penalties to payments made pursuant to this Agreement. Notwithstanding the foregoing, no provision of the Plan or this Agreement shall be construed to require the Company to provide any gross-up for the tax consequences under Code Section 409A of any provisions of, or payments under, this Agreement, and the Company shall have no responsibility for tax consequences under Code Section 409A to Executive resulting from the terms or operation of the Plan or this Agreement.</w:t>
      </w:r>
    </w:p>
    <w:p>
      <w:pPr>
        <w:spacing w:after="0" w:line="15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one or more of the provisions of this Agreement (or any part thereof) shall for any reason be held to be invalid, illegal or unenforceable, the remaining provisions of this Agreement (or part thereof) shall be unimpaired, and the invalid, illegal or unenforceable provision (or part thereof) shall be replaced by a provision (or part thereof), which, being valid, legal and enforceable, comes closest to the intention of the parties underlying the invalid, illegal or unenforceable provisions. However, in the event that any such provision of this Agreement (or part thereof) is adjudged by a court of competent jurisdiction to be invalid, illegal or unenforceable, but that the other provisions (or part thereof) are adjudged to be valid, legal and enforceable if such invalid, illegal or unenforceable provision (or part thereof) were deleted or modified, then this Agreement shall apply with only such deletions or modifications, or both, as the case may be, as are necessary to permit the remaining separate provisions (or part thereof) to be valid, legal and enforceable.</w:t>
      </w:r>
    </w:p>
    <w:p>
      <w:pPr>
        <w:spacing w:after="0" w:line="15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the substantive laws of the State of Texas without regard to its conflict of laws provisions or the laws of any other jurisdiction in which the Executive resides or performs any duties hereunder, or where any violation of the Agreement occurs.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Successors; Binding Agreement; Notices</w:t>
      </w:r>
      <w:r>
        <w:rPr>
          <w:rFonts w:ascii="Arial" w:cs="Arial" w:eastAsia="Arial" w:hAnsi="Arial"/>
          <w:sz w:val="22"/>
          <w:szCs w:val="22"/>
          <w:color w:val="auto"/>
        </w:rPr>
        <w:t>. The Company shall have the right to assign its obligations under this Agreement to any entity that acquires all or substantially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jc w:val="both"/>
        <w:spacing w:after="0" w:line="246" w:lineRule="auto"/>
        <w:rPr>
          <w:sz w:val="20"/>
          <w:szCs w:val="20"/>
          <w:color w:val="auto"/>
        </w:rPr>
      </w:pPr>
      <w:r>
        <w:rPr>
          <w:rFonts w:ascii="Arial" w:cs="Arial" w:eastAsia="Arial" w:hAnsi="Arial"/>
          <w:sz w:val="21"/>
          <w:szCs w:val="21"/>
          <w:color w:val="auto"/>
        </w:rPr>
        <w:t>assets of the Company and continues the Company’s business. The rights and obligations of the Company under this Agreement shall inure to the benefit of and shall be binding upon the Company and its successors and assigns. The Executive may not assign the Executive’s rights or delegate the Executive’s obligations hereunder. Except as otherwise set forth under Section 15, all notices and other communications hereunder shall be in writing and shall be given by hand delivery to the other party or by registered or certified mail, return receipt requested, postage prepaid, addressed as follows: If to the Executive, at the most recent address on file at the Company. If to the Company, to CECO Environmental Corp.; 14651 North Dallas Parkway, Suite 500; Dallas, Texas, 75254; Attention: Chief Legal Officer.</w:t>
      </w:r>
    </w:p>
    <w:p>
      <w:pPr>
        <w:spacing w:after="0" w:line="18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be amended or modified only by a written instrument executed by the Company and the Executive. No provision of this Agreement may be waived or discharged unless such waiver or discharge is in writing and signed by the Chief Executive Officer of the Company. Any failure by Executive or the Company to enforce any of the provisions of this Agreement shall not be construed to be a waiver of such provisions or any right to enforce each and every provision in the future. A waiver of any breach of this Agreement shall not be construed as a waiver of any other or subsequent breach.</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16.</w:t>
      </w:r>
      <w:r>
        <w:rPr>
          <w:rFonts w:ascii="Arial" w:cs="Arial" w:eastAsia="Arial" w:hAnsi="Arial"/>
          <w:sz w:val="19"/>
          <w:szCs w:val="19"/>
          <w:u w:val="single" w:color="auto"/>
          <w:color w:val="auto"/>
        </w:rPr>
        <w:t>Time Period for Enforceability/Revocation of Agreement</w:t>
      </w:r>
      <w:r>
        <w:rPr>
          <w:rFonts w:ascii="Arial" w:cs="Arial" w:eastAsia="Arial" w:hAnsi="Arial"/>
          <w:sz w:val="19"/>
          <w:szCs w:val="19"/>
          <w:color w:val="auto"/>
        </w:rPr>
        <w:t>. The Company's obligation to pay the amounts set forth in Section 2 and provide any other benefits described in this Agreement is contingent upon the Executive executing and returning this Agreement to the Company. The Executive may take up to sixty (60) days after the Departure Date, or if longer, up to twenty-one (21) day after the Executive has been provided this Agreement after the Departure Date (such longer period, the “Consideration Period”) to consider this Agreement prior to executing it. The Executive may sign this Agreement at any time during the Consideration Period, except that the Executive may not sign this Agreement prior to the Departure Date. Any changes made to this Agreement after presentation to the Executive will not restart the running of the Consideration Period. After executing this Agreement, the Executive shall have seven (7) calendar days during which time the Executive may revoke the Executive’s consent to this Agreement by given written or electronic notification of the decision to revoke to the Company. This Agreement will not become effective or enforceable, and the payments and benefits described herein shall not become due, until such revocation period has expired and the Executive has not delivered a written or electronic notice of revocation.</w:t>
      </w:r>
    </w:p>
    <w:p>
      <w:pPr>
        <w:spacing w:after="0" w:line="15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17.</w:t>
      </w:r>
      <w:r>
        <w:rPr>
          <w:rFonts w:ascii="Arial" w:cs="Arial" w:eastAsia="Arial" w:hAnsi="Arial"/>
          <w:sz w:val="19"/>
          <w:szCs w:val="19"/>
          <w:u w:val="single" w:color="auto"/>
          <w:color w:val="auto"/>
        </w:rPr>
        <w:t>Notice of Revocation</w:t>
      </w:r>
      <w:r>
        <w:rPr>
          <w:rFonts w:ascii="Arial" w:cs="Arial" w:eastAsia="Arial" w:hAnsi="Arial"/>
          <w:sz w:val="19"/>
          <w:szCs w:val="19"/>
          <w:color w:val="auto"/>
        </w:rPr>
        <w:t>. Any notice of revocation to be given pursuant to the foregoing paragraph shall be sent in writing by email or facsimile transmission to: Lynn Watkins-Asiyanbi, Senior Vice President, Chief Administrative and Legal Officer, Corporate Secretary at lwatkins@OneCECO.com or via fax at (214) 351-4172. The Executive understands and acknowledges that the Executive will not receive any monies or benefits pursuant to this Agreement except upon the execution and non-revocation of this Agreement, and the fulfillment of the promises contained herein. The Effective Date of this Agreement shall be the eighth day after which Executive timely signs this Agreement provided he has not revoked his signature.</w:t>
      </w:r>
    </w:p>
    <w:p>
      <w:pPr>
        <w:spacing w:after="0" w:line="15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18.</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(meaning by the Executive and the Company separately) and that facsimile, copy or PDF copy signatures shall be treated as just as valid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3" w:name="page44"/>
    <w:bookmarkEnd w:id="43"/>
    <w:p>
      <w:pPr>
        <w:jc w:val="both"/>
        <w:ind w:firstLine="1497"/>
        <w:spacing w:after="0" w:line="236" w:lineRule="auto"/>
        <w:rPr>
          <w:sz w:val="20"/>
          <w:szCs w:val="20"/>
          <w:color w:val="auto"/>
        </w:rPr>
      </w:pPr>
      <w:r>
        <w:rPr>
          <w:rFonts w:ascii="Arial" w:cs="Arial" w:eastAsia="Arial" w:hAnsi="Arial"/>
          <w:sz w:val="22"/>
          <w:szCs w:val="22"/>
          <w:b w:val="1"/>
          <w:bCs w:val="1"/>
          <w:color w:val="auto"/>
        </w:rPr>
        <w:t>THE COMPANY AND THE EXECUTIVE ACKNOWLEDGE THAT (A) EACH HAS CAREFULLY READ THIS AGREEMENT, (B) EACH UNDERSTANDS ITS TERMS, (C) ALL UNDERSTANDINGS AND AGREEMENTS BETWEEN THE COMPANY AND THE EXECUTIVE RELATING TO THE SUBJECTS COVERED IN THE AGREEMENT ARE CONTAINED IN IT, AND (D) EACH HAS ENTERED INTO THIS AGREEMENT VOLUNTARILY AND NOT IN RELIANCE ON ANY PROMISES OR REPRESENTATIONS BY THE OTHER, OTHER THAN THOSE CONTAINED IN THIS AGREEMENT ITSELF.</w:t>
      </w:r>
    </w:p>
    <w:p>
      <w:pPr>
        <w:spacing w:after="0" w:line="200" w:lineRule="exact"/>
        <w:rPr>
          <w:sz w:val="20"/>
          <w:szCs w:val="20"/>
          <w:color w:val="auto"/>
        </w:rPr>
      </w:pPr>
    </w:p>
    <w:p>
      <w:pPr>
        <w:spacing w:after="0" w:line="34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100" w:type="dxa"/>
            <w:vAlign w:val="bottom"/>
            <w:gridSpan w:val="2"/>
          </w:tcPr>
          <w:p>
            <w:pPr>
              <w:ind w:left="100"/>
              <w:spacing w:after="0"/>
              <w:rPr>
                <w:sz w:val="20"/>
                <w:szCs w:val="20"/>
                <w:color w:val="auto"/>
              </w:rPr>
            </w:pPr>
            <w:r>
              <w:rPr>
                <w:rFonts w:ascii="Arial" w:cs="Arial" w:eastAsia="Arial" w:hAnsi="Arial"/>
                <w:sz w:val="22"/>
                <w:szCs w:val="22"/>
                <w:b w:val="1"/>
                <w:bCs w:val="1"/>
                <w:color w:val="auto"/>
              </w:rPr>
              <w:t>Ramesh Nuggihalli</w:t>
            </w:r>
          </w:p>
        </w:tc>
        <w:tc>
          <w:tcPr>
            <w:tcW w:w="8140" w:type="dxa"/>
            <w:vAlign w:val="bottom"/>
            <w:gridSpan w:val="3"/>
          </w:tcPr>
          <w:p>
            <w:pPr>
              <w:jc w:val="center"/>
              <w:ind w:left="112"/>
              <w:spacing w:after="0"/>
              <w:rPr>
                <w:sz w:val="20"/>
                <w:szCs w:val="20"/>
                <w:color w:val="auto"/>
              </w:rPr>
            </w:pPr>
            <w:r>
              <w:rPr>
                <w:rFonts w:ascii="Arial" w:cs="Arial" w:eastAsia="Arial" w:hAnsi="Arial"/>
                <w:sz w:val="22"/>
                <w:szCs w:val="22"/>
                <w:b w:val="1"/>
                <w:bCs w:val="1"/>
                <w:color w:val="auto"/>
                <w:w w:val="92"/>
              </w:rPr>
              <w:t>CECO Environmental Corp.</w:t>
            </w:r>
          </w:p>
        </w:tc>
      </w:tr>
      <w:tr>
        <w:trPr>
          <w:trHeight w:val="455"/>
        </w:trPr>
        <w:tc>
          <w:tcPr>
            <w:tcW w:w="2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140" w:type="dxa"/>
            <w:vAlign w:val="bottom"/>
            <w:gridSpan w:val="3"/>
          </w:tcPr>
          <w:p>
            <w:pPr>
              <w:jc w:val="center"/>
              <w:ind w:right="660"/>
              <w:spacing w:after="0"/>
              <w:rPr>
                <w:sz w:val="20"/>
                <w:szCs w:val="20"/>
                <w:color w:val="auto"/>
              </w:rPr>
            </w:pPr>
            <w:r>
              <w:rPr>
                <w:rFonts w:ascii="Arial" w:cs="Arial" w:eastAsia="Arial" w:hAnsi="Arial"/>
                <w:sz w:val="22"/>
                <w:szCs w:val="22"/>
                <w:color w:val="auto"/>
                <w:w w:val="88"/>
              </w:rPr>
              <w:t>By /s/ Todd Gleason</w:t>
            </w:r>
          </w:p>
        </w:tc>
      </w:tr>
      <w:tr>
        <w:trPr>
          <w:trHeight w:val="243"/>
        </w:trPr>
        <w:tc>
          <w:tcPr>
            <w:tcW w:w="3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/s/ Ramesh Nuggihalli</w:t>
            </w:r>
          </w:p>
        </w:tc>
        <w:tc>
          <w:tcPr>
            <w:tcW w:w="8140" w:type="dxa"/>
            <w:vAlign w:val="bottom"/>
            <w:gridSpan w:val="3"/>
          </w:tcPr>
          <w:p>
            <w:pPr>
              <w:jc w:val="center"/>
              <w:ind w:right="700"/>
              <w:spacing w:after="0" w:line="243" w:lineRule="exact"/>
              <w:rPr>
                <w:sz w:val="20"/>
                <w:szCs w:val="20"/>
                <w:color w:val="auto"/>
              </w:rPr>
            </w:pPr>
            <w:r>
              <w:rPr>
                <w:rFonts w:ascii="Arial" w:cs="Arial" w:eastAsia="Arial" w:hAnsi="Arial"/>
                <w:sz w:val="22"/>
                <w:szCs w:val="22"/>
                <w:color w:val="auto"/>
                <w:w w:val="86"/>
              </w:rPr>
              <w:t>Todd Gleason</w:t>
            </w:r>
          </w:p>
        </w:tc>
      </w:tr>
      <w:tr>
        <w:trPr>
          <w:trHeight w:val="274"/>
        </w:trPr>
        <w:tc>
          <w:tcPr>
            <w:tcW w:w="3100" w:type="dxa"/>
            <w:vAlign w:val="bottom"/>
            <w:gridSpan w:val="2"/>
          </w:tcPr>
          <w:p>
            <w:pPr>
              <w:ind w:left="160"/>
              <w:spacing w:after="0"/>
              <w:rPr>
                <w:sz w:val="20"/>
                <w:szCs w:val="20"/>
                <w:color w:val="auto"/>
              </w:rPr>
            </w:pPr>
            <w:r>
              <w:rPr>
                <w:rFonts w:ascii="Arial" w:cs="Arial" w:eastAsia="Arial" w:hAnsi="Arial"/>
                <w:sz w:val="22"/>
                <w:szCs w:val="22"/>
                <w:color w:val="auto"/>
              </w:rPr>
              <w:t>Signature of Executive</w:t>
            </w:r>
          </w:p>
        </w:tc>
        <w:tc>
          <w:tcPr>
            <w:tcW w:w="8140" w:type="dxa"/>
            <w:vAlign w:val="bottom"/>
            <w:gridSpan w:val="3"/>
          </w:tcPr>
          <w:p>
            <w:pPr>
              <w:jc w:val="center"/>
              <w:ind w:left="72"/>
              <w:spacing w:after="0"/>
              <w:rPr>
                <w:sz w:val="20"/>
                <w:szCs w:val="20"/>
                <w:color w:val="auto"/>
              </w:rPr>
            </w:pPr>
            <w:r>
              <w:rPr>
                <w:rFonts w:ascii="Arial" w:cs="Arial" w:eastAsia="Arial" w:hAnsi="Arial"/>
                <w:sz w:val="22"/>
                <w:szCs w:val="22"/>
                <w:color w:val="auto"/>
                <w:w w:val="92"/>
              </w:rPr>
              <w:t>Chief Executive Officer</w:t>
            </w:r>
          </w:p>
        </w:tc>
      </w:tr>
      <w:tr>
        <w:trPr>
          <w:trHeight w:val="678"/>
        </w:trPr>
        <w:tc>
          <w:tcPr>
            <w:tcW w:w="2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w w:val="87"/>
              </w:rPr>
              <w:t>8/22/2023</w:t>
            </w:r>
          </w:p>
        </w:tc>
        <w:tc>
          <w:tcPr>
            <w:tcW w:w="5000" w:type="dxa"/>
            <w:vAlign w:val="bottom"/>
          </w:tcPr>
          <w:p>
            <w:pPr>
              <w:spacing w:after="0"/>
              <w:rPr>
                <w:sz w:val="24"/>
                <w:szCs w:val="24"/>
                <w:color w:val="auto"/>
              </w:rPr>
            </w:pPr>
          </w:p>
        </w:tc>
        <w:tc>
          <w:tcPr>
            <w:tcW w:w="3140" w:type="dxa"/>
            <w:vAlign w:val="bottom"/>
            <w:gridSpan w:val="2"/>
          </w:tcPr>
          <w:p>
            <w:pPr>
              <w:jc w:val="right"/>
              <w:ind w:right="2260"/>
              <w:spacing w:after="0"/>
              <w:rPr>
                <w:sz w:val="20"/>
                <w:szCs w:val="20"/>
                <w:color w:val="auto"/>
              </w:rPr>
            </w:pPr>
            <w:r>
              <w:rPr>
                <w:rFonts w:ascii="Arial" w:cs="Arial" w:eastAsia="Arial" w:hAnsi="Arial"/>
                <w:sz w:val="22"/>
                <w:szCs w:val="22"/>
                <w:color w:val="auto"/>
                <w:w w:val="87"/>
              </w:rPr>
              <w:t>8/21/2023</w:t>
            </w:r>
          </w:p>
        </w:tc>
      </w:tr>
      <w:tr>
        <w:trPr>
          <w:trHeight w:val="273"/>
        </w:trPr>
        <w:tc>
          <w:tcPr>
            <w:tcW w:w="2220" w:type="dxa"/>
            <w:vAlign w:val="bottom"/>
          </w:tcPr>
          <w:p>
            <w:pPr>
              <w:ind w:left="1140"/>
              <w:spacing w:after="0"/>
              <w:rPr>
                <w:sz w:val="20"/>
                <w:szCs w:val="20"/>
                <w:color w:val="auto"/>
              </w:rPr>
            </w:pPr>
            <w:r>
              <w:rPr>
                <w:rFonts w:ascii="Arial" w:cs="Arial" w:eastAsia="Arial" w:hAnsi="Arial"/>
                <w:sz w:val="22"/>
                <w:szCs w:val="22"/>
                <w:color w:val="auto"/>
              </w:rPr>
              <w:t>Date</w:t>
            </w:r>
          </w:p>
        </w:tc>
        <w:tc>
          <w:tcPr>
            <w:tcW w:w="880" w:type="dxa"/>
            <w:vAlign w:val="bottom"/>
            <w:tcBorders>
              <w:top w:val="single" w:sz="8" w:color="auto"/>
            </w:tcBorders>
          </w:tcPr>
          <w:p>
            <w:pPr>
              <w:spacing w:after="0"/>
              <w:rPr>
                <w:sz w:val="23"/>
                <w:szCs w:val="23"/>
                <w:color w:val="auto"/>
              </w:rPr>
            </w:pPr>
          </w:p>
        </w:tc>
        <w:tc>
          <w:tcPr>
            <w:tcW w:w="5000" w:type="dxa"/>
            <w:vAlign w:val="bottom"/>
          </w:tcPr>
          <w:p>
            <w:pPr>
              <w:jc w:val="center"/>
              <w:ind w:left="3272"/>
              <w:spacing w:after="0"/>
              <w:rPr>
                <w:sz w:val="20"/>
                <w:szCs w:val="20"/>
                <w:color w:val="auto"/>
              </w:rPr>
            </w:pPr>
            <w:r>
              <w:rPr>
                <w:rFonts w:ascii="Arial" w:cs="Arial" w:eastAsia="Arial" w:hAnsi="Arial"/>
                <w:sz w:val="22"/>
                <w:szCs w:val="22"/>
                <w:color w:val="auto"/>
                <w:w w:val="90"/>
              </w:rPr>
              <w:t>Date</w:t>
            </w:r>
          </w:p>
        </w:tc>
        <w:tc>
          <w:tcPr>
            <w:tcW w:w="880" w:type="dxa"/>
            <w:vAlign w:val="bottom"/>
            <w:tcBorders>
              <w:top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1495"/>
        </w:trPr>
        <w:tc>
          <w:tcPr>
            <w:tcW w:w="2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OMITTED SCHEDULE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EXHIBIT A: Accelerated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t>EXECUTIVE SEPARATION AGREEMENT AND RELEASE</w:t>
      </w:r>
    </w:p>
    <w:p>
      <w:pPr>
        <w:spacing w:after="0" w:line="212" w:lineRule="exact"/>
        <w:rPr>
          <w:sz w:val="20"/>
          <w:szCs w:val="20"/>
          <w:color w:val="auto"/>
        </w:rPr>
      </w:pPr>
    </w:p>
    <w:p>
      <w:pPr>
        <w:ind w:firstLine="1497"/>
        <w:spacing w:after="0" w:line="328" w:lineRule="auto"/>
        <w:rPr>
          <w:sz w:val="20"/>
          <w:szCs w:val="20"/>
          <w:color w:val="auto"/>
        </w:rPr>
      </w:pPr>
      <w:r>
        <w:rPr>
          <w:rFonts w:ascii="Arial" w:cs="Arial" w:eastAsia="Arial" w:hAnsi="Arial"/>
          <w:sz w:val="19"/>
          <w:szCs w:val="19"/>
          <w:color w:val="auto"/>
        </w:rPr>
        <w:t>THIS EXECUTIVE SEPARATION AGREEMENT AND RELEASE (the “Agreement”) by and between CECO Environmental Corp. (the “Company”) and Paul Gohr (the “Executive”) is made as of September 1, 2023 (the “Effective Date”).</w:t>
      </w:r>
    </w:p>
    <w:p>
      <w:pPr>
        <w:spacing w:after="0" w:line="105" w:lineRule="exact"/>
        <w:rPr>
          <w:sz w:val="20"/>
          <w:szCs w:val="20"/>
          <w:color w:val="auto"/>
        </w:rPr>
      </w:pPr>
    </w:p>
    <w:p>
      <w:pPr>
        <w:ind w:right="600" w:firstLine="1497"/>
        <w:spacing w:after="0"/>
        <w:rPr>
          <w:sz w:val="20"/>
          <w:szCs w:val="20"/>
          <w:color w:val="auto"/>
        </w:rPr>
      </w:pPr>
      <w:r>
        <w:rPr>
          <w:rFonts w:ascii="Arial" w:cs="Arial" w:eastAsia="Arial" w:hAnsi="Arial"/>
          <w:sz w:val="22"/>
          <w:szCs w:val="22"/>
          <w:color w:val="auto"/>
        </w:rPr>
        <w:t>WHEREAS, the Company has decided to terminate the Executive’s employment as the Company’s Chief Accounting Officer, and the Company and the Executive have mutually agreed to the following satisfactory severance arrangements.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NOW, THEREFORE, in consideration of this mutual Agreement, the Company and the Executive hereby agree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ind w:firstLine="757"/>
        <w:spacing w:after="0" w:line="246" w:lineRule="auto"/>
        <w:tabs>
          <w:tab w:leader="none" w:pos="101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Departure</w:t>
      </w:r>
      <w:r>
        <w:rPr>
          <w:rFonts w:ascii="Arial" w:cs="Arial" w:eastAsia="Arial" w:hAnsi="Arial"/>
          <w:sz w:val="21"/>
          <w:szCs w:val="21"/>
          <w:color w:val="auto"/>
        </w:rPr>
        <w:t>. Executive’s duties as Chief Accounting Officer shall conclude on September 1, 2023 (the “Departure Date”) and Executive’s employment with the Company shall cease on the Departure Date. The Company shall be deemed to have satisfied the notice requirements for a termination of the Executive’s employment to be effective as of the Departure Date under Section 4(a) of the Company’s Executive Change in Control Severance Plan (the “Plan”) with effective date March 3, 2023 (a copy attached hereto) in which the Executive is a Participant (as defined in the Plan). For the avoidance of doubt, Executive was not approved as a Participant in the Company’s Amended and Restated Executive Change in Control Severance Plan that became effective July 6, 2023.</w:t>
      </w:r>
    </w:p>
    <w:p>
      <w:pPr>
        <w:spacing w:after="0" w:line="184" w:lineRule="exact"/>
        <w:rPr>
          <w:rFonts w:ascii="Arial" w:cs="Arial" w:eastAsia="Arial" w:hAnsi="Arial"/>
          <w:sz w:val="21"/>
          <w:szCs w:val="21"/>
          <w:color w:val="auto"/>
        </w:rPr>
      </w:pPr>
    </w:p>
    <w:p>
      <w:pPr>
        <w:jc w:val="both"/>
        <w:ind w:right="340" w:firstLine="757"/>
        <w:spacing w:after="0" w:line="257" w:lineRule="auto"/>
        <w:tabs>
          <w:tab w:leader="none" w:pos="101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Departure Payments</w:t>
      </w:r>
      <w:r>
        <w:rPr>
          <w:rFonts w:ascii="Arial" w:cs="Arial" w:eastAsia="Arial" w:hAnsi="Arial"/>
          <w:sz w:val="21"/>
          <w:szCs w:val="21"/>
          <w:color w:val="auto"/>
        </w:rPr>
        <w:t>. The Company will provide the Executive with the following compensation, provided, in the case of paragraphs (b)-(f), that the Executive has timely executed and not revoked the Release (as defined in Section 6 of this Agreement) and provided further that the Executive does not violate Section 5 of this Agreement:</w:t>
      </w:r>
    </w:p>
    <w:p>
      <w:pPr>
        <w:spacing w:after="0" w:line="169" w:lineRule="exact"/>
        <w:rPr>
          <w:rFonts w:ascii="Arial" w:cs="Arial" w:eastAsia="Arial" w:hAnsi="Arial"/>
          <w:sz w:val="21"/>
          <w:szCs w:val="21"/>
          <w:color w:val="auto"/>
        </w:rPr>
      </w:pPr>
    </w:p>
    <w:p>
      <w:pPr>
        <w:ind w:left="760" w:right="120" w:firstLine="745"/>
        <w:spacing w:after="0" w:line="297" w:lineRule="auto"/>
        <w:tabs>
          <w:tab w:leader="none" w:pos="2048"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Company will pay the Executive, in a lump sum in cash within 30 days after the Departure Date, the Executive’s annual base salary earned through the Departure Date to the extent not theretofore paid, less applicable withholding taxes and other deductions required by applicable law or authorized by the Executive.</w:t>
      </w:r>
    </w:p>
    <w:p>
      <w:pPr>
        <w:spacing w:after="0" w:line="133" w:lineRule="exact"/>
        <w:rPr>
          <w:rFonts w:ascii="Arial" w:cs="Arial" w:eastAsia="Arial" w:hAnsi="Arial"/>
          <w:sz w:val="19"/>
          <w:szCs w:val="19"/>
          <w:color w:val="auto"/>
        </w:rPr>
      </w:pPr>
    </w:p>
    <w:p>
      <w:pPr>
        <w:ind w:left="2040" w:hanging="535"/>
        <w:spacing w:after="0"/>
        <w:tabs>
          <w:tab w:leader="none" w:pos="2040"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Company will pay the Executive One Hundred Twenty-Four Thousand Eight Hundred Dollars</w:t>
      </w:r>
    </w:p>
    <w:p>
      <w:pPr>
        <w:spacing w:after="0" w:line="20" w:lineRule="exact"/>
        <w:rPr>
          <w:sz w:val="20"/>
          <w:szCs w:val="20"/>
          <w:color w:val="auto"/>
        </w:rPr>
      </w:pPr>
    </w:p>
    <w:p>
      <w:pPr>
        <w:ind w:left="760" w:right="160"/>
        <w:spacing w:after="0" w:line="287" w:lineRule="auto"/>
        <w:rPr>
          <w:sz w:val="20"/>
          <w:szCs w:val="20"/>
          <w:color w:val="auto"/>
        </w:rPr>
      </w:pPr>
      <w:r>
        <w:rPr>
          <w:rFonts w:ascii="Arial" w:cs="Arial" w:eastAsia="Arial" w:hAnsi="Arial"/>
          <w:sz w:val="19"/>
          <w:szCs w:val="19"/>
          <w:color w:val="auto"/>
        </w:rPr>
        <w:t>($124,800) in a lump sum in cash, less applicable withholding taxes and other deductions required by applicable law or authorized by the Executive, representing 26 weeks of the Executive’s base salary as of the Departure Date, which amount will be paid to the Executive as soon as practicable (but no later than 74 days) following the Departure Date.</w:t>
      </w:r>
    </w:p>
    <w:p>
      <w:pPr>
        <w:spacing w:after="0" w:line="143" w:lineRule="exact"/>
        <w:rPr>
          <w:sz w:val="20"/>
          <w:szCs w:val="20"/>
          <w:color w:val="auto"/>
        </w:rPr>
      </w:pPr>
    </w:p>
    <w:p>
      <w:pPr>
        <w:ind w:left="760" w:right="200" w:firstLine="745"/>
        <w:spacing w:after="0" w:line="252" w:lineRule="auto"/>
        <w:tabs>
          <w:tab w:leader="none" w:pos="2048"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Company will pay the Executive a lump sum amount equal to Twenty Thousand Dollars ($20,000), less applicable withholding taxes and other deductions required by applicable law or authorized by the Executive, to enable the Executive to obtain executive-level outplacement services, the Company will pay this amount to the Executive as soon as practicable (but no later than 74 days) following the Departure Date.</w:t>
      </w:r>
    </w:p>
    <w:p>
      <w:pPr>
        <w:spacing w:after="0" w:line="173" w:lineRule="exact"/>
        <w:rPr>
          <w:rFonts w:ascii="Arial" w:cs="Arial" w:eastAsia="Arial" w:hAnsi="Arial"/>
          <w:sz w:val="21"/>
          <w:szCs w:val="21"/>
          <w:color w:val="auto"/>
        </w:rPr>
      </w:pPr>
    </w:p>
    <w:p>
      <w:pPr>
        <w:ind w:left="760" w:right="100" w:firstLine="745"/>
        <w:spacing w:after="0" w:line="250" w:lineRule="auto"/>
        <w:tabs>
          <w:tab w:leader="none" w:pos="2048"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the Executive timely elects continuation coverage under the Company’s health, dental and vision plans pursuant to the Consolidated Omnibus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6" w:name="page47"/>
    <w:bookmarkEnd w:id="46"/>
    <w:p>
      <w:pPr>
        <w:ind w:left="760" w:right="20"/>
        <w:spacing w:after="0" w:line="248" w:lineRule="auto"/>
        <w:rPr>
          <w:sz w:val="20"/>
          <w:szCs w:val="20"/>
          <w:color w:val="auto"/>
        </w:rPr>
      </w:pPr>
      <w:r>
        <w:rPr>
          <w:rFonts w:ascii="Arial" w:cs="Arial" w:eastAsia="Arial" w:hAnsi="Arial"/>
          <w:sz w:val="21"/>
          <w:szCs w:val="21"/>
          <w:color w:val="auto"/>
        </w:rPr>
        <w:t>Reconciliation Act of 1985 (COBRA), the Company will pay to the insurance carrier for the Executive’s benefit the Company’s subsidy toward the cost of medical coverage for similarly situated active executives enrolled in the same coverage in which the Executive was enrolled at the time of the Departure Date for a period not to exceed 6 months from the Departure Date. The total lump sum for six months would be $14,362.44 for medical, dental, vision for the plan Executive was enrolled in at the time of the Departure Date (Employee plus Family). The Company’s payment of such subsidy will be treated as a taxable payment to the Executive.</w:t>
      </w:r>
    </w:p>
    <w:p>
      <w:pPr>
        <w:spacing w:after="0" w:line="177" w:lineRule="exact"/>
        <w:rPr>
          <w:sz w:val="20"/>
          <w:szCs w:val="20"/>
          <w:color w:val="auto"/>
        </w:rPr>
      </w:pPr>
    </w:p>
    <w:p>
      <w:pPr>
        <w:ind w:left="760" w:hanging="3"/>
        <w:spacing w:after="0" w:line="275" w:lineRule="auto"/>
        <w:tabs>
          <w:tab w:leader="none" w:pos="1029" w:val="left"/>
        </w:tabs>
        <w:numPr>
          <w:ilvl w:val="0"/>
          <w:numId w:val="28"/>
        </w:numPr>
        <w:rPr>
          <w:rFonts w:ascii="Arial" w:cs="Arial" w:eastAsia="Arial" w:hAnsi="Arial"/>
          <w:sz w:val="19"/>
          <w:szCs w:val="19"/>
          <w:color w:val="auto"/>
        </w:rPr>
      </w:pPr>
      <w:r>
        <w:rPr>
          <w:rFonts w:ascii="Arial" w:cs="Arial" w:eastAsia="Arial" w:hAnsi="Arial"/>
          <w:sz w:val="19"/>
          <w:szCs w:val="19"/>
          <w:color w:val="auto"/>
        </w:rPr>
        <w:t>Provided the Company determines in good faith that Executive has fulfilled all of the Executive’s transition duties, the Company shall pay to the Executive a lump sum cash amount equal to (i) the product obtained by multiplying (A) the full year annual bonus that the Executive would have earned had the Executive remained employed through the end of the fiscal year in which the Departure Date occurs, assuming target performance under the applicable performance targets has been met, by (B) a fraction, the numerator of which is the total number of days that have elapsed during the fiscal year through the Departure Date and the denominator of which is 365 less (ii) applicable withholding taxes and other and other deductions required by applicable law or authorized by the Executive. The amount, calculated to be $66,473 (gross), will be payable as soon as practicable (but no later than 74 days) following the Departure Date.</w:t>
      </w:r>
    </w:p>
    <w:p>
      <w:pPr>
        <w:spacing w:after="0" w:line="157" w:lineRule="exact"/>
        <w:rPr>
          <w:rFonts w:ascii="Arial" w:cs="Arial" w:eastAsia="Arial" w:hAnsi="Arial"/>
          <w:sz w:val="19"/>
          <w:szCs w:val="19"/>
          <w:color w:val="auto"/>
        </w:rPr>
      </w:pPr>
    </w:p>
    <w:p>
      <w:pPr>
        <w:jc w:val="both"/>
        <w:ind w:left="760" w:right="100" w:hanging="3"/>
        <w:spacing w:after="0" w:line="287" w:lineRule="auto"/>
        <w:tabs>
          <w:tab w:leader="none" w:pos="1029"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 lieu of and notwithstanding the default treatment set forth in the award agreements applicable to the service-based restricted stock unit awards granted to the Executive in 2020, 2021 and 2022 that remain unvested and outstanding as of the Departure Date (the “RSUs”), as set forth on Exhibit A, such RSUs shall accelerate and be deemed vested as of the Departure Date, and shall be settled in shares not later than March 15, 2024.</w:t>
      </w:r>
    </w:p>
    <w:p>
      <w:pPr>
        <w:spacing w:after="0" w:line="143" w:lineRule="exact"/>
        <w:rPr>
          <w:sz w:val="20"/>
          <w:szCs w:val="20"/>
          <w:color w:val="auto"/>
        </w:rPr>
      </w:pPr>
    </w:p>
    <w:p>
      <w:pPr>
        <w:ind w:firstLine="757"/>
        <w:spacing w:after="0" w:line="274" w:lineRule="auto"/>
        <w:tabs>
          <w:tab w:leader="none" w:pos="101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Obligations of Executive at Departure</w:t>
      </w:r>
      <w:r>
        <w:rPr>
          <w:rFonts w:ascii="Arial" w:cs="Arial" w:eastAsia="Arial" w:hAnsi="Arial"/>
          <w:sz w:val="19"/>
          <w:szCs w:val="19"/>
          <w:color w:val="auto"/>
        </w:rPr>
        <w:t>. Executive hereby resigns as an officer or director of any subsidiaries of the Company or any other position held with the Company or its subsidiaries effective as of the Departure Date and represents and warrants that Executive will, on or before the Departure Date, execute such documentation as the Company deems necessary with respect to such resignations. Executive further represents and warrants that Executive will, on or before such date, deliver to the Company the original and all copies of all documents, records, and property of any nature whatsoever which are in Executive’s possession or control and which are the property of the Company or which relate to Confidential Information (as described below), or to the business activities, facilities, employees, vendors, suppliers or customers of the Company, including any records (electronic or otherwise), documents or property created by the Executive, and shall permanently delete (and not retain copies of) any such records maintained on the Executive’s personal devices.</w:t>
      </w:r>
    </w:p>
    <w:p>
      <w:pPr>
        <w:spacing w:after="0" w:line="158" w:lineRule="exact"/>
        <w:rPr>
          <w:rFonts w:ascii="Arial" w:cs="Arial" w:eastAsia="Arial" w:hAnsi="Arial"/>
          <w:sz w:val="19"/>
          <w:szCs w:val="19"/>
          <w:color w:val="auto"/>
        </w:rPr>
      </w:pPr>
    </w:p>
    <w:p>
      <w:pPr>
        <w:ind w:right="20" w:firstLine="757"/>
        <w:spacing w:after="0" w:line="287" w:lineRule="auto"/>
        <w:tabs>
          <w:tab w:leader="none" w:pos="101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Except as provided below, this Agreement constitutes the entire agreement between the Company and the Executive with respect to the matters addressed herein, including but not limited to the Executive’s termination of employment from the Company, and it fully supersedes any and all prior agreements or understandings, written or oral, including any notice periods contained therein, between the Executive and the Company, including, but not limited to, the Plan, except that: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ind w:left="2260" w:right="180" w:hanging="755"/>
        <w:spacing w:after="0" w:line="250" w:lineRule="auto"/>
        <w:tabs>
          <w:tab w:leader="none" w:pos="2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Agreement does not affect the restrictive covenants set forth in Section 9 of the Plan, which shall remain in effect as binding obligations in accordance with their terms.</w:t>
      </w:r>
    </w:p>
    <w:p>
      <w:pPr>
        <w:spacing w:after="0" w:line="174" w:lineRule="exact"/>
        <w:rPr>
          <w:rFonts w:ascii="Arial" w:cs="Arial" w:eastAsia="Arial" w:hAnsi="Arial"/>
          <w:sz w:val="22"/>
          <w:szCs w:val="22"/>
          <w:color w:val="auto"/>
        </w:rPr>
      </w:pPr>
    </w:p>
    <w:p>
      <w:pPr>
        <w:ind w:left="2260" w:right="140" w:hanging="755"/>
        <w:spacing w:after="0"/>
        <w:tabs>
          <w:tab w:leader="none" w:pos="2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Agreement does not limit or restrict in any way Executive’s existing rights or obligations under the Company’s employee benefit plans (other than the Plan), including any retirement plan, retirement savings plan, or group medical plan.</w:t>
      </w:r>
    </w:p>
    <w:p>
      <w:pPr>
        <w:spacing w:after="0" w:line="186" w:lineRule="exact"/>
        <w:rPr>
          <w:rFonts w:ascii="Arial" w:cs="Arial" w:eastAsia="Arial" w:hAnsi="Arial"/>
          <w:sz w:val="22"/>
          <w:szCs w:val="22"/>
          <w:color w:val="auto"/>
        </w:rPr>
      </w:pPr>
    </w:p>
    <w:p>
      <w:pPr>
        <w:ind w:right="140" w:firstLine="757"/>
        <w:spacing w:after="0" w:line="250" w:lineRule="auto"/>
        <w:tabs>
          <w:tab w:leader="none" w:pos="101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Executive acknowledges and agrees to comply with the restrictive covenants set forth in Section 9 of the Plan.</w:t>
      </w:r>
    </w:p>
    <w:p>
      <w:pPr>
        <w:spacing w:after="0" w:line="174" w:lineRule="exact"/>
        <w:rPr>
          <w:rFonts w:ascii="Arial" w:cs="Arial" w:eastAsia="Arial" w:hAnsi="Arial"/>
          <w:sz w:val="22"/>
          <w:szCs w:val="22"/>
          <w:color w:val="auto"/>
        </w:rPr>
      </w:pPr>
    </w:p>
    <w:p>
      <w:pPr>
        <w:ind w:left="1020" w:hanging="263"/>
        <w:spacing w:after="0"/>
        <w:tabs>
          <w:tab w:leader="none" w:pos="10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In accordance with Section 8(a) of the Plan:</w:t>
      </w:r>
    </w:p>
    <w:p>
      <w:pPr>
        <w:spacing w:after="0" w:line="206" w:lineRule="exact"/>
        <w:rPr>
          <w:rFonts w:ascii="Arial" w:cs="Arial" w:eastAsia="Arial" w:hAnsi="Arial"/>
          <w:sz w:val="22"/>
          <w:szCs w:val="22"/>
          <w:color w:val="auto"/>
        </w:rPr>
      </w:pPr>
    </w:p>
    <w:p>
      <w:pPr>
        <w:ind w:left="2260" w:hanging="755"/>
        <w:spacing w:after="0" w:line="267" w:lineRule="auto"/>
        <w:tabs>
          <w:tab w:leader="none" w:pos="22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 consideration of the promises and covenants made herein, the Executive, for the Executive, the Executive’s heirs, executors, administrators, successors and assigns, does hereby RELEASE, ACQUIT AND FOREVER DISCHARGE the Company, and each of its parents, subsidiaries, related and affiliated corporations or other entities, and each of their respective present or former officers, directors, shareholders, employees, agents, representatives, successors and assigns (all of whom are hereinafter collectively referred to as "Releasees") from any and all claims, demands, causes of action and liabilities of any kind or character, accrued or to accrue hereafter, which the Executive ever had, now has or may hereafter have against Releasees, through the Departure Date, arising out of any act, omission, statement, representation, transaction or occurrence, including, without limitation, those related to the Executive’s employment by the Company or the termination thereof. Without limiting the generality of the foregoing, it is understood and agreed that this Release constitutes a release of any claim or cause of action: (i) for breach of any employment, commission or other agreement existing between the Executive and the Company, all of which are hereby acknowledged to have terminated, except as otherwise stated herein; or (ii) otherwise related, in any way, to the Executive’s employment by the Company, including the termination thereof, and includes, without limitation, claims under any of the following, as amended: Title VII of the Civil Rights Act of 1964; the Americans with Disabilities Act of 1990; the Age Discrimination in Employment Act; the Older Workers Benefit Protection Act; the Equal Pay Act; the Anti-Retaliation provision of the Texas Workers Compensation Act; the Fair Labor Standards Act; the Texas Pay Day Law; the Texas Labor Code; the Ohio Civil Rights Act (OCRA) (R.C. 4112.01 to 4112.99); the Ohio Whistleblowers' Protection Act (R.C. 4113.51 to</w:t>
      </w:r>
    </w:p>
    <w:p>
      <w:pPr>
        <w:spacing w:after="0" w:line="16" w:lineRule="exact"/>
        <w:rPr>
          <w:rFonts w:ascii="Arial" w:cs="Arial" w:eastAsia="Arial" w:hAnsi="Arial"/>
          <w:sz w:val="19"/>
          <w:szCs w:val="19"/>
          <w:color w:val="auto"/>
        </w:rPr>
      </w:pPr>
    </w:p>
    <w:p>
      <w:pPr>
        <w:ind w:left="2260" w:right="380"/>
        <w:spacing w:after="0" w:line="233" w:lineRule="auto"/>
        <w:rPr>
          <w:rFonts w:ascii="Arial" w:cs="Arial" w:eastAsia="Arial" w:hAnsi="Arial"/>
          <w:sz w:val="19"/>
          <w:szCs w:val="19"/>
          <w:color w:val="auto"/>
        </w:rPr>
      </w:pPr>
      <w:r>
        <w:rPr>
          <w:rFonts w:ascii="Arial" w:cs="Arial" w:eastAsia="Arial" w:hAnsi="Arial"/>
          <w:sz w:val="22"/>
          <w:szCs w:val="22"/>
          <w:color w:val="auto"/>
        </w:rPr>
        <w:t>4113.53); the Ohio Minimum Fair Wage Standards Act (R.C. 4111.01 to 4111.99); Ohio's equal pay statute (R.C. 4111.17); Ohio's Miscellaneous Labor Provisions (R.C. 4113.01 to 4113.99) Ohio's workers' compensation retaliation statute (R.C. 4123.90); the Family and Medical Leave Act; the Occupational Safety and Health Act; the National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ind w:left="2260"/>
        <w:spacing w:after="0" w:line="271" w:lineRule="auto"/>
        <w:rPr>
          <w:sz w:val="20"/>
          <w:szCs w:val="20"/>
          <w:color w:val="auto"/>
        </w:rPr>
      </w:pPr>
      <w:r>
        <w:rPr>
          <w:rFonts w:ascii="Arial" w:cs="Arial" w:eastAsia="Arial" w:hAnsi="Arial"/>
          <w:sz w:val="19"/>
          <w:szCs w:val="19"/>
          <w:color w:val="auto"/>
        </w:rPr>
        <w:t>Labor Relations Act; the Fair Credit Reporting Act; the Rehabilitation Act; the Employee Retirement Income Security Act of 1974 (ERISA); the Consolidated Omnibus Budget Reconciliation Act of 1985 (COBRA); the Sarbanes-Oxley Act of 2002; the Employee Polygraph Protection Act; the Financial Institutions Reform, Recovery and Enforcement Act; the Uniform Services Employment and Reemployment Rights Act of 1994; and any other state or federal statute or regulation governing the employment relationship or the Executive's rights, or the Company's obligations, in connection therewith. This release also includes a release of any claim or right to further wages, compensation, benefits, damages, penalties, attorneys’ fees, costs, or expenses of any kind from the Company or any of the other Releasees, except as provided for in this Agreement. This release also constitutes a release of any claim or cause of action for invasion of privacy, intentional or negligent infliction of emotional distress, wrongful termination, promissory estoppel, false imprisonment, defamation, negligence, gross negligence, breach of contract, libel or slander, tortious interference with contract or business relationship, misrepresentation, deceptive trade practices, fraud, and any employment-related claims, or for any personal injuries, however characterized, or by virtue of any fact(s), act(s) or event(s) occurring prior to the date of this Agreement. This release covers both claims that the Executive knows about and those the Executive may not know about.</w:t>
      </w:r>
    </w:p>
    <w:p>
      <w:pPr>
        <w:spacing w:after="0" w:line="151" w:lineRule="exact"/>
        <w:rPr>
          <w:sz w:val="20"/>
          <w:szCs w:val="20"/>
          <w:color w:val="auto"/>
        </w:rPr>
      </w:pPr>
    </w:p>
    <w:p>
      <w:pPr>
        <w:ind w:left="2260" w:right="20" w:hanging="755"/>
        <w:spacing w:after="0" w:line="244" w:lineRule="auto"/>
        <w:tabs>
          <w:tab w:leader="none" w:pos="226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THE EXECUTIVE UNDERSTANDS THAT BY SIGNING AND NOT REVOKING THIS RELEASE, THE EXECUTIVE IS WAIVING ANY AND ALL RIGHTS OR CLAIMS WHICH THE EXECUTIVE MAY HAVE UNDER THE AGE DISCRIMINATION IN EMPLOYMENT ACT AND/OR THE OLDER WORKERS BENEFIT PROTECTION ACT (“OWBPA”) FOR AGE DISCRIMINATION ARISING FROM EMPLOYMENT WITH THE COMPANY, INCLUDING, WITHOUT LIMITATION, THE RIGHT TO SUE THE COMPANY IN FEDERAL OR STATE COURT FOR AGE DISCRIMINATION. THE EXECUTIVE FURTHER ACKNOWLEDGES THAT THE EXECUTIVE: (1) DOES NOT WAIVE ANY CLAIMS OR RIGHTS THAT MAY ARISE AFTER THE DATE THE AGREEMENT IS EXECUTED; (2) WAIVES CLAIMS OR RIGHTS ONLY IN EXCHANGE FOR CONSIDERATION IN ADDITION TO ANYTHING OF VALUE TO WHICH THE EXECUTIVE IS ALREADY ENTITLED; (3) HAS BEEN ADVISED BY THE COMPANY IN WRITING OF THE EXECUTIVE’S RIGHT TO CONSULT WITH AN ATTORNEY BEFORE SIGNING THIS RELEASE; AND (4) AGREES THAT THIS AGREEMENT IS WRITTEN IN A MANNER CALCULATED TO BE UNDERSTOOD BY THE EXECUTIVE, AND THE EXECUTIVE, IN FACT, UNDERSTANDS THE TERMS, CONTENTS, CONDITIONS, AND EFFECTS OF THIS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49" w:name="page50"/>
    <w:bookmarkEnd w:id="49"/>
    <w:p>
      <w:pPr>
        <w:ind w:left="2260" w:right="760"/>
        <w:spacing w:after="0" w:line="256" w:lineRule="auto"/>
        <w:rPr>
          <w:sz w:val="20"/>
          <w:szCs w:val="20"/>
          <w:color w:val="auto"/>
        </w:rPr>
      </w:pPr>
      <w:r>
        <w:rPr>
          <w:rFonts w:ascii="Arial" w:cs="Arial" w:eastAsia="Arial" w:hAnsi="Arial"/>
          <w:sz w:val="22"/>
          <w:szCs w:val="22"/>
          <w:b w:val="1"/>
          <w:bCs w:val="1"/>
          <w:color w:val="auto"/>
        </w:rPr>
        <w:t>AGREEMENT, AND HAS ENTERED INTO THIS AGREEMENT KNOWINGLY AND VOLUNTARILY.</w:t>
      </w:r>
    </w:p>
    <w:p>
      <w:pPr>
        <w:spacing w:after="0" w:line="168" w:lineRule="exact"/>
        <w:rPr>
          <w:sz w:val="20"/>
          <w:szCs w:val="20"/>
          <w:color w:val="auto"/>
        </w:rPr>
      </w:pPr>
    </w:p>
    <w:p>
      <w:pPr>
        <w:ind w:left="2260" w:right="220" w:hanging="755"/>
        <w:spacing w:after="0" w:line="277" w:lineRule="auto"/>
        <w:tabs>
          <w:tab w:leader="none" w:pos="22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Anything herein to the contrary notwithstanding, this Agreement does not constitute a release nor a waiver of the Executive’s right to file a charge or participate in an investigation or proceeding conducted by the Equal Employment Opportunity Commission, the Ohio Workforce Commission, or any other governmental agency with jurisdiction to regulate employment conditions or regulations; provided further, that the Executive does release and relinquish any right to receive any money, property, or any other thing of value, or any other financial benefit or award, as a result of any proceeding of any kind or character initiated by any such governmental agencies or organizations.</w:t>
      </w:r>
    </w:p>
    <w:p>
      <w:pPr>
        <w:spacing w:after="0" w:line="151" w:lineRule="exact"/>
        <w:rPr>
          <w:rFonts w:ascii="Arial" w:cs="Arial" w:eastAsia="Arial" w:hAnsi="Arial"/>
          <w:sz w:val="19"/>
          <w:szCs w:val="19"/>
          <w:color w:val="auto"/>
        </w:rPr>
      </w:pPr>
    </w:p>
    <w:p>
      <w:pPr>
        <w:ind w:left="2260" w:hanging="755"/>
        <w:spacing w:after="0"/>
        <w:tabs>
          <w:tab w:leader="none" w:pos="22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Executive acknowledges that the payments contemplated by Section 2 include consideration which the Executive would not be entitled to receive but for the Executive’s execution and non-revocation of this Agreement.</w:t>
      </w:r>
    </w:p>
    <w:p>
      <w:pPr>
        <w:spacing w:after="0" w:line="186" w:lineRule="exact"/>
        <w:rPr>
          <w:rFonts w:ascii="Arial" w:cs="Arial" w:eastAsia="Arial" w:hAnsi="Arial"/>
          <w:sz w:val="22"/>
          <w:szCs w:val="22"/>
          <w:color w:val="auto"/>
        </w:rPr>
      </w:pPr>
    </w:p>
    <w:p>
      <w:pPr>
        <w:ind w:left="2260" w:right="140" w:hanging="755"/>
        <w:spacing w:after="0" w:line="250" w:lineRule="auto"/>
        <w:tabs>
          <w:tab w:leader="none" w:pos="22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Executive states that the Executive has not filed or joined in any complaints, charges, lawsuits, or proceedings of any kind against the Company or any of the other Releasees.</w:t>
      </w:r>
    </w:p>
    <w:p>
      <w:pPr>
        <w:spacing w:after="0" w:line="174" w:lineRule="exact"/>
        <w:rPr>
          <w:rFonts w:ascii="Arial" w:cs="Arial" w:eastAsia="Arial" w:hAnsi="Arial"/>
          <w:sz w:val="22"/>
          <w:szCs w:val="22"/>
          <w:color w:val="auto"/>
        </w:rPr>
      </w:pPr>
    </w:p>
    <w:p>
      <w:pPr>
        <w:ind w:left="2260" w:right="40" w:hanging="755"/>
        <w:spacing w:after="0" w:line="257" w:lineRule="auto"/>
        <w:tabs>
          <w:tab w:leader="none" w:pos="2260" w:val="left"/>
        </w:tabs>
        <w:numPr>
          <w:ilvl w:val="1"/>
          <w:numId w:val="33"/>
        </w:numPr>
        <w:rPr>
          <w:rFonts w:ascii="Arial" w:cs="Arial" w:eastAsia="Arial" w:hAnsi="Arial"/>
          <w:sz w:val="21"/>
          <w:szCs w:val="21"/>
          <w:color w:val="auto"/>
        </w:rPr>
      </w:pPr>
      <w:r>
        <w:rPr>
          <w:rFonts w:ascii="Arial" w:cs="Arial" w:eastAsia="Arial" w:hAnsi="Arial"/>
          <w:sz w:val="21"/>
          <w:szCs w:val="21"/>
          <w:color w:val="auto"/>
        </w:rPr>
        <w:t>Nothing in this Agreement is meant to suggest that the Company or any of the other Releasees have violated any law, contract, policy, or practice, or that the Executive has any claim against the Company or any of the other Releasees and any such liability is expressly denied.</w:t>
      </w:r>
    </w:p>
    <w:p>
      <w:pPr>
        <w:spacing w:after="0" w:line="169" w:lineRule="exact"/>
        <w:rPr>
          <w:rFonts w:ascii="Arial" w:cs="Arial" w:eastAsia="Arial" w:hAnsi="Arial"/>
          <w:sz w:val="21"/>
          <w:szCs w:val="21"/>
          <w:color w:val="auto"/>
        </w:rPr>
      </w:pPr>
    </w:p>
    <w:p>
      <w:pPr>
        <w:ind w:right="380" w:firstLine="757"/>
        <w:spacing w:after="0" w:line="250" w:lineRule="auto"/>
        <w:tabs>
          <w:tab w:leader="none" w:pos="101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Power of Attorney</w:t>
      </w:r>
      <w:r>
        <w:rPr>
          <w:rFonts w:ascii="Arial" w:cs="Arial" w:eastAsia="Arial" w:hAnsi="Arial"/>
          <w:sz w:val="22"/>
          <w:szCs w:val="22"/>
          <w:color w:val="auto"/>
        </w:rPr>
        <w:t>. The Company hereby revokes any and all powers of attorney the Company or any subsidiary thereof may have granted the Executive during the Executive’s employment with the Company.</w:t>
      </w:r>
    </w:p>
    <w:p>
      <w:pPr>
        <w:spacing w:after="0" w:line="174" w:lineRule="exact"/>
        <w:rPr>
          <w:rFonts w:ascii="Arial" w:cs="Arial" w:eastAsia="Arial" w:hAnsi="Arial"/>
          <w:sz w:val="22"/>
          <w:szCs w:val="22"/>
          <w:color w:val="auto"/>
        </w:rPr>
      </w:pPr>
    </w:p>
    <w:p>
      <w:pPr>
        <w:ind w:right="240" w:firstLine="757"/>
        <w:spacing w:after="0" w:line="236" w:lineRule="auto"/>
        <w:tabs>
          <w:tab w:leader="none" w:pos="101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Expenses and Insurance</w:t>
      </w:r>
      <w:r>
        <w:rPr>
          <w:rFonts w:ascii="Arial" w:cs="Arial" w:eastAsia="Arial" w:hAnsi="Arial"/>
          <w:sz w:val="22"/>
          <w:szCs w:val="22"/>
          <w:color w:val="auto"/>
        </w:rPr>
        <w:t>. With respect to services provided by the Executive to the Departure Date and pursuant to this Agreement, the Company shall (a) reimburse Executive for reasonable business expenses incurred in the performance of Executive’s services, (b) maintain Director and Officer insurance coverage for the Executive consistent with that provided to other Company directors and officers, and (c) provide Executive with full indemnification as permitted by the Company’s by-laws.</w:t>
      </w:r>
    </w:p>
    <w:p>
      <w:pPr>
        <w:spacing w:after="0" w:line="187" w:lineRule="exact"/>
        <w:rPr>
          <w:rFonts w:ascii="Arial" w:cs="Arial" w:eastAsia="Arial" w:hAnsi="Arial"/>
          <w:sz w:val="22"/>
          <w:szCs w:val="22"/>
          <w:color w:val="auto"/>
        </w:rPr>
      </w:pPr>
    </w:p>
    <w:p>
      <w:pPr>
        <w:ind w:right="20" w:firstLine="757"/>
        <w:spacing w:after="0" w:line="252" w:lineRule="auto"/>
        <w:tabs>
          <w:tab w:leader="none" w:pos="101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All payments made herein or the value of all property transferred to Executive hereunder shall be subject to applicable payroll and withholding taxes. This Agreement shall be construed and administered in compliance with Section 409A of the Internal Revenue Code. The parties agree to amend the Agreement as may be necessary to avoid application of Code Section 409A excise taxes or penalties to payments made pursuant to this Agreement.</w:t>
      </w:r>
    </w:p>
    <w:p>
      <w:pPr>
        <w:spacing w:after="0" w:line="174" w:lineRule="exact"/>
        <w:rPr>
          <w:sz w:val="20"/>
          <w:szCs w:val="20"/>
          <w:color w:val="auto"/>
        </w:rPr>
      </w:pPr>
    </w:p>
    <w:p>
      <w:pPr>
        <w:ind w:right="440" w:firstLine="749"/>
        <w:spacing w:after="0" w:line="297" w:lineRule="auto"/>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one or more of the provisions of this Agreement (or any part thereof) shall for any reason be held to be invalid, illegal or unenforceable, the remaining provisions of this Agreement (or part thereof) shall be unimpaired, and the invalid, illegal or unenforceable provision (or part thereof) shall be replaced by a provision (or part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0" w:name="page51"/>
    <w:bookmarkEnd w:id="50"/>
    <w:p>
      <w:pPr>
        <w:ind w:right="40"/>
        <w:spacing w:after="0" w:line="279" w:lineRule="auto"/>
        <w:rPr>
          <w:sz w:val="20"/>
          <w:szCs w:val="20"/>
          <w:color w:val="auto"/>
        </w:rPr>
      </w:pPr>
      <w:r>
        <w:rPr>
          <w:rFonts w:ascii="Arial" w:cs="Arial" w:eastAsia="Arial" w:hAnsi="Arial"/>
          <w:sz w:val="19"/>
          <w:szCs w:val="19"/>
          <w:color w:val="auto"/>
        </w:rPr>
        <w:t>thereof), which, being valid, legal and enforceable, comes closest to the intention of the parties underlying the invalid, illegal or unenforceable provisions. However, in the event that any such provision of this Agreement (or part thereof) is adjudged by a court of competent jurisdiction to be invalid, illegal or unenforceable, but that the other provisions (or part thereof) are adjudged to be valid, legal and enforceable if such invalid, illegal or unenforceable provision (or part thereof) were deleted or modified, then this Agreement shall apply with only such deletions or modifications, or both, as the case may be, as are necessary to permit the remaining separate provisions (or part thereof) to be valid, legal and enforceable.</w:t>
      </w:r>
    </w:p>
    <w:p>
      <w:pPr>
        <w:spacing w:after="0" w:line="150" w:lineRule="exact"/>
        <w:rPr>
          <w:sz w:val="20"/>
          <w:szCs w:val="20"/>
          <w:color w:val="auto"/>
        </w:rPr>
      </w:pPr>
    </w:p>
    <w:p>
      <w:pPr>
        <w:ind w:firstLine="749"/>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the substantive laws of the State of Texas without regard to its conflict of laws provisions or the laws of any other jurisdiction in which the Executive resides or performs any duties hereunder, or where any violation of the Agreement occurs.</w:t>
      </w:r>
    </w:p>
    <w:p>
      <w:pPr>
        <w:spacing w:after="0" w:line="186" w:lineRule="exact"/>
        <w:rPr>
          <w:sz w:val="20"/>
          <w:szCs w:val="20"/>
          <w:color w:val="auto"/>
        </w:rPr>
      </w:pPr>
    </w:p>
    <w:p>
      <w:pPr>
        <w:ind w:firstLine="749"/>
        <w:spacing w:after="0" w:line="275"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Successors; Binding Agreement; Notices</w:t>
      </w:r>
      <w:r>
        <w:rPr>
          <w:rFonts w:ascii="Arial" w:cs="Arial" w:eastAsia="Arial" w:hAnsi="Arial"/>
          <w:sz w:val="19"/>
          <w:szCs w:val="19"/>
          <w:color w:val="auto"/>
        </w:rPr>
        <w:t>. The Company shall have the right to assign its obligations under this Agreement to any entity that acquires all or substantially all of the assets of the Company and continues the Company’s business. The rights and obligations of the Company under this Agreement shall inure to the benefit of and shall be binding upon the Company and its successors and assigns. The Executive may not assign the Executive’s rights or delegate the Executive’s obligations hereunder. Except as otherwise set forth under Section 15, all notices and other communications hereunder shall be in writing and shall be given by hand delivery to the other party or by registered or certified mail, return receipt requested, postage prepaid, addressed as follows: If to the Executive, at the most recent address on file at the Company. If to the Company, to CECO Environmental Corp.; 14651 North Dallas Parkway, Suite 500; Dallas, Texas, 75254; Attention: Chief Legal Officer.</w:t>
      </w:r>
    </w:p>
    <w:p>
      <w:pPr>
        <w:spacing w:after="0" w:line="157" w:lineRule="exact"/>
        <w:rPr>
          <w:sz w:val="20"/>
          <w:szCs w:val="20"/>
          <w:color w:val="auto"/>
        </w:rPr>
      </w:pPr>
    </w:p>
    <w:p>
      <w:pPr>
        <w:ind w:right="60" w:firstLine="749"/>
        <w:spacing w:after="0" w:line="235" w:lineRule="auto"/>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be amended or modified only by a written instrument executed by the Company and the Executive. No provision of this Agreement may be waived or discharged unless such waiver or discharge is in writing and signed by the Chief Executive Officer of the Company. Any failure by Executive or the Company to enforce any of the provisions of this Agreement shall not be construed to be a waiver of such provisions or any right to enforce each and every provision in the future. A waiver of any breach of this Agreement shall not be construed as a waiver of any other or subsequent breach.</w:t>
      </w:r>
    </w:p>
    <w:p>
      <w:pPr>
        <w:spacing w:after="0" w:line="188" w:lineRule="exact"/>
        <w:rPr>
          <w:sz w:val="20"/>
          <w:szCs w:val="20"/>
          <w:color w:val="auto"/>
        </w:rPr>
      </w:pPr>
    </w:p>
    <w:p>
      <w:pPr>
        <w:ind w:right="20" w:firstLine="749"/>
        <w:spacing w:after="0" w:line="273" w:lineRule="auto"/>
        <w:rPr>
          <w:sz w:val="20"/>
          <w:szCs w:val="20"/>
          <w:color w:val="auto"/>
        </w:rPr>
      </w:pPr>
      <w:r>
        <w:rPr>
          <w:rFonts w:ascii="Arial" w:cs="Arial" w:eastAsia="Arial" w:hAnsi="Arial"/>
          <w:sz w:val="19"/>
          <w:szCs w:val="19"/>
          <w:color w:val="auto"/>
        </w:rPr>
        <w:t>14.</w:t>
      </w:r>
      <w:r>
        <w:rPr>
          <w:rFonts w:ascii="Arial" w:cs="Arial" w:eastAsia="Arial" w:hAnsi="Arial"/>
          <w:sz w:val="19"/>
          <w:szCs w:val="19"/>
          <w:u w:val="single" w:color="auto"/>
          <w:color w:val="auto"/>
        </w:rPr>
        <w:t>Time Period for Enforceability/Revocation of Agreement</w:t>
      </w:r>
      <w:r>
        <w:rPr>
          <w:rFonts w:ascii="Arial" w:cs="Arial" w:eastAsia="Arial" w:hAnsi="Arial"/>
          <w:sz w:val="19"/>
          <w:szCs w:val="19"/>
          <w:color w:val="auto"/>
        </w:rPr>
        <w:t>. The Company's obligation to pay the amounts set forth in Section 2 and provide any other benefits described in this Agreement is contingent upon the Executive executing and returning this Agreement to the Company. The Executive may take up to sixty (60) days after the Departure Date, or if longer, up to twenty-one (21) day after the Executive has been provided this Agreement (such longer period, the “Consideration Period”) to consider this Agreement prior to executing it. The Executive may sign this Agreement at any time during the Consideration Period, except that the Executive may not sign this Agreement prior to the Departure Date. Any changes made to this Agreement after presentation to the Executive will not restart the running of the Consideration Period. After executing this Agreement, the Executive shall have seven (7) days during which time the Executive may revoke the Executive’s consent to this Agreement by given written or electronic notification of the decision to revoke to the Company. This Agreement will not become effective or enforceable, and the payments and benefits described herein shall not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1" w:name="page52"/>
    <w:bookmarkEnd w:id="51"/>
    <w:p>
      <w:pPr>
        <w:ind w:right="600"/>
        <w:spacing w:after="0" w:line="250" w:lineRule="auto"/>
        <w:rPr>
          <w:sz w:val="20"/>
          <w:szCs w:val="20"/>
          <w:color w:val="auto"/>
        </w:rPr>
      </w:pPr>
      <w:r>
        <w:rPr>
          <w:rFonts w:ascii="Arial" w:cs="Arial" w:eastAsia="Arial" w:hAnsi="Arial"/>
          <w:sz w:val="22"/>
          <w:szCs w:val="22"/>
          <w:color w:val="auto"/>
        </w:rPr>
        <w:t>become due, until such revocation period has expired and the Executive has not delivered a written or electronic notice of revocation.</w:t>
      </w:r>
    </w:p>
    <w:p>
      <w:pPr>
        <w:spacing w:after="0" w:line="175" w:lineRule="exact"/>
        <w:rPr>
          <w:sz w:val="20"/>
          <w:szCs w:val="20"/>
          <w:color w:val="auto"/>
        </w:rPr>
      </w:pPr>
    </w:p>
    <w:p>
      <w:pPr>
        <w:ind w:right="180" w:firstLine="749"/>
        <w:spacing w:after="0" w:line="249" w:lineRule="auto"/>
        <w:rPr>
          <w:sz w:val="20"/>
          <w:szCs w:val="20"/>
          <w:color w:val="auto"/>
        </w:rPr>
      </w:pPr>
      <w:r>
        <w:rPr>
          <w:rFonts w:ascii="Arial" w:cs="Arial" w:eastAsia="Arial" w:hAnsi="Arial"/>
          <w:sz w:val="21"/>
          <w:szCs w:val="21"/>
          <w:color w:val="auto"/>
        </w:rPr>
        <w:t>15.</w:t>
      </w:r>
      <w:r>
        <w:rPr>
          <w:rFonts w:ascii="Arial" w:cs="Arial" w:eastAsia="Arial" w:hAnsi="Arial"/>
          <w:sz w:val="21"/>
          <w:szCs w:val="21"/>
          <w:u w:val="single" w:color="auto"/>
          <w:color w:val="auto"/>
        </w:rPr>
        <w:t>Notice of Revocation</w:t>
      </w:r>
      <w:r>
        <w:rPr>
          <w:rFonts w:ascii="Arial" w:cs="Arial" w:eastAsia="Arial" w:hAnsi="Arial"/>
          <w:sz w:val="21"/>
          <w:szCs w:val="21"/>
          <w:color w:val="auto"/>
        </w:rPr>
        <w:t>. Any notice of revocation to be given pursuant to the foregoing paragraph shall be sent by email or facsimile transmission to: Lynn Watkins-Asiyanbi, Senior Vice President, Chief Administrative and Legal Officer, Corporate Secretary at lwatkins@OneCECO.com or via fax at (214) 351-4172. The Executive understands and acknowledges that the Executive will not receive any monies or benefits pursuant to this Agreement except upon the execution and non-revocation of this Agreement, and the fulfillment of the promises contained herein.</w:t>
      </w:r>
    </w:p>
    <w:p>
      <w:pPr>
        <w:spacing w:after="0" w:line="178" w:lineRule="exact"/>
        <w:rPr>
          <w:sz w:val="20"/>
          <w:szCs w:val="20"/>
          <w:color w:val="auto"/>
        </w:rPr>
      </w:pPr>
    </w:p>
    <w:p>
      <w:pPr>
        <w:ind w:right="760" w:firstLine="749"/>
        <w:spacing w:after="0" w:line="328" w:lineRule="auto"/>
        <w:rPr>
          <w:sz w:val="20"/>
          <w:szCs w:val="20"/>
          <w:color w:val="auto"/>
        </w:rPr>
      </w:pPr>
      <w:r>
        <w:rPr>
          <w:rFonts w:ascii="Arial" w:cs="Arial" w:eastAsia="Arial" w:hAnsi="Arial"/>
          <w:sz w:val="19"/>
          <w:szCs w:val="19"/>
          <w:color w:val="auto"/>
        </w:rPr>
        <w:t>16.</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in counter-parts (meaning by the Executive and the Company separately) and that facsimile, copy or PDF copy signatures shall be treated as just as valid as original signatures.</w:t>
      </w:r>
    </w:p>
    <w:p>
      <w:pPr>
        <w:spacing w:after="0" w:line="348" w:lineRule="exact"/>
        <w:rPr>
          <w:sz w:val="20"/>
          <w:szCs w:val="20"/>
          <w:color w:val="auto"/>
        </w:rPr>
      </w:pPr>
    </w:p>
    <w:p>
      <w:pPr>
        <w:ind w:firstLine="1497"/>
        <w:spacing w:after="0" w:line="235" w:lineRule="auto"/>
        <w:rPr>
          <w:sz w:val="20"/>
          <w:szCs w:val="20"/>
          <w:color w:val="auto"/>
        </w:rPr>
      </w:pPr>
      <w:r>
        <w:rPr>
          <w:rFonts w:ascii="Arial" w:cs="Arial" w:eastAsia="Arial" w:hAnsi="Arial"/>
          <w:sz w:val="22"/>
          <w:szCs w:val="22"/>
          <w:color w:val="auto"/>
        </w:rPr>
        <w:t>THE COMPANY AND THE EXECUTIVE ACKNOWLEDGE THAT (A) EACH HAS CAREFULLY READ THIS AGREEMENT, (B) EACH UNDERSTANDS ITS TERMS, (C) ALL UNDERSTANDINGS AND AGREEMENTS BETWEEN THE COMPANY AND THE EXECUTIVE RELATING TO THE SUBJECTS COVERED IN THE AGREEMENT ARE CONTAINED IN IT, AND (D) EACH HAS ENTERED INTO THIS AGREEMENT VOLUNTARILY AND NOT IN RELIANCE ON ANY PROMISES OR REPRESENTATIONS BY THE OTHER, OTHER THAN THOSE CONTAINED IN THIS AGREEMENT ITSELF.</w:t>
      </w:r>
    </w:p>
    <w:p>
      <w:pPr>
        <w:spacing w:after="0" w:line="200" w:lineRule="exact"/>
        <w:rPr>
          <w:sz w:val="20"/>
          <w:szCs w:val="20"/>
          <w:color w:val="auto"/>
        </w:rPr>
      </w:pPr>
    </w:p>
    <w:p>
      <w:pPr>
        <w:spacing w:after="0" w:line="34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w:t>
      </w:r>
    </w:p>
    <w:p>
      <w:pPr>
        <w:sectPr>
          <w:pgSz w:w="11900" w:h="16838" w:orient="portrait"/>
          <w:cols w:equalWidth="0" w:num="1">
            <w:col w:w="11120"/>
          </w:cols>
          <w:pgMar w:left="320" w:top="361" w:right="4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Paul Gohr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CECO Environmental Corp.</w:t>
      </w:r>
    </w:p>
    <w:p>
      <w:pPr>
        <w:spacing w:after="0" w:line="200" w:lineRule="exact"/>
        <w:rPr>
          <w:sz w:val="20"/>
          <w:szCs w:val="20"/>
          <w:color w:val="auto"/>
        </w:rPr>
      </w:pPr>
    </w:p>
    <w:p>
      <w:pPr>
        <w:sectPr>
          <w:pgSz w:w="11900" w:h="16838" w:orient="portrait"/>
          <w:cols w:equalWidth="0" w:num="2">
            <w:col w:w="5240" w:space="720"/>
            <w:col w:w="5160"/>
          </w:cols>
          <w:pgMar w:left="320" w:top="361" w:right="459" w:bottom="1440" w:gutter="0" w:footer="0" w:header="0"/>
          <w:type w:val="continuous"/>
        </w:sect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 Paul Gohr</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Signature of Executive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By /s/ Todd Gleason</w:t>
      </w:r>
    </w:p>
    <w:p>
      <w:pPr>
        <w:ind w:left="260"/>
        <w:spacing w:after="0" w:line="238" w:lineRule="auto"/>
        <w:rPr>
          <w:sz w:val="20"/>
          <w:szCs w:val="20"/>
          <w:color w:val="auto"/>
        </w:rPr>
      </w:pPr>
      <w:r>
        <w:rPr>
          <w:rFonts w:ascii="Arial" w:cs="Arial" w:eastAsia="Arial" w:hAnsi="Arial"/>
          <w:sz w:val="22"/>
          <w:szCs w:val="22"/>
          <w:color w:val="auto"/>
        </w:rPr>
        <w:t>Todd Gleason</w:t>
      </w:r>
    </w:p>
    <w:p>
      <w:pPr>
        <w:ind w:left="260"/>
        <w:spacing w:after="0"/>
        <w:rPr>
          <w:sz w:val="20"/>
          <w:szCs w:val="20"/>
          <w:color w:val="auto"/>
        </w:rPr>
      </w:pPr>
      <w:r>
        <w:rPr>
          <w:rFonts w:ascii="Arial" w:cs="Arial" w:eastAsia="Arial" w:hAnsi="Arial"/>
          <w:sz w:val="19"/>
          <w:szCs w:val="19"/>
          <w:color w:val="auto"/>
        </w:rPr>
        <w:t>Chief Executive Officer</w:t>
      </w:r>
    </w:p>
    <w:p>
      <w:pPr>
        <w:spacing w:after="0" w:line="200" w:lineRule="exact"/>
        <w:rPr>
          <w:sz w:val="20"/>
          <w:szCs w:val="20"/>
          <w:color w:val="auto"/>
        </w:rPr>
      </w:pPr>
    </w:p>
    <w:p>
      <w:pPr>
        <w:sectPr>
          <w:pgSz w:w="11900" w:h="16838" w:orient="portrait"/>
          <w:cols w:equalWidth="0" w:num="2">
            <w:col w:w="5240" w:space="720"/>
            <w:col w:w="5160"/>
          </w:cols>
          <w:pgMar w:left="320" w:top="361" w:right="459" w:bottom="1440" w:gutter="0" w:footer="0" w:header="0"/>
          <w:type w:val="continuous"/>
        </w:sectPr>
      </w:pPr>
    </w:p>
    <w:p>
      <w:pPr>
        <w:spacing w:after="0" w:line="5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9/1/2023</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9/1/2023</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ectPr>
          <w:pgSz w:w="11900" w:h="16838" w:orient="portrait"/>
          <w:cols w:equalWidth="0" w:num="2">
            <w:col w:w="5240" w:space="720"/>
            <w:col w:w="5160"/>
          </w:cols>
          <w:pgMar w:left="320" w:top="36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auto"/>
        </w:rPr>
        <w:t>OMITTED SCHEDULE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EXHIBIT A: Accelerated RSUs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60" w:hanging="512"/>
        <w:spacing w:after="0" w:line="308" w:lineRule="auto"/>
        <w:tabs>
          <w:tab w:leader="none" w:pos="3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60" w:hanging="512"/>
        <w:spacing w:after="0" w:line="308" w:lineRule="auto"/>
        <w:tabs>
          <w:tab w:leader="none" w:pos="3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and Strategy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nine month period ended September 30, 2023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41" w:lineRule="exact"/>
        <w:rPr>
          <w:sz w:val="20"/>
          <w:szCs w:val="20"/>
          <w:color w:val="auto"/>
        </w:rPr>
      </w:pPr>
    </w:p>
    <w:p>
      <w:pPr>
        <w:ind w:left="900" w:hanging="35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80" w:hanging="479"/>
        <w:spacing w:after="0" w:line="277" w:lineRule="auto"/>
        <w:tabs>
          <w:tab w:leader="none" w:pos="8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nine month period ended September 30, 2023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41" w:lineRule="exact"/>
        <w:rPr>
          <w:sz w:val="20"/>
          <w:szCs w:val="20"/>
          <w:color w:val="auto"/>
        </w:rPr>
      </w:pPr>
    </w:p>
    <w:p>
      <w:pPr>
        <w:ind w:left="900" w:hanging="35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80" w:hanging="479"/>
        <w:spacing w:after="0" w:line="277"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and Strategy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6"/>
    </w:lvl>
  </w:abstractNum>
  <w:abstractNum w:abstractNumId="7">
    <w:nsid w:val="2D1D5AE9"/>
    <w:multiLevelType w:val="hybridMultilevel"/>
    <w:lvl w:ilvl="0">
      <w:lvlJc w:val="left"/>
      <w:lvlText w:val="%1."/>
      <w:numFmt w:val="decimal"/>
      <w:start w:val="7"/>
    </w:lvl>
  </w:abstractNum>
  <w:abstractNum w:abstractNumId="8">
    <w:nsid w:val="6763845E"/>
    <w:multiLevelType w:val="hybridMultilevel"/>
    <w:lvl w:ilvl="0">
      <w:lvlJc w:val="left"/>
      <w:lvlText w:val="%1."/>
      <w:numFmt w:val="decimal"/>
      <w:start w:val="9"/>
    </w:lvl>
  </w:abstractNum>
  <w:abstractNum w:abstractNumId="9">
    <w:nsid w:val="75A2A8D4"/>
    <w:multiLevelType w:val="hybridMultilevel"/>
    <w:lvl w:ilvl="0">
      <w:lvlJc w:val="left"/>
      <w:lvlText w:val="%1."/>
      <w:numFmt w:val="decimal"/>
      <w:start w:val="15"/>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2"/>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lvl w:ilvl="1">
      <w:lvlJc w:val="left"/>
      <w:lvlText w:val="%2"/>
      <w:numFmt w:val="decimal"/>
      <w:start w:val="104"/>
    </w:lvl>
  </w:abstractNum>
  <w:abstractNum w:abstractNumId="17">
    <w:nsid w:val="2CA88611"/>
    <w:multiLevelType w:val="hybridMultilevel"/>
    <w:lvl w:ilvl="0">
      <w:lvlJc w:val="left"/>
      <w:lvlText w:val="%1."/>
      <w:numFmt w:val="decimal"/>
      <w:start w:val="1"/>
    </w:lvl>
    <w:lvl w:ilvl="1">
      <w:lvlJc w:val="left"/>
      <w:lvlText w:val="(%2)"/>
      <w:numFmt w:val="lowerLetter"/>
      <w:start w:val="1"/>
    </w:lvl>
  </w:abstractNum>
  <w:abstractNum w:abstractNumId="18">
    <w:nsid w:val="836C40E"/>
    <w:multiLevelType w:val="hybridMultilevel"/>
    <w:lvl w:ilvl="0">
      <w:lvlJc w:val="left"/>
      <w:lvlText w:val="(%1)"/>
      <w:numFmt w:val="lowerLetter"/>
      <w:start w:val="3"/>
    </w:lvl>
  </w:abstractNum>
  <w:abstractNum w:abstractNumId="19">
    <w:nsid w:val="2901D82"/>
    <w:multiLevelType w:val="hybridMultilevel"/>
    <w:lvl w:ilvl="0">
      <w:lvlJc w:val="left"/>
      <w:lvlText w:val="%1."/>
      <w:numFmt w:val="decimal"/>
      <w:start w:val="3"/>
    </w:lvl>
    <w:lvl w:ilvl="1">
      <w:lvlJc w:val="left"/>
      <w:lvlText w:val="(%2)"/>
      <w:numFmt w:val="lowerLetter"/>
      <w:start w:val="1"/>
    </w:lvl>
  </w:abstractNum>
  <w:abstractNum w:abstractNumId="20">
    <w:nsid w:val="3A95F874"/>
    <w:multiLevelType w:val="hybridMultilevel"/>
    <w:lvl w:ilvl="0">
      <w:lvlJc w:val="left"/>
      <w:lvlText w:val="%1."/>
      <w:numFmt w:val="decimal"/>
      <w:start w:val="6"/>
    </w:lvl>
    <w:lvl w:ilvl="1">
      <w:lvlJc w:val="left"/>
      <w:lvlText w:val="(%2)"/>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decimal"/>
      <w:start w:val="1"/>
    </w:lvl>
    <w:lvl w:ilvl="1">
      <w:lvlJc w:val="left"/>
      <w:lvlText w:val="(%2)"/>
      <w:numFmt w:val="lowerLetter"/>
      <w:start w:val="4"/>
    </w:lvl>
  </w:abstractNum>
  <w:abstractNum w:abstractNumId="23">
    <w:nsid w:val="7C3DBD3D"/>
    <w:multiLevelType w:val="hybridMultilevel"/>
    <w:lvl w:ilvl="0">
      <w:lvlJc w:val="left"/>
      <w:lvlText w:val="%1."/>
      <w:numFmt w:val="decimal"/>
      <w:start w:val="7"/>
    </w:lvl>
    <w:lvl w:ilvl="1">
      <w:lvlJc w:val="left"/>
      <w:lvlText w:val="%2"/>
      <w:numFmt w:val="lowerLetter"/>
      <w:start w:val="1"/>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lowerLetter"/>
      <w:start w:val="3"/>
    </w:lvl>
  </w:abstractNum>
  <w:abstractNum w:abstractNumId="27">
    <w:nsid w:val="4516DDE9"/>
    <w:multiLevelType w:val="hybridMultilevel"/>
    <w:lvl w:ilvl="0">
      <w:lvlJc w:val="left"/>
      <w:lvlText w:val="(%1)"/>
      <w:numFmt w:val="lowerLetter"/>
      <w:start w:val="5"/>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decimal"/>
      <w:start w:val="5"/>
    </w:lvl>
    <w:lvl w:ilvl="1">
      <w:lvlJc w:val="left"/>
      <w:lvlText w:val="(%2)"/>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decimal"/>
      <w:start w:val="1"/>
    </w:lvl>
    <w:lvl w:ilvl="1">
      <w:lvlJc w:val="left"/>
      <w:lvlText w:val="(%2)"/>
      <w:numFmt w:val="lowerLetter"/>
      <w:start w:val="3"/>
    </w:lvl>
  </w:abstractNum>
  <w:abstractNum w:abstractNumId="33">
    <w:nsid w:val="5072367"/>
    <w:multiLevelType w:val="hybridMultilevel"/>
    <w:lvl w:ilvl="0">
      <w:lvlJc w:val="left"/>
      <w:lvlText w:val="%1."/>
      <w:numFmt w:val="decimal"/>
      <w:start w:val="7"/>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00" Type="http://schemas.openxmlformats.org/officeDocument/2006/relationships/hyperlink" Target="https://www.sec.gov/Archives/edgar/data/3197/000095017023052069/ceco-ex10_1.htm" TargetMode="External"/><Relationship Id="rId301" Type="http://schemas.openxmlformats.org/officeDocument/2006/relationships/hyperlink" Target="https://www.sec.gov/Archives/edgar/data/3197/000095017023052069/ceco-ex10_2.htm" TargetMode="External"/><Relationship Id="rId302" Type="http://schemas.openxmlformats.org/officeDocument/2006/relationships/hyperlink" Target="https://www.sec.gov/Archives/edgar/data/3197/000095017023032456/ceco-ex10_1.htm" TargetMode="External"/><Relationship Id="rId303" Type="http://schemas.openxmlformats.org/officeDocument/2006/relationships/hyperlink" Target="https://www.sec.gov/Archives/edgar/data/3197/000095017023032456/ceco-ex10_2.htm" TargetMode="External"/><Relationship Id="rId304" Type="http://schemas.openxmlformats.org/officeDocument/2006/relationships/hyperlink" Target="https://www.sec.gov/Archives/edgar/data/3197/000095017023032456/ceco-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2023-11-07T06:23:01Z</dcterms:created>
  <dcterms:modified xsi:type="dcterms:W3CDTF">2023-11-07T06:23:01Z</dcterms:modified>
</cp:coreProperties>
</file>