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rFonts w:ascii="Times New Roman" w:hAnsi="Times New Roman"/>
          <w:sz w:val="20"/>
        </w:rPr>
      </w:pPr>
      <w:bookmarkStart w:id="0" w:name="d424b3.htm"/>
      <w:bookmarkStart w:id="1" w:name="ksd424b3"/>
      <w:bookmarkEnd w:id="0"/>
      <w:bookmarkEnd w:id="1"/>
      <w:r>
        <w:rPr>
          <w:rFonts w:ascii="Times New Roman" w:hAnsi="Times New Roman"/>
          <w:sz w:val="20"/>
        </w:rPr>
        <w:t xml:space="preserve">Filed pursuant to 424(b)(3) </w:t>
      </w:r>
    </w:p>
    <w:p>
      <w:pPr>
        <w:pStyle w:val="TextBody"/>
        <w:spacing w:before="0" w:after="0"/>
        <w:jc w:val="right"/>
        <w:rPr>
          <w:rFonts w:ascii="Times New Roman" w:hAnsi="Times New Roman"/>
          <w:sz w:val="20"/>
        </w:rPr>
      </w:pPr>
      <w:r>
        <w:rPr>
          <w:rFonts w:ascii="Times New Roman" w:hAnsi="Times New Roman"/>
          <w:sz w:val="20"/>
        </w:rPr>
        <w:t xml:space="preserve">Registration #333-130294 </w:t>
      </w:r>
    </w:p>
    <w:p>
      <w:pPr>
        <w:pStyle w:val="TextBody"/>
        <w:spacing w:before="180" w:after="0"/>
        <w:jc w:val="center"/>
        <w:rPr>
          <w:rFonts w:ascii="Times New Roman" w:hAnsi="Times New Roman"/>
          <w:sz w:val="20"/>
        </w:rPr>
      </w:pPr>
      <w:r>
        <w:rPr>
          <w:rFonts w:ascii="Times New Roman" w:hAnsi="Times New Roman"/>
          <w:sz w:val="20"/>
        </w:rPr>
        <w:t xml:space="preserve">SUPPLEMENT NO. 2 </w:t>
      </w:r>
    </w:p>
    <w:p>
      <w:pPr>
        <w:pStyle w:val="TextBody"/>
        <w:spacing w:before="0" w:after="0"/>
        <w:jc w:val="center"/>
        <w:rPr>
          <w:rFonts w:ascii="Times New Roman" w:hAnsi="Times New Roman"/>
          <w:sz w:val="20"/>
        </w:rPr>
      </w:pPr>
      <w:r>
        <w:rPr>
          <w:rFonts w:ascii="Times New Roman" w:hAnsi="Times New Roman"/>
          <w:sz w:val="20"/>
        </w:rPr>
        <w:t xml:space="preserve">DATED MAY 12, 2006 </w:t>
      </w:r>
    </w:p>
    <w:p>
      <w:pPr>
        <w:pStyle w:val="TextBody"/>
        <w:spacing w:before="0" w:after="0"/>
        <w:jc w:val="center"/>
        <w:rPr>
          <w:rFonts w:ascii="Times New Roman" w:hAnsi="Times New Roman"/>
          <w:sz w:val="20"/>
        </w:rPr>
      </w:pPr>
      <w:r>
        <w:rPr>
          <w:rFonts w:ascii="Times New Roman" w:hAnsi="Times New Roman"/>
          <w:sz w:val="20"/>
        </w:rPr>
        <w:t xml:space="preserve">TO THE PROSPECTUS DATED MARCH 31, 2006 </w:t>
      </w:r>
    </w:p>
    <w:p>
      <w:pPr>
        <w:pStyle w:val="TextBody"/>
        <w:spacing w:before="0" w:after="0"/>
        <w:jc w:val="center"/>
        <w:rPr>
          <w:rFonts w:ascii="Times New Roman" w:hAnsi="Times New Roman"/>
          <w:sz w:val="20"/>
        </w:rPr>
      </w:pPr>
      <w:r>
        <w:rPr>
          <w:rFonts w:ascii="Times New Roman" w:hAnsi="Times New Roman"/>
          <w:sz w:val="20"/>
        </w:rPr>
        <w:t xml:space="preserve">OF CECO ENVIRONMENTAL CORP. </w:t>
      </w:r>
    </w:p>
    <w:p>
      <w:pPr>
        <w:pStyle w:val="TextBody"/>
        <w:spacing w:before="180" w:after="0"/>
        <w:jc w:val="center"/>
        <w:rPr>
          <w:rFonts w:ascii="Times New Roman" w:hAnsi="Times New Roman"/>
          <w:sz w:val="20"/>
        </w:rPr>
      </w:pPr>
      <w:r>
        <w:rPr>
          <w:rFonts w:ascii="Times New Roman" w:hAnsi="Times New Roman"/>
          <w:sz w:val="20"/>
        </w:rPr>
        <w:t xml:space="preserve">Up to 2,392,334 Common Shares </w:t>
      </w:r>
    </w:p>
    <w:p>
      <w:pPr>
        <w:pStyle w:val="TextBody"/>
        <w:spacing w:before="180" w:after="0"/>
        <w:rPr>
          <w:rFonts w:ascii="Times New Roman" w:hAnsi="Times New Roman"/>
          <w:sz w:val="20"/>
        </w:rPr>
      </w:pPr>
      <w:r>
        <w:rPr>
          <w:rFonts w:ascii="Times New Roman" w:hAnsi="Times New Roman"/>
          <w:sz w:val="20"/>
        </w:rPr>
        <w:t xml:space="preserve">We are providing this Supplement No. 2 to you in order to supplement our prospectus. This Supplement updates information in the Selling Stockholders section of our prospectus. This Supplement No. 2 supplements, modifies or supercedes certain information contained in our prospectus dated March 31, 2006, as amended by Supplement No. 1 dated April 12, 2006 and must be read in conjunction with our prospectus as amended. </w:t>
      </w:r>
    </w:p>
    <w:p>
      <w:pPr>
        <w:pStyle w:val="TextBody"/>
        <w:spacing w:before="180" w:after="0"/>
        <w:rPr>
          <w:rFonts w:ascii="Times New Roman" w:hAnsi="Times New Roman"/>
          <w:sz w:val="20"/>
        </w:rPr>
      </w:pPr>
      <w:r>
        <w:rPr>
          <w:rFonts w:ascii="Times New Roman" w:hAnsi="Times New Roman"/>
          <w:sz w:val="20"/>
        </w:rPr>
        <w:t xml:space="preserve">The purpose of this Prospectus Supplement is to amend the Selling Stockholders section beginning on page 8 of the Prospectus in order to reflect the transfer of Investor Warrants by Robert Geras, a selling stockholder named in the original prospectus, to Allen I. Kutchins and the substitution of Allen I. Kutchins as a selling stockholder. Except as amended by the Prospectus Supplement, the Selling Stockholder section of the Prospectus is not affected by this Prospectus Supplement. </w:t>
      </w:r>
    </w:p>
    <w:p>
      <w:pPr>
        <w:pStyle w:val="TextBody"/>
        <w:spacing w:before="180" w:after="0"/>
        <w:rPr>
          <w:rFonts w:ascii="Times New Roman" w:hAnsi="Times New Roman"/>
          <w:sz w:val="20"/>
        </w:rPr>
      </w:pPr>
      <w:r>
        <w:rPr>
          <w:rFonts w:ascii="Times New Roman" w:hAnsi="Times New Roman"/>
          <w:sz w:val="20"/>
        </w:rPr>
        <w:t xml:space="preserve">Our shares of common stock are traded on the Nasdaq SmallCap Market under the symbol CECE. On May 10, 2006, the closing sales price of our shares of common stock on Nasdaq was $10.00 per share.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20"/>
              </w:rPr>
            </w:pPr>
            <w:r>
              <w:rPr>
                <w:rFonts w:ascii="Times New Roman" w:hAnsi="Times New Roman"/>
                <w:b/>
                <w:sz w:val="20"/>
              </w:rPr>
              <w:t>Consider carefully the risk of factors beginning on page 3 in the Prospectus before investing in our securities.</w:t>
            </w:r>
          </w:p>
        </w:tc>
      </w:tr>
    </w:tbl>
    <w:p>
      <w:pPr>
        <w:pStyle w:val="TextBody"/>
        <w:spacing w:before="180" w:after="0"/>
        <w:rPr>
          <w:rFonts w:ascii="Times New Roman" w:hAnsi="Times New Roman"/>
          <w:b/>
          <w:sz w:val="20"/>
        </w:rPr>
      </w:pPr>
      <w:r>
        <w:rPr>
          <w:rFonts w:ascii="Times New Roman" w:hAnsi="Times New Roman"/>
          <w:b/>
          <w:sz w:val="20"/>
        </w:rPr>
        <w:t xml:space="preserve">This Prospectus Supplement should be read in conjunction with the Prospectus as amended and this Prospectus Supplement is qualified in its entirety by reference to the Prospectus as amended except to the extent that the information contained herein modifies or supersedes the information contained in the Prospectus. Capitalized terms used in this Prospectus Supplement and not otherwise defined herein shall have the same meaning specified in the Prospectus. </w:t>
      </w:r>
    </w:p>
    <w:p>
      <w:pPr>
        <w:pStyle w:val="TextBody"/>
        <w:spacing w:before="180" w:after="0"/>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on the adequacy or accuracy of the Prospectus and this Prospectus Supplement. Any representation to the contrary is a criminal offense. </w:t>
      </w:r>
    </w:p>
    <w:p>
      <w:pPr>
        <w:pStyle w:val="TextBody"/>
        <w:spacing w:before="180" w:after="0"/>
        <w:jc w:val="center"/>
        <w:rPr>
          <w:rFonts w:ascii="Times New Roman" w:hAnsi="Times New Roman"/>
          <w:b/>
          <w:sz w:val="20"/>
        </w:rPr>
      </w:pPr>
      <w:r>
        <w:rPr>
          <w:rFonts w:ascii="Times New Roman" w:hAnsi="Times New Roman"/>
          <w:b/>
          <w:sz w:val="20"/>
        </w:rPr>
        <w:t xml:space="preserve">The date of this prospectus supplement is May 12, 2006. </w:t>
      </w:r>
      <w:r>
        <w:br w:type="page"/>
      </w:r>
    </w:p>
    <w:p>
      <w:pPr>
        <w:pStyle w:val="HorizontalLine"/>
        <w:pBdr>
          <w:bottom w:val="double" w:sz="6" w:space="0" w:color="999999"/>
        </w:pBdr>
        <w:rPr/>
      </w:pPr>
      <w:r>
        <w:rPr/>
      </w:r>
    </w:p>
    <w:p>
      <w:pPr>
        <w:pStyle w:val="TextBody"/>
        <w:spacing w:before="0" w:after="0"/>
        <w:jc w:val="center"/>
        <w:rPr>
          <w:rFonts w:ascii="Times New Roman" w:hAnsi="Times New Roman"/>
          <w:sz w:val="20"/>
        </w:rPr>
      </w:pPr>
      <w:r>
        <w:rPr>
          <w:rFonts w:ascii="Times New Roman" w:hAnsi="Times New Roman"/>
          <w:sz w:val="20"/>
        </w:rPr>
        <w:t xml:space="preserve">SUBSTITUTION OF SELLING STOCKHOLDERS </w:t>
      </w:r>
    </w:p>
    <w:p>
      <w:pPr>
        <w:pStyle w:val="TextBody"/>
        <w:spacing w:before="180" w:after="0"/>
        <w:rPr>
          <w:rFonts w:ascii="Times New Roman" w:hAnsi="Times New Roman"/>
          <w:sz w:val="20"/>
        </w:rPr>
      </w:pPr>
      <w:r>
        <w:rPr>
          <w:rFonts w:ascii="Times New Roman" w:hAnsi="Times New Roman"/>
          <w:sz w:val="20"/>
        </w:rPr>
        <w:t xml:space="preserve">The reference to Robert Geras in the selling stockholder table in the section of the Prospectus entitled </w:t>
      </w:r>
      <w:r>
        <w:rPr>
          <w:rFonts w:ascii="Times New Roman" w:hAnsi="Times New Roman"/>
          <w:i/>
          <w:sz w:val="20"/>
        </w:rPr>
        <w:t xml:space="preserve">Selling Stockholders </w:t>
      </w:r>
      <w:r>
        <w:rPr>
          <w:rFonts w:ascii="Times New Roman" w:hAnsi="Times New Roman"/>
          <w:sz w:val="20"/>
        </w:rPr>
        <w:t xml:space="preserve">beginning on page 8 of the Prospectus is deleted. The table below sets forth, with respect to the substituted selling stockholder for Robert Geras, as of the date of this prospectus supplement its name and certain beneficial ownership information. Robert Geras transferred all of his Investor Warrants for 70,000 shares of Common Stock to Allen I. Kutchins. </w:t>
      </w:r>
    </w:p>
    <w:p>
      <w:pPr>
        <w:pStyle w:val="TextBody"/>
        <w:spacing w:before="180" w:after="0"/>
        <w:rPr>
          <w:rFonts w:ascii="Times New Roman" w:hAnsi="Times New Roman"/>
          <w:sz w:val="20"/>
        </w:rPr>
      </w:pPr>
      <w:r>
        <w:rPr>
          <w:rFonts w:ascii="Times New Roman" w:hAnsi="Times New Roman"/>
          <w:sz w:val="20"/>
        </w:rPr>
        <w:t xml:space="preserve">Percentage beneficial ownership is based on 11,459,447 shares of common stock outstanding as of May 9, 2006. Beneficial ownership is calculated based on SEC requirements.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310"/>
        <w:gridCol w:w="357"/>
        <w:gridCol w:w="647"/>
        <w:gridCol w:w="358"/>
        <w:gridCol w:w="465"/>
        <w:gridCol w:w="305"/>
        <w:gridCol w:w="929"/>
        <w:gridCol w:w="357"/>
        <w:gridCol w:w="626"/>
        <w:gridCol w:w="362"/>
        <w:gridCol w:w="489"/>
      </w:tblGrid>
      <w:tr>
        <w:trPr/>
        <w:tc>
          <w:tcPr>
            <w:tcW w:w="5310"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r>
      <w:tr>
        <w:trPr/>
        <w:tc>
          <w:tcPr>
            <w:tcW w:w="5310"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470" w:type="dxa"/>
            <w:gridSpan w:val="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br/>
              <w:t>Beneficially Owned</w:t>
              <w:br/>
              <w:t>Before Offering</w:t>
            </w:r>
          </w:p>
        </w:tc>
        <w:tc>
          <w:tcPr>
            <w:tcW w:w="305" w:type="dxa"/>
            <w:tcBorders/>
            <w:shd w:fill="auto" w:val="clear"/>
            <w:vAlign w:val="bottom"/>
          </w:tcPr>
          <w:p>
            <w:pPr>
              <w:pStyle w:val="TableContents"/>
              <w:spacing w:before="0" w:after="283"/>
              <w:rPr/>
            </w:pPr>
            <w:r>
              <w:rPr/>
              <w:t> </w:t>
            </w:r>
          </w:p>
        </w:tc>
        <w:tc>
          <w:tcPr>
            <w:tcW w:w="929" w:type="dxa"/>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w:t>
              <w:br/>
              <w:t>Shares</w:t>
              <w:br/>
              <w:t>Being Offered</w:t>
            </w:r>
          </w:p>
        </w:tc>
        <w:tc>
          <w:tcPr>
            <w:tcW w:w="357" w:type="dxa"/>
            <w:tcBorders/>
            <w:shd w:fill="auto" w:val="clear"/>
            <w:vAlign w:val="bottom"/>
          </w:tcPr>
          <w:p>
            <w:pPr>
              <w:pStyle w:val="TableContents"/>
              <w:spacing w:before="0" w:after="283"/>
              <w:rPr/>
            </w:pPr>
            <w:r>
              <w:rPr/>
              <w:t>  </w:t>
            </w:r>
          </w:p>
        </w:tc>
        <w:tc>
          <w:tcPr>
            <w:tcW w:w="1477" w:type="dxa"/>
            <w:gridSpan w:val="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br/>
              <w:t>Beneficially Owned</w:t>
              <w:br/>
              <w:t>After Offering</w:t>
            </w:r>
          </w:p>
        </w:tc>
      </w:tr>
      <w:tr>
        <w:trPr/>
        <w:tc>
          <w:tcPr>
            <w:tcW w:w="5310"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Selling Stockholders</w:t>
            </w:r>
          </w:p>
        </w:tc>
        <w:tc>
          <w:tcPr>
            <w:tcW w:w="357" w:type="dxa"/>
            <w:tcBorders/>
            <w:shd w:fill="auto" w:val="clear"/>
            <w:vAlign w:val="bottom"/>
          </w:tcPr>
          <w:p>
            <w:pPr>
              <w:pStyle w:val="TableContents"/>
              <w:spacing w:before="0" w:after="283"/>
              <w:rPr/>
            </w:pPr>
            <w:r>
              <w:rPr/>
              <w:t>  </w:t>
            </w:r>
          </w:p>
        </w:tc>
        <w:tc>
          <w:tcPr>
            <w:tcW w:w="647"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w:t>
            </w:r>
          </w:p>
        </w:tc>
        <w:tc>
          <w:tcPr>
            <w:tcW w:w="358" w:type="dxa"/>
            <w:tcBorders/>
            <w:shd w:fill="auto" w:val="clear"/>
            <w:vAlign w:val="bottom"/>
          </w:tcPr>
          <w:p>
            <w:pPr>
              <w:pStyle w:val="TableContents"/>
              <w:spacing w:before="0" w:after="283"/>
              <w:rPr/>
            </w:pPr>
            <w:r>
              <w:rPr/>
              <w:t>  </w:t>
            </w:r>
          </w:p>
        </w:tc>
        <w:tc>
          <w:tcPr>
            <w:tcW w:w="46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w:t>
            </w:r>
          </w:p>
        </w:tc>
        <w:tc>
          <w:tcPr>
            <w:tcW w:w="305" w:type="dxa"/>
            <w:tcBorders/>
            <w:shd w:fill="auto" w:val="clear"/>
            <w:vAlign w:val="bottom"/>
          </w:tcPr>
          <w:p>
            <w:pPr>
              <w:pStyle w:val="TableContents"/>
              <w:spacing w:before="0" w:after="283"/>
              <w:rPr/>
            </w:pPr>
            <w:r>
              <w:rPr/>
              <w:t> </w:t>
            </w:r>
          </w:p>
        </w:tc>
        <w:tc>
          <w:tcPr>
            <w:tcW w:w="929" w:type="dxa"/>
            <w:vMerge w:val="continue"/>
            <w:tcBorders>
              <w:bottom w:val="single" w:sz="2" w:space="0" w:color="000000"/>
            </w:tcBorders>
            <w:shd w:fill="auto" w:val="clear"/>
            <w:tcMar>
              <w:bottom w:w="28" w:type="dxa"/>
            </w:tcMar>
            <w:vAlign w:val="bottom"/>
          </w:tcPr>
          <w:p>
            <w:pPr>
              <w:pStyle w:val="Normal"/>
              <w:rPr/>
            </w:pPr>
            <w:r>
              <w:rPr/>
            </w:r>
          </w:p>
        </w:tc>
        <w:tc>
          <w:tcPr>
            <w:tcW w:w="357" w:type="dxa"/>
            <w:tcBorders/>
            <w:shd w:fill="auto" w:val="clear"/>
            <w:vAlign w:val="bottom"/>
          </w:tcPr>
          <w:p>
            <w:pPr>
              <w:pStyle w:val="TableContents"/>
              <w:spacing w:before="0" w:after="283"/>
              <w:rPr/>
            </w:pPr>
            <w:r>
              <w:rPr/>
              <w:t>  </w:t>
            </w:r>
          </w:p>
        </w:tc>
        <w:tc>
          <w:tcPr>
            <w:tcW w:w="62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w:t>
            </w:r>
            <w:r>
              <w:rPr>
                <w:rFonts w:ascii="Times New Roman" w:hAnsi="Times New Roman"/>
                <w:b/>
                <w:position w:val="5"/>
                <w:sz w:val="11"/>
                <w:sz w:val="14"/>
              </w:rPr>
              <w:t>1</w:t>
            </w:r>
          </w:p>
        </w:tc>
        <w:tc>
          <w:tcPr>
            <w:tcW w:w="362" w:type="dxa"/>
            <w:tcBorders/>
            <w:shd w:fill="auto" w:val="clear"/>
            <w:vAlign w:val="bottom"/>
          </w:tcPr>
          <w:p>
            <w:pPr>
              <w:pStyle w:val="TableContents"/>
              <w:spacing w:before="0" w:after="283"/>
              <w:rPr/>
            </w:pPr>
            <w:r>
              <w:rPr/>
              <w:t>  </w:t>
            </w:r>
          </w:p>
        </w:tc>
        <w:tc>
          <w:tcPr>
            <w:tcW w:w="48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w:t>
            </w:r>
          </w:p>
        </w:tc>
      </w:tr>
      <w:tr>
        <w:trPr/>
        <w:tc>
          <w:tcPr>
            <w:tcW w:w="5310" w:type="dxa"/>
            <w:tcBorders/>
            <w:shd w:fill="auto" w:val="clear"/>
          </w:tcPr>
          <w:p>
            <w:pPr>
              <w:pStyle w:val="TableContents"/>
              <w:spacing w:before="0" w:after="0"/>
              <w:rPr>
                <w:rFonts w:ascii="Times New Roman" w:hAnsi="Times New Roman"/>
                <w:sz w:val="20"/>
              </w:rPr>
            </w:pPr>
            <w:r>
              <w:rPr>
                <w:rFonts w:ascii="Times New Roman" w:hAnsi="Times New Roman"/>
                <w:sz w:val="20"/>
              </w:rPr>
              <w:t>Allen I. Kutchins</w:t>
            </w:r>
          </w:p>
          <w:p>
            <w:pPr>
              <w:pStyle w:val="TableContents"/>
              <w:spacing w:before="0" w:after="0"/>
              <w:rPr>
                <w:rFonts w:ascii="Times New Roman" w:hAnsi="Times New Roman"/>
                <w:sz w:val="20"/>
              </w:rPr>
            </w:pPr>
            <w:r>
              <w:rPr>
                <w:rFonts w:ascii="Times New Roman" w:hAnsi="Times New Roman"/>
                <w:sz w:val="20"/>
              </w:rPr>
              <w:t>1101 Perimeter Drive</w:t>
            </w:r>
          </w:p>
          <w:p>
            <w:pPr>
              <w:pStyle w:val="TableContents"/>
              <w:spacing w:before="0" w:after="0"/>
              <w:rPr>
                <w:rFonts w:ascii="Times New Roman" w:hAnsi="Times New Roman"/>
                <w:sz w:val="20"/>
              </w:rPr>
            </w:pPr>
            <w:r>
              <w:rPr>
                <w:rFonts w:ascii="Times New Roman" w:hAnsi="Times New Roman"/>
                <w:sz w:val="20"/>
              </w:rPr>
              <w:t>Suite 760</w:t>
            </w:r>
          </w:p>
          <w:p>
            <w:pPr>
              <w:pStyle w:val="TableContents"/>
              <w:spacing w:before="0" w:after="15"/>
              <w:rPr>
                <w:rFonts w:ascii="Times New Roman" w:hAnsi="Times New Roman"/>
                <w:sz w:val="20"/>
              </w:rPr>
            </w:pPr>
            <w:r>
              <w:rPr>
                <w:rFonts w:ascii="Times New Roman" w:hAnsi="Times New Roman"/>
                <w:sz w:val="20"/>
              </w:rPr>
              <w:t>Schaumburg, Illinois 60173</w:t>
            </w:r>
          </w:p>
        </w:tc>
        <w:tc>
          <w:tcPr>
            <w:tcW w:w="357"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70,000</w:t>
            </w:r>
          </w:p>
        </w:tc>
        <w:tc>
          <w:tcPr>
            <w:tcW w:w="358"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0.6%</w:t>
            </w:r>
          </w:p>
        </w:tc>
        <w:tc>
          <w:tcPr>
            <w:tcW w:w="305"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70,000</w:t>
            </w:r>
          </w:p>
        </w:tc>
        <w:tc>
          <w:tcPr>
            <w:tcW w:w="357"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362"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800"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Assumes sale of all shares of common stock offered hereby. </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509</Words>
  <CharactersWithSpaces>3240</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Supplement #2</dc:title>
</cp:coreProperties>
</file>