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64" w:space="720"/>
            <w:col w:w="282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jc w:val="center"/>
        <w:ind w:right="1876"/>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1876"/>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384" w:space="720"/>
            <w:col w:w="2920"/>
          </w:cols>
          <w:pgMar w:left="436" w:top="368" w:right="439" w:bottom="1440" w:gutter="0" w:footer="0" w:header="0"/>
          <w:type w:val="continuous"/>
        </w:sectPr>
      </w:pPr>
    </w:p>
    <w:p>
      <w:pPr>
        <w:ind w:left="152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w:t>
            </w:r>
          </w:p>
        </w:tc>
        <w:tc>
          <w:tcPr>
            <w:tcW w:w="3540" w:type="dxa"/>
            <w:vAlign w:val="bottom"/>
          </w:tcPr>
          <w:p>
            <w:pPr>
              <w:ind w:left="4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CECE</w:t>
            </w:r>
          </w:p>
        </w:tc>
        <w:tc>
          <w:tcPr>
            <w:tcW w:w="100" w:type="dxa"/>
            <w:vAlign w:val="bottom"/>
          </w:tcPr>
          <w:p>
            <w:pPr>
              <w:spacing w:after="0"/>
              <w:rPr>
                <w:sz w:val="19"/>
                <w:szCs w:val="19"/>
                <w:color w:val="auto"/>
              </w:rPr>
            </w:pPr>
          </w:p>
        </w:tc>
        <w:tc>
          <w:tcPr>
            <w:tcW w:w="354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On July 6, 2020, CECO Environmental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announced that, effective July 5, 2020, Mr. Dennis Sadlowski ceased serving as Chief Executive Officer and a member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effective July 6, 2020, Mr. Todd Gleason commenced serving as Chief Executive Officer and a member of the Board.</w:t>
      </w:r>
    </w:p>
    <w:p>
      <w:pPr>
        <w:spacing w:after="0" w:line="184"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Mr. Gleason, age 49, 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Gleason’s qualifications to sit on the Board include his financial and business background, as well as his extensive executive and leadership experience. As the Company’s new Chief Executive Officer, Mr. Gleason will provide the Board with insight on the day-to-day operations of the Company and the issues it faces.</w:t>
      </w:r>
    </w:p>
    <w:p>
      <w:pPr>
        <w:spacing w:after="0" w:line="168"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On July 5, 2020, the Company entered into a separation and consulting agreement (“</w:t>
      </w:r>
      <w:r>
        <w:rPr>
          <w:rFonts w:ascii="Arial" w:cs="Arial" w:eastAsia="Arial" w:hAnsi="Arial"/>
          <w:sz w:val="16"/>
          <w:szCs w:val="16"/>
          <w:b w:val="1"/>
          <w:bCs w:val="1"/>
          <w:i w:val="1"/>
          <w:iCs w:val="1"/>
          <w:color w:val="auto"/>
        </w:rPr>
        <w:t>Separation Agreement</w:t>
      </w:r>
      <w:r>
        <w:rPr>
          <w:rFonts w:ascii="Arial" w:cs="Arial" w:eastAsia="Arial" w:hAnsi="Arial"/>
          <w:sz w:val="16"/>
          <w:szCs w:val="16"/>
          <w:color w:val="auto"/>
        </w:rPr>
        <w:t>”) with Mr. Sadlowski specifying that Mr. Sadlowski’s departure from the Company is a termination without “cause” for purposes of Mr. Sadlowski’s employment agreement with the Company. Under the Separation Agreement, Mr. Sadlowski is entitled to the benefits previously negotiated under his employment agreement with the Company for a termination without cause, except that Mr. Sadlowski will be entitled to (1) up to 18 months (rather than up to 12 months) of health and welfare premium reimbursements, (2) a pro-rata 2020 annual incentive payout based on achievement of 50% of the target award (rather than actual performance), and (3) payments equal to 4 weeks of vacation pay. The Company has also agreed to provide for the reasonable transition of</w:t>
      </w:r>
    </w:p>
    <w:p>
      <w:pPr>
        <w:spacing w:after="0" w:line="4"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Mr. Sadlowski’s Company-provided executive life insurance plan to Mr. Sadlowski, and to allow Mr. Sadlowski to retain his Company-provided laptop computer and mobile phone. Pursuant to the Separation Agreement, in order to facilitate an orderly transition of CEO duties, Mr. Sadlowski has agreed to provide consulting services to the Company through December 31, 2020 at the rate of $48,917 per month.</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Mr. Gleason’s appointment as the Company’s Chief Executive Officer, the Company and Mr. Gleason entered into 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employment agreement effective July 6, 2020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The Employment Period has an initial term of three years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Employment Period</w:t>
      </w:r>
      <w:r>
        <w:rPr>
          <w:rFonts w:ascii="Arial" w:cs="Arial" w:eastAsia="Arial" w:hAnsi="Arial"/>
          <w:sz w:val="16"/>
          <w:szCs w:val="16"/>
          <w:color w:val="auto"/>
        </w:rPr>
        <w:t>”), subject to annual extensions unless the Company timely terminates such extensions. Under the Employment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expects to nominate Mr. Gleason annually for election to the Board. In general terms, the Employment Agreement also provides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ectPr>
          <w:pgSz w:w="11900" w:h="16838" w:orient="portrait"/>
          <w:cols w:equalWidth="0" w:num="1">
            <w:col w:w="10960"/>
          </w:cols>
          <w:pgMar w:left="440" w:top="270" w:right="499" w:bottom="1440" w:gutter="0" w:footer="0" w:header="0"/>
        </w:sectPr>
      </w:pPr>
    </w:p>
    <w:bookmarkStart w:id="2" w:name="page3"/>
    <w:bookmarkEnd w:id="2"/>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Annual base salary rate not less than $450,000;</w:t>
      </w:r>
    </w:p>
    <w:p>
      <w:pPr>
        <w:spacing w:after="0" w:line="130"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Sign-on cash bonus equal to $150,000, partly in lieu of relocation payments, with the sign-on bonus subject to repayment under certain circumstances if Mr. Gleason terminates employment without good reason prior to September 30, 2021;</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2020 cash bonus equal to $150,000, and subsequent performance-based annual cash bonuses with a target opportunity equal to 100% of base salary and a maximum opportunity equal to 200% of base salary;</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participation in the Company’s long-term equity program at a target value of $1,000,000, provided that at least 60% of such equity awards will be performance-based;</w:t>
      </w:r>
    </w:p>
    <w:p>
      <w:pPr>
        <w:spacing w:after="0" w:line="75" w:lineRule="exact"/>
        <w:rPr>
          <w:rFonts w:ascii="Arial" w:cs="Arial" w:eastAsia="Arial" w:hAnsi="Arial"/>
          <w:sz w:val="18"/>
          <w:szCs w:val="18"/>
          <w:color w:val="auto"/>
        </w:rPr>
      </w:pPr>
    </w:p>
    <w:p>
      <w:pPr>
        <w:ind w:left="960" w:hanging="424"/>
        <w:spacing w:after="0" w:line="273"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Initial equity awards for approximately $600,000 in time-based restricted stock units that generally vest over four years, approximately $900,000 in nonqualified stock options (granted at market value) that generally vest over four years, and approximately $1,500,000 in premium-priced nonqualified stock options (exercise price equal to two times market value) that generally vest over four years. The standard stock option award will have an exercise price equal to the closing price of the Company’s common stock on July 2, 2020, and the premium-priced stock option award will have an exercise price equal to two times the closing price of the Company’s common stock on July 2, 2020 (July 2 is the last trading day immediately preceding the July 6, 2020 grant date);</w:t>
      </w:r>
    </w:p>
    <w:p>
      <w:pPr>
        <w:spacing w:after="0" w:line="83" w:lineRule="exact"/>
        <w:rPr>
          <w:rFonts w:ascii="Arial" w:cs="Arial" w:eastAsia="Arial" w:hAnsi="Arial"/>
          <w:sz w:val="17"/>
          <w:szCs w:val="17"/>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Monthly $1,000 car allowance;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Reimbursement through June 30, 2021 for up to $2,500 per month for apartment or comparable rental expenses in the Dallas, Texas area.</w:t>
      </w:r>
    </w:p>
    <w:p>
      <w:pPr>
        <w:spacing w:after="0" w:line="248"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In terms of severance benefits, in general, the Employment Agreement provides for one times Mr. Gleason’s annual base salary rate, a pro-rated annual bonus for the year of termination based on actual performance, and reimbursement for up to one year of health and welfare premiums under COBRA if Mr. Gleason is terminated without cause or terminates his employment for good reason (other than in connection with a change in control of the Company). If Mr. Gleason is terminated without cause or terminates his employment for good reason within two years after a change in control of the Company, this cash severance amount would include Mr. Gleason’s target annual bonus for the year of termination (rather than a pro-rata bonus based on actual performance). These severance amounts are in addition to certain accrued compensation and benefits for terminations of his employment, and are subject to Mr. Gleason’s timely execution of a release of claims, all as described in the Employment Agreement.</w:t>
      </w:r>
    </w:p>
    <w:p>
      <w:pPr>
        <w:spacing w:after="0" w:line="16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Under the Employment Agreement, Mr. Gleason is subject to customary one-year post-employment non-competition obligations and indefinite employee non-solicitation and confidentiality obligations. The Employment Agreement also includes a mutual non-disparagement provision that applies for one year following termination of Mr. Gleason’s employment.</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On July 2, 2020, the Board also approved a grant, effective July 6, 2020, of 50,000 time-based restricted stock units to Matthew Eckl, the Company’s Chief Financial Officer. This award generally vests in equal installments over four years, subject substantially to the terms of the Company’s form restricted stock unit award agreement previously approved for similar awards.</w:t>
      </w:r>
    </w:p>
    <w:p>
      <w:pPr>
        <w:sectPr>
          <w:pgSz w:w="11900" w:h="16838" w:orient="portrait"/>
          <w:cols w:equalWidth="0" w:num="1">
            <w:col w:w="11000"/>
          </w:cols>
          <w:pgMar w:left="440" w:top="274"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2020-07-06T07:10:20Z</dcterms:created>
  <dcterms:modified xsi:type="dcterms:W3CDTF">2020-07-06T07:10:20Z</dcterms:modified>
</cp:coreProperties>
</file>