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CECO ENVIRONMENTAL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125141101</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14, 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1900" w:hanging="1260"/>
        <w:spacing w:after="0" w:line="238"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300" w:type="dxa"/>
            <w:vAlign w:val="bottom"/>
          </w:tcPr>
          <w:p>
            <w:pPr>
              <w:ind w:left="1460"/>
              <w:spacing w:after="0"/>
              <w:rPr>
                <w:sz w:val="20"/>
                <w:szCs w:val="20"/>
                <w:color w:val="auto"/>
              </w:rPr>
            </w:pPr>
            <w:r>
              <w:rPr>
                <w:rFonts w:ascii="Courier New" w:cs="Courier New" w:eastAsia="Courier New" w:hAnsi="Courier New"/>
                <w:sz w:val="18"/>
                <w:szCs w:val="18"/>
                <w:color w:val="auto"/>
              </w:rPr>
              <w:t>13G</w:t>
            </w:r>
          </w:p>
        </w:tc>
        <w:tc>
          <w:tcPr>
            <w:tcW w:w="2700" w:type="dxa"/>
            <w:vAlign w:val="bottom"/>
          </w:tcPr>
          <w:p>
            <w:pPr>
              <w:ind w:left="1540"/>
              <w:spacing w:after="0"/>
              <w:rPr>
                <w:sz w:val="20"/>
                <w:szCs w:val="20"/>
                <w:color w:val="auto"/>
              </w:rPr>
            </w:pPr>
            <w:r>
              <w:rPr>
                <w:rFonts w:ascii="Courier New" w:cs="Courier New" w:eastAsia="Courier New" w:hAnsi="Courier New"/>
                <w:sz w:val="18"/>
                <w:szCs w:val="18"/>
                <w:color w:val="auto"/>
                <w:w w:val="95"/>
              </w:rPr>
              <w:t>Page 2 of 4</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125141101</w:t>
            </w:r>
          </w:p>
        </w:tc>
        <w:tc>
          <w:tcPr>
            <w:tcW w:w="330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1580" w:hanging="940"/>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580" w:right="2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Harvey Sandler Revocable Trust</w:t>
      </w:r>
    </w:p>
    <w:p>
      <w:pPr>
        <w:spacing w:after="0" w:line="6"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CHECK THE APPROPRIATE BOX IF A MEMBER OF A GROUP   (a)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spacing w:after="0"/>
              <w:rPr>
                <w:sz w:val="17"/>
                <w:szCs w:val="17"/>
                <w:color w:val="auto"/>
              </w:rPr>
            </w:pPr>
          </w:p>
        </w:tc>
        <w:tc>
          <w:tcPr>
            <w:tcW w:w="6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4"/>
          <w:szCs w:val="24"/>
          <w:color w:val="auto"/>
        </w:rPr>
      </w:pPr>
    </w:p>
    <w:p>
      <w:pPr>
        <w:ind w:left="1580" w:hanging="940"/>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1580" w:right="4839" w:hanging="940"/>
        <w:spacing w:after="0" w:line="470"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Florida</w:t>
      </w:r>
    </w:p>
    <w:p>
      <w:pPr>
        <w:spacing w:after="0" w:line="6"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0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1,042,306</w:t>
            </w:r>
          </w:p>
        </w:tc>
      </w:tr>
      <w:tr>
        <w:trPr>
          <w:trHeight w:val="203"/>
        </w:trPr>
        <w:tc>
          <w:tcPr>
            <w:tcW w:w="2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REPORTING</w:t>
            </w:r>
          </w:p>
        </w:tc>
        <w:tc>
          <w:tcPr>
            <w:tcW w:w="12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260" w:type="dxa"/>
            <w:vAlign w:val="bottom"/>
          </w:tcPr>
          <w:p>
            <w:pPr>
              <w:spacing w:after="0"/>
              <w:rPr>
                <w:sz w:val="17"/>
                <w:szCs w:val="17"/>
                <w:color w:val="auto"/>
              </w:rPr>
            </w:pPr>
          </w:p>
        </w:tc>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1,042,306</w:t>
            </w:r>
          </w:p>
        </w:tc>
      </w:tr>
      <w:tr>
        <w:trPr>
          <w:trHeight w:val="405"/>
        </w:trPr>
        <w:tc>
          <w:tcPr>
            <w:tcW w:w="200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1580" w:right="2319" w:hanging="940"/>
        <w:spacing w:after="0" w:line="470"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1,042,306 shares of Common Stock</w:t>
      </w:r>
    </w:p>
    <w:p>
      <w:pPr>
        <w:sectPr>
          <w:pgSz w:w="11900" w:h="17023" w:orient="portrait"/>
          <w:cols w:equalWidth="0" w:num="1">
            <w:col w:w="10219"/>
          </w:cols>
          <w:pgMar w:left="240" w:top="244" w:right="1440" w:bottom="0" w:gutter="0" w:footer="0" w:header="0"/>
        </w:sectPr>
      </w:pPr>
    </w:p>
    <w:bookmarkStart w:id="1" w:name="page2"/>
    <w:bookmarkEnd w:id="1"/>
    <w:tbl>
      <w:tblPr>
        <w:tblLayout w:type="fixed"/>
        <w:tblInd w:w="5"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10</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w w:val="97"/>
              </w:rPr>
              <w:t>AGGREGATE AMOUNT IN ROW (9) EXCLUDES</w:t>
            </w:r>
          </w:p>
        </w:tc>
      </w:tr>
      <w:tr>
        <w:trPr>
          <w:trHeight w:val="203"/>
        </w:trPr>
        <w:tc>
          <w:tcPr>
            <w:tcW w:w="62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CERTAIN SHARES</w:t>
            </w:r>
          </w:p>
        </w:tc>
        <w:tc>
          <w:tcPr>
            <w:tcW w:w="3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11</w:t>
            </w:r>
          </w:p>
        </w:tc>
        <w:tc>
          <w:tcPr>
            <w:tcW w:w="21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3"/>
        </w:trPr>
        <w:tc>
          <w:tcPr>
            <w:tcW w:w="62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PERCENT OF CLASS</w:t>
            </w:r>
          </w:p>
        </w:tc>
        <w:tc>
          <w:tcPr>
            <w:tcW w:w="3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REPRESENTED BY AMOUNT IN ROW 9</w:t>
            </w:r>
          </w:p>
        </w:tc>
      </w:tr>
      <w:tr>
        <w:trPr>
          <w:trHeight w:val="405"/>
        </w:trPr>
        <w:tc>
          <w:tcPr>
            <w:tcW w:w="62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rPr>
              <w:t>10.4%</w:t>
            </w:r>
          </w:p>
        </w:tc>
        <w:tc>
          <w:tcPr>
            <w:tcW w:w="3860" w:type="dxa"/>
            <w:vAlign w:val="bottom"/>
          </w:tcPr>
          <w:p>
            <w:pPr>
              <w:spacing w:after="0"/>
              <w:rPr>
                <w:sz w:val="24"/>
                <w:szCs w:val="24"/>
                <w:color w:val="auto"/>
              </w:rPr>
            </w:pPr>
          </w:p>
        </w:tc>
      </w:tr>
    </w:tbl>
    <w:p>
      <w:pPr>
        <w:spacing w:after="0" w:line="207" w:lineRule="exact"/>
        <w:rPr>
          <w:sz w:val="20"/>
          <w:szCs w:val="20"/>
          <w:color w:val="auto"/>
        </w:rPr>
      </w:pPr>
    </w:p>
    <w:p>
      <w:pPr>
        <w:ind w:left="1045" w:right="6099" w:hanging="1045"/>
        <w:spacing w:after="0" w:line="470" w:lineRule="auto"/>
        <w:tabs>
          <w:tab w:leader="none" w:pos="104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ectPr>
          <w:pgSz w:w="11900" w:h="16838" w:orient="portrait"/>
          <w:cols w:equalWidth="0" w:num="1">
            <w:col w:w="9684"/>
          </w:cols>
          <w:pgMar w:left="775"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300" w:type="dxa"/>
            <w:vAlign w:val="bottom"/>
          </w:tcPr>
          <w:p>
            <w:pPr>
              <w:ind w:left="1460"/>
              <w:spacing w:after="0"/>
              <w:rPr>
                <w:sz w:val="20"/>
                <w:szCs w:val="20"/>
                <w:color w:val="auto"/>
              </w:rPr>
            </w:pPr>
            <w:r>
              <w:rPr>
                <w:rFonts w:ascii="Courier New" w:cs="Courier New" w:eastAsia="Courier New" w:hAnsi="Courier New"/>
                <w:sz w:val="18"/>
                <w:szCs w:val="18"/>
                <w:color w:val="auto"/>
              </w:rPr>
              <w:t>13G</w:t>
            </w:r>
          </w:p>
        </w:tc>
        <w:tc>
          <w:tcPr>
            <w:tcW w:w="2700" w:type="dxa"/>
            <w:vAlign w:val="bottom"/>
          </w:tcPr>
          <w:p>
            <w:pPr>
              <w:ind w:left="1540"/>
              <w:spacing w:after="0"/>
              <w:rPr>
                <w:sz w:val="20"/>
                <w:szCs w:val="20"/>
                <w:color w:val="auto"/>
              </w:rPr>
            </w:pPr>
            <w:r>
              <w:rPr>
                <w:rFonts w:ascii="Courier New" w:cs="Courier New" w:eastAsia="Courier New" w:hAnsi="Courier New"/>
                <w:sz w:val="18"/>
                <w:szCs w:val="18"/>
                <w:color w:val="auto"/>
                <w:w w:val="95"/>
              </w:rPr>
              <w:t>Page 3 of 4</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125141101</w:t>
            </w:r>
          </w:p>
        </w:tc>
        <w:tc>
          <w:tcPr>
            <w:tcW w:w="330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Amendment No. 1 to Schedule 13G (this "Statement") relates to the common stock, par value $0.01 per share (the "Common Stock"), of CECO Environmental Corp. (the "Issuer"). This Statement supplementally amends the initial statement on Schedule 13G, filed on April 8, 2005 (the "Initial Statement"), by Harvey Sandler Revocable Trust. This Amendment No. 1 is being filed by Harvey Sandler Revocable Trust to report that Harvey Sandler Revocable Trust is the beneficial owner of more than ten percent of the outstanding Common Stock of the Issuer.</w:t>
      </w:r>
    </w:p>
    <w:p>
      <w:pPr>
        <w:spacing w:after="0" w:line="207"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2120" w:right="177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Harvey Sandler Revocable Trust</w:t>
      </w:r>
    </w:p>
    <w:p>
      <w:pPr>
        <w:spacing w:after="0" w:line="207" w:lineRule="exact"/>
        <w:rPr>
          <w:sz w:val="20"/>
          <w:szCs w:val="20"/>
          <w:color w:val="auto"/>
        </w:rPr>
      </w:pPr>
    </w:p>
    <w:p>
      <w:pPr>
        <w:ind w:left="2640" w:right="1779" w:hanging="525"/>
        <w:spacing w:after="0" w:line="235" w:lineRule="auto"/>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1,042,306 shares of Common Stock, $0.01 par value, of CECO Environmental Corp.</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10.4%</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380" w:right="2519" w:hanging="738"/>
        <w:spacing w:after="0" w:line="235"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1,042,306 shares</w:t>
      </w:r>
    </w:p>
    <w:p>
      <w:pPr>
        <w:spacing w:after="0" w:line="208" w:lineRule="exact"/>
        <w:rPr>
          <w:rFonts w:ascii="Courier New" w:cs="Courier New" w:eastAsia="Courier New" w:hAnsi="Courier New"/>
          <w:sz w:val="18"/>
          <w:szCs w:val="18"/>
          <w:color w:val="auto"/>
        </w:rPr>
      </w:pPr>
    </w:p>
    <w:p>
      <w:pPr>
        <w:ind w:left="3380" w:right="2319" w:hanging="738"/>
        <w:spacing w:after="0" w:line="235"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 shares</w:t>
      </w:r>
    </w:p>
    <w:p>
      <w:pPr>
        <w:spacing w:after="0" w:line="208" w:lineRule="exact"/>
        <w:rPr>
          <w:rFonts w:ascii="Courier New" w:cs="Courier New" w:eastAsia="Courier New" w:hAnsi="Courier New"/>
          <w:sz w:val="18"/>
          <w:szCs w:val="18"/>
          <w:color w:val="auto"/>
        </w:rPr>
      </w:pPr>
    </w:p>
    <w:p>
      <w:pPr>
        <w:ind w:left="3380" w:right="2839" w:hanging="738"/>
        <w:spacing w:after="0" w:line="235"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1,042,306 shares</w:t>
      </w:r>
    </w:p>
    <w:p>
      <w:pPr>
        <w:spacing w:after="0" w:line="208" w:lineRule="exact"/>
        <w:rPr>
          <w:rFonts w:ascii="Courier New" w:cs="Courier New" w:eastAsia="Courier New" w:hAnsi="Courier New"/>
          <w:sz w:val="18"/>
          <w:szCs w:val="18"/>
          <w:color w:val="auto"/>
        </w:rPr>
      </w:pPr>
    </w:p>
    <w:p>
      <w:pPr>
        <w:ind w:left="3380" w:right="2619" w:hanging="738"/>
        <w:spacing w:after="0" w:line="235"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 shares</w:t>
      </w:r>
    </w:p>
    <w:p>
      <w:pPr>
        <w:spacing w:after="0" w:line="200" w:lineRule="exact"/>
        <w:rPr>
          <w:sz w:val="20"/>
          <w:szCs w:val="20"/>
          <w:color w:val="auto"/>
        </w:rPr>
      </w:pPr>
    </w:p>
    <w:p>
      <w:pPr>
        <w:spacing w:after="0" w:line="205"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jc w:val="both"/>
        <w:ind w:left="2120" w:right="1779"/>
        <w:spacing w:after="0" w:line="271" w:lineRule="auto"/>
        <w:rPr>
          <w:sz w:val="20"/>
          <w:szCs w:val="20"/>
          <w:color w:val="auto"/>
        </w:rPr>
      </w:pPr>
      <w:r>
        <w:rPr>
          <w:rFonts w:ascii="Courier New" w:cs="Courier New" w:eastAsia="Courier New" w:hAnsi="Courier New"/>
          <w:sz w:val="16"/>
          <w:szCs w:val="16"/>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4</w:t>
      </w:r>
    </w:p>
    <w:p>
      <w:pPr>
        <w:spacing w:after="0" w:line="16" w:lineRule="exact"/>
        <w:rPr>
          <w:sz w:val="20"/>
          <w:szCs w:val="20"/>
          <w:color w:val="auto"/>
        </w:rPr>
      </w:pPr>
    </w:p>
    <w:p>
      <w:pPr>
        <w:sectPr>
          <w:pgSz w:w="11900" w:h="16838" w:orient="portrait"/>
          <w:cols w:equalWidth="0" w:num="3">
            <w:col w:w="3180" w:space="720"/>
            <w:col w:w="2660" w:space="720"/>
            <w:col w:w="2939"/>
          </w:cols>
          <w:pgMar w:left="240" w:top="925"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125141101</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certify that the information set forth in this statement is true, correct.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1779"/>
        <w:spacing w:after="0"/>
        <w:tabs>
          <w:tab w:leader="none" w:pos="80" w:val="left"/>
        </w:tabs>
        <w:rPr>
          <w:sz w:val="20"/>
          <w:szCs w:val="20"/>
          <w:color w:val="auto"/>
        </w:rPr>
      </w:pPr>
      <w:r>
        <w:rPr>
          <w:rFonts w:ascii="Courier New" w:cs="Courier New" w:eastAsia="Courier New" w:hAnsi="Courier New"/>
          <w:sz w:val="18"/>
          <w:szCs w:val="18"/>
          <w:color w:val="auto"/>
        </w:rPr>
        <w:t>and belief,</w:t>
      </w:r>
      <w:r>
        <w:rPr>
          <w:sz w:val="20"/>
          <w:szCs w:val="20"/>
          <w:color w:val="auto"/>
        </w:rPr>
        <w:tab/>
      </w:r>
      <w:r>
        <w:rPr>
          <w:rFonts w:ascii="Courier New" w:cs="Courier New" w:eastAsia="Courier New" w:hAnsi="Courier New"/>
          <w:sz w:val="16"/>
          <w:szCs w:val="16"/>
          <w:color w:val="auto"/>
        </w:rPr>
        <w:t>I</w:t>
      </w:r>
    </w:p>
    <w:p>
      <w:pPr>
        <w:jc w:val="right"/>
        <w:ind w:right="1779"/>
        <w:spacing w:after="0" w:line="238" w:lineRule="auto"/>
        <w:rPr>
          <w:sz w:val="20"/>
          <w:szCs w:val="20"/>
          <w:color w:val="auto"/>
        </w:rPr>
      </w:pPr>
      <w:r>
        <w:rPr>
          <w:rFonts w:ascii="Courier New" w:cs="Courier New" w:eastAsia="Courier New" w:hAnsi="Courier New"/>
          <w:sz w:val="18"/>
          <w:szCs w:val="18"/>
          <w:color w:val="auto"/>
        </w:rPr>
        <w:t>complete and</w:t>
      </w:r>
    </w:p>
    <w:p>
      <w:pPr>
        <w:spacing w:after="0" w:line="401" w:lineRule="exact"/>
        <w:rPr>
          <w:sz w:val="20"/>
          <w:szCs w:val="20"/>
          <w:color w:val="auto"/>
        </w:rPr>
      </w:pPr>
    </w:p>
    <w:p>
      <w:pPr>
        <w:sectPr>
          <w:pgSz w:w="11900" w:h="16838" w:orient="portrait"/>
          <w:cols w:equalWidth="0" w:num="2">
            <w:col w:w="6960" w:space="0"/>
            <w:col w:w="325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21,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HARVEY SANDLER REVOCABLE TRUST</w:t>
      </w:r>
    </w:p>
    <w:p>
      <w:pPr>
        <w:spacing w:after="0" w:line="200" w:lineRule="exact"/>
        <w:rPr>
          <w:sz w:val="20"/>
          <w:szCs w:val="20"/>
          <w:color w:val="auto"/>
        </w:rPr>
      </w:pPr>
    </w:p>
    <w:p>
      <w:pPr>
        <w:sectPr>
          <w:pgSz w:w="11900" w:h="16838" w:orient="portrait"/>
          <w:cols w:equalWidth="0" w:num="2">
            <w:col w:w="4440" w:space="720"/>
            <w:col w:w="5059"/>
          </w:cols>
          <w:pgMar w:left="240" w:top="925" w:right="1440" w:bottom="1440" w:gutter="0" w:footer="0" w:header="0"/>
          <w:type w:val="continuous"/>
        </w:sectPr>
      </w:pPr>
    </w:p>
    <w:p>
      <w:pPr>
        <w:spacing w:after="0" w:line="2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By:/s/ Harvey Sandler</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 Harvey Sandler</w:t>
      </w:r>
    </w:p>
    <w:p>
      <w:pPr>
        <w:ind w:left="5160"/>
        <w:spacing w:after="0" w:line="238" w:lineRule="auto"/>
        <w:rPr>
          <w:sz w:val="20"/>
          <w:szCs w:val="20"/>
          <w:color w:val="auto"/>
        </w:rPr>
      </w:pPr>
      <w:r>
        <w:rPr>
          <w:rFonts w:ascii="Courier New" w:cs="Courier New" w:eastAsia="Courier New" w:hAnsi="Courier New"/>
          <w:sz w:val="18"/>
          <w:szCs w:val="18"/>
          <w:color w:val="auto"/>
        </w:rPr>
        <w:t>Title: Sole Trustee</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upperLetter"/>
      <w:start w:val="24"/>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2020-02-14T17:19:48Z</dcterms:created>
  <dcterms:modified xsi:type="dcterms:W3CDTF">2020-02-14T17:19:48Z</dcterms:modified>
</cp:coreProperties>
</file>