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4" w:space="1" w:color="000000"/>
        </w:pBdr>
        <w:spacing w:before="0" w:after="0"/>
        <w:rPr/>
      </w:pPr>
      <w:bookmarkStart w:id="0" w:name="d8k.htm"/>
      <w:bookmarkStart w:id="1" w:name="ksd8k"/>
      <w:bookmarkEnd w:id="0"/>
      <w:bookmarkEnd w:id="1"/>
      <w:r>
        <w:rPr/>
        <w:t> </w:t>
      </w:r>
    </w:p>
    <w:p>
      <w:pPr>
        <w:pStyle w:val="TextBody"/>
        <w:pBdr>
          <w:bottom w:val="single" w:sz="4" w:space="1" w:color="000000"/>
        </w:pBdr>
        <w:spacing w:lineRule="atLeast" w:line="141" w:before="0" w:after="30"/>
        <w:rPr/>
      </w:pPr>
      <w:r>
        <w:rPr/>
        <w:t> </w:t>
      </w:r>
    </w:p>
    <w:p>
      <w:pPr>
        <w:pStyle w:val="TextBody"/>
        <w:spacing w:before="60"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80" w:after="0"/>
        <w:jc w:val="center"/>
        <w:rPr>
          <w:rFonts w:ascii="Times New Roman" w:hAnsi="Times New Roman"/>
          <w:b/>
          <w:sz w:val="36"/>
        </w:rPr>
      </w:pPr>
      <w:r>
        <w:rPr>
          <w:rFonts w:ascii="Times New Roman" w:hAnsi="Times New Roman"/>
          <w:b/>
          <w:sz w:val="36"/>
        </w:rPr>
        <w:t xml:space="preserve">FORM 8-K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80" w:after="0"/>
        <w:jc w:val="center"/>
        <w:rPr>
          <w:rFonts w:ascii="Times New Roman" w:hAnsi="Times New Roman"/>
          <w:b/>
          <w:sz w:val="28"/>
        </w:rPr>
      </w:pPr>
      <w:r>
        <w:rPr>
          <w:rFonts w:ascii="Times New Roman" w:hAnsi="Times New Roman"/>
          <w:b/>
          <w:sz w:val="28"/>
        </w:rPr>
        <w:t xml:space="preserve">CURRENT REPORT </w:t>
      </w:r>
    </w:p>
    <w:p>
      <w:pPr>
        <w:pStyle w:val="TextBody"/>
        <w:spacing w:before="180" w:after="0"/>
        <w:jc w:val="center"/>
        <w:rPr>
          <w:rFonts w:ascii="Times New Roman" w:hAnsi="Times New Roman"/>
          <w:b/>
          <w:sz w:val="24"/>
        </w:rPr>
      </w:pPr>
      <w:r>
        <w:rPr>
          <w:rFonts w:ascii="Times New Roman" w:hAnsi="Times New Roman"/>
          <w:b/>
          <w:sz w:val="24"/>
        </w:rPr>
        <w:t xml:space="preserve">Pursuant to Section 13 or 15(d) of the </w:t>
      </w:r>
    </w:p>
    <w:p>
      <w:pPr>
        <w:pStyle w:val="TextBody"/>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spacing w:before="180" w:after="0"/>
        <w:jc w:val="center"/>
        <w:rPr>
          <w:rFonts w:ascii="Times New Roman" w:hAnsi="Times New Roman"/>
          <w:b/>
          <w:sz w:val="24"/>
        </w:rPr>
      </w:pPr>
      <w:r>
        <w:rPr>
          <w:rFonts w:ascii="Times New Roman" w:hAnsi="Times New Roman"/>
          <w:b/>
          <w:sz w:val="24"/>
        </w:rPr>
        <w:t xml:space="preserve">Date of Report (Date of earliest event reported): March 11, 2010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80" w:after="0"/>
        <w:jc w:val="center"/>
        <w:rPr>
          <w:rFonts w:ascii="Times New Roman" w:hAnsi="Times New Roman"/>
          <w:b/>
          <w:sz w:val="48"/>
        </w:rPr>
      </w:pPr>
      <w:r>
        <w:rPr>
          <w:rFonts w:ascii="Times New Roman" w:hAnsi="Times New Roman"/>
          <w:b/>
          <w:sz w:val="48"/>
        </w:rPr>
        <w:t xml:space="preserve">CECO Environmental Corp. </w:t>
      </w:r>
    </w:p>
    <w:p>
      <w:pPr>
        <w:pStyle w:val="TextBody"/>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Delaware</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000-7099</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13-2566064</w:t>
            </w:r>
          </w:p>
        </w:tc>
      </w:tr>
      <w:tr>
        <w:trPr/>
        <w:tc>
          <w:tcPr>
            <w:tcW w:w="3469"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(State or other jurisdiction</w:t>
            </w:r>
          </w:p>
          <w:p>
            <w:pPr>
              <w:pStyle w:val="TableContents"/>
              <w:spacing w:before="0" w:after="15"/>
              <w:jc w:val="center"/>
              <w:rPr>
                <w:rFonts w:ascii="Times New Roman" w:hAnsi="Times New Roman"/>
                <w:b/>
                <w:sz w:val="14"/>
              </w:rPr>
            </w:pPr>
            <w:r>
              <w:rPr>
                <w:rFonts w:ascii="Times New Roman" w:hAnsi="Times New Roman"/>
                <w:b/>
                <w:sz w:val="14"/>
              </w:rPr>
              <w:t>of incorporation)</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(Commission</w:t>
            </w:r>
          </w:p>
          <w:p>
            <w:pPr>
              <w:pStyle w:val="TableContents"/>
              <w:spacing w:before="0" w:after="15"/>
              <w:jc w:val="center"/>
              <w:rPr>
                <w:rFonts w:ascii="Times New Roman" w:hAnsi="Times New Roman"/>
                <w:b/>
                <w:sz w:val="14"/>
              </w:rPr>
            </w:pPr>
            <w:r>
              <w:rPr>
                <w:rFonts w:ascii="Times New Roman" w:hAnsi="Times New Roman"/>
                <w:b/>
                <w:sz w:val="14"/>
              </w:rPr>
              <w:t>File Number)</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(IRS Employer</w:t>
            </w:r>
          </w:p>
          <w:p>
            <w:pPr>
              <w:pStyle w:val="TableContents"/>
              <w:spacing w:before="0" w:after="15"/>
              <w:jc w:val="center"/>
              <w:rPr>
                <w:rFonts w:ascii="Times New Roman" w:hAnsi="Times New Roman"/>
                <w:b/>
                <w:sz w:val="14"/>
              </w:rPr>
            </w:pPr>
            <w:r>
              <w:rPr>
                <w:rFonts w:ascii="Times New Roman" w:hAnsi="Times New Roman"/>
                <w:b/>
                <w:sz w:val="14"/>
              </w:rPr>
              <w:t>Identification No.)</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102"/>
        <w:gridCol w:w="202"/>
        <w:gridCol w:w="4901"/>
      </w:tblGrid>
      <w:tr>
        <w:trPr/>
        <w:tc>
          <w:tcPr>
            <w:tcW w:w="5102"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bottom"/>
          </w:tcPr>
          <w:p>
            <w:pPr>
              <w:pStyle w:val="TableContents"/>
              <w:spacing w:before="0" w:after="283"/>
              <w:rPr>
                <w:sz w:val="4"/>
                <w:szCs w:val="4"/>
              </w:rPr>
            </w:pPr>
            <w:r>
              <w:rPr>
                <w:sz w:val="4"/>
                <w:szCs w:val="4"/>
              </w:rPr>
            </w:r>
          </w:p>
        </w:tc>
        <w:tc>
          <w:tcPr>
            <w:tcW w:w="4901" w:type="dxa"/>
            <w:tcBorders/>
            <w:shd w:fill="auto" w:val="clear"/>
            <w:vAlign w:val="center"/>
          </w:tcPr>
          <w:p>
            <w:pPr>
              <w:pStyle w:val="TableContents"/>
              <w:spacing w:before="0" w:after="283"/>
              <w:rPr>
                <w:sz w:val="4"/>
                <w:szCs w:val="4"/>
              </w:rPr>
            </w:pPr>
            <w:r>
              <w:rPr>
                <w:sz w:val="4"/>
                <w:szCs w:val="4"/>
              </w:rPr>
            </w:r>
          </w:p>
        </w:tc>
      </w:tr>
      <w:tr>
        <w:trPr/>
        <w:tc>
          <w:tcPr>
            <w:tcW w:w="5102"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3120 Forrer Street, Cincinnati, OH</w:t>
            </w:r>
          </w:p>
        </w:tc>
        <w:tc>
          <w:tcPr>
            <w:tcW w:w="202" w:type="dxa"/>
            <w:tcBorders/>
            <w:shd w:fill="auto" w:val="clear"/>
            <w:vAlign w:val="bottom"/>
          </w:tcPr>
          <w:p>
            <w:pPr>
              <w:pStyle w:val="TableContents"/>
              <w:spacing w:before="0" w:after="283"/>
              <w:rPr/>
            </w:pPr>
            <w:r>
              <w:rPr/>
              <w:t> </w:t>
            </w:r>
          </w:p>
        </w:tc>
        <w:tc>
          <w:tcPr>
            <w:tcW w:w="4901"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45209</w:t>
            </w:r>
          </w:p>
        </w:tc>
      </w:tr>
      <w:tr>
        <w:trPr/>
        <w:tc>
          <w:tcPr>
            <w:tcW w:w="5102"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(Address of principal executive offices)</w:t>
            </w:r>
          </w:p>
        </w:tc>
        <w:tc>
          <w:tcPr>
            <w:tcW w:w="202" w:type="dxa"/>
            <w:tcBorders/>
            <w:shd w:fill="auto" w:val="clear"/>
            <w:vAlign w:val="bottom"/>
          </w:tcPr>
          <w:p>
            <w:pPr>
              <w:pStyle w:val="TableContents"/>
              <w:spacing w:before="0" w:after="283"/>
              <w:rPr/>
            </w:pPr>
            <w:r>
              <w:rPr/>
              <w:t> </w:t>
            </w:r>
          </w:p>
        </w:tc>
        <w:tc>
          <w:tcPr>
            <w:tcW w:w="4901"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(Zip Code)</w:t>
            </w:r>
          </w:p>
        </w:tc>
      </w:tr>
    </w:tbl>
    <w:p>
      <w:pPr>
        <w:pStyle w:val="TextBody"/>
        <w:spacing w:before="180" w:after="0"/>
        <w:jc w:val="center"/>
        <w:rPr>
          <w:rFonts w:ascii="Times New Roman" w:hAnsi="Times New Roman"/>
          <w:b/>
          <w:sz w:val="20"/>
        </w:rPr>
      </w:pPr>
      <w:r>
        <w:rPr>
          <w:rFonts w:ascii="Times New Roman" w:hAnsi="Times New Roman"/>
          <w:b/>
          <w:sz w:val="20"/>
        </w:rPr>
        <w:t xml:space="preserve">Registrants telephone number, including area code: (416) 593-6543 </w:t>
      </w:r>
    </w:p>
    <w:p>
      <w:pPr>
        <w:pStyle w:val="TextBody"/>
        <w:spacing w:before="180" w:after="0"/>
        <w:jc w:val="center"/>
        <w:rPr>
          <w:rFonts w:ascii="Times New Roman" w:hAnsi="Times New Roman"/>
          <w:b/>
          <w:sz w:val="20"/>
        </w:rPr>
      </w:pPr>
      <w:r>
        <w:rPr>
          <w:rFonts w:ascii="Times New Roman" w:hAnsi="Times New Roman"/>
          <w:b/>
          <w:sz w:val="20"/>
        </w:rPr>
        <w:t xml:space="preserve">Not applicable </w:t>
      </w:r>
    </w:p>
    <w:p>
      <w:pPr>
        <w:pStyle w:val="TextBody"/>
        <w:spacing w:before="0" w:after="0"/>
        <w:jc w:val="center"/>
        <w:rPr>
          <w:rFonts w:ascii="Times New Roman" w:hAnsi="Times New Roman"/>
          <w:b/>
          <w:sz w:val="14"/>
        </w:rPr>
      </w:pPr>
      <w:r>
        <w:rPr>
          <w:rFonts w:ascii="Times New Roman" w:hAnsi="Times New Roman"/>
          <w:b/>
          <w:sz w:val="14"/>
        </w:rPr>
        <w:t xml:space="preserve">(Former Name or Former Address, if Changed Since Last Report)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80" w:after="0"/>
        <w:rPr>
          <w:rFonts w:ascii="Times New Roman" w:hAnsi="Times New Roman"/>
          <w:sz w:val="20"/>
        </w:rPr>
      </w:pPr>
      <w:r>
        <w:rPr>
          <w:rFonts w:ascii="Times New Roman" w:hAnsi="Times New Roman"/>
          <w:sz w:val="20"/>
        </w:rPr>
        <w:t xml:space="preserve">Check the appropriate box below if the Form 8-K filing is intended to simultaneously satisfy the filing obligation of the registrant under any of the following provisions: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Soliciting material pursuant to Rule 14a-12 under the Exchange Act (17 CFR 240.14a-12)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Pre-commencement communications pursuant to Rule 13e-4(c) under the Exchange Act (17 CFR 240.13e-4(c)) </w:t>
            </w:r>
          </w:p>
        </w:tc>
      </w:tr>
    </w:tbl>
    <w:p>
      <w:pPr>
        <w:pStyle w:val="TextBody"/>
        <w:spacing w:before="0" w:after="0"/>
        <w:rPr/>
      </w:pPr>
      <w:r>
        <w:rPr/>
        <w:t> </w:t>
      </w:r>
    </w:p>
    <w:p>
      <w:pPr>
        <w:pStyle w:val="TextBody"/>
        <w:pBdr>
          <w:bottom w:val="single" w:sz="4" w:space="1" w:color="000000"/>
        </w:pBdr>
        <w:spacing w:before="0" w:after="0"/>
        <w:rPr/>
      </w:pPr>
      <w:r>
        <w:rPr/>
        <w:t> </w:t>
      </w:r>
    </w:p>
    <w:p>
      <w:pPr>
        <w:pStyle w:val="TextBody"/>
        <w:pBdr>
          <w:bottom w:val="single" w:sz="4" w:space="1" w:color="000000"/>
        </w:pBdr>
        <w:spacing w:lineRule="atLeast" w:line="141" w:before="0" w:after="30"/>
        <w:rPr/>
      </w:pPr>
      <w:r>
        <w:rPr/>
        <w:t>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918"/>
        <w:gridCol w:w="9287"/>
      </w:tblGrid>
      <w:tr>
        <w:trPr/>
        <w:tc>
          <w:tcPr>
            <w:tcW w:w="91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2.02.</w:t>
            </w:r>
          </w:p>
        </w:tc>
        <w:tc>
          <w:tcPr>
            <w:tcW w:w="928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Results of Operations and Financial Condition. </w:t>
            </w:r>
          </w:p>
        </w:tc>
      </w:tr>
    </w:tbl>
    <w:p>
      <w:pPr>
        <w:pStyle w:val="TextBody"/>
        <w:spacing w:before="90" w:after="0"/>
        <w:rPr>
          <w:rFonts w:ascii="Times New Roman" w:hAnsi="Times New Roman"/>
          <w:sz w:val="20"/>
        </w:rPr>
      </w:pPr>
      <w:r>
        <w:rPr>
          <w:rFonts w:ascii="Times New Roman" w:hAnsi="Times New Roman"/>
          <w:sz w:val="20"/>
        </w:rPr>
        <w:t xml:space="preserve">On March 11, 2010, CECO Environmental Corp. (the Company) issued a press release announcing its financial results for the three and twelve months ended December 31, 2009. A copy of the press release is furnished as Exhibit 99.1. to this report and is incorporated herein by reference. </w:t>
      </w:r>
    </w:p>
    <w:p>
      <w:pPr>
        <w:pStyle w:val="TextBody"/>
        <w:spacing w:before="180" w:after="0"/>
        <w:rPr>
          <w:rFonts w:ascii="Times New Roman" w:hAnsi="Times New Roman"/>
          <w:sz w:val="20"/>
        </w:rPr>
      </w:pPr>
      <w:r>
        <w:rPr>
          <w:rFonts w:ascii="Times New Roman" w:hAnsi="Times New Roman"/>
          <w:sz w:val="20"/>
        </w:rPr>
        <w:t xml:space="preserve">The information in this Item 2.02, including the exhibits,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filing.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9.01.</w:t>
            </w:r>
          </w:p>
        </w:tc>
        <w:tc>
          <w:tcPr>
            <w:tcW w:w="928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Financial Statements and Exhibits.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(d)</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Exhibits </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11"/>
        <w:gridCol w:w="536"/>
        <w:gridCol w:w="9158"/>
      </w:tblGrid>
      <w:tr>
        <w:trPr/>
        <w:tc>
          <w:tcPr>
            <w:tcW w:w="511"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bottom"/>
          </w:tcPr>
          <w:p>
            <w:pPr>
              <w:pStyle w:val="TableContents"/>
              <w:spacing w:before="0" w:after="283"/>
              <w:rPr>
                <w:sz w:val="4"/>
                <w:szCs w:val="4"/>
              </w:rPr>
            </w:pPr>
            <w:r>
              <w:rPr>
                <w:sz w:val="4"/>
                <w:szCs w:val="4"/>
              </w:rPr>
            </w:r>
          </w:p>
        </w:tc>
        <w:tc>
          <w:tcPr>
            <w:tcW w:w="9158" w:type="dxa"/>
            <w:tcBorders/>
            <w:shd w:fill="auto" w:val="clear"/>
            <w:vAlign w:val="center"/>
          </w:tcPr>
          <w:p>
            <w:pPr>
              <w:pStyle w:val="TableContents"/>
              <w:spacing w:before="0" w:after="283"/>
              <w:rPr>
                <w:sz w:val="4"/>
                <w:szCs w:val="4"/>
              </w:rPr>
            </w:pPr>
            <w:r>
              <w:rPr>
                <w:sz w:val="4"/>
                <w:szCs w:val="4"/>
              </w:rPr>
            </w:r>
          </w:p>
        </w:tc>
      </w:tr>
      <w:tr>
        <w:trPr/>
        <w:tc>
          <w:tcPr>
            <w:tcW w:w="511"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Exhibit</w:t>
              <w:br/>
              <w:t>Number</w:t>
            </w:r>
          </w:p>
        </w:tc>
        <w:tc>
          <w:tcPr>
            <w:tcW w:w="536" w:type="dxa"/>
            <w:tcBorders/>
            <w:shd w:fill="auto" w:val="clear"/>
            <w:vAlign w:val="bottom"/>
          </w:tcPr>
          <w:p>
            <w:pPr>
              <w:pStyle w:val="TableContents"/>
              <w:spacing w:before="0" w:after="283"/>
              <w:rPr/>
            </w:pPr>
            <w:r>
              <w:rPr/>
              <w:t>  </w:t>
            </w:r>
          </w:p>
        </w:tc>
        <w:tc>
          <w:tcPr>
            <w:tcW w:w="9158" w:type="dxa"/>
            <w:tcBorders>
              <w:bottom w:val="single" w:sz="2" w:space="0" w:color="000000"/>
            </w:tcBorders>
            <w:shd w:fill="auto" w:val="clear"/>
            <w:tcMar>
              <w:bottom w:w="28" w:type="dxa"/>
            </w:tcMar>
            <w:vAlign w:val="bottom"/>
          </w:tcPr>
          <w:p>
            <w:pPr>
              <w:pStyle w:val="TableContents"/>
              <w:spacing w:before="0" w:after="15"/>
              <w:jc w:val="center"/>
              <w:rPr>
                <w:rFonts w:ascii="Times New Roman" w:hAnsi="Times New Roman"/>
                <w:b/>
                <w:sz w:val="14"/>
              </w:rPr>
            </w:pPr>
            <w:r>
              <w:rPr>
                <w:rFonts w:ascii="Times New Roman" w:hAnsi="Times New Roman"/>
                <w:b/>
                <w:sz w:val="14"/>
              </w:rPr>
              <w:t>Exhibit Title</w:t>
            </w:r>
          </w:p>
        </w:tc>
      </w:tr>
      <w:tr>
        <w:trPr>
          <w:trHeight w:val="120" w:hRule="atLeast"/>
        </w:trPr>
        <w:tc>
          <w:tcPr>
            <w:tcW w:w="511" w:type="dxa"/>
            <w:tcBorders/>
            <w:shd w:fill="auto" w:val="clear"/>
            <w:vAlign w:val="center"/>
          </w:tcPr>
          <w:p>
            <w:pPr>
              <w:pStyle w:val="TableContents"/>
              <w:spacing w:before="0" w:after="283"/>
              <w:rPr>
                <w:sz w:val="4"/>
                <w:szCs w:val="4"/>
              </w:rPr>
            </w:pPr>
            <w:r>
              <w:rPr>
                <w:sz w:val="4"/>
                <w:szCs w:val="4"/>
              </w:rPr>
            </w:r>
          </w:p>
        </w:tc>
        <w:tc>
          <w:tcPr>
            <w:tcW w:w="9694" w:type="dxa"/>
            <w:gridSpan w:val="2"/>
            <w:tcBorders/>
            <w:shd w:fill="auto" w:val="clear"/>
            <w:vAlign w:val="center"/>
          </w:tcPr>
          <w:p>
            <w:pPr>
              <w:pStyle w:val="TableContents"/>
              <w:spacing w:before="0" w:after="283"/>
              <w:rPr>
                <w:sz w:val="4"/>
                <w:szCs w:val="4"/>
              </w:rPr>
            </w:pPr>
            <w:r>
              <w:rPr>
                <w:sz w:val="4"/>
                <w:szCs w:val="4"/>
              </w:rPr>
            </w:r>
          </w:p>
        </w:tc>
      </w:tr>
      <w:tr>
        <w:trPr/>
        <w:tc>
          <w:tcPr>
            <w:tcW w:w="511" w:type="dxa"/>
            <w:tcBorders/>
            <w:shd w:fill="auto" w:val="clear"/>
          </w:tcPr>
          <w:p>
            <w:pPr>
              <w:pStyle w:val="TableContents"/>
              <w:spacing w:before="0" w:after="283"/>
              <w:rPr>
                <w:rFonts w:ascii="Times New Roman" w:hAnsi="Times New Roman"/>
                <w:sz w:val="20"/>
              </w:rPr>
            </w:pPr>
            <w:r>
              <w:rPr>
                <w:rFonts w:ascii="Times New Roman" w:hAnsi="Times New Roman"/>
                <w:sz w:val="20"/>
              </w:rPr>
              <w:t>99.1</w:t>
            </w:r>
          </w:p>
        </w:tc>
        <w:tc>
          <w:tcPr>
            <w:tcW w:w="536" w:type="dxa"/>
            <w:tcBorders/>
            <w:shd w:fill="auto" w:val="clear"/>
            <w:vAlign w:val="bottom"/>
          </w:tcPr>
          <w:p>
            <w:pPr>
              <w:pStyle w:val="TableContents"/>
              <w:spacing w:before="0" w:after="283"/>
              <w:rPr/>
            </w:pPr>
            <w:r>
              <w:rPr/>
              <w:t>  </w:t>
            </w:r>
          </w:p>
        </w:tc>
        <w:tc>
          <w:tcPr>
            <w:tcW w:w="9158" w:type="dxa"/>
            <w:tcBorders/>
            <w:shd w:fill="auto" w:val="clear"/>
          </w:tcPr>
          <w:p>
            <w:pPr>
              <w:pStyle w:val="TableContents"/>
              <w:spacing w:before="0" w:after="283"/>
              <w:rPr>
                <w:rFonts w:ascii="Times New Roman" w:hAnsi="Times New Roman"/>
                <w:sz w:val="20"/>
              </w:rPr>
            </w:pPr>
            <w:r>
              <w:rPr>
                <w:rFonts w:ascii="Times New Roman" w:hAnsi="Times New Roman"/>
                <w:sz w:val="20"/>
              </w:rPr>
              <w:t>Press Release dated March 11, 2010.</w:t>
            </w:r>
          </w:p>
        </w:tc>
      </w:tr>
    </w:tbl>
    <w:p>
      <w:pPr>
        <w:pStyle w:val="HorizontalLine"/>
        <w:pBdr>
          <w:bottom w:val="double" w:sz="6" w:space="0" w:color="808080"/>
        </w:pBdr>
        <w:rPr/>
      </w:pPr>
      <w:r>
        <w:br w:type="page"/>
      </w:r>
      <w:r>
        <w:rPr/>
      </w:r>
    </w:p>
    <w:p>
      <w:pPr>
        <w:pStyle w:val="TextBody"/>
        <w:spacing w:before="0" w:after="0"/>
        <w:rPr>
          <w:rFonts w:ascii="Times New Roman" w:hAnsi="Times New Roman"/>
          <w:b/>
          <w:sz w:val="20"/>
        </w:rPr>
      </w:pPr>
      <w:r>
        <w:rPr>
          <w:rFonts w:ascii="Times New Roman" w:hAnsi="Times New Roman"/>
          <w:b/>
          <w:sz w:val="20"/>
        </w:rPr>
        <w:t xml:space="preserve">Signatures </w:t>
      </w:r>
    </w:p>
    <w:p>
      <w:pPr>
        <w:pStyle w:val="TextBody"/>
        <w:spacing w:before="90" w:after="0"/>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534"/>
        <w:gridCol w:w="112"/>
        <w:gridCol w:w="389"/>
        <w:gridCol w:w="112"/>
        <w:gridCol w:w="267"/>
        <w:gridCol w:w="112"/>
        <w:gridCol w:w="4679"/>
      </w:tblGrid>
      <w:tr>
        <w:trPr/>
        <w:tc>
          <w:tcPr>
            <w:tcW w:w="4534"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sz w:val="4"/>
                <w:szCs w:val="4"/>
              </w:rPr>
            </w:pPr>
            <w:r>
              <w:rPr>
                <w:sz w:val="4"/>
                <w:szCs w:val="4"/>
              </w:rPr>
            </w:r>
          </w:p>
        </w:tc>
        <w:tc>
          <w:tcPr>
            <w:tcW w:w="4679" w:type="dxa"/>
            <w:tcBorders/>
            <w:shd w:fill="auto" w:val="clear"/>
            <w:vAlign w:val="center"/>
          </w:tcPr>
          <w:p>
            <w:pPr>
              <w:pStyle w:val="TableContents"/>
              <w:spacing w:before="0" w:after="283"/>
              <w:rPr>
                <w:sz w:val="4"/>
                <w:szCs w:val="4"/>
              </w:rPr>
            </w:pPr>
            <w:r>
              <w:rPr>
                <w:sz w:val="4"/>
                <w:szCs w:val="4"/>
              </w:rPr>
            </w:r>
          </w:p>
        </w:tc>
      </w:tr>
      <w:tr>
        <w:trPr/>
        <w:tc>
          <w:tcPr>
            <w:tcW w:w="4534" w:type="dxa"/>
            <w:tcBorders/>
            <w:shd w:fill="auto" w:val="clear"/>
          </w:tcPr>
          <w:p>
            <w:pPr>
              <w:pStyle w:val="TableContents"/>
              <w:spacing w:before="0" w:after="283"/>
              <w:rPr>
                <w:rFonts w:ascii="Times New Roman" w:hAnsi="Times New Roman"/>
                <w:sz w:val="20"/>
              </w:rPr>
            </w:pPr>
            <w:r>
              <w:rPr>
                <w:rFonts w:ascii="Times New Roman" w:hAnsi="Times New Roman"/>
                <w:sz w:val="20"/>
              </w:rPr>
              <w:t>Date: March 11, 2010</w:t>
            </w:r>
          </w:p>
        </w:tc>
        <w:tc>
          <w:tcPr>
            <w:tcW w:w="112" w:type="dxa"/>
            <w:tcBorders/>
            <w:shd w:fill="auto" w:val="clear"/>
            <w:vAlign w:val="bottom"/>
          </w:tcPr>
          <w:p>
            <w:pPr>
              <w:pStyle w:val="TableContents"/>
              <w:spacing w:before="0" w:after="283"/>
              <w:rPr/>
            </w:pPr>
            <w:r>
              <w:rPr/>
              <w:t> </w:t>
            </w:r>
          </w:p>
        </w:tc>
        <w:tc>
          <w:tcPr>
            <w:tcW w:w="389" w:type="dxa"/>
            <w:tcBorders/>
            <w:shd w:fill="auto" w:val="clear"/>
            <w:vAlign w:val="bottom"/>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pPr>
            <w:r>
              <w:rPr/>
              <w:t> </w:t>
            </w:r>
          </w:p>
        </w:tc>
        <w:tc>
          <w:tcPr>
            <w:tcW w:w="5058" w:type="dxa"/>
            <w:gridSpan w:val="3"/>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CECO Environmental Corp.</w:t>
            </w:r>
          </w:p>
        </w:tc>
      </w:tr>
      <w:tr>
        <w:trPr>
          <w:trHeight w:val="240" w:hRule="atLeast"/>
        </w:trPr>
        <w:tc>
          <w:tcPr>
            <w:tcW w:w="4534" w:type="dxa"/>
            <w:tcBorders/>
            <w:shd w:fill="auto" w:val="clear"/>
            <w:vAlign w:val="center"/>
          </w:tcPr>
          <w:p>
            <w:pPr>
              <w:pStyle w:val="TableContents"/>
              <w:spacing w:before="0" w:after="283"/>
              <w:rPr>
                <w:sz w:val="4"/>
                <w:szCs w:val="4"/>
              </w:rPr>
            </w:pPr>
            <w:r>
              <w:rPr>
                <w:sz w:val="4"/>
                <w:szCs w:val="4"/>
              </w:rPr>
            </w:r>
          </w:p>
        </w:tc>
        <w:tc>
          <w:tcPr>
            <w:tcW w:w="501" w:type="dxa"/>
            <w:gridSpan w:val="2"/>
            <w:tcBorders/>
            <w:shd w:fill="auto" w:val="clear"/>
            <w:vAlign w:val="center"/>
          </w:tcPr>
          <w:p>
            <w:pPr>
              <w:pStyle w:val="TableContents"/>
              <w:spacing w:before="0" w:after="283"/>
              <w:rPr>
                <w:sz w:val="4"/>
                <w:szCs w:val="4"/>
              </w:rPr>
            </w:pPr>
            <w:r>
              <w:rPr>
                <w:sz w:val="4"/>
                <w:szCs w:val="4"/>
              </w:rPr>
            </w:r>
          </w:p>
        </w:tc>
        <w:tc>
          <w:tcPr>
            <w:tcW w:w="379" w:type="dxa"/>
            <w:gridSpan w:val="2"/>
            <w:tcBorders/>
            <w:shd w:fill="auto" w:val="clear"/>
            <w:vAlign w:val="center"/>
          </w:tcPr>
          <w:p>
            <w:pPr>
              <w:pStyle w:val="TableContents"/>
              <w:spacing w:before="0" w:after="283"/>
              <w:rPr>
                <w:sz w:val="4"/>
                <w:szCs w:val="4"/>
              </w:rPr>
            </w:pPr>
            <w:r>
              <w:rPr>
                <w:sz w:val="4"/>
                <w:szCs w:val="4"/>
              </w:rPr>
            </w:r>
          </w:p>
        </w:tc>
        <w:tc>
          <w:tcPr>
            <w:tcW w:w="4791" w:type="dxa"/>
            <w:gridSpan w:val="2"/>
            <w:tcBorders/>
            <w:shd w:fill="auto" w:val="clear"/>
            <w:vAlign w:val="center"/>
          </w:tcPr>
          <w:p>
            <w:pPr>
              <w:pStyle w:val="TableContents"/>
              <w:spacing w:before="0" w:after="283"/>
              <w:rPr>
                <w:sz w:val="4"/>
                <w:szCs w:val="4"/>
              </w:rPr>
            </w:pPr>
            <w:r>
              <w:rPr>
                <w:sz w:val="4"/>
                <w:szCs w:val="4"/>
              </w:rPr>
            </w:r>
          </w:p>
        </w:tc>
      </w:tr>
      <w:tr>
        <w:trPr/>
        <w:tc>
          <w:tcPr>
            <w:tcW w:w="4534" w:type="dxa"/>
            <w:tcBorders/>
            <w:shd w:fill="auto" w:val="clea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pPr>
            <w:r>
              <w:rPr/>
              <w:t> </w:t>
            </w:r>
          </w:p>
        </w:tc>
        <w:tc>
          <w:tcPr>
            <w:tcW w:w="389" w:type="dxa"/>
            <w:tcBorders/>
            <w:shd w:fill="auto" w:val="clear"/>
            <w:vAlign w:val="bottom"/>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By:</w:t>
            </w:r>
          </w:p>
        </w:tc>
        <w:tc>
          <w:tcPr>
            <w:tcW w:w="112" w:type="dxa"/>
            <w:tcBorders/>
            <w:shd w:fill="auto" w:val="clear"/>
            <w:vAlign w:val="bottom"/>
          </w:tcPr>
          <w:p>
            <w:pPr>
              <w:pStyle w:val="TableContents"/>
              <w:spacing w:before="0" w:after="283"/>
              <w:rPr/>
            </w:pPr>
            <w:r>
              <w:rPr/>
              <w:t> </w:t>
            </w:r>
          </w:p>
        </w:tc>
        <w:tc>
          <w:tcPr>
            <w:tcW w:w="4679" w:type="dxa"/>
            <w:tcBorders/>
            <w:shd w:fill="auto" w:val="clear"/>
            <w:vAlign w:val="bottom"/>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Dennis W. Blazer</w:t>
            </w:r>
          </w:p>
        </w:tc>
      </w:tr>
      <w:tr>
        <w:trPr/>
        <w:tc>
          <w:tcPr>
            <w:tcW w:w="4534" w:type="dxa"/>
            <w:tcBorders/>
            <w:shd w:fill="auto" w:val="clea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pPr>
            <w:r>
              <w:rPr/>
              <w:t> </w:t>
            </w:r>
          </w:p>
        </w:tc>
        <w:tc>
          <w:tcPr>
            <w:tcW w:w="389" w:type="dxa"/>
            <w:tcBorders/>
            <w:shd w:fill="auto" w:val="clear"/>
            <w:vAlign w:val="bottom"/>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pPr>
            <w:r>
              <w:rPr/>
              <w:t> </w:t>
            </w:r>
          </w:p>
        </w:tc>
        <w:tc>
          <w:tcPr>
            <w:tcW w:w="467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Dennis W. Blazer</w:t>
            </w:r>
          </w:p>
        </w:tc>
      </w:tr>
      <w:tr>
        <w:trPr/>
        <w:tc>
          <w:tcPr>
            <w:tcW w:w="4534" w:type="dxa"/>
            <w:tcBorders/>
            <w:shd w:fill="auto" w:val="clea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pPr>
            <w:r>
              <w:rPr/>
              <w:t> </w:t>
            </w:r>
          </w:p>
        </w:tc>
        <w:tc>
          <w:tcPr>
            <w:tcW w:w="389" w:type="dxa"/>
            <w:tcBorders/>
            <w:shd w:fill="auto" w:val="clear"/>
            <w:vAlign w:val="bottom"/>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pPr>
            <w:r>
              <w:rPr/>
              <w:t> </w:t>
            </w:r>
          </w:p>
        </w:tc>
        <w:tc>
          <w:tcPr>
            <w:tcW w:w="467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Vice PresidentFinance and Administration</w:t>
            </w:r>
          </w:p>
        </w:tc>
      </w:tr>
      <w:tr>
        <w:trPr/>
        <w:tc>
          <w:tcPr>
            <w:tcW w:w="4534" w:type="dxa"/>
            <w:tcBorders/>
            <w:shd w:fill="auto" w:val="clea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pPr>
            <w:r>
              <w:rPr/>
              <w:t> </w:t>
            </w:r>
          </w:p>
        </w:tc>
        <w:tc>
          <w:tcPr>
            <w:tcW w:w="389" w:type="dxa"/>
            <w:tcBorders/>
            <w:shd w:fill="auto" w:val="clear"/>
            <w:vAlign w:val="bottom"/>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pPr>
            <w:r>
              <w:rPr/>
              <w:t> </w:t>
            </w:r>
          </w:p>
        </w:tc>
        <w:tc>
          <w:tcPr>
            <w:tcW w:w="467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And Chief Financial Officer</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TextBody"/>
        <w:spacing w:before="0" w:after="0"/>
        <w:jc w:val="right"/>
        <w:rPr>
          <w:rFonts w:ascii="Times New Roman" w:hAnsi="Times New Roman"/>
          <w:b/>
          <w:sz w:val="20"/>
        </w:rPr>
      </w:pPr>
      <w:bookmarkStart w:id="2" w:name="dex991.htm"/>
      <w:bookmarkStart w:id="3" w:name="ksdex991"/>
      <w:bookmarkEnd w:id="2"/>
      <w:bookmarkEnd w:id="3"/>
      <w:r>
        <w:rPr>
          <w:rFonts w:ascii="Times New Roman" w:hAnsi="Times New Roman"/>
          <w:b/>
          <w:sz w:val="20"/>
        </w:rPr>
        <w:t xml:space="preserve">Exhibit 99.1 </w:t>
      </w:r>
    </w:p>
    <w:p>
      <w:pPr>
        <w:pStyle w:val="TextBody"/>
        <w:spacing w:before="180" w:after="0"/>
        <w:jc w:val="center"/>
        <w:rPr/>
      </w:pPr>
      <w:r>
        <w:rPr/>
        <w:drawing>
          <wp:inline distT="0" distB="0" distL="0" distR="0">
            <wp:extent cx="1419225" cy="466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19225" cy="466725"/>
                    </a:xfrm>
                    <a:prstGeom prst="rect">
                      <a:avLst/>
                    </a:prstGeom>
                  </pic:spPr>
                </pic:pic>
              </a:graphicData>
            </a:graphic>
          </wp:inline>
        </w:drawing>
      </w:r>
      <w:r>
        <w:rPr/>
        <w:t xml:space="preserv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104"/>
        <w:gridCol w:w="201"/>
        <w:gridCol w:w="4900"/>
      </w:tblGrid>
      <w:tr>
        <w:trPr/>
        <w:tc>
          <w:tcPr>
            <w:tcW w:w="5104"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bottom"/>
          </w:tcPr>
          <w:p>
            <w:pPr>
              <w:pStyle w:val="TableContents"/>
              <w:spacing w:before="0" w:after="283"/>
              <w:rPr>
                <w:sz w:val="4"/>
                <w:szCs w:val="4"/>
              </w:rPr>
            </w:pPr>
            <w:r>
              <w:rPr>
                <w:sz w:val="4"/>
                <w:szCs w:val="4"/>
              </w:rPr>
            </w:r>
          </w:p>
        </w:tc>
        <w:tc>
          <w:tcPr>
            <w:tcW w:w="4900" w:type="dxa"/>
            <w:tcBorders/>
            <w:shd w:fill="auto" w:val="clear"/>
            <w:vAlign w:val="center"/>
          </w:tcPr>
          <w:p>
            <w:pPr>
              <w:pStyle w:val="TableContents"/>
              <w:spacing w:before="0" w:after="283"/>
              <w:rPr>
                <w:sz w:val="4"/>
                <w:szCs w:val="4"/>
              </w:rPr>
            </w:pPr>
            <w:r>
              <w:rPr>
                <w:sz w:val="4"/>
                <w:szCs w:val="4"/>
              </w:rPr>
            </w:r>
          </w:p>
        </w:tc>
      </w:tr>
      <w:tr>
        <w:trPr/>
        <w:tc>
          <w:tcPr>
            <w:tcW w:w="5104" w:type="dxa"/>
            <w:tcBorders/>
            <w:shd w:fill="auto" w:val="clear"/>
          </w:tcPr>
          <w:p>
            <w:pPr>
              <w:pStyle w:val="TableContents"/>
              <w:spacing w:before="0" w:after="283"/>
              <w:rPr>
                <w:rFonts w:ascii="Times New Roman" w:hAnsi="Times New Roman"/>
                <w:b/>
                <w:sz w:val="20"/>
              </w:rPr>
            </w:pPr>
            <w:r>
              <w:rPr>
                <w:rFonts w:ascii="Times New Roman" w:hAnsi="Times New Roman"/>
                <w:b/>
                <w:sz w:val="20"/>
              </w:rPr>
              <w:t>NasdaqGM:CECE</w:t>
            </w:r>
          </w:p>
        </w:tc>
        <w:tc>
          <w:tcPr>
            <w:tcW w:w="201" w:type="dxa"/>
            <w:tcBorders/>
            <w:shd w:fill="auto" w:val="clear"/>
            <w:vAlign w:val="bottom"/>
          </w:tcPr>
          <w:p>
            <w:pPr>
              <w:pStyle w:val="TableContents"/>
              <w:spacing w:before="0" w:after="283"/>
              <w:rPr/>
            </w:pPr>
            <w:r>
              <w:rPr/>
              <w:t> </w:t>
            </w:r>
          </w:p>
        </w:tc>
        <w:tc>
          <w:tcPr>
            <w:tcW w:w="4900"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NEWS RELEASE</w:t>
            </w:r>
          </w:p>
        </w:tc>
      </w:tr>
    </w:tbl>
    <w:p>
      <w:pPr>
        <w:pStyle w:val="TextBody"/>
        <w:spacing w:before="180" w:after="0"/>
        <w:jc w:val="center"/>
        <w:rPr>
          <w:rFonts w:ascii="Times New Roman" w:hAnsi="Times New Roman"/>
          <w:b/>
          <w:sz w:val="20"/>
        </w:rPr>
      </w:pPr>
      <w:r>
        <w:rPr>
          <w:rFonts w:ascii="Times New Roman" w:hAnsi="Times New Roman"/>
          <w:b/>
          <w:sz w:val="20"/>
        </w:rPr>
        <w:t xml:space="preserve">CECO ENVIRONMENTAL REPORTS </w:t>
      </w:r>
    </w:p>
    <w:p>
      <w:pPr>
        <w:pStyle w:val="TextBody"/>
        <w:spacing w:before="0" w:after="0"/>
        <w:jc w:val="center"/>
        <w:rPr>
          <w:rFonts w:ascii="Times New Roman" w:hAnsi="Times New Roman"/>
          <w:b/>
          <w:sz w:val="20"/>
        </w:rPr>
      </w:pPr>
      <w:r>
        <w:rPr>
          <w:rFonts w:ascii="Times New Roman" w:hAnsi="Times New Roman"/>
          <w:b/>
          <w:sz w:val="20"/>
        </w:rPr>
        <w:t xml:space="preserve">FOURTH QUARTER AND FISCAL 2009 FINANCIAL RESULTS </w:t>
      </w:r>
    </w:p>
    <w:p>
      <w:pPr>
        <w:pStyle w:val="TextBody"/>
        <w:spacing w:before="180" w:after="0"/>
        <w:rPr>
          <w:rFonts w:ascii="Times New Roman" w:hAnsi="Times New Roman"/>
          <w:sz w:val="20"/>
        </w:rPr>
      </w:pPr>
      <w:r>
        <w:rPr>
          <w:rFonts w:ascii="Times New Roman" w:hAnsi="Times New Roman"/>
          <w:b/>
          <w:sz w:val="20"/>
        </w:rPr>
        <w:t xml:space="preserve">CINCINNATI, OHIO, March 11, 2010CECO Environmental Corp. </w:t>
      </w:r>
      <w:r>
        <w:rPr>
          <w:rFonts w:ascii="Times New Roman" w:hAnsi="Times New Roman"/>
          <w:sz w:val="20"/>
        </w:rPr>
        <w:t xml:space="preserve">(NasdaqGM:CECE), a leading provider of industrial ventilation and pollution control systems, today announced fourth quarter and full year financial results for the period ended December 31, 2009. </w:t>
      </w:r>
    </w:p>
    <w:p>
      <w:pPr>
        <w:pStyle w:val="TextBody"/>
        <w:spacing w:before="180" w:after="0"/>
        <w:rPr>
          <w:rFonts w:ascii="Times New Roman" w:hAnsi="Times New Roman"/>
          <w:b/>
          <w:sz w:val="20"/>
        </w:rPr>
      </w:pPr>
      <w:r>
        <w:rPr>
          <w:rFonts w:ascii="Times New Roman" w:hAnsi="Times New Roman"/>
          <w:b/>
          <w:sz w:val="20"/>
        </w:rPr>
        <w:t xml:space="preserve">Financial highlights for the fourth quarter of 2009 compared to the fourth quarter of 2008 include: </w:t>
      </w:r>
    </w:p>
    <w:p>
      <w:pPr>
        <w:pStyle w:val="TextBody"/>
        <w:spacing w:before="90" w:after="0"/>
        <w:rPr>
          <w:rFonts w:ascii="Times New Roman" w:hAnsi="Times New Roman"/>
          <w:sz w:val="20"/>
        </w:rPr>
      </w:pPr>
      <w:r>
        <w:rPr>
          <w:rFonts w:ascii="Times New Roman" w:hAnsi="Times New Roman"/>
          <w:sz w:val="20"/>
        </w:rPr>
        <w:t xml:space="preserve">Net sales from continuing operations were $36.6 million in 2009 as compared to $53.8 million in 2008; </w:t>
      </w:r>
    </w:p>
    <w:p>
      <w:pPr>
        <w:pStyle w:val="TextBody"/>
        <w:spacing w:before="90" w:after="0"/>
        <w:rPr>
          <w:rFonts w:ascii="Times New Roman" w:hAnsi="Times New Roman"/>
          <w:sz w:val="20"/>
        </w:rPr>
      </w:pPr>
      <w:r>
        <w:rPr>
          <w:rFonts w:ascii="Times New Roman" w:hAnsi="Times New Roman"/>
          <w:sz w:val="20"/>
        </w:rPr>
        <w:t xml:space="preserve">Gross profit from continuing operations was $7.9 million in 2009 as compared to $15.0 million in 2008; </w:t>
      </w:r>
    </w:p>
    <w:p>
      <w:pPr>
        <w:pStyle w:val="TextBody"/>
        <w:spacing w:before="90" w:after="0"/>
        <w:rPr>
          <w:rFonts w:ascii="Times New Roman" w:hAnsi="Times New Roman"/>
          <w:sz w:val="20"/>
        </w:rPr>
      </w:pPr>
      <w:r>
        <w:rPr>
          <w:rFonts w:ascii="Times New Roman" w:hAnsi="Times New Roman"/>
          <w:sz w:val="20"/>
        </w:rPr>
        <w:t xml:space="preserve">Selling and administrative expenses in 2009 decreased by $2.5 million to $7.1 million as compared to $9.6 million in 2008; </w:t>
      </w:r>
    </w:p>
    <w:p>
      <w:pPr>
        <w:pStyle w:val="TextBody"/>
        <w:spacing w:before="90" w:after="0"/>
        <w:rPr>
          <w:rFonts w:ascii="Times New Roman" w:hAnsi="Times New Roman"/>
          <w:sz w:val="20"/>
        </w:rPr>
      </w:pPr>
      <w:r>
        <w:rPr>
          <w:rFonts w:ascii="Times New Roman" w:hAnsi="Times New Roman"/>
          <w:sz w:val="20"/>
        </w:rPr>
        <w:t xml:space="preserve">Operating loss from continuing operations was $16.5 million in 2009 as compared to operating income of $4.8 million in 2008. Operating loss in 2009 included a goodwill impairment charge of $17.1 million as compared to no impairment charge in 2008; </w:t>
      </w:r>
    </w:p>
    <w:p>
      <w:pPr>
        <w:pStyle w:val="TextBody"/>
        <w:spacing w:before="90" w:after="0"/>
        <w:rPr>
          <w:rFonts w:ascii="Times New Roman" w:hAnsi="Times New Roman"/>
          <w:sz w:val="20"/>
        </w:rPr>
      </w:pPr>
      <w:r>
        <w:rPr>
          <w:rFonts w:ascii="Times New Roman" w:hAnsi="Times New Roman"/>
          <w:sz w:val="20"/>
        </w:rPr>
        <w:t xml:space="preserve">Net loss was $14.1 million in 2009 as compared to net income of $3.4 million in 2008. Excluding the goodwill adjustment, the non-GAAP net income in 2009 would have been $0.2 million; </w:t>
      </w:r>
    </w:p>
    <w:p>
      <w:pPr>
        <w:pStyle w:val="TextBody"/>
        <w:spacing w:before="90" w:after="0"/>
        <w:rPr>
          <w:rFonts w:ascii="Times New Roman" w:hAnsi="Times New Roman"/>
          <w:sz w:val="20"/>
        </w:rPr>
      </w:pPr>
      <w:r>
        <w:rPr>
          <w:rFonts w:ascii="Times New Roman" w:hAnsi="Times New Roman"/>
          <w:sz w:val="20"/>
        </w:rPr>
        <w:t xml:space="preserve">Net loss per diluted share was $0.97 in 2009 as compared to net income of $0.19 in 2008. Excluding the goodwill impairment adjustment, the non-GAAP earnings per share in 2009 would have been $0.02 per share. </w:t>
      </w:r>
    </w:p>
    <w:p>
      <w:pPr>
        <w:pStyle w:val="TextBody"/>
        <w:spacing w:before="180" w:after="0"/>
        <w:rPr>
          <w:rFonts w:ascii="Times New Roman" w:hAnsi="Times New Roman"/>
          <w:b/>
          <w:sz w:val="20"/>
        </w:rPr>
      </w:pPr>
      <w:r>
        <w:rPr>
          <w:rFonts w:ascii="Times New Roman" w:hAnsi="Times New Roman"/>
          <w:b/>
          <w:sz w:val="20"/>
        </w:rPr>
        <w:t xml:space="preserve">Financial highlights for the twelve months ended December 31, 2009 compared to twelve months ended December 31, 2008 include: </w:t>
      </w:r>
    </w:p>
    <w:p>
      <w:pPr>
        <w:pStyle w:val="TextBody"/>
        <w:spacing w:before="90" w:after="0"/>
        <w:rPr>
          <w:rFonts w:ascii="Times New Roman" w:hAnsi="Times New Roman"/>
          <w:sz w:val="20"/>
        </w:rPr>
      </w:pPr>
      <w:r>
        <w:rPr>
          <w:rFonts w:ascii="Times New Roman" w:hAnsi="Times New Roman"/>
          <w:sz w:val="20"/>
        </w:rPr>
        <w:t xml:space="preserve">Net sales from continuing operations was $139.0 million in 2009 as compared to $183.2 million in 2008; </w:t>
      </w:r>
    </w:p>
    <w:p>
      <w:pPr>
        <w:pStyle w:val="TextBody"/>
        <w:spacing w:before="90" w:after="0"/>
        <w:rPr>
          <w:rFonts w:ascii="Times New Roman" w:hAnsi="Times New Roman"/>
          <w:sz w:val="20"/>
        </w:rPr>
      </w:pPr>
      <w:r>
        <w:rPr>
          <w:rFonts w:ascii="Times New Roman" w:hAnsi="Times New Roman"/>
          <w:sz w:val="20"/>
        </w:rPr>
        <w:t xml:space="preserve">Gross profit from continuing operations was $30.9 million in 2009 as compared to $42.3 million in 2008; </w:t>
      </w:r>
    </w:p>
    <w:p>
      <w:pPr>
        <w:pStyle w:val="TextBody"/>
        <w:spacing w:before="90" w:after="0"/>
        <w:rPr>
          <w:rFonts w:ascii="Times New Roman" w:hAnsi="Times New Roman"/>
          <w:sz w:val="20"/>
        </w:rPr>
      </w:pPr>
      <w:r>
        <w:rPr>
          <w:rFonts w:ascii="Times New Roman" w:hAnsi="Times New Roman"/>
          <w:sz w:val="20"/>
        </w:rPr>
        <w:t xml:space="preserve">Selling and administrative expenses in 2009 decreased by $2.7 million to $28.9 million as compared to $31.6 million in 2008; </w:t>
      </w:r>
    </w:p>
    <w:p>
      <w:pPr>
        <w:pStyle w:val="TextBody"/>
        <w:spacing w:before="90" w:after="0"/>
        <w:rPr>
          <w:rFonts w:ascii="Times New Roman" w:hAnsi="Times New Roman"/>
          <w:sz w:val="20"/>
        </w:rPr>
      </w:pPr>
      <w:r>
        <w:rPr>
          <w:rFonts w:ascii="Times New Roman" w:hAnsi="Times New Roman"/>
          <w:sz w:val="20"/>
        </w:rPr>
        <w:t xml:space="preserve">Operating loss from continuing operations was $15.8 million in 2009 as compared to operating income of $9.2 million in 2008. Operating loss in 2009 included a goodwill impairment charge of $17.1 million as compared to no impairment charge in 2008; </w:t>
      </w:r>
    </w:p>
    <w:p>
      <w:pPr>
        <w:pStyle w:val="TextBody"/>
        <w:spacing w:before="90" w:after="0"/>
        <w:rPr>
          <w:rFonts w:ascii="Times New Roman" w:hAnsi="Times New Roman"/>
          <w:sz w:val="20"/>
        </w:rPr>
      </w:pPr>
      <w:r>
        <w:rPr>
          <w:rFonts w:ascii="Times New Roman" w:hAnsi="Times New Roman"/>
          <w:sz w:val="20"/>
        </w:rPr>
        <w:t xml:space="preserve">Net loss was $15.0 million in 2009 as compared to net income of $5.0 million in 2008. Excluding the goodwill impairment adjustment, the non-GAAP net loss in 2009 would have been $0.7 million;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Net loss per diluted share was $1.06 in 2009 as compared to net earnings per diluted share of $0.30 in 2008. Excluding the goodwill impairment adjustment, the non-GAAP loss per diluted share in 2009 would have been $0.05. </w:t>
      </w:r>
    </w:p>
    <w:p>
      <w:pPr>
        <w:pStyle w:val="TextBody"/>
        <w:spacing w:before="180" w:after="0"/>
        <w:rPr>
          <w:rFonts w:ascii="Times New Roman" w:hAnsi="Times New Roman"/>
          <w:sz w:val="20"/>
        </w:rPr>
      </w:pPr>
      <w:r>
        <w:rPr>
          <w:rFonts w:ascii="Times New Roman" w:hAnsi="Times New Roman"/>
          <w:sz w:val="20"/>
        </w:rPr>
        <w:t xml:space="preserve">Backlog as of December 31, 2009 was $66 million compared to $68 million as of December 31, 2008. </w:t>
      </w:r>
    </w:p>
    <w:p>
      <w:pPr>
        <w:pStyle w:val="TextBody"/>
        <w:spacing w:before="180" w:after="0"/>
        <w:rPr>
          <w:rFonts w:ascii="Times New Roman" w:hAnsi="Times New Roman"/>
          <w:sz w:val="20"/>
        </w:rPr>
      </w:pPr>
      <w:r>
        <w:rPr>
          <w:rFonts w:ascii="Times New Roman" w:hAnsi="Times New Roman"/>
          <w:sz w:val="20"/>
        </w:rPr>
        <w:t xml:space="preserve">Total debt decreased to $13.5 million from $26.7 million. </w:t>
      </w:r>
    </w:p>
    <w:p>
      <w:pPr>
        <w:pStyle w:val="TextBody"/>
        <w:spacing w:before="180" w:after="0"/>
        <w:rPr>
          <w:rFonts w:ascii="Times New Roman" w:hAnsi="Times New Roman"/>
          <w:sz w:val="20"/>
        </w:rPr>
      </w:pPr>
      <w:r>
        <w:rPr>
          <w:rFonts w:ascii="Times New Roman" w:hAnsi="Times New Roman"/>
          <w:sz w:val="20"/>
        </w:rPr>
        <w:t xml:space="preserve">We are pleased that the aggressive cost cutting measures that were taken to streamline our operations in response to the difficult economic conditions and turbulent markets in 2009 have shown positive results. Not including the non-cash goodwill impairment charge, we would have generated positive operating income for the quarter, commented Jeff Lang, CECOs Chief Executive Officer. I am very excited about CECOs future and believe that our excellent business fundamentals, portfolio companies and the increasing demand for environmental air pollution products and services worldwide will allow us to achieve significant shareholder value. </w:t>
      </w:r>
    </w:p>
    <w:p>
      <w:pPr>
        <w:pStyle w:val="TextBody"/>
        <w:spacing w:before="180" w:after="0"/>
        <w:rPr>
          <w:rFonts w:ascii="Times New Roman" w:hAnsi="Times New Roman"/>
          <w:sz w:val="20"/>
        </w:rPr>
      </w:pPr>
      <w:r>
        <w:rPr>
          <w:rFonts w:ascii="Times New Roman" w:hAnsi="Times New Roman"/>
          <w:sz w:val="20"/>
        </w:rPr>
        <w:t xml:space="preserve">CECO will hold a conference call to discuss its 2009 fourth quarter and year end results on Thursday, March 11, 2010 at 8:30 a.m. Eastern Standard Time. </w:t>
      </w:r>
    </w:p>
    <w:p>
      <w:pPr>
        <w:pStyle w:val="TextBody"/>
        <w:spacing w:before="90" w:after="0"/>
        <w:rPr>
          <w:rFonts w:ascii="Times New Roman" w:hAnsi="Times New Roman"/>
          <w:sz w:val="20"/>
        </w:rPr>
      </w:pPr>
      <w:r>
        <w:rPr>
          <w:rFonts w:ascii="Times New Roman" w:hAnsi="Times New Roman"/>
          <w:sz w:val="20"/>
        </w:rPr>
        <w:t xml:space="preserve">Dial in number: 866.804.6926 </w:t>
      </w:r>
    </w:p>
    <w:p>
      <w:pPr>
        <w:pStyle w:val="TextBody"/>
        <w:spacing w:before="0" w:after="0"/>
        <w:rPr>
          <w:rFonts w:ascii="Times New Roman" w:hAnsi="Times New Roman"/>
          <w:sz w:val="20"/>
        </w:rPr>
      </w:pPr>
      <w:r>
        <w:rPr>
          <w:rFonts w:ascii="Times New Roman" w:hAnsi="Times New Roman"/>
          <w:sz w:val="20"/>
        </w:rPr>
        <w:t xml:space="preserve">International: 857.350.1672 </w:t>
      </w:r>
    </w:p>
    <w:p>
      <w:pPr>
        <w:pStyle w:val="TextBody"/>
        <w:spacing w:before="0" w:after="0"/>
        <w:rPr>
          <w:rFonts w:ascii="Times New Roman" w:hAnsi="Times New Roman"/>
          <w:sz w:val="20"/>
        </w:rPr>
      </w:pPr>
      <w:r>
        <w:rPr>
          <w:rFonts w:ascii="Times New Roman" w:hAnsi="Times New Roman"/>
          <w:sz w:val="20"/>
        </w:rPr>
        <w:t xml:space="preserve">Passcode: 12775666 </w:t>
      </w:r>
    </w:p>
    <w:p>
      <w:pPr>
        <w:pStyle w:val="TextBody"/>
        <w:spacing w:before="270" w:after="0"/>
        <w:rPr>
          <w:rFonts w:ascii="Times New Roman" w:hAnsi="Times New Roman"/>
          <w:b/>
          <w:sz w:val="20"/>
        </w:rPr>
      </w:pPr>
      <w:r>
        <w:rPr>
          <w:rFonts w:ascii="Times New Roman" w:hAnsi="Times New Roman"/>
          <w:b/>
          <w:sz w:val="20"/>
        </w:rPr>
        <w:t xml:space="preserve">ABOUT CECO ENVIRONMENTAL </w:t>
      </w:r>
    </w:p>
    <w:p>
      <w:pPr>
        <w:pStyle w:val="TextBody"/>
        <w:spacing w:before="90" w:after="0"/>
        <w:rPr>
          <w:rFonts w:ascii="Times New Roman" w:hAnsi="Times New Roman"/>
          <w:sz w:val="20"/>
        </w:rPr>
      </w:pPr>
      <w:r>
        <w:rPr>
          <w:rFonts w:ascii="Times New Roman" w:hAnsi="Times New Roman"/>
          <w:sz w:val="20"/>
        </w:rPr>
        <w:t xml:space="preserve">CECO Environmental Corp. is North Americas largest independent air pollution control company. CECO provides a wide spectrum of air quality services and products including: industrial air filters, environmental maintenance, monitoring and management services, and air quality improvements systems. CECO is a full-service provider to the steel, military, aluminum, automotive, ethanol, aerospace, electric power, semiconductor, chemical, cement, metalworking, glass, foundry and virtually all industrial process industries. </w:t>
      </w:r>
    </w:p>
    <w:p>
      <w:pPr>
        <w:pStyle w:val="TextBody"/>
        <w:spacing w:before="180" w:after="0"/>
        <w:rPr>
          <w:rFonts w:ascii="Times New Roman" w:hAnsi="Times New Roman"/>
          <w:sz w:val="20"/>
        </w:rPr>
      </w:pPr>
      <w:r>
        <w:rPr>
          <w:rFonts w:ascii="Times New Roman" w:hAnsi="Times New Roman"/>
          <w:sz w:val="20"/>
        </w:rPr>
        <w:t xml:space="preserve">For more information please visit the Companys website at http://www.cecoenviro.com </w:t>
      </w:r>
    </w:p>
    <w:p>
      <w:pPr>
        <w:pStyle w:val="TextBody"/>
        <w:spacing w:before="180" w:after="0"/>
        <w:rPr>
          <w:rFonts w:ascii="Times New Roman" w:hAnsi="Times New Roman"/>
          <w:sz w:val="20"/>
        </w:rPr>
      </w:pPr>
      <w:r>
        <w:rPr>
          <w:rFonts w:ascii="Times New Roman" w:hAnsi="Times New Roman"/>
          <w:sz w:val="20"/>
        </w:rPr>
        <w:t xml:space="preserve">Contact: </w:t>
      </w:r>
    </w:p>
    <w:p>
      <w:pPr>
        <w:pStyle w:val="TextBody"/>
        <w:spacing w:before="0" w:after="0"/>
        <w:rPr>
          <w:rFonts w:ascii="Times New Roman" w:hAnsi="Times New Roman"/>
          <w:sz w:val="20"/>
        </w:rPr>
      </w:pPr>
      <w:r>
        <w:rPr>
          <w:rFonts w:ascii="Times New Roman" w:hAnsi="Times New Roman"/>
          <w:sz w:val="20"/>
        </w:rPr>
        <w:t xml:space="preserve">Corporate Information </w:t>
      </w:r>
    </w:p>
    <w:p>
      <w:pPr>
        <w:pStyle w:val="TextBody"/>
        <w:spacing w:before="0" w:after="0"/>
        <w:rPr>
          <w:rFonts w:ascii="Times New Roman" w:hAnsi="Times New Roman"/>
          <w:sz w:val="20"/>
        </w:rPr>
      </w:pPr>
      <w:r>
        <w:rPr>
          <w:rFonts w:ascii="Times New Roman" w:hAnsi="Times New Roman"/>
          <w:sz w:val="20"/>
        </w:rPr>
        <w:t xml:space="preserve">Phillip DeZwirek, CECO Environmental Corp. Email: investors@cecoenviro.com </w:t>
      </w:r>
    </w:p>
    <w:p>
      <w:pPr>
        <w:pStyle w:val="TextBody"/>
        <w:spacing w:before="0" w:after="0"/>
        <w:rPr>
          <w:rFonts w:ascii="Times New Roman" w:hAnsi="Times New Roman"/>
          <w:sz w:val="20"/>
        </w:rPr>
      </w:pPr>
      <w:r>
        <w:rPr>
          <w:rFonts w:ascii="Times New Roman" w:hAnsi="Times New Roman"/>
          <w:sz w:val="20"/>
        </w:rPr>
        <w:t xml:space="preserve">1-800-606-CECO (2326) </w:t>
      </w:r>
    </w:p>
    <w:p>
      <w:pPr>
        <w:pStyle w:val="TextBody"/>
        <w:spacing w:before="180" w:after="0"/>
        <w:rPr>
          <w:rFonts w:ascii="Times New Roman" w:hAnsi="Times New Roman"/>
          <w:sz w:val="20"/>
        </w:rPr>
      </w:pPr>
      <w:r>
        <w:rPr>
          <w:rFonts w:ascii="Times New Roman" w:hAnsi="Times New Roman"/>
          <w:sz w:val="20"/>
        </w:rPr>
        <w:t xml:space="preserve">This press release may contain forward-looking statements within the meaning of the Private Securities Litigation Reform Act of 1995. All forward-looking statements are subject to certain risks, uncertainties and assumptions. These risks and uncertainties, which are more fully described in CECOs Annual and Quarterly Reports filed with the Securities and Exchange Commission, include changes in market conditions in the industries in which the Company operates. Should one or more of these risks or uncertainties materialize, or should the assumptions prove incorrect, actual results may vary in material aspects from those currently anticipated. </w:t>
      </w:r>
      <w:r>
        <w:br w:type="page"/>
      </w:r>
    </w:p>
    <w:p>
      <w:pPr>
        <w:pStyle w:val="HorizontalLine"/>
        <w:pBdr>
          <w:bottom w:val="double" w:sz="6" w:space="0" w:color="808080"/>
        </w:pBdr>
        <w:rPr/>
      </w:pPr>
      <w:r>
        <w:rPr/>
      </w:r>
    </w:p>
    <w:p>
      <w:pPr>
        <w:pStyle w:val="TextBody"/>
        <w:spacing w:before="0" w:after="0"/>
        <w:rPr>
          <w:rFonts w:ascii="Times New Roman" w:hAnsi="Times New Roman"/>
          <w:b/>
          <w:sz w:val="20"/>
        </w:rPr>
      </w:pPr>
      <w:r>
        <w:rPr>
          <w:rFonts w:ascii="Times New Roman" w:hAnsi="Times New Roman"/>
          <w:b/>
          <w:sz w:val="20"/>
        </w:rPr>
        <w:t xml:space="preserve">CECO Environmental Corp. </w:t>
      </w:r>
    </w:p>
    <w:p>
      <w:pPr>
        <w:pStyle w:val="TextBody"/>
        <w:spacing w:before="0" w:after="0"/>
        <w:rPr>
          <w:rFonts w:ascii="Times New Roman" w:hAnsi="Times New Roman"/>
          <w:sz w:val="20"/>
        </w:rPr>
      </w:pPr>
      <w:r>
        <w:rPr>
          <w:rFonts w:ascii="Times New Roman" w:hAnsi="Times New Roman"/>
          <w:b/>
          <w:sz w:val="20"/>
        </w:rPr>
        <w:t>Condensed Consolidated Statement of Income</w:t>
      </w:r>
      <w:r>
        <w:rPr>
          <w:rFonts w:ascii="Times New Roman" w:hAnsi="Times New Roman"/>
          <w:sz w:val="20"/>
        </w:rPr>
        <w:t xml:space="preserve"> </w:t>
      </w:r>
    </w:p>
    <w:p>
      <w:pPr>
        <w:pStyle w:val="TextBody"/>
        <w:spacing w:before="0" w:after="0"/>
        <w:rPr>
          <w:rFonts w:ascii="Times New Roman" w:hAnsi="Times New Roman"/>
          <w:b/>
          <w:sz w:val="20"/>
        </w:rPr>
      </w:pPr>
      <w:r>
        <w:rPr>
          <w:rFonts w:ascii="Times New Roman" w:hAnsi="Times New Roman"/>
          <w:b/>
          <w:sz w:val="20"/>
        </w:rPr>
        <w:t xml:space="preserve">(In thousands, except per share data) </w:t>
      </w:r>
    </w:p>
    <w:p>
      <w:pPr>
        <w:pStyle w:val="TextBody"/>
        <w:spacing w:before="0" w:after="0"/>
        <w:rPr>
          <w:rFonts w:ascii="Times New Roman" w:hAnsi="Times New Roman"/>
          <w:b/>
          <w:sz w:val="20"/>
        </w:rPr>
      </w:pPr>
      <w:r>
        <w:rPr>
          <w:rFonts w:ascii="Times New Roman" w:hAnsi="Times New Roman"/>
          <w:b/>
          <w:sz w:val="20"/>
        </w:rPr>
        <w:t xml:space="preserve">Results for all periods presented have been reclassified to segregate the discontinued operations of H.M. White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420"/>
        <w:gridCol w:w="277"/>
        <w:gridCol w:w="125"/>
        <w:gridCol w:w="955"/>
        <w:gridCol w:w="125"/>
        <w:gridCol w:w="227"/>
        <w:gridCol w:w="125"/>
        <w:gridCol w:w="955"/>
        <w:gridCol w:w="125"/>
        <w:gridCol w:w="226"/>
        <w:gridCol w:w="125"/>
        <w:gridCol w:w="955"/>
        <w:gridCol w:w="125"/>
        <w:gridCol w:w="227"/>
        <w:gridCol w:w="125"/>
        <w:gridCol w:w="955"/>
        <w:gridCol w:w="133"/>
      </w:tblGrid>
      <w:tr>
        <w:trPr/>
        <w:tc>
          <w:tcPr>
            <w:tcW w:w="4420"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5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5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5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55"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r>
      <w:tr>
        <w:trPr/>
        <w:tc>
          <w:tcPr>
            <w:tcW w:w="4420"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2512"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Three months ended</w:t>
            </w:r>
          </w:p>
        </w:tc>
        <w:tc>
          <w:tcPr>
            <w:tcW w:w="125"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512"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Twelve months ended</w:t>
            </w:r>
          </w:p>
        </w:tc>
        <w:tc>
          <w:tcPr>
            <w:tcW w:w="133" w:type="dxa"/>
            <w:tcBorders/>
            <w:shd w:fill="auto" w:val="clear"/>
            <w:vAlign w:val="bottom"/>
          </w:tcPr>
          <w:p>
            <w:pPr>
              <w:pStyle w:val="TableContents"/>
              <w:spacing w:before="0" w:after="283"/>
              <w:rPr/>
            </w:pPr>
            <w:r>
              <w:rPr/>
              <w:t> </w:t>
            </w:r>
          </w:p>
        </w:tc>
      </w:tr>
      <w:tr>
        <w:trPr/>
        <w:tc>
          <w:tcPr>
            <w:tcW w:w="4420"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08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12/31/2009</w:t>
            </w:r>
          </w:p>
        </w:tc>
        <w:tc>
          <w:tcPr>
            <w:tcW w:w="125"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08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12/31/2008</w:t>
            </w:r>
          </w:p>
        </w:tc>
        <w:tc>
          <w:tcPr>
            <w:tcW w:w="125"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108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12/31/2009</w:t>
            </w:r>
          </w:p>
        </w:tc>
        <w:tc>
          <w:tcPr>
            <w:tcW w:w="125"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08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12/31/2008</w:t>
            </w:r>
          </w:p>
        </w:tc>
        <w:tc>
          <w:tcPr>
            <w:tcW w:w="133" w:type="dxa"/>
            <w:tcBorders/>
            <w:shd w:fill="auto" w:val="clear"/>
            <w:vAlign w:val="bottom"/>
          </w:tcPr>
          <w:p>
            <w:pPr>
              <w:pStyle w:val="TableContents"/>
              <w:spacing w:before="0" w:after="283"/>
              <w:rPr/>
            </w:pPr>
            <w:r>
              <w:rPr/>
              <w:t> </w:t>
            </w:r>
          </w:p>
        </w:tc>
      </w:tr>
      <w:tr>
        <w:trPr/>
        <w:tc>
          <w:tcPr>
            <w:tcW w:w="4420" w:type="dxa"/>
            <w:tcBorders/>
            <w:shd w:fill="CCEEFF" w:val="clear"/>
          </w:tcPr>
          <w:p>
            <w:pPr>
              <w:pStyle w:val="TableContents"/>
              <w:spacing w:before="0" w:after="283"/>
              <w:rPr>
                <w:rFonts w:ascii="Times New Roman" w:hAnsi="Times New Roman"/>
                <w:sz w:val="20"/>
              </w:rPr>
            </w:pPr>
            <w:r>
              <w:rPr>
                <w:rFonts w:ascii="Times New Roman" w:hAnsi="Times New Roman"/>
                <w:sz w:val="20"/>
              </w:rPr>
              <w:t>Net sales</w:t>
            </w:r>
          </w:p>
        </w:tc>
        <w:tc>
          <w:tcPr>
            <w:tcW w:w="27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36,589</w:t>
            </w:r>
          </w:p>
        </w:tc>
        <w:tc>
          <w:tcPr>
            <w:tcW w:w="125"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53,829</w:t>
            </w:r>
          </w:p>
        </w:tc>
        <w:tc>
          <w:tcPr>
            <w:tcW w:w="125"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138,985</w:t>
            </w:r>
          </w:p>
        </w:tc>
        <w:tc>
          <w:tcPr>
            <w:tcW w:w="125"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183,249</w:t>
            </w:r>
          </w:p>
        </w:tc>
        <w:tc>
          <w:tcPr>
            <w:tcW w:w="133" w:type="dxa"/>
            <w:tcBorders/>
            <w:shd w:fill="CCEEFF" w:val="clear"/>
            <w:vAlign w:val="bottom"/>
          </w:tcPr>
          <w:p>
            <w:pPr>
              <w:pStyle w:val="TableContents"/>
              <w:spacing w:before="0" w:after="283"/>
              <w:rPr/>
            </w:pPr>
            <w:r>
              <w:rPr/>
              <w:t>  </w:t>
            </w:r>
          </w:p>
        </w:tc>
      </w:tr>
      <w:tr>
        <w:trPr/>
        <w:tc>
          <w:tcPr>
            <w:tcW w:w="4420" w:type="dxa"/>
            <w:tcBorders/>
            <w:shd w:fill="auto" w:val="clear"/>
          </w:tcPr>
          <w:p>
            <w:pPr>
              <w:pStyle w:val="TableContents"/>
              <w:spacing w:before="0" w:after="283"/>
              <w:rPr>
                <w:rFonts w:ascii="Times New Roman" w:hAnsi="Times New Roman"/>
                <w:sz w:val="20"/>
              </w:rPr>
            </w:pPr>
            <w:r>
              <w:rPr>
                <w:rFonts w:ascii="Times New Roman" w:hAnsi="Times New Roman"/>
                <w:sz w:val="20"/>
              </w:rPr>
              <w:t>Cost of sales</w:t>
            </w:r>
          </w:p>
        </w:tc>
        <w:tc>
          <w:tcPr>
            <w:tcW w:w="27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28,744</w:t>
            </w:r>
          </w:p>
        </w:tc>
        <w:tc>
          <w:tcPr>
            <w:tcW w:w="125"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38,827</w:t>
            </w:r>
          </w:p>
        </w:tc>
        <w:tc>
          <w:tcPr>
            <w:tcW w:w="125"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108,043</w:t>
            </w:r>
          </w:p>
        </w:tc>
        <w:tc>
          <w:tcPr>
            <w:tcW w:w="125"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140,946</w:t>
            </w:r>
          </w:p>
        </w:tc>
        <w:tc>
          <w:tcPr>
            <w:tcW w:w="133" w:type="dxa"/>
            <w:tcBorders/>
            <w:shd w:fill="auto" w:val="clear"/>
            <w:vAlign w:val="bottom"/>
          </w:tcPr>
          <w:p>
            <w:pPr>
              <w:pStyle w:val="TableContents"/>
              <w:spacing w:before="0" w:after="283"/>
              <w:rPr/>
            </w:pPr>
            <w:r>
              <w:rPr/>
              <w:t>  </w:t>
            </w:r>
          </w:p>
        </w:tc>
      </w:tr>
      <w:tr>
        <w:trPr/>
        <w:tc>
          <w:tcPr>
            <w:tcW w:w="4420" w:type="dxa"/>
            <w:tcBorders/>
            <w:shd w:fill="auto" w:val="clear"/>
            <w:vAlign w:val="bottom"/>
          </w:tcPr>
          <w:p>
            <w:pPr>
              <w:pStyle w:val="TableContents"/>
              <w:spacing w:before="0" w:after="283"/>
              <w:rPr>
                <w:sz w:val="4"/>
                <w:szCs w:val="4"/>
              </w:rPr>
            </w:pPr>
            <w:r>
              <w:rPr>
                <w:sz w:val="4"/>
                <w:szCs w:val="4"/>
              </w:rPr>
            </w:r>
          </w:p>
        </w:tc>
        <w:tc>
          <w:tcPr>
            <w:tcW w:w="277"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55"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55"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55"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55" w:type="dxa"/>
            <w:tcBorders>
              <w:top w:val="single" w:sz="2" w:space="0" w:color="000000"/>
            </w:tcBorders>
            <w:shd w:fill="auto" w:val="clear"/>
            <w:tcMar>
              <w:top w:w="28" w:type="dxa"/>
            </w:tcMar>
            <w:vAlign w:val="bottom"/>
          </w:tcPr>
          <w:p>
            <w:pPr>
              <w:pStyle w:val="TableContents"/>
              <w:spacing w:before="0" w:after="283"/>
              <w:rPr/>
            </w:pPr>
            <w:r>
              <w:rPr/>
              <w:t> </w:t>
            </w:r>
          </w:p>
        </w:tc>
        <w:tc>
          <w:tcPr>
            <w:tcW w:w="133" w:type="dxa"/>
            <w:tcBorders/>
            <w:shd w:fill="auto" w:val="clear"/>
            <w:vAlign w:val="center"/>
          </w:tcPr>
          <w:p>
            <w:pPr>
              <w:pStyle w:val="TableContents"/>
              <w:spacing w:before="0" w:after="283"/>
              <w:rPr/>
            </w:pPr>
            <w:r>
              <w:rPr/>
              <w:t> </w:t>
            </w:r>
          </w:p>
        </w:tc>
      </w:tr>
      <w:tr>
        <w:trPr/>
        <w:tc>
          <w:tcPr>
            <w:tcW w:w="4420" w:type="dxa"/>
            <w:tcBorders/>
            <w:shd w:fill="CCEEFF" w:val="clear"/>
          </w:tcPr>
          <w:p>
            <w:pPr>
              <w:pStyle w:val="TableContents"/>
              <w:spacing w:before="0" w:after="283"/>
              <w:rPr>
                <w:rFonts w:ascii="Times New Roman" w:hAnsi="Times New Roman"/>
                <w:sz w:val="20"/>
              </w:rPr>
            </w:pPr>
            <w:r>
              <w:rPr>
                <w:rFonts w:ascii="Times New Roman" w:hAnsi="Times New Roman"/>
                <w:sz w:val="20"/>
              </w:rPr>
              <w:t>Gross profit</w:t>
            </w:r>
          </w:p>
        </w:tc>
        <w:tc>
          <w:tcPr>
            <w:tcW w:w="27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7,845</w:t>
            </w:r>
          </w:p>
        </w:tc>
        <w:tc>
          <w:tcPr>
            <w:tcW w:w="125"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15,002</w:t>
            </w:r>
          </w:p>
        </w:tc>
        <w:tc>
          <w:tcPr>
            <w:tcW w:w="125"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30,942</w:t>
            </w:r>
          </w:p>
        </w:tc>
        <w:tc>
          <w:tcPr>
            <w:tcW w:w="125"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42,303</w:t>
            </w:r>
          </w:p>
        </w:tc>
        <w:tc>
          <w:tcPr>
            <w:tcW w:w="133" w:type="dxa"/>
            <w:tcBorders/>
            <w:shd w:fill="CCEEFF" w:val="clear"/>
            <w:vAlign w:val="bottom"/>
          </w:tcPr>
          <w:p>
            <w:pPr>
              <w:pStyle w:val="TableContents"/>
              <w:spacing w:before="0" w:after="283"/>
              <w:rPr/>
            </w:pPr>
            <w:r>
              <w:rPr/>
              <w:t>  </w:t>
            </w:r>
          </w:p>
        </w:tc>
      </w:tr>
      <w:tr>
        <w:trPr/>
        <w:tc>
          <w:tcPr>
            <w:tcW w:w="4420" w:type="dxa"/>
            <w:tcBorders/>
            <w:shd w:fill="auto" w:val="clear"/>
          </w:tcPr>
          <w:p>
            <w:pPr>
              <w:pStyle w:val="TableContents"/>
              <w:spacing w:before="0" w:after="283"/>
              <w:rPr>
                <w:rFonts w:ascii="Times New Roman" w:hAnsi="Times New Roman"/>
                <w:sz w:val="20"/>
              </w:rPr>
            </w:pPr>
            <w:r>
              <w:rPr>
                <w:rFonts w:ascii="Times New Roman" w:hAnsi="Times New Roman"/>
                <w:sz w:val="20"/>
              </w:rPr>
              <w:t>Selling &amp; administrative</w:t>
            </w:r>
          </w:p>
        </w:tc>
        <w:tc>
          <w:tcPr>
            <w:tcW w:w="27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7,110</w:t>
            </w:r>
          </w:p>
        </w:tc>
        <w:tc>
          <w:tcPr>
            <w:tcW w:w="125"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9,593</w:t>
            </w:r>
          </w:p>
        </w:tc>
        <w:tc>
          <w:tcPr>
            <w:tcW w:w="125"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28,903</w:t>
            </w:r>
          </w:p>
        </w:tc>
        <w:tc>
          <w:tcPr>
            <w:tcW w:w="125"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31,588</w:t>
            </w:r>
          </w:p>
        </w:tc>
        <w:tc>
          <w:tcPr>
            <w:tcW w:w="133" w:type="dxa"/>
            <w:tcBorders/>
            <w:shd w:fill="auto" w:val="clear"/>
            <w:vAlign w:val="bottom"/>
          </w:tcPr>
          <w:p>
            <w:pPr>
              <w:pStyle w:val="TableContents"/>
              <w:spacing w:before="0" w:after="283"/>
              <w:rPr/>
            </w:pPr>
            <w:r>
              <w:rPr/>
              <w:t>  </w:t>
            </w:r>
          </w:p>
        </w:tc>
      </w:tr>
      <w:tr>
        <w:trPr/>
        <w:tc>
          <w:tcPr>
            <w:tcW w:w="4420" w:type="dxa"/>
            <w:tcBorders/>
            <w:shd w:fill="CCEEFF" w:val="clear"/>
          </w:tcPr>
          <w:p>
            <w:pPr>
              <w:pStyle w:val="TableContents"/>
              <w:spacing w:before="0" w:after="283"/>
              <w:rPr>
                <w:rFonts w:ascii="Times New Roman" w:hAnsi="Times New Roman"/>
                <w:sz w:val="20"/>
              </w:rPr>
            </w:pPr>
            <w:r>
              <w:rPr>
                <w:rFonts w:ascii="Times New Roman" w:hAnsi="Times New Roman"/>
                <w:sz w:val="20"/>
              </w:rPr>
              <w:t>Amortization</w:t>
            </w:r>
          </w:p>
        </w:tc>
        <w:tc>
          <w:tcPr>
            <w:tcW w:w="27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141</w:t>
            </w:r>
          </w:p>
        </w:tc>
        <w:tc>
          <w:tcPr>
            <w:tcW w:w="125"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569</w:t>
            </w:r>
          </w:p>
        </w:tc>
        <w:tc>
          <w:tcPr>
            <w:tcW w:w="125"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759</w:t>
            </w:r>
          </w:p>
        </w:tc>
        <w:tc>
          <w:tcPr>
            <w:tcW w:w="125"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1,551</w:t>
            </w:r>
          </w:p>
        </w:tc>
        <w:tc>
          <w:tcPr>
            <w:tcW w:w="133" w:type="dxa"/>
            <w:tcBorders/>
            <w:shd w:fill="CCEEFF" w:val="clear"/>
            <w:vAlign w:val="bottom"/>
          </w:tcPr>
          <w:p>
            <w:pPr>
              <w:pStyle w:val="TableContents"/>
              <w:spacing w:before="0" w:after="283"/>
              <w:rPr/>
            </w:pPr>
            <w:r>
              <w:rPr/>
              <w:t>  </w:t>
            </w:r>
          </w:p>
        </w:tc>
      </w:tr>
      <w:tr>
        <w:trPr/>
        <w:tc>
          <w:tcPr>
            <w:tcW w:w="4420" w:type="dxa"/>
            <w:tcBorders/>
            <w:shd w:fill="auto" w:val="clear"/>
          </w:tcPr>
          <w:p>
            <w:pPr>
              <w:pStyle w:val="TableContents"/>
              <w:spacing w:before="0" w:after="283"/>
              <w:rPr>
                <w:rFonts w:ascii="Times New Roman" w:hAnsi="Times New Roman"/>
                <w:sz w:val="20"/>
              </w:rPr>
            </w:pPr>
            <w:r>
              <w:rPr>
                <w:rFonts w:ascii="Times New Roman" w:hAnsi="Times New Roman"/>
                <w:sz w:val="20"/>
              </w:rPr>
              <w:t>Goodwill impairment charge</w:t>
            </w:r>
          </w:p>
        </w:tc>
        <w:tc>
          <w:tcPr>
            <w:tcW w:w="27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17,110</w:t>
            </w:r>
          </w:p>
        </w:tc>
        <w:tc>
          <w:tcPr>
            <w:tcW w:w="125"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125"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17,110</w:t>
            </w:r>
          </w:p>
        </w:tc>
        <w:tc>
          <w:tcPr>
            <w:tcW w:w="125"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133" w:type="dxa"/>
            <w:tcBorders/>
            <w:shd w:fill="auto" w:val="clear"/>
            <w:vAlign w:val="bottom"/>
          </w:tcPr>
          <w:p>
            <w:pPr>
              <w:pStyle w:val="TableContents"/>
              <w:spacing w:before="0" w:after="283"/>
              <w:rPr/>
            </w:pPr>
            <w:r>
              <w:rPr/>
              <w:t>  </w:t>
            </w:r>
          </w:p>
        </w:tc>
      </w:tr>
      <w:tr>
        <w:trPr/>
        <w:tc>
          <w:tcPr>
            <w:tcW w:w="4420" w:type="dxa"/>
            <w:tcBorders/>
            <w:shd w:fill="auto" w:val="clear"/>
            <w:vAlign w:val="bottom"/>
          </w:tcPr>
          <w:p>
            <w:pPr>
              <w:pStyle w:val="TableContents"/>
              <w:spacing w:before="0" w:after="283"/>
              <w:rPr>
                <w:sz w:val="4"/>
                <w:szCs w:val="4"/>
              </w:rPr>
            </w:pPr>
            <w:r>
              <w:rPr>
                <w:sz w:val="4"/>
                <w:szCs w:val="4"/>
              </w:rPr>
            </w:r>
          </w:p>
        </w:tc>
        <w:tc>
          <w:tcPr>
            <w:tcW w:w="277"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55"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55"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55"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55" w:type="dxa"/>
            <w:tcBorders>
              <w:top w:val="single" w:sz="2" w:space="0" w:color="000000"/>
            </w:tcBorders>
            <w:shd w:fill="auto" w:val="clear"/>
            <w:tcMar>
              <w:top w:w="28" w:type="dxa"/>
            </w:tcMar>
            <w:vAlign w:val="bottom"/>
          </w:tcPr>
          <w:p>
            <w:pPr>
              <w:pStyle w:val="TableContents"/>
              <w:spacing w:before="0" w:after="283"/>
              <w:rPr/>
            </w:pPr>
            <w:r>
              <w:rPr/>
              <w:t> </w:t>
            </w:r>
          </w:p>
        </w:tc>
        <w:tc>
          <w:tcPr>
            <w:tcW w:w="133" w:type="dxa"/>
            <w:tcBorders/>
            <w:shd w:fill="auto" w:val="clear"/>
            <w:vAlign w:val="center"/>
          </w:tcPr>
          <w:p>
            <w:pPr>
              <w:pStyle w:val="TableContents"/>
              <w:spacing w:before="0" w:after="283"/>
              <w:rPr/>
            </w:pPr>
            <w:r>
              <w:rPr/>
              <w:t> </w:t>
            </w:r>
          </w:p>
        </w:tc>
      </w:tr>
      <w:tr>
        <w:trPr/>
        <w:tc>
          <w:tcPr>
            <w:tcW w:w="4420" w:type="dxa"/>
            <w:tcBorders/>
            <w:shd w:fill="CCEEFF" w:val="clear"/>
          </w:tcPr>
          <w:p>
            <w:pPr>
              <w:pStyle w:val="TableContents"/>
              <w:spacing w:before="0" w:after="283"/>
              <w:rPr>
                <w:rFonts w:ascii="Times New Roman" w:hAnsi="Times New Roman"/>
                <w:sz w:val="20"/>
              </w:rPr>
            </w:pPr>
            <w:r>
              <w:rPr>
                <w:rFonts w:ascii="Times New Roman" w:hAnsi="Times New Roman"/>
                <w:sz w:val="20"/>
              </w:rPr>
              <w:t>Operating (loss) income</w:t>
            </w:r>
          </w:p>
        </w:tc>
        <w:tc>
          <w:tcPr>
            <w:tcW w:w="27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(16,516</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2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4,840</w:t>
            </w:r>
          </w:p>
        </w:tc>
        <w:tc>
          <w:tcPr>
            <w:tcW w:w="125"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(15,830</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2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9,164</w:t>
            </w:r>
          </w:p>
        </w:tc>
        <w:tc>
          <w:tcPr>
            <w:tcW w:w="133" w:type="dxa"/>
            <w:tcBorders/>
            <w:shd w:fill="CCEEFF" w:val="clear"/>
            <w:vAlign w:val="bottom"/>
          </w:tcPr>
          <w:p>
            <w:pPr>
              <w:pStyle w:val="TableContents"/>
              <w:spacing w:before="0" w:after="283"/>
              <w:rPr/>
            </w:pPr>
            <w:r>
              <w:rPr/>
              <w:t>  </w:t>
            </w:r>
          </w:p>
        </w:tc>
      </w:tr>
      <w:tr>
        <w:trPr/>
        <w:tc>
          <w:tcPr>
            <w:tcW w:w="4420" w:type="dxa"/>
            <w:tcBorders/>
            <w:shd w:fill="auto" w:val="clear"/>
          </w:tcPr>
          <w:p>
            <w:pPr>
              <w:pStyle w:val="TableContents"/>
              <w:spacing w:before="0" w:after="283"/>
              <w:rPr>
                <w:rFonts w:ascii="Times New Roman" w:hAnsi="Times New Roman"/>
                <w:sz w:val="20"/>
              </w:rPr>
            </w:pPr>
            <w:r>
              <w:rPr>
                <w:rFonts w:ascii="Times New Roman" w:hAnsi="Times New Roman"/>
                <w:sz w:val="20"/>
              </w:rPr>
              <w:t>Other (expense) income</w:t>
            </w:r>
          </w:p>
        </w:tc>
        <w:tc>
          <w:tcPr>
            <w:tcW w:w="27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(214</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2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960</w:t>
            </w:r>
          </w:p>
        </w:tc>
        <w:tc>
          <w:tcPr>
            <w:tcW w:w="125"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(760</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2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960</w:t>
            </w:r>
          </w:p>
        </w:tc>
        <w:tc>
          <w:tcPr>
            <w:tcW w:w="133" w:type="dxa"/>
            <w:tcBorders/>
            <w:shd w:fill="auto" w:val="clear"/>
            <w:vAlign w:val="bottom"/>
          </w:tcPr>
          <w:p>
            <w:pPr>
              <w:pStyle w:val="TableContents"/>
              <w:spacing w:before="0" w:after="283"/>
              <w:rPr/>
            </w:pPr>
            <w:r>
              <w:rPr/>
              <w:t>  </w:t>
            </w:r>
          </w:p>
        </w:tc>
      </w:tr>
      <w:tr>
        <w:trPr/>
        <w:tc>
          <w:tcPr>
            <w:tcW w:w="4420" w:type="dxa"/>
            <w:tcBorders/>
            <w:shd w:fill="CCEEFF" w:val="clear"/>
          </w:tcPr>
          <w:p>
            <w:pPr>
              <w:pStyle w:val="TableContents"/>
              <w:spacing w:before="0" w:after="283"/>
              <w:rPr>
                <w:rFonts w:ascii="Times New Roman" w:hAnsi="Times New Roman"/>
                <w:sz w:val="20"/>
              </w:rPr>
            </w:pPr>
            <w:r>
              <w:rPr>
                <w:rFonts w:ascii="Times New Roman" w:hAnsi="Times New Roman"/>
                <w:sz w:val="20"/>
              </w:rPr>
              <w:t>Interest (expense)</w:t>
            </w:r>
          </w:p>
        </w:tc>
        <w:tc>
          <w:tcPr>
            <w:tcW w:w="27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(286</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2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(433</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2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(1,321</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2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(1,479</w:t>
            </w:r>
          </w:p>
        </w:tc>
        <w:tc>
          <w:tcPr>
            <w:tcW w:w="13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420" w:type="dxa"/>
            <w:tcBorders/>
            <w:shd w:fill="auto" w:val="clear"/>
            <w:vAlign w:val="bottom"/>
          </w:tcPr>
          <w:p>
            <w:pPr>
              <w:pStyle w:val="TableContents"/>
              <w:spacing w:before="0" w:after="283"/>
              <w:rPr>
                <w:sz w:val="4"/>
                <w:szCs w:val="4"/>
              </w:rPr>
            </w:pPr>
            <w:r>
              <w:rPr>
                <w:sz w:val="4"/>
                <w:szCs w:val="4"/>
              </w:rPr>
            </w:r>
          </w:p>
        </w:tc>
        <w:tc>
          <w:tcPr>
            <w:tcW w:w="277"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55"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55"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55"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55" w:type="dxa"/>
            <w:tcBorders>
              <w:top w:val="single" w:sz="2" w:space="0" w:color="000000"/>
            </w:tcBorders>
            <w:shd w:fill="auto" w:val="clear"/>
            <w:tcMar>
              <w:top w:w="28" w:type="dxa"/>
            </w:tcMar>
            <w:vAlign w:val="bottom"/>
          </w:tcPr>
          <w:p>
            <w:pPr>
              <w:pStyle w:val="TableContents"/>
              <w:spacing w:before="0" w:after="283"/>
              <w:rPr/>
            </w:pPr>
            <w:r>
              <w:rPr/>
              <w:t> </w:t>
            </w:r>
          </w:p>
        </w:tc>
        <w:tc>
          <w:tcPr>
            <w:tcW w:w="133" w:type="dxa"/>
            <w:tcBorders/>
            <w:shd w:fill="auto" w:val="clear"/>
            <w:vAlign w:val="center"/>
          </w:tcPr>
          <w:p>
            <w:pPr>
              <w:pStyle w:val="TableContents"/>
              <w:spacing w:before="0" w:after="283"/>
              <w:rPr/>
            </w:pPr>
            <w:r>
              <w:rPr/>
              <w:t> </w:t>
            </w:r>
          </w:p>
        </w:tc>
      </w:tr>
      <w:tr>
        <w:trPr/>
        <w:tc>
          <w:tcPr>
            <w:tcW w:w="4420" w:type="dxa"/>
            <w:tcBorders/>
            <w:shd w:fill="auto" w:val="clear"/>
          </w:tcPr>
          <w:p>
            <w:pPr>
              <w:pStyle w:val="TableContents"/>
              <w:spacing w:before="0" w:after="283"/>
              <w:rPr>
                <w:rFonts w:ascii="Times New Roman" w:hAnsi="Times New Roman"/>
                <w:sz w:val="20"/>
              </w:rPr>
            </w:pPr>
            <w:r>
              <w:rPr>
                <w:rFonts w:ascii="Times New Roman" w:hAnsi="Times New Roman"/>
                <w:sz w:val="20"/>
              </w:rPr>
              <w:t>Income (loss) before tax</w:t>
            </w:r>
          </w:p>
        </w:tc>
        <w:tc>
          <w:tcPr>
            <w:tcW w:w="27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(17,016</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2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5,367</w:t>
            </w:r>
          </w:p>
        </w:tc>
        <w:tc>
          <w:tcPr>
            <w:tcW w:w="125"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(17,911</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2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8,645</w:t>
            </w:r>
          </w:p>
        </w:tc>
        <w:tc>
          <w:tcPr>
            <w:tcW w:w="133" w:type="dxa"/>
            <w:tcBorders/>
            <w:shd w:fill="auto" w:val="clear"/>
            <w:vAlign w:val="bottom"/>
          </w:tcPr>
          <w:p>
            <w:pPr>
              <w:pStyle w:val="TableContents"/>
              <w:spacing w:before="0" w:after="283"/>
              <w:rPr/>
            </w:pPr>
            <w:r>
              <w:rPr/>
              <w:t>  </w:t>
            </w:r>
          </w:p>
        </w:tc>
      </w:tr>
      <w:tr>
        <w:trPr/>
        <w:tc>
          <w:tcPr>
            <w:tcW w:w="4420" w:type="dxa"/>
            <w:tcBorders/>
            <w:shd w:fill="CCEEFF" w:val="clear"/>
          </w:tcPr>
          <w:p>
            <w:pPr>
              <w:pStyle w:val="TableContents"/>
              <w:spacing w:before="0" w:after="283"/>
              <w:rPr>
                <w:rFonts w:ascii="Times New Roman" w:hAnsi="Times New Roman"/>
                <w:sz w:val="20"/>
              </w:rPr>
            </w:pPr>
            <w:r>
              <w:rPr>
                <w:rFonts w:ascii="Times New Roman" w:hAnsi="Times New Roman"/>
                <w:sz w:val="20"/>
              </w:rPr>
              <w:t>Income tax (benefit) expense</w:t>
            </w:r>
          </w:p>
        </w:tc>
        <w:tc>
          <w:tcPr>
            <w:tcW w:w="27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(2,831</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2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1,690</w:t>
            </w:r>
          </w:p>
        </w:tc>
        <w:tc>
          <w:tcPr>
            <w:tcW w:w="125"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(3,144</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2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2,969</w:t>
            </w:r>
          </w:p>
        </w:tc>
        <w:tc>
          <w:tcPr>
            <w:tcW w:w="133" w:type="dxa"/>
            <w:tcBorders/>
            <w:shd w:fill="CCEEFF" w:val="clear"/>
            <w:vAlign w:val="bottom"/>
          </w:tcPr>
          <w:p>
            <w:pPr>
              <w:pStyle w:val="TableContents"/>
              <w:spacing w:before="0" w:after="283"/>
              <w:rPr/>
            </w:pPr>
            <w:r>
              <w:rPr/>
              <w:t>  </w:t>
            </w:r>
          </w:p>
        </w:tc>
      </w:tr>
      <w:tr>
        <w:trPr/>
        <w:tc>
          <w:tcPr>
            <w:tcW w:w="4420" w:type="dxa"/>
            <w:tcBorders/>
            <w:shd w:fill="auto" w:val="clear"/>
            <w:vAlign w:val="bottom"/>
          </w:tcPr>
          <w:p>
            <w:pPr>
              <w:pStyle w:val="TableContents"/>
              <w:spacing w:before="0" w:after="283"/>
              <w:rPr>
                <w:sz w:val="4"/>
                <w:szCs w:val="4"/>
              </w:rPr>
            </w:pPr>
            <w:r>
              <w:rPr>
                <w:sz w:val="4"/>
                <w:szCs w:val="4"/>
              </w:rPr>
            </w:r>
          </w:p>
        </w:tc>
        <w:tc>
          <w:tcPr>
            <w:tcW w:w="277"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55"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55"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55"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55" w:type="dxa"/>
            <w:tcBorders>
              <w:top w:val="single" w:sz="2" w:space="0" w:color="000000"/>
            </w:tcBorders>
            <w:shd w:fill="auto" w:val="clear"/>
            <w:tcMar>
              <w:top w:w="28" w:type="dxa"/>
            </w:tcMar>
            <w:vAlign w:val="bottom"/>
          </w:tcPr>
          <w:p>
            <w:pPr>
              <w:pStyle w:val="TableContents"/>
              <w:spacing w:before="0" w:after="283"/>
              <w:rPr/>
            </w:pPr>
            <w:r>
              <w:rPr/>
              <w:t> </w:t>
            </w:r>
          </w:p>
        </w:tc>
        <w:tc>
          <w:tcPr>
            <w:tcW w:w="133" w:type="dxa"/>
            <w:tcBorders/>
            <w:shd w:fill="auto" w:val="clear"/>
            <w:vAlign w:val="center"/>
          </w:tcPr>
          <w:p>
            <w:pPr>
              <w:pStyle w:val="TableContents"/>
              <w:spacing w:before="0" w:after="283"/>
              <w:rPr/>
            </w:pPr>
            <w:r>
              <w:rPr/>
              <w:t> </w:t>
            </w:r>
          </w:p>
        </w:tc>
      </w:tr>
      <w:tr>
        <w:trPr/>
        <w:tc>
          <w:tcPr>
            <w:tcW w:w="4420" w:type="dxa"/>
            <w:tcBorders/>
            <w:shd w:fill="auto" w:val="clear"/>
          </w:tcPr>
          <w:p>
            <w:pPr>
              <w:pStyle w:val="TableContents"/>
              <w:spacing w:before="0" w:after="283"/>
              <w:rPr>
                <w:rFonts w:ascii="Times New Roman" w:hAnsi="Times New Roman"/>
                <w:sz w:val="20"/>
              </w:rPr>
            </w:pPr>
            <w:r>
              <w:rPr>
                <w:rFonts w:ascii="Times New Roman" w:hAnsi="Times New Roman"/>
                <w:sz w:val="20"/>
              </w:rPr>
              <w:t>Net income (loss) from continuing operations</w:t>
            </w:r>
          </w:p>
        </w:tc>
        <w:tc>
          <w:tcPr>
            <w:tcW w:w="27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(14,185</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2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3,677</w:t>
            </w:r>
          </w:p>
        </w:tc>
        <w:tc>
          <w:tcPr>
            <w:tcW w:w="125"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(14,767</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2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5,676</w:t>
            </w:r>
          </w:p>
        </w:tc>
        <w:tc>
          <w:tcPr>
            <w:tcW w:w="133" w:type="dxa"/>
            <w:tcBorders/>
            <w:shd w:fill="auto" w:val="clear"/>
            <w:vAlign w:val="bottom"/>
          </w:tcPr>
          <w:p>
            <w:pPr>
              <w:pStyle w:val="TableContents"/>
              <w:spacing w:before="0" w:after="283"/>
              <w:rPr/>
            </w:pPr>
            <w:r>
              <w:rPr/>
              <w:t>  </w:t>
            </w:r>
          </w:p>
        </w:tc>
      </w:tr>
      <w:tr>
        <w:trPr/>
        <w:tc>
          <w:tcPr>
            <w:tcW w:w="4420"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 (loss) discontinued operations net of tax</w:t>
            </w:r>
          </w:p>
        </w:tc>
        <w:tc>
          <w:tcPr>
            <w:tcW w:w="27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101</w:t>
            </w:r>
          </w:p>
        </w:tc>
        <w:tc>
          <w:tcPr>
            <w:tcW w:w="125"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(317</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2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(265</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2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(666</w:t>
            </w:r>
          </w:p>
        </w:tc>
        <w:tc>
          <w:tcPr>
            <w:tcW w:w="13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420" w:type="dxa"/>
            <w:tcBorders/>
            <w:shd w:fill="auto" w:val="clear"/>
            <w:vAlign w:val="bottom"/>
          </w:tcPr>
          <w:p>
            <w:pPr>
              <w:pStyle w:val="TableContents"/>
              <w:spacing w:before="0" w:after="283"/>
              <w:rPr>
                <w:sz w:val="4"/>
                <w:szCs w:val="4"/>
              </w:rPr>
            </w:pPr>
            <w:r>
              <w:rPr>
                <w:sz w:val="4"/>
                <w:szCs w:val="4"/>
              </w:rPr>
            </w:r>
          </w:p>
        </w:tc>
        <w:tc>
          <w:tcPr>
            <w:tcW w:w="277"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55"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55"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55"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55" w:type="dxa"/>
            <w:tcBorders>
              <w:top w:val="single" w:sz="2" w:space="0" w:color="000000"/>
            </w:tcBorders>
            <w:shd w:fill="auto" w:val="clear"/>
            <w:tcMar>
              <w:top w:w="28" w:type="dxa"/>
            </w:tcMar>
            <w:vAlign w:val="bottom"/>
          </w:tcPr>
          <w:p>
            <w:pPr>
              <w:pStyle w:val="TableContents"/>
              <w:spacing w:before="0" w:after="283"/>
              <w:rPr/>
            </w:pPr>
            <w:r>
              <w:rPr/>
              <w:t> </w:t>
            </w:r>
          </w:p>
        </w:tc>
        <w:tc>
          <w:tcPr>
            <w:tcW w:w="133" w:type="dxa"/>
            <w:tcBorders/>
            <w:shd w:fill="auto" w:val="clear"/>
            <w:vAlign w:val="center"/>
          </w:tcPr>
          <w:p>
            <w:pPr>
              <w:pStyle w:val="TableContents"/>
              <w:spacing w:before="0" w:after="283"/>
              <w:rPr/>
            </w:pPr>
            <w:r>
              <w:rPr/>
              <w:t> </w:t>
            </w:r>
          </w:p>
        </w:tc>
      </w:tr>
      <w:tr>
        <w:trPr/>
        <w:tc>
          <w:tcPr>
            <w:tcW w:w="4420" w:type="dxa"/>
            <w:tcBorders/>
            <w:shd w:fill="auto" w:val="clear"/>
          </w:tcPr>
          <w:p>
            <w:pPr>
              <w:pStyle w:val="TableContents"/>
              <w:spacing w:before="0" w:after="283"/>
              <w:rPr>
                <w:rFonts w:ascii="Times New Roman" w:hAnsi="Times New Roman"/>
                <w:sz w:val="20"/>
              </w:rPr>
            </w:pPr>
            <w:r>
              <w:rPr>
                <w:rFonts w:ascii="Times New Roman" w:hAnsi="Times New Roman"/>
                <w:sz w:val="20"/>
              </w:rPr>
              <w:t>Net (loss) income</w:t>
            </w:r>
          </w:p>
        </w:tc>
        <w:tc>
          <w:tcPr>
            <w:tcW w:w="27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(14,084</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2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3,360</w:t>
            </w:r>
          </w:p>
        </w:tc>
        <w:tc>
          <w:tcPr>
            <w:tcW w:w="125"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(15,032</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2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5,010</w:t>
            </w:r>
          </w:p>
        </w:tc>
        <w:tc>
          <w:tcPr>
            <w:tcW w:w="133" w:type="dxa"/>
            <w:tcBorders/>
            <w:shd w:fill="auto" w:val="clear"/>
            <w:vAlign w:val="bottom"/>
          </w:tcPr>
          <w:p>
            <w:pPr>
              <w:pStyle w:val="TableContents"/>
              <w:spacing w:before="0" w:after="283"/>
              <w:rPr/>
            </w:pPr>
            <w:r>
              <w:rPr/>
              <w:t>  </w:t>
            </w:r>
          </w:p>
        </w:tc>
      </w:tr>
      <w:tr>
        <w:trPr/>
        <w:tc>
          <w:tcPr>
            <w:tcW w:w="4420" w:type="dxa"/>
            <w:tcBorders/>
            <w:shd w:fill="auto" w:val="clear"/>
            <w:vAlign w:val="bottom"/>
          </w:tcPr>
          <w:p>
            <w:pPr>
              <w:pStyle w:val="TableContents"/>
              <w:spacing w:before="0" w:after="283"/>
              <w:rPr>
                <w:sz w:val="4"/>
                <w:szCs w:val="4"/>
              </w:rPr>
            </w:pPr>
            <w:r>
              <w:rPr>
                <w:sz w:val="4"/>
                <w:szCs w:val="4"/>
              </w:rPr>
            </w:r>
          </w:p>
        </w:tc>
        <w:tc>
          <w:tcPr>
            <w:tcW w:w="277"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55"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55"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55"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55" w:type="dxa"/>
            <w:tcBorders>
              <w:top w:val="double" w:sz="6" w:space="0" w:color="000000"/>
            </w:tcBorders>
            <w:shd w:fill="auto" w:val="clear"/>
            <w:tcMar>
              <w:top w:w="28" w:type="dxa"/>
            </w:tcMar>
            <w:vAlign w:val="bottom"/>
          </w:tcPr>
          <w:p>
            <w:pPr>
              <w:pStyle w:val="TableContents"/>
              <w:spacing w:before="0" w:after="283"/>
              <w:rPr/>
            </w:pPr>
            <w:r>
              <w:rPr/>
              <w:t> </w:t>
            </w:r>
          </w:p>
        </w:tc>
        <w:tc>
          <w:tcPr>
            <w:tcW w:w="133" w:type="dxa"/>
            <w:tcBorders/>
            <w:shd w:fill="auto" w:val="clear"/>
            <w:vAlign w:val="center"/>
          </w:tcPr>
          <w:p>
            <w:pPr>
              <w:pStyle w:val="TableContents"/>
              <w:spacing w:before="0" w:after="283"/>
              <w:rPr/>
            </w:pPr>
            <w:r>
              <w:rPr/>
              <w:t> </w:t>
            </w:r>
          </w:p>
        </w:tc>
      </w:tr>
      <w:tr>
        <w:trPr>
          <w:trHeight w:val="120" w:hRule="atLeast"/>
        </w:trPr>
        <w:tc>
          <w:tcPr>
            <w:tcW w:w="4420" w:type="dxa"/>
            <w:tcBorders/>
            <w:shd w:fill="auto" w:val="clear"/>
            <w:vAlign w:val="center"/>
          </w:tcPr>
          <w:p>
            <w:pPr>
              <w:pStyle w:val="TableContents"/>
              <w:spacing w:before="0" w:after="283"/>
              <w:rPr>
                <w:sz w:val="4"/>
                <w:szCs w:val="4"/>
              </w:rPr>
            </w:pPr>
            <w:r>
              <w:rPr>
                <w:sz w:val="4"/>
                <w:szCs w:val="4"/>
              </w:rPr>
            </w:r>
          </w:p>
        </w:tc>
        <w:tc>
          <w:tcPr>
            <w:tcW w:w="1482" w:type="dxa"/>
            <w:gridSpan w:val="4"/>
            <w:tcBorders/>
            <w:shd w:fill="auto" w:val="clear"/>
            <w:vAlign w:val="center"/>
          </w:tcPr>
          <w:p>
            <w:pPr>
              <w:pStyle w:val="TableContents"/>
              <w:spacing w:before="0" w:after="283"/>
              <w:rPr>
                <w:sz w:val="4"/>
                <w:szCs w:val="4"/>
              </w:rPr>
            </w:pPr>
            <w:r>
              <w:rPr>
                <w:sz w:val="4"/>
                <w:szCs w:val="4"/>
              </w:rPr>
            </w:r>
          </w:p>
        </w:tc>
        <w:tc>
          <w:tcPr>
            <w:tcW w:w="1432" w:type="dxa"/>
            <w:gridSpan w:val="4"/>
            <w:tcBorders/>
            <w:shd w:fill="auto" w:val="clear"/>
            <w:vAlign w:val="center"/>
          </w:tcPr>
          <w:p>
            <w:pPr>
              <w:pStyle w:val="TableContents"/>
              <w:spacing w:before="0" w:after="283"/>
              <w:rPr>
                <w:sz w:val="4"/>
                <w:szCs w:val="4"/>
              </w:rPr>
            </w:pPr>
            <w:r>
              <w:rPr>
                <w:sz w:val="4"/>
                <w:szCs w:val="4"/>
              </w:rPr>
            </w:r>
          </w:p>
        </w:tc>
        <w:tc>
          <w:tcPr>
            <w:tcW w:w="1431" w:type="dxa"/>
            <w:gridSpan w:val="4"/>
            <w:tcBorders/>
            <w:shd w:fill="auto" w:val="clear"/>
            <w:vAlign w:val="center"/>
          </w:tcPr>
          <w:p>
            <w:pPr>
              <w:pStyle w:val="TableContents"/>
              <w:spacing w:before="0" w:after="283"/>
              <w:rPr>
                <w:sz w:val="4"/>
                <w:szCs w:val="4"/>
              </w:rPr>
            </w:pPr>
            <w:r>
              <w:rPr>
                <w:sz w:val="4"/>
                <w:szCs w:val="4"/>
              </w:rPr>
            </w:r>
          </w:p>
        </w:tc>
        <w:tc>
          <w:tcPr>
            <w:tcW w:w="1440" w:type="dxa"/>
            <w:gridSpan w:val="4"/>
            <w:tcBorders/>
            <w:shd w:fill="auto" w:val="clear"/>
            <w:vAlign w:val="center"/>
          </w:tcPr>
          <w:p>
            <w:pPr>
              <w:pStyle w:val="TableContents"/>
              <w:spacing w:before="0" w:after="283"/>
              <w:rPr>
                <w:sz w:val="4"/>
                <w:szCs w:val="4"/>
              </w:rPr>
            </w:pPr>
            <w:r>
              <w:rPr>
                <w:sz w:val="4"/>
                <w:szCs w:val="4"/>
              </w:rPr>
            </w:r>
          </w:p>
        </w:tc>
      </w:tr>
      <w:tr>
        <w:trPr/>
        <w:tc>
          <w:tcPr>
            <w:tcW w:w="4420" w:type="dxa"/>
            <w:tcBorders/>
            <w:shd w:fill="CCEEFF" w:val="clear"/>
          </w:tcPr>
          <w:p>
            <w:pPr>
              <w:pStyle w:val="TableContents"/>
              <w:spacing w:before="0" w:after="283"/>
              <w:rPr>
                <w:rFonts w:ascii="Times New Roman" w:hAnsi="Times New Roman"/>
                <w:sz w:val="20"/>
                <w:u w:val="single"/>
              </w:rPr>
            </w:pPr>
            <w:r>
              <w:rPr>
                <w:rFonts w:ascii="Times New Roman" w:hAnsi="Times New Roman"/>
                <w:sz w:val="20"/>
                <w:u w:val="single"/>
              </w:rPr>
              <w:t>Per share data;</w:t>
            </w:r>
          </w:p>
        </w:tc>
        <w:tc>
          <w:tcPr>
            <w:tcW w:w="27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5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2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5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2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5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2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55" w:type="dxa"/>
            <w:tcBorders/>
            <w:shd w:fill="CCEEFF" w:val="clear"/>
            <w:vAlign w:val="bottom"/>
          </w:tcPr>
          <w:p>
            <w:pPr>
              <w:pStyle w:val="TableContents"/>
              <w:spacing w:before="0" w:after="283"/>
              <w:rPr>
                <w:sz w:val="4"/>
                <w:szCs w:val="4"/>
              </w:rPr>
            </w:pPr>
            <w:r>
              <w:rPr>
                <w:sz w:val="4"/>
                <w:szCs w:val="4"/>
              </w:rPr>
            </w:r>
          </w:p>
        </w:tc>
        <w:tc>
          <w:tcPr>
            <w:tcW w:w="133" w:type="dxa"/>
            <w:tcBorders/>
            <w:shd w:fill="CCEEFF" w:val="clear"/>
            <w:vAlign w:val="bottom"/>
          </w:tcPr>
          <w:p>
            <w:pPr>
              <w:pStyle w:val="TableContents"/>
              <w:spacing w:before="0" w:after="283"/>
              <w:rPr>
                <w:sz w:val="4"/>
                <w:szCs w:val="4"/>
              </w:rPr>
            </w:pPr>
            <w:r>
              <w:rPr>
                <w:sz w:val="4"/>
                <w:szCs w:val="4"/>
              </w:rPr>
            </w:r>
          </w:p>
        </w:tc>
      </w:tr>
      <w:tr>
        <w:trPr/>
        <w:tc>
          <w:tcPr>
            <w:tcW w:w="4420" w:type="dxa"/>
            <w:tcBorders/>
            <w:shd w:fill="auto" w:val="clear"/>
          </w:tcPr>
          <w:p>
            <w:pPr>
              <w:pStyle w:val="TableContents"/>
              <w:spacing w:before="0" w:after="283"/>
              <w:rPr>
                <w:rFonts w:ascii="Times New Roman" w:hAnsi="Times New Roman"/>
                <w:sz w:val="20"/>
              </w:rPr>
            </w:pPr>
            <w:r>
              <w:rPr>
                <w:rFonts w:ascii="Times New Roman" w:hAnsi="Times New Roman"/>
                <w:sz w:val="20"/>
              </w:rPr>
              <w:t>Net income (loss) from continuing operations per basic share</w:t>
            </w:r>
          </w:p>
        </w:tc>
        <w:tc>
          <w:tcPr>
            <w:tcW w:w="27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(0.99</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2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0.26</w:t>
            </w:r>
          </w:p>
        </w:tc>
        <w:tc>
          <w:tcPr>
            <w:tcW w:w="125"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(1.04</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2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0.39</w:t>
            </w:r>
          </w:p>
        </w:tc>
        <w:tc>
          <w:tcPr>
            <w:tcW w:w="133" w:type="dxa"/>
            <w:tcBorders/>
            <w:shd w:fill="auto" w:val="clear"/>
            <w:vAlign w:val="bottom"/>
          </w:tcPr>
          <w:p>
            <w:pPr>
              <w:pStyle w:val="TableContents"/>
              <w:spacing w:before="0" w:after="283"/>
              <w:rPr/>
            </w:pPr>
            <w:r>
              <w:rPr/>
              <w:t>  </w:t>
            </w:r>
          </w:p>
        </w:tc>
      </w:tr>
      <w:tr>
        <w:trPr/>
        <w:tc>
          <w:tcPr>
            <w:tcW w:w="4420"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 (loss) from continuing operations per diluted share</w:t>
            </w:r>
          </w:p>
        </w:tc>
        <w:tc>
          <w:tcPr>
            <w:tcW w:w="27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(0.98</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2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0.21</w:t>
            </w:r>
          </w:p>
        </w:tc>
        <w:tc>
          <w:tcPr>
            <w:tcW w:w="125"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(1.04</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2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0.34</w:t>
            </w:r>
          </w:p>
        </w:tc>
        <w:tc>
          <w:tcPr>
            <w:tcW w:w="133" w:type="dxa"/>
            <w:tcBorders/>
            <w:shd w:fill="CCEEFF" w:val="clear"/>
            <w:vAlign w:val="bottom"/>
          </w:tcPr>
          <w:p>
            <w:pPr>
              <w:pStyle w:val="TableContents"/>
              <w:spacing w:before="0" w:after="283"/>
              <w:rPr/>
            </w:pPr>
            <w:r>
              <w:rPr/>
              <w:t>  </w:t>
            </w:r>
          </w:p>
        </w:tc>
      </w:tr>
      <w:tr>
        <w:trPr/>
        <w:tc>
          <w:tcPr>
            <w:tcW w:w="4420" w:type="dxa"/>
            <w:tcBorders/>
            <w:shd w:fill="auto" w:val="clear"/>
          </w:tcPr>
          <w:p>
            <w:pPr>
              <w:pStyle w:val="TableContents"/>
              <w:spacing w:before="0" w:after="283"/>
              <w:rPr>
                <w:rFonts w:ascii="Times New Roman" w:hAnsi="Times New Roman"/>
                <w:sz w:val="20"/>
              </w:rPr>
            </w:pPr>
            <w:r>
              <w:rPr>
                <w:rFonts w:ascii="Times New Roman" w:hAnsi="Times New Roman"/>
                <w:sz w:val="20"/>
              </w:rPr>
              <w:t>Net income (loss) per basic share</w:t>
            </w:r>
          </w:p>
        </w:tc>
        <w:tc>
          <w:tcPr>
            <w:tcW w:w="27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(0.99</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2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0.24</w:t>
            </w:r>
          </w:p>
        </w:tc>
        <w:tc>
          <w:tcPr>
            <w:tcW w:w="125"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(1.06</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2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0.34</w:t>
            </w:r>
          </w:p>
        </w:tc>
        <w:tc>
          <w:tcPr>
            <w:tcW w:w="133" w:type="dxa"/>
            <w:tcBorders/>
            <w:shd w:fill="auto" w:val="clear"/>
            <w:vAlign w:val="bottom"/>
          </w:tcPr>
          <w:p>
            <w:pPr>
              <w:pStyle w:val="TableContents"/>
              <w:spacing w:before="0" w:after="283"/>
              <w:rPr/>
            </w:pPr>
            <w:r>
              <w:rPr/>
              <w:t>  </w:t>
            </w:r>
          </w:p>
        </w:tc>
      </w:tr>
      <w:tr>
        <w:trPr/>
        <w:tc>
          <w:tcPr>
            <w:tcW w:w="4420"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 (loss) per diluted share</w:t>
            </w:r>
          </w:p>
        </w:tc>
        <w:tc>
          <w:tcPr>
            <w:tcW w:w="27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(0.97</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2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0.19</w:t>
            </w:r>
          </w:p>
        </w:tc>
        <w:tc>
          <w:tcPr>
            <w:tcW w:w="125"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(1.06</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2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0.30</w:t>
            </w:r>
          </w:p>
        </w:tc>
        <w:tc>
          <w:tcPr>
            <w:tcW w:w="133" w:type="dxa"/>
            <w:tcBorders/>
            <w:shd w:fill="CCEEFF" w:val="clear"/>
            <w:vAlign w:val="bottom"/>
          </w:tcPr>
          <w:p>
            <w:pPr>
              <w:pStyle w:val="TableContents"/>
              <w:spacing w:before="0" w:after="283"/>
              <w:rPr/>
            </w:pPr>
            <w:r>
              <w:rPr/>
              <w:t>  </w:t>
            </w:r>
          </w:p>
        </w:tc>
      </w:tr>
      <w:tr>
        <w:trPr>
          <w:trHeight w:val="120" w:hRule="atLeast"/>
        </w:trPr>
        <w:tc>
          <w:tcPr>
            <w:tcW w:w="4420" w:type="dxa"/>
            <w:tcBorders/>
            <w:shd w:fill="auto" w:val="clear"/>
            <w:vAlign w:val="center"/>
          </w:tcPr>
          <w:p>
            <w:pPr>
              <w:pStyle w:val="TableContents"/>
              <w:spacing w:before="0" w:after="283"/>
              <w:rPr>
                <w:sz w:val="4"/>
                <w:szCs w:val="4"/>
              </w:rPr>
            </w:pPr>
            <w:r>
              <w:rPr>
                <w:sz w:val="4"/>
                <w:szCs w:val="4"/>
              </w:rPr>
            </w:r>
          </w:p>
        </w:tc>
        <w:tc>
          <w:tcPr>
            <w:tcW w:w="1482" w:type="dxa"/>
            <w:gridSpan w:val="4"/>
            <w:tcBorders/>
            <w:shd w:fill="auto" w:val="clear"/>
            <w:vAlign w:val="center"/>
          </w:tcPr>
          <w:p>
            <w:pPr>
              <w:pStyle w:val="TableContents"/>
              <w:spacing w:before="0" w:after="283"/>
              <w:rPr>
                <w:sz w:val="4"/>
                <w:szCs w:val="4"/>
              </w:rPr>
            </w:pPr>
            <w:r>
              <w:rPr>
                <w:sz w:val="4"/>
                <w:szCs w:val="4"/>
              </w:rPr>
            </w:r>
          </w:p>
        </w:tc>
        <w:tc>
          <w:tcPr>
            <w:tcW w:w="1432" w:type="dxa"/>
            <w:gridSpan w:val="4"/>
            <w:tcBorders/>
            <w:shd w:fill="auto" w:val="clear"/>
            <w:vAlign w:val="center"/>
          </w:tcPr>
          <w:p>
            <w:pPr>
              <w:pStyle w:val="TableContents"/>
              <w:spacing w:before="0" w:after="283"/>
              <w:rPr>
                <w:sz w:val="4"/>
                <w:szCs w:val="4"/>
              </w:rPr>
            </w:pPr>
            <w:r>
              <w:rPr>
                <w:sz w:val="4"/>
                <w:szCs w:val="4"/>
              </w:rPr>
            </w:r>
          </w:p>
        </w:tc>
        <w:tc>
          <w:tcPr>
            <w:tcW w:w="1431" w:type="dxa"/>
            <w:gridSpan w:val="4"/>
            <w:tcBorders/>
            <w:shd w:fill="auto" w:val="clear"/>
            <w:vAlign w:val="center"/>
          </w:tcPr>
          <w:p>
            <w:pPr>
              <w:pStyle w:val="TableContents"/>
              <w:spacing w:before="0" w:after="283"/>
              <w:rPr>
                <w:sz w:val="4"/>
                <w:szCs w:val="4"/>
              </w:rPr>
            </w:pPr>
            <w:r>
              <w:rPr>
                <w:sz w:val="4"/>
                <w:szCs w:val="4"/>
              </w:rPr>
            </w:r>
          </w:p>
        </w:tc>
        <w:tc>
          <w:tcPr>
            <w:tcW w:w="1440" w:type="dxa"/>
            <w:gridSpan w:val="4"/>
            <w:tcBorders/>
            <w:shd w:fill="auto" w:val="clear"/>
            <w:vAlign w:val="center"/>
          </w:tcPr>
          <w:p>
            <w:pPr>
              <w:pStyle w:val="TableContents"/>
              <w:spacing w:before="0" w:after="283"/>
              <w:rPr>
                <w:sz w:val="4"/>
                <w:szCs w:val="4"/>
              </w:rPr>
            </w:pPr>
            <w:r>
              <w:rPr>
                <w:sz w:val="4"/>
                <w:szCs w:val="4"/>
              </w:rPr>
            </w:r>
          </w:p>
        </w:tc>
      </w:tr>
      <w:tr>
        <w:trPr/>
        <w:tc>
          <w:tcPr>
            <w:tcW w:w="4420" w:type="dxa"/>
            <w:tcBorders/>
            <w:shd w:fill="auto" w:val="clear"/>
          </w:tcPr>
          <w:p>
            <w:pPr>
              <w:pStyle w:val="TableContents"/>
              <w:spacing w:before="0" w:after="283"/>
              <w:rPr>
                <w:rFonts w:ascii="Times New Roman" w:hAnsi="Times New Roman"/>
                <w:sz w:val="20"/>
              </w:rPr>
            </w:pPr>
            <w:r>
              <w:rPr>
                <w:rFonts w:ascii="Times New Roman" w:hAnsi="Times New Roman"/>
                <w:sz w:val="20"/>
              </w:rPr>
              <w:t>Basic shares</w:t>
            </w:r>
          </w:p>
        </w:tc>
        <w:tc>
          <w:tcPr>
            <w:tcW w:w="27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14,289,331</w:t>
            </w:r>
          </w:p>
        </w:tc>
        <w:tc>
          <w:tcPr>
            <w:tcW w:w="125"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14,243,221</w:t>
            </w:r>
          </w:p>
        </w:tc>
        <w:tc>
          <w:tcPr>
            <w:tcW w:w="125"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14,221,095</w:t>
            </w:r>
          </w:p>
        </w:tc>
        <w:tc>
          <w:tcPr>
            <w:tcW w:w="125"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14,633,209</w:t>
            </w:r>
          </w:p>
        </w:tc>
        <w:tc>
          <w:tcPr>
            <w:tcW w:w="133" w:type="dxa"/>
            <w:tcBorders/>
            <w:shd w:fill="auto" w:val="clear"/>
            <w:vAlign w:val="bottom"/>
          </w:tcPr>
          <w:p>
            <w:pPr>
              <w:pStyle w:val="TableContents"/>
              <w:spacing w:before="0" w:after="283"/>
              <w:rPr/>
            </w:pPr>
            <w:r>
              <w:rPr/>
              <w:t>  </w:t>
            </w:r>
          </w:p>
        </w:tc>
      </w:tr>
      <w:tr>
        <w:trPr/>
        <w:tc>
          <w:tcPr>
            <w:tcW w:w="4420" w:type="dxa"/>
            <w:tcBorders/>
            <w:shd w:fill="CCEEFF" w:val="clear"/>
          </w:tcPr>
          <w:p>
            <w:pPr>
              <w:pStyle w:val="TableContents"/>
              <w:spacing w:before="0" w:after="283"/>
              <w:rPr>
                <w:rFonts w:ascii="Times New Roman" w:hAnsi="Times New Roman"/>
                <w:sz w:val="20"/>
              </w:rPr>
            </w:pPr>
            <w:r>
              <w:rPr>
                <w:rFonts w:ascii="Times New Roman" w:hAnsi="Times New Roman"/>
                <w:sz w:val="20"/>
              </w:rPr>
              <w:t>Diluted shares</w:t>
            </w:r>
          </w:p>
        </w:tc>
        <w:tc>
          <w:tcPr>
            <w:tcW w:w="27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14,450,864</w:t>
            </w:r>
          </w:p>
        </w:tc>
        <w:tc>
          <w:tcPr>
            <w:tcW w:w="125"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15,242,537</w:t>
            </w:r>
          </w:p>
        </w:tc>
        <w:tc>
          <w:tcPr>
            <w:tcW w:w="125"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14,221,095</w:t>
            </w:r>
          </w:p>
        </w:tc>
        <w:tc>
          <w:tcPr>
            <w:tcW w:w="125"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15,275,690</w:t>
            </w:r>
          </w:p>
        </w:tc>
        <w:tc>
          <w:tcPr>
            <w:tcW w:w="133" w:type="dxa"/>
            <w:tcBorders/>
            <w:shd w:fill="CCEEFF" w:val="clear"/>
            <w:vAlign w:val="bottom"/>
          </w:tcPr>
          <w:p>
            <w:pPr>
              <w:pStyle w:val="TableContents"/>
              <w:spacing w:before="0" w:after="283"/>
              <w:rPr/>
            </w:pPr>
            <w:r>
              <w:rPr/>
              <w:t>  </w:t>
            </w:r>
          </w:p>
        </w:tc>
      </w:tr>
    </w:tbl>
    <w:p>
      <w:pPr>
        <w:pStyle w:val="TextBody"/>
        <w:spacing w:before="180" w:after="0"/>
        <w:rPr>
          <w:rFonts w:ascii="Times New Roman" w:hAnsi="Times New Roman"/>
          <w:b/>
          <w:sz w:val="20"/>
        </w:rPr>
      </w:pPr>
      <w:r>
        <w:rPr>
          <w:rFonts w:ascii="Times New Roman" w:hAnsi="Times New Roman"/>
          <w:b/>
          <w:sz w:val="20"/>
        </w:rPr>
        <w:t xml:space="preserve">CECO Environmental Corp. </w:t>
      </w:r>
    </w:p>
    <w:p>
      <w:pPr>
        <w:pStyle w:val="TextBody"/>
        <w:spacing w:before="0" w:after="0"/>
        <w:rPr>
          <w:rFonts w:ascii="Times New Roman" w:hAnsi="Times New Roman"/>
          <w:b/>
          <w:sz w:val="20"/>
        </w:rPr>
      </w:pPr>
      <w:r>
        <w:rPr>
          <w:rFonts w:ascii="Times New Roman" w:hAnsi="Times New Roman"/>
          <w:b/>
          <w:sz w:val="20"/>
        </w:rPr>
        <w:t xml:space="preserve">Supplemental Financial Information </w:t>
      </w:r>
    </w:p>
    <w:p>
      <w:pPr>
        <w:pStyle w:val="TextBody"/>
        <w:spacing w:before="0" w:after="0"/>
        <w:rPr>
          <w:rFonts w:ascii="Times New Roman" w:hAnsi="Times New Roman"/>
          <w:b/>
          <w:sz w:val="20"/>
        </w:rPr>
      </w:pPr>
      <w:r>
        <w:rPr>
          <w:rFonts w:ascii="Times New Roman" w:hAnsi="Times New Roman"/>
          <w:b/>
          <w:sz w:val="20"/>
        </w:rPr>
        <w:t xml:space="preserve">(unaudited) </w:t>
      </w:r>
    </w:p>
    <w:p>
      <w:pPr>
        <w:pStyle w:val="TextBody"/>
        <w:spacing w:before="0" w:after="0"/>
        <w:rPr>
          <w:rFonts w:ascii="Times New Roman" w:hAnsi="Times New Roman"/>
          <w:b/>
          <w:sz w:val="20"/>
        </w:rPr>
      </w:pPr>
      <w:r>
        <w:rPr>
          <w:rFonts w:ascii="Times New Roman" w:hAnsi="Times New Roman"/>
          <w:b/>
          <w:sz w:val="20"/>
        </w:rPr>
        <w:t xml:space="preserve">(In thousands, except per share data)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094"/>
        <w:gridCol w:w="269"/>
        <w:gridCol w:w="125"/>
        <w:gridCol w:w="651"/>
        <w:gridCol w:w="125"/>
        <w:gridCol w:w="225"/>
        <w:gridCol w:w="125"/>
        <w:gridCol w:w="532"/>
        <w:gridCol w:w="269"/>
        <w:gridCol w:w="125"/>
        <w:gridCol w:w="650"/>
        <w:gridCol w:w="125"/>
        <w:gridCol w:w="225"/>
        <w:gridCol w:w="125"/>
        <w:gridCol w:w="540"/>
      </w:tblGrid>
      <w:tr>
        <w:trPr/>
        <w:tc>
          <w:tcPr>
            <w:tcW w:w="6094"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51"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5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r>
      <w:tr>
        <w:trPr/>
        <w:tc>
          <w:tcPr>
            <w:tcW w:w="6094"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783"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Three months ended</w:t>
            </w:r>
          </w:p>
        </w:tc>
        <w:tc>
          <w:tcPr>
            <w:tcW w:w="269" w:type="dxa"/>
            <w:tcBorders/>
            <w:shd w:fill="auto" w:val="clear"/>
            <w:vAlign w:val="bottom"/>
          </w:tcPr>
          <w:p>
            <w:pPr>
              <w:pStyle w:val="TableContents"/>
              <w:spacing w:before="0" w:after="283"/>
              <w:rPr/>
            </w:pPr>
            <w:r>
              <w:rPr/>
              <w:t>  </w:t>
            </w:r>
          </w:p>
        </w:tc>
        <w:tc>
          <w:tcPr>
            <w:tcW w:w="1790"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Twelve months ended</w:t>
            </w:r>
          </w:p>
        </w:tc>
      </w:tr>
      <w:tr>
        <w:trPr/>
        <w:tc>
          <w:tcPr>
            <w:tcW w:w="6094"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Reconciliation of GAAP operating income:</w:t>
            </w:r>
          </w:p>
        </w:tc>
        <w:tc>
          <w:tcPr>
            <w:tcW w:w="269" w:type="dxa"/>
            <w:tcBorders/>
            <w:shd w:fill="auto" w:val="clear"/>
            <w:vAlign w:val="bottom"/>
          </w:tcPr>
          <w:p>
            <w:pPr>
              <w:pStyle w:val="TableContents"/>
              <w:spacing w:before="0" w:after="283"/>
              <w:rPr/>
            </w:pPr>
            <w:r>
              <w:rPr/>
              <w:t>  </w:t>
            </w:r>
          </w:p>
        </w:tc>
        <w:tc>
          <w:tcPr>
            <w:tcW w:w="77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12/31/2009</w:t>
            </w:r>
          </w:p>
        </w:tc>
        <w:tc>
          <w:tcPr>
            <w:tcW w:w="125"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65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12/31/2008</w:t>
            </w:r>
          </w:p>
        </w:tc>
        <w:tc>
          <w:tcPr>
            <w:tcW w:w="269" w:type="dxa"/>
            <w:tcBorders/>
            <w:shd w:fill="auto" w:val="clear"/>
            <w:vAlign w:val="bottom"/>
          </w:tcPr>
          <w:p>
            <w:pPr>
              <w:pStyle w:val="TableContents"/>
              <w:spacing w:before="0" w:after="283"/>
              <w:rPr/>
            </w:pPr>
            <w:r>
              <w:rPr/>
              <w:t>  </w:t>
            </w:r>
          </w:p>
        </w:tc>
        <w:tc>
          <w:tcPr>
            <w:tcW w:w="77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12/31/2009</w:t>
            </w:r>
          </w:p>
        </w:tc>
        <w:tc>
          <w:tcPr>
            <w:tcW w:w="125"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66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12/31/2008</w:t>
            </w:r>
          </w:p>
        </w:tc>
      </w:tr>
      <w:tr>
        <w:trPr/>
        <w:tc>
          <w:tcPr>
            <w:tcW w:w="6094" w:type="dxa"/>
            <w:tcBorders/>
            <w:shd w:fill="CCEEFF" w:val="clear"/>
          </w:tcPr>
          <w:p>
            <w:pPr>
              <w:pStyle w:val="TableContents"/>
              <w:spacing w:before="0" w:after="283"/>
              <w:rPr>
                <w:rFonts w:ascii="Times New Roman" w:hAnsi="Times New Roman"/>
                <w:sz w:val="20"/>
              </w:rPr>
            </w:pPr>
            <w:r>
              <w:rPr>
                <w:rFonts w:ascii="Times New Roman" w:hAnsi="Times New Roman"/>
                <w:sz w:val="20"/>
              </w:rPr>
              <w:t>Operating (loss) income in accordance with GAAP</w:t>
            </w:r>
          </w:p>
        </w:tc>
        <w:tc>
          <w:tcPr>
            <w:tcW w:w="26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(16,516</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4,840</w:t>
            </w:r>
          </w:p>
        </w:tc>
        <w:tc>
          <w:tcPr>
            <w:tcW w:w="26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(15,830</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9,164</w:t>
            </w:r>
          </w:p>
        </w:tc>
      </w:tr>
      <w:tr>
        <w:trPr/>
        <w:tc>
          <w:tcPr>
            <w:tcW w:w="6094" w:type="dxa"/>
            <w:tcBorders/>
            <w:shd w:fill="auto" w:val="clear"/>
          </w:tcPr>
          <w:p>
            <w:pPr>
              <w:pStyle w:val="TableContents"/>
              <w:spacing w:before="0" w:after="283"/>
              <w:rPr>
                <w:rFonts w:ascii="Times New Roman" w:hAnsi="Times New Roman"/>
                <w:sz w:val="20"/>
              </w:rPr>
            </w:pPr>
            <w:r>
              <w:rPr>
                <w:rFonts w:ascii="Times New Roman" w:hAnsi="Times New Roman"/>
                <w:sz w:val="20"/>
              </w:rPr>
              <w:t>Goodwill impairment charge</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17,110</w:t>
            </w:r>
          </w:p>
        </w:tc>
        <w:tc>
          <w:tcPr>
            <w:tcW w:w="125"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17,110</w:t>
            </w:r>
          </w:p>
        </w:tc>
        <w:tc>
          <w:tcPr>
            <w:tcW w:w="125"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4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w:t>
            </w:r>
          </w:p>
        </w:tc>
      </w:tr>
      <w:tr>
        <w:trPr/>
        <w:tc>
          <w:tcPr>
            <w:tcW w:w="6094" w:type="dxa"/>
            <w:tcBorders/>
            <w:shd w:fill="auto" w:val="clear"/>
            <w:vAlign w:val="bottom"/>
          </w:tcPr>
          <w:p>
            <w:pPr>
              <w:pStyle w:val="TableContents"/>
              <w:spacing w:before="0" w:after="283"/>
              <w:rPr>
                <w:sz w:val="4"/>
                <w:szCs w:val="4"/>
              </w:rPr>
            </w:pPr>
            <w:r>
              <w:rPr>
                <w:sz w:val="4"/>
                <w:szCs w:val="4"/>
              </w:rPr>
            </w:r>
          </w:p>
        </w:tc>
        <w:tc>
          <w:tcPr>
            <w:tcW w:w="26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51"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32" w:type="dxa"/>
            <w:tcBorders>
              <w:top w:val="single" w:sz="2" w:space="0" w:color="000000"/>
            </w:tcBorders>
            <w:shd w:fill="auto" w:val="clear"/>
            <w:tcMar>
              <w:top w:w="28" w:type="dxa"/>
            </w:tcM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50"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40" w:type="dxa"/>
            <w:tcBorders>
              <w:top w:val="single" w:sz="2" w:space="0" w:color="000000"/>
            </w:tcBorders>
            <w:shd w:fill="auto" w:val="clear"/>
            <w:tcMar>
              <w:top w:w="28" w:type="dxa"/>
            </w:tcMar>
            <w:vAlign w:val="bottom"/>
          </w:tcPr>
          <w:p>
            <w:pPr>
              <w:pStyle w:val="TableContents"/>
              <w:spacing w:before="0" w:after="283"/>
              <w:rPr/>
            </w:pPr>
            <w:r>
              <w:rPr/>
              <w:t> </w:t>
            </w:r>
          </w:p>
        </w:tc>
      </w:tr>
      <w:tr>
        <w:trPr/>
        <w:tc>
          <w:tcPr>
            <w:tcW w:w="6094" w:type="dxa"/>
            <w:tcBorders/>
            <w:shd w:fill="CCEEFF" w:val="clear"/>
          </w:tcPr>
          <w:p>
            <w:pPr>
              <w:pStyle w:val="TableContents"/>
              <w:spacing w:before="0" w:after="283"/>
              <w:rPr>
                <w:rFonts w:ascii="Times New Roman" w:hAnsi="Times New Roman"/>
                <w:sz w:val="20"/>
              </w:rPr>
            </w:pPr>
            <w:r>
              <w:rPr>
                <w:rFonts w:ascii="Times New Roman" w:hAnsi="Times New Roman"/>
                <w:sz w:val="20"/>
              </w:rPr>
              <w:t>Non-GAAP operating income</w:t>
            </w:r>
          </w:p>
        </w:tc>
        <w:tc>
          <w:tcPr>
            <w:tcW w:w="26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594</w:t>
            </w:r>
          </w:p>
        </w:tc>
        <w:tc>
          <w:tcPr>
            <w:tcW w:w="125"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4,840</w:t>
            </w:r>
          </w:p>
        </w:tc>
        <w:tc>
          <w:tcPr>
            <w:tcW w:w="26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1,280</w:t>
            </w:r>
          </w:p>
        </w:tc>
        <w:tc>
          <w:tcPr>
            <w:tcW w:w="125"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9,164</w:t>
            </w:r>
          </w:p>
        </w:tc>
      </w:tr>
      <w:tr>
        <w:trPr/>
        <w:tc>
          <w:tcPr>
            <w:tcW w:w="6094" w:type="dxa"/>
            <w:tcBorders/>
            <w:shd w:fill="auto" w:val="clear"/>
            <w:vAlign w:val="bottom"/>
          </w:tcPr>
          <w:p>
            <w:pPr>
              <w:pStyle w:val="TableContents"/>
              <w:spacing w:before="0" w:after="283"/>
              <w:rPr>
                <w:sz w:val="4"/>
                <w:szCs w:val="4"/>
              </w:rPr>
            </w:pPr>
            <w:r>
              <w:rPr>
                <w:sz w:val="4"/>
                <w:szCs w:val="4"/>
              </w:rPr>
            </w:r>
          </w:p>
        </w:tc>
        <w:tc>
          <w:tcPr>
            <w:tcW w:w="26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51"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532" w:type="dxa"/>
            <w:tcBorders>
              <w:top w:val="double" w:sz="6" w:space="0" w:color="000000"/>
            </w:tcBorders>
            <w:shd w:fill="auto" w:val="clear"/>
            <w:tcMar>
              <w:top w:w="28" w:type="dxa"/>
            </w:tcM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50"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540" w:type="dxa"/>
            <w:tcBorders>
              <w:top w:val="double" w:sz="6" w:space="0" w:color="000000"/>
            </w:tcBorders>
            <w:shd w:fill="auto" w:val="clear"/>
            <w:tcMar>
              <w:top w:w="28" w:type="dxa"/>
            </w:tcMar>
            <w:vAlign w:val="bottom"/>
          </w:tcPr>
          <w:p>
            <w:pPr>
              <w:pStyle w:val="TableContents"/>
              <w:spacing w:before="0" w:after="283"/>
              <w:rPr/>
            </w:pPr>
            <w:r>
              <w:rPr/>
              <w:t> </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093"/>
        <w:gridCol w:w="270"/>
        <w:gridCol w:w="125"/>
        <w:gridCol w:w="650"/>
        <w:gridCol w:w="125"/>
        <w:gridCol w:w="227"/>
        <w:gridCol w:w="125"/>
        <w:gridCol w:w="532"/>
        <w:gridCol w:w="270"/>
        <w:gridCol w:w="124"/>
        <w:gridCol w:w="650"/>
        <w:gridCol w:w="125"/>
        <w:gridCol w:w="227"/>
        <w:gridCol w:w="125"/>
        <w:gridCol w:w="537"/>
      </w:tblGrid>
      <w:tr>
        <w:trPr/>
        <w:tc>
          <w:tcPr>
            <w:tcW w:w="6093"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5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65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r>
      <w:tr>
        <w:trPr/>
        <w:tc>
          <w:tcPr>
            <w:tcW w:w="6093"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784"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Three months ended</w:t>
            </w:r>
          </w:p>
        </w:tc>
        <w:tc>
          <w:tcPr>
            <w:tcW w:w="270" w:type="dxa"/>
            <w:tcBorders/>
            <w:shd w:fill="auto" w:val="clear"/>
            <w:vAlign w:val="bottom"/>
          </w:tcPr>
          <w:p>
            <w:pPr>
              <w:pStyle w:val="TableContents"/>
              <w:spacing w:before="0" w:after="283"/>
              <w:rPr/>
            </w:pPr>
            <w:r>
              <w:rPr/>
              <w:t>  </w:t>
            </w:r>
          </w:p>
        </w:tc>
        <w:tc>
          <w:tcPr>
            <w:tcW w:w="1788"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Twelve months ended</w:t>
            </w:r>
          </w:p>
        </w:tc>
      </w:tr>
      <w:tr>
        <w:trPr/>
        <w:tc>
          <w:tcPr>
            <w:tcW w:w="6093"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Reconciliation of GAAP net income (loss):</w:t>
            </w:r>
          </w:p>
        </w:tc>
        <w:tc>
          <w:tcPr>
            <w:tcW w:w="270" w:type="dxa"/>
            <w:tcBorders/>
            <w:shd w:fill="auto" w:val="clear"/>
            <w:vAlign w:val="bottom"/>
          </w:tcPr>
          <w:p>
            <w:pPr>
              <w:pStyle w:val="TableContents"/>
              <w:spacing w:before="0" w:after="283"/>
              <w:rPr/>
            </w:pPr>
            <w:r>
              <w:rPr/>
              <w:t>  </w:t>
            </w:r>
          </w:p>
        </w:tc>
        <w:tc>
          <w:tcPr>
            <w:tcW w:w="77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12/31/2009</w:t>
            </w:r>
          </w:p>
        </w:tc>
        <w:tc>
          <w:tcPr>
            <w:tcW w:w="125"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65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12/31/2008</w:t>
            </w:r>
          </w:p>
        </w:tc>
        <w:tc>
          <w:tcPr>
            <w:tcW w:w="270" w:type="dxa"/>
            <w:tcBorders/>
            <w:shd w:fill="auto" w:val="clear"/>
            <w:vAlign w:val="bottom"/>
          </w:tcPr>
          <w:p>
            <w:pPr>
              <w:pStyle w:val="TableContents"/>
              <w:spacing w:before="0" w:after="283"/>
              <w:rPr/>
            </w:pPr>
            <w:r>
              <w:rPr/>
              <w:t>  </w:t>
            </w:r>
          </w:p>
        </w:tc>
        <w:tc>
          <w:tcPr>
            <w:tcW w:w="77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12/31/2009</w:t>
            </w:r>
          </w:p>
        </w:tc>
        <w:tc>
          <w:tcPr>
            <w:tcW w:w="125"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66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12/31/2008</w:t>
            </w:r>
          </w:p>
        </w:tc>
      </w:tr>
      <w:tr>
        <w:trPr/>
        <w:tc>
          <w:tcPr>
            <w:tcW w:w="6093" w:type="dxa"/>
            <w:tcBorders/>
            <w:shd w:fill="CCEEFF" w:val="clear"/>
          </w:tcPr>
          <w:p>
            <w:pPr>
              <w:pStyle w:val="TableContents"/>
              <w:spacing w:before="0" w:after="283"/>
              <w:rPr>
                <w:rFonts w:ascii="Times New Roman" w:hAnsi="Times New Roman"/>
                <w:sz w:val="20"/>
              </w:rPr>
            </w:pPr>
            <w:r>
              <w:rPr>
                <w:rFonts w:ascii="Times New Roman" w:hAnsi="Times New Roman"/>
                <w:sz w:val="20"/>
              </w:rPr>
              <w:t>Net (loss) income in accordance with GAAP</w:t>
            </w:r>
          </w:p>
        </w:tc>
        <w:tc>
          <w:tcPr>
            <w:tcW w:w="2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(14,084</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2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3,360</w:t>
            </w:r>
          </w:p>
        </w:tc>
        <w:tc>
          <w:tcPr>
            <w:tcW w:w="27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(15,032</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2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5,010</w:t>
            </w:r>
          </w:p>
        </w:tc>
      </w:tr>
      <w:tr>
        <w:trPr/>
        <w:tc>
          <w:tcPr>
            <w:tcW w:w="6093" w:type="dxa"/>
            <w:tcBorders/>
            <w:shd w:fill="auto" w:val="clear"/>
          </w:tcPr>
          <w:p>
            <w:pPr>
              <w:pStyle w:val="TableContents"/>
              <w:spacing w:before="0" w:after="283"/>
              <w:rPr>
                <w:rFonts w:ascii="Times New Roman" w:hAnsi="Times New Roman"/>
                <w:sz w:val="20"/>
              </w:rPr>
            </w:pPr>
            <w:r>
              <w:rPr>
                <w:rFonts w:ascii="Times New Roman" w:hAnsi="Times New Roman"/>
                <w:sz w:val="20"/>
              </w:rPr>
              <w:t>Goodwill impairment charge</w:t>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17,110</w:t>
            </w:r>
          </w:p>
        </w:tc>
        <w:tc>
          <w:tcPr>
            <w:tcW w:w="125"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7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17,110</w:t>
            </w:r>
          </w:p>
        </w:tc>
        <w:tc>
          <w:tcPr>
            <w:tcW w:w="125"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3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r>
      <w:tr>
        <w:trPr/>
        <w:tc>
          <w:tcPr>
            <w:tcW w:w="6093" w:type="dxa"/>
            <w:tcBorders/>
            <w:shd w:fill="CCEEFF" w:val="clear"/>
          </w:tcPr>
          <w:p>
            <w:pPr>
              <w:pStyle w:val="TableContents"/>
              <w:spacing w:before="0" w:after="283"/>
              <w:rPr>
                <w:rFonts w:ascii="Times New Roman" w:hAnsi="Times New Roman"/>
                <w:sz w:val="20"/>
              </w:rPr>
            </w:pPr>
            <w:r>
              <w:rPr>
                <w:rFonts w:ascii="Times New Roman" w:hAnsi="Times New Roman"/>
                <w:sz w:val="20"/>
              </w:rPr>
              <w:t>Tax benefit of goodwill impairment</w:t>
            </w:r>
          </w:p>
        </w:tc>
        <w:tc>
          <w:tcPr>
            <w:tcW w:w="2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(2,800</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2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7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6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(2,800</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2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r>
      <w:tr>
        <w:trPr/>
        <w:tc>
          <w:tcPr>
            <w:tcW w:w="6093" w:type="dxa"/>
            <w:tcBorders/>
            <w:shd w:fill="auto" w:val="clear"/>
            <w:vAlign w:val="bottom"/>
          </w:tcPr>
          <w:p>
            <w:pPr>
              <w:pStyle w:val="TableContents"/>
              <w:spacing w:before="0" w:after="283"/>
              <w:rPr>
                <w:sz w:val="4"/>
                <w:szCs w:val="4"/>
              </w:rPr>
            </w:pPr>
            <w:r>
              <w:rPr>
                <w:sz w:val="4"/>
                <w:szCs w:val="4"/>
              </w:rPr>
            </w:r>
          </w:p>
        </w:tc>
        <w:tc>
          <w:tcPr>
            <w:tcW w:w="27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50"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32" w:type="dxa"/>
            <w:tcBorders>
              <w:top w:val="single" w:sz="2" w:space="0" w:color="000000"/>
            </w:tcBorders>
            <w:shd w:fill="auto" w:val="clear"/>
            <w:tcMar>
              <w:top w:w="28" w:type="dxa"/>
            </w:tcM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24" w:type="dxa"/>
            <w:tcBorders>
              <w:top w:val="single" w:sz="2" w:space="0" w:color="000000"/>
            </w:tcBorders>
            <w:shd w:fill="auto" w:val="clear"/>
            <w:tcMar>
              <w:top w:w="28" w:type="dxa"/>
            </w:tcMar>
            <w:vAlign w:val="bottom"/>
          </w:tcPr>
          <w:p>
            <w:pPr>
              <w:pStyle w:val="TableContents"/>
              <w:spacing w:before="0" w:after="283"/>
              <w:rPr/>
            </w:pPr>
            <w:r>
              <w:rPr/>
              <w:t> </w:t>
            </w:r>
          </w:p>
        </w:tc>
        <w:tc>
          <w:tcPr>
            <w:tcW w:w="650"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37" w:type="dxa"/>
            <w:tcBorders>
              <w:top w:val="single" w:sz="2" w:space="0" w:color="000000"/>
            </w:tcBorders>
            <w:shd w:fill="auto" w:val="clear"/>
            <w:tcMar>
              <w:top w:w="28" w:type="dxa"/>
            </w:tcMar>
            <w:vAlign w:val="bottom"/>
          </w:tcPr>
          <w:p>
            <w:pPr>
              <w:pStyle w:val="TableContents"/>
              <w:spacing w:before="0" w:after="283"/>
              <w:rPr/>
            </w:pPr>
            <w:r>
              <w:rPr/>
              <w:t> </w:t>
            </w:r>
          </w:p>
        </w:tc>
      </w:tr>
      <w:tr>
        <w:trPr/>
        <w:tc>
          <w:tcPr>
            <w:tcW w:w="6093" w:type="dxa"/>
            <w:tcBorders/>
            <w:shd w:fill="auto" w:val="clear"/>
          </w:tcPr>
          <w:p>
            <w:pPr>
              <w:pStyle w:val="TableContents"/>
              <w:spacing w:before="0" w:after="283"/>
              <w:rPr>
                <w:rFonts w:ascii="Times New Roman" w:hAnsi="Times New Roman"/>
                <w:sz w:val="20"/>
              </w:rPr>
            </w:pPr>
            <w:r>
              <w:rPr>
                <w:rFonts w:ascii="Times New Roman" w:hAnsi="Times New Roman"/>
                <w:sz w:val="20"/>
              </w:rPr>
              <w:t>Non-GAAP net income (loss)</w:t>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226</w:t>
            </w:r>
          </w:p>
        </w:tc>
        <w:tc>
          <w:tcPr>
            <w:tcW w:w="125"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3,360</w:t>
            </w:r>
          </w:p>
        </w:tc>
        <w:tc>
          <w:tcPr>
            <w:tcW w:w="27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(722</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2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3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5,010</w:t>
            </w:r>
          </w:p>
        </w:tc>
      </w:tr>
      <w:tr>
        <w:trPr/>
        <w:tc>
          <w:tcPr>
            <w:tcW w:w="6093" w:type="dxa"/>
            <w:tcBorders/>
            <w:shd w:fill="auto" w:val="clear"/>
            <w:vAlign w:val="bottom"/>
          </w:tcPr>
          <w:p>
            <w:pPr>
              <w:pStyle w:val="TableContents"/>
              <w:spacing w:before="0" w:after="283"/>
              <w:rPr>
                <w:sz w:val="4"/>
                <w:szCs w:val="4"/>
              </w:rPr>
            </w:pPr>
            <w:r>
              <w:rPr>
                <w:sz w:val="4"/>
                <w:szCs w:val="4"/>
              </w:rPr>
            </w:r>
          </w:p>
        </w:tc>
        <w:tc>
          <w:tcPr>
            <w:tcW w:w="270"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50"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532" w:type="dxa"/>
            <w:tcBorders>
              <w:top w:val="double" w:sz="6" w:space="0" w:color="000000"/>
            </w:tcBorders>
            <w:shd w:fill="auto" w:val="clear"/>
            <w:tcMar>
              <w:top w:w="28" w:type="dxa"/>
            </w:tcM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24" w:type="dxa"/>
            <w:tcBorders>
              <w:top w:val="double" w:sz="6" w:space="0" w:color="000000"/>
            </w:tcBorders>
            <w:shd w:fill="auto" w:val="clear"/>
            <w:tcMar>
              <w:top w:w="28" w:type="dxa"/>
            </w:tcMar>
            <w:vAlign w:val="bottom"/>
          </w:tcPr>
          <w:p>
            <w:pPr>
              <w:pStyle w:val="TableContents"/>
              <w:spacing w:before="0" w:after="283"/>
              <w:rPr/>
            </w:pPr>
            <w:r>
              <w:rPr/>
              <w:t> </w:t>
            </w:r>
          </w:p>
        </w:tc>
        <w:tc>
          <w:tcPr>
            <w:tcW w:w="650"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537" w:type="dxa"/>
            <w:tcBorders>
              <w:top w:val="double" w:sz="6" w:space="0" w:color="000000"/>
            </w:tcBorders>
            <w:shd w:fill="auto" w:val="clear"/>
            <w:tcMar>
              <w:top w:w="28" w:type="dxa"/>
            </w:tcMar>
            <w:vAlign w:val="bottom"/>
          </w:tcPr>
          <w:p>
            <w:pPr>
              <w:pStyle w:val="TableContents"/>
              <w:spacing w:before="0" w:after="283"/>
              <w:rPr/>
            </w:pPr>
            <w:r>
              <w:rPr/>
              <w:t> </w:t>
            </w:r>
          </w:p>
        </w:tc>
      </w:tr>
      <w:tr>
        <w:trPr>
          <w:trHeight w:val="120" w:hRule="atLeast"/>
        </w:trPr>
        <w:tc>
          <w:tcPr>
            <w:tcW w:w="6093" w:type="dxa"/>
            <w:tcBorders/>
            <w:shd w:fill="auto" w:val="clear"/>
            <w:vAlign w:val="center"/>
          </w:tcPr>
          <w:p>
            <w:pPr>
              <w:pStyle w:val="TableContents"/>
              <w:spacing w:before="0" w:after="283"/>
              <w:rPr>
                <w:sz w:val="4"/>
                <w:szCs w:val="4"/>
              </w:rPr>
            </w:pPr>
            <w:r>
              <w:rPr>
                <w:sz w:val="4"/>
                <w:szCs w:val="4"/>
              </w:rPr>
            </w:r>
          </w:p>
        </w:tc>
        <w:tc>
          <w:tcPr>
            <w:tcW w:w="1170" w:type="dxa"/>
            <w:gridSpan w:val="4"/>
            <w:tcBorders/>
            <w:shd w:fill="auto" w:val="clear"/>
            <w:vAlign w:val="center"/>
          </w:tcPr>
          <w:p>
            <w:pPr>
              <w:pStyle w:val="TableContents"/>
              <w:spacing w:before="0" w:after="283"/>
              <w:rPr>
                <w:sz w:val="4"/>
                <w:szCs w:val="4"/>
              </w:rPr>
            </w:pPr>
            <w:r>
              <w:rPr>
                <w:sz w:val="4"/>
                <w:szCs w:val="4"/>
              </w:rPr>
            </w:r>
          </w:p>
        </w:tc>
        <w:tc>
          <w:tcPr>
            <w:tcW w:w="884" w:type="dxa"/>
            <w:gridSpan w:val="3"/>
            <w:tcBorders/>
            <w:shd w:fill="auto" w:val="clear"/>
            <w:vAlign w:val="center"/>
          </w:tcPr>
          <w:p>
            <w:pPr>
              <w:pStyle w:val="TableContents"/>
              <w:spacing w:before="0" w:after="283"/>
              <w:rPr>
                <w:sz w:val="4"/>
                <w:szCs w:val="4"/>
              </w:rPr>
            </w:pPr>
            <w:r>
              <w:rPr>
                <w:sz w:val="4"/>
                <w:szCs w:val="4"/>
              </w:rPr>
            </w:r>
          </w:p>
        </w:tc>
        <w:tc>
          <w:tcPr>
            <w:tcW w:w="1169" w:type="dxa"/>
            <w:gridSpan w:val="4"/>
            <w:tcBorders/>
            <w:shd w:fill="auto" w:val="clear"/>
            <w:vAlign w:val="center"/>
          </w:tcPr>
          <w:p>
            <w:pPr>
              <w:pStyle w:val="TableContents"/>
              <w:spacing w:before="0" w:after="283"/>
              <w:rPr>
                <w:sz w:val="4"/>
                <w:szCs w:val="4"/>
              </w:rPr>
            </w:pPr>
            <w:r>
              <w:rPr>
                <w:sz w:val="4"/>
                <w:szCs w:val="4"/>
              </w:rPr>
            </w:r>
          </w:p>
        </w:tc>
        <w:tc>
          <w:tcPr>
            <w:tcW w:w="889" w:type="dxa"/>
            <w:gridSpan w:val="3"/>
            <w:tcBorders/>
            <w:shd w:fill="auto" w:val="clear"/>
            <w:vAlign w:val="center"/>
          </w:tcPr>
          <w:p>
            <w:pPr>
              <w:pStyle w:val="TableContents"/>
              <w:spacing w:before="0" w:after="283"/>
              <w:rPr>
                <w:sz w:val="4"/>
                <w:szCs w:val="4"/>
              </w:rPr>
            </w:pPr>
            <w:r>
              <w:rPr>
                <w:sz w:val="4"/>
                <w:szCs w:val="4"/>
              </w:rPr>
            </w:r>
          </w:p>
        </w:tc>
      </w:tr>
      <w:tr>
        <w:trPr/>
        <w:tc>
          <w:tcPr>
            <w:tcW w:w="6093" w:type="dxa"/>
            <w:tcBorders/>
            <w:shd w:fill="CCEEFF" w:val="clear"/>
          </w:tcPr>
          <w:p>
            <w:pPr>
              <w:pStyle w:val="TableContents"/>
              <w:spacing w:before="0" w:after="283"/>
              <w:rPr>
                <w:rFonts w:ascii="Times New Roman" w:hAnsi="Times New Roman"/>
                <w:sz w:val="20"/>
              </w:rPr>
            </w:pPr>
            <w:r>
              <w:rPr>
                <w:rFonts w:ascii="Times New Roman" w:hAnsi="Times New Roman"/>
                <w:sz w:val="20"/>
              </w:rPr>
              <w:t>Per share data:</w:t>
            </w:r>
          </w:p>
        </w:tc>
        <w:tc>
          <w:tcPr>
            <w:tcW w:w="2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50"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2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32" w:type="dxa"/>
            <w:tcBorders/>
            <w:shd w:fill="CCEEFF" w:val="clear"/>
            <w:vAlign w:val="bottom"/>
          </w:tcPr>
          <w:p>
            <w:pPr>
              <w:pStyle w:val="TableContents"/>
              <w:spacing w:before="0" w:after="283"/>
              <w:rPr>
                <w:sz w:val="4"/>
                <w:szCs w:val="4"/>
              </w:rPr>
            </w:pPr>
            <w:r>
              <w:rPr>
                <w:sz w:val="4"/>
                <w:szCs w:val="4"/>
              </w:rPr>
            </w:r>
          </w:p>
        </w:tc>
        <w:tc>
          <w:tcPr>
            <w:tcW w:w="27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sz w:val="4"/>
                <w:szCs w:val="4"/>
              </w:rPr>
            </w:pPr>
            <w:r>
              <w:rPr>
                <w:sz w:val="4"/>
                <w:szCs w:val="4"/>
              </w:rPr>
            </w:r>
          </w:p>
        </w:tc>
        <w:tc>
          <w:tcPr>
            <w:tcW w:w="650"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2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37" w:type="dxa"/>
            <w:tcBorders/>
            <w:shd w:fill="CCEEFF" w:val="clear"/>
            <w:vAlign w:val="bottom"/>
          </w:tcPr>
          <w:p>
            <w:pPr>
              <w:pStyle w:val="TableContents"/>
              <w:spacing w:before="0" w:after="283"/>
              <w:rPr>
                <w:sz w:val="4"/>
                <w:szCs w:val="4"/>
              </w:rPr>
            </w:pPr>
            <w:r>
              <w:rPr>
                <w:sz w:val="4"/>
                <w:szCs w:val="4"/>
              </w:rPr>
            </w:r>
          </w:p>
        </w:tc>
      </w:tr>
      <w:tr>
        <w:trPr/>
        <w:tc>
          <w:tcPr>
            <w:tcW w:w="6093" w:type="dxa"/>
            <w:tcBorders/>
            <w:shd w:fill="auto" w:val="clear"/>
          </w:tcPr>
          <w:p>
            <w:pPr>
              <w:pStyle w:val="TableContents"/>
              <w:spacing w:before="0" w:after="283"/>
              <w:rPr>
                <w:rFonts w:ascii="Times New Roman" w:hAnsi="Times New Roman"/>
                <w:sz w:val="20"/>
              </w:rPr>
            </w:pPr>
            <w:r>
              <w:rPr>
                <w:rFonts w:ascii="Times New Roman" w:hAnsi="Times New Roman"/>
                <w:sz w:val="20"/>
              </w:rPr>
              <w:t>Non-GAAP net income (loss) per basic share</w:t>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0.02</w:t>
            </w:r>
          </w:p>
        </w:tc>
        <w:tc>
          <w:tcPr>
            <w:tcW w:w="125"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0.24</w:t>
            </w:r>
          </w:p>
        </w:tc>
        <w:tc>
          <w:tcPr>
            <w:tcW w:w="27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(0.05</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2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3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0.34</w:t>
            </w:r>
          </w:p>
        </w:tc>
      </w:tr>
      <w:tr>
        <w:trPr/>
        <w:tc>
          <w:tcPr>
            <w:tcW w:w="6093" w:type="dxa"/>
            <w:tcBorders/>
            <w:shd w:fill="CCEEFF" w:val="clear"/>
          </w:tcPr>
          <w:p>
            <w:pPr>
              <w:pStyle w:val="TableContents"/>
              <w:spacing w:before="0" w:after="283"/>
              <w:rPr>
                <w:rFonts w:ascii="Times New Roman" w:hAnsi="Times New Roman"/>
                <w:sz w:val="20"/>
              </w:rPr>
            </w:pPr>
            <w:r>
              <w:rPr>
                <w:rFonts w:ascii="Times New Roman" w:hAnsi="Times New Roman"/>
                <w:sz w:val="20"/>
              </w:rPr>
              <w:t>Non-GAAP net income (loss) per diluted share</w:t>
            </w:r>
          </w:p>
        </w:tc>
        <w:tc>
          <w:tcPr>
            <w:tcW w:w="2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0.02</w:t>
            </w:r>
          </w:p>
        </w:tc>
        <w:tc>
          <w:tcPr>
            <w:tcW w:w="125"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0.19</w:t>
            </w:r>
          </w:p>
        </w:tc>
        <w:tc>
          <w:tcPr>
            <w:tcW w:w="27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(0.05</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2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0.30</w:t>
            </w:r>
          </w:p>
        </w:tc>
      </w:tr>
    </w:tbl>
    <w:p>
      <w:pPr>
        <w:pStyle w:val="HorizontalLine"/>
        <w:pBdr>
          <w:bottom w:val="double" w:sz="6" w:space="0" w:color="808080"/>
        </w:pBdr>
        <w:rPr/>
      </w:pPr>
      <w:r>
        <w:br w:type="page"/>
      </w:r>
      <w:r>
        <w:rPr/>
      </w:r>
    </w:p>
    <w:p>
      <w:pPr>
        <w:pStyle w:val="TextBody"/>
        <w:spacing w:before="0" w:after="0"/>
        <w:rPr>
          <w:rFonts w:ascii="Times New Roman" w:hAnsi="Times New Roman"/>
          <w:sz w:val="20"/>
        </w:rPr>
      </w:pPr>
      <w:r>
        <w:rPr>
          <w:rFonts w:ascii="Times New Roman" w:hAnsi="Times New Roman"/>
          <w:sz w:val="20"/>
        </w:rPr>
        <w:t xml:space="preserve">CECO is providing the non-GAAP historical financial measures presented above as the Company believes that these figures are helpful in allowing individuals to better assess the ongoing nature of CECOs core operations. A non-GAAP financial measure is a numerical measure of a companys historical financial performance that excludes amounts that are included in the most directly comparable measure calculated and presented in the GAAP statement of operations. </w:t>
      </w:r>
    </w:p>
    <w:p>
      <w:pPr>
        <w:pStyle w:val="TextBody"/>
        <w:spacing w:before="180" w:after="0"/>
        <w:rPr>
          <w:rFonts w:ascii="Times New Roman" w:hAnsi="Times New Roman"/>
          <w:sz w:val="20"/>
        </w:rPr>
      </w:pPr>
      <w:r>
        <w:rPr>
          <w:rFonts w:ascii="Times New Roman" w:hAnsi="Times New Roman"/>
          <w:sz w:val="20"/>
        </w:rPr>
        <w:t xml:space="preserve">Non-GAAP adjusted net income, non-GAAP operating income and non-GAAP adjusted earnings per diluted share, as we present them in the financial data included in this press release, have been adjusted to exclude the effects of our fourth quarter goodwill impairment charge and associated tax benefit. Management believes that excluding these items better reflects its operating performance as these non-GAAP figures exclude the effects of certain non-recurring or non-cash expenses. Management believes that these items are not necessarily representative of underlying trends in the Companys performance and their exclusion provides individuals with additional information to compare the companys results over multiple periods. Our financial statements may continue to be affected by items similar to those excluded in the non-GAAP adjustments described above, and exclusion of these items from our non-GAAP financial measures should not be construed as an inference that all such costs are unusual or infrequent. </w:t>
      </w:r>
    </w:p>
    <w:p>
      <w:pPr>
        <w:pStyle w:val="TextBody"/>
        <w:spacing w:before="180" w:after="0"/>
        <w:rPr>
          <w:rFonts w:ascii="Times New Roman" w:hAnsi="Times New Roman"/>
          <w:sz w:val="20"/>
        </w:rPr>
      </w:pPr>
      <w:r>
        <w:rPr>
          <w:rFonts w:ascii="Times New Roman" w:hAnsi="Times New Roman"/>
          <w:sz w:val="20"/>
        </w:rPr>
        <w:t xml:space="preserve">Adjusted net income, adjusted operating income and adjusted earnings per diluted share are not calculated in accordance with GAAP, and should be considered supplemental to, and not as a substitute for, or superior to, financial measures calculated in accordance with GAAP. Non-GAAP financial measures have limitations in that they do not reflect all of the costs associated with the operations of our business as determined in accordance with GAAP. As a result, you should not consider these measures in isolation or as a substitute for analysis of CECOs results as reported under GAAP. </w:t>
      </w:r>
    </w:p>
    <w:p>
      <w:pPr>
        <w:pStyle w:val="TextBody"/>
        <w:spacing w:before="180" w:after="0"/>
        <w:rPr>
          <w:rFonts w:ascii="Times New Roman" w:hAnsi="Times New Roman"/>
          <w:sz w:val="20"/>
        </w:rPr>
      </w:pPr>
      <w:r>
        <w:rPr>
          <w:rFonts w:ascii="Times New Roman" w:hAnsi="Times New Roman"/>
          <w:sz w:val="20"/>
        </w:rPr>
        <w:t xml:space="preserve">In accordance with the requirements of Regulation G issued by the Securities and Exchange Commission, the tables above present the most directly comparable GAAP financial measure and reconcile non-GAAP adjusted net income and non-GAAP adjusted earnings per diluted share to the comparable GAAP measures.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7</Pages>
  <Words>1927</Words>
  <CharactersWithSpaces>12652</CharactersWithSpaces>
  <Paragraphs>848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Press Release</dc:title>
</cp:coreProperties>
</file>