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255" cy="5140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409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Watkins-Asiyanbi Joycelynn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2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14651 NORTH DALLAS PARKWAY</w:t>
            </w:r>
          </w:p>
        </w:tc>
      </w:tr>
      <w:tr>
        <w:trPr>
          <w:trHeight w:val="258"/>
        </w:trPr>
        <w:tc>
          <w:tcPr>
            <w:tcW w:w="2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SUITE 500</w:t>
            </w:r>
          </w:p>
        </w:tc>
        <w:tc>
          <w:tcPr>
            <w:tcW w:w="10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75254</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CECO ENVIRONMENTAL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CECO</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0" w:type="dxa"/>
            <w:vAlign w:val="bottom"/>
            <w:gridSpan w:val="2"/>
            <w:vMerge w:val="continue"/>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640" w:type="dxa"/>
            <w:vAlign w:val="bottom"/>
            <w:vMerge w:val="restart"/>
          </w:tcPr>
          <w:p>
            <w:pPr>
              <w:ind w:left="120"/>
              <w:spacing w:after="0" w:line="121" w:lineRule="exact"/>
              <w:rPr>
                <w:sz w:val="20"/>
                <w:szCs w:val="20"/>
                <w:color w:val="auto"/>
              </w:rPr>
            </w:pPr>
            <w:r>
              <w:rPr>
                <w:rFonts w:ascii="Arial" w:cs="Arial" w:eastAsia="Arial" w:hAnsi="Arial"/>
                <w:sz w:val="13"/>
                <w:szCs w:val="13"/>
                <w:color w:val="auto"/>
              </w:rPr>
              <w:t>below)</w:t>
            </w:r>
          </w:p>
        </w:tc>
        <w:tc>
          <w:tcPr>
            <w:tcW w:w="1180" w:type="dxa"/>
            <w:vAlign w:val="bottom"/>
            <w:vMerge w:val="restart"/>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40"/>
              <w:spacing w:after="0"/>
              <w:rPr>
                <w:sz w:val="20"/>
                <w:szCs w:val="20"/>
                <w:color w:val="auto"/>
              </w:rPr>
            </w:pPr>
            <w:r>
              <w:rPr>
                <w:rFonts w:ascii="Arial" w:cs="Arial" w:eastAsia="Arial" w:hAnsi="Arial"/>
                <w:sz w:val="17"/>
                <w:szCs w:val="17"/>
                <w:color w:val="0000FF"/>
                <w:w w:val="85"/>
              </w:rPr>
              <w:t>See Remarks</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09/29/2023</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38,753</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vMerge w:val="restart"/>
          </w:tcPr>
          <w:p>
            <w:pPr>
              <w:ind w:left="54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41,341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09/29/2023</w:t>
            </w:r>
          </w:p>
        </w:tc>
        <w:tc>
          <w:tcPr>
            <w:tcW w:w="1140" w:type="dxa"/>
            <w:vAlign w:val="bottom"/>
            <w:vMerge w:val="continue"/>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41,341</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80" w:type="dxa"/>
            <w:vAlign w:val="bottom"/>
            <w:gridSpan w:val="2"/>
          </w:tcPr>
          <w:p>
            <w:pPr>
              <w:ind w:left="1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15.97</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41,341</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759 shares acquired under the CECO Environmental Corp. 2020 Employee Stock Purchase Plan.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performance-based restricted stock units. Each restricted stock unit represents a contingent right to receive one share of the Company's stock.</w:t>
      </w:r>
    </w:p>
    <w:p>
      <w:pPr>
        <w:spacing w:after="0" w:line="44"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Title: Chief Administrative and Legal Officer Exhibit 24: Power of Attorney</w:t>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Kiril Kovachev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Joycelynn Watkins-  10/03/2023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Asiyanbi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8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w w:val="98"/>
              </w:rPr>
              <w:t>LIMITED POWER OF</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ATTORNEY</w:t>
            </w:r>
          </w:p>
        </w:tc>
        <w:tc>
          <w:tcPr>
            <w:tcW w:w="53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FOR SECTION 16 REPORTING OBLIGATIONS</w:t>
            </w:r>
          </w:p>
        </w:tc>
      </w:tr>
      <w:tr>
        <w:trPr>
          <w:trHeight w:val="194"/>
        </w:trPr>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Know all</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by these</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presents,</w:t>
            </w:r>
          </w:p>
        </w:tc>
        <w:tc>
          <w:tcPr>
            <w:tcW w:w="4380" w:type="dxa"/>
            <w:vAlign w:val="bottom"/>
          </w:tcPr>
          <w:p>
            <w:pPr>
              <w:ind w:left="40"/>
              <w:spacing w:after="0"/>
              <w:rPr>
                <w:sz w:val="20"/>
                <w:szCs w:val="20"/>
                <w:color w:val="auto"/>
              </w:rPr>
            </w:pPr>
            <w:r>
              <w:rPr>
                <w:rFonts w:ascii="Courier New" w:cs="Courier New" w:eastAsia="Courier New" w:hAnsi="Courier New"/>
                <w:sz w:val="17"/>
                <w:szCs w:val="17"/>
                <w:color w:val="auto"/>
                <w:w w:val="98"/>
              </w:rPr>
              <w:t>that the undersigned hereby constitutes and</w:t>
            </w:r>
          </w:p>
        </w:tc>
      </w:tr>
      <w:tr>
        <w:trPr>
          <w:trHeight w:val="214"/>
        </w:trPr>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w w:val="98"/>
              </w:rPr>
              <w:t>appoints each of</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Kiril Kovachev and</w:t>
            </w:r>
          </w:p>
        </w:tc>
        <w:tc>
          <w:tcPr>
            <w:tcW w:w="4380" w:type="dxa"/>
            <w:vAlign w:val="bottom"/>
          </w:tcPr>
          <w:p>
            <w:pPr>
              <w:ind w:left="40"/>
              <w:spacing w:after="0"/>
              <w:rPr>
                <w:sz w:val="20"/>
                <w:szCs w:val="20"/>
                <w:color w:val="auto"/>
              </w:rPr>
            </w:pPr>
            <w:r>
              <w:rPr>
                <w:rFonts w:ascii="Courier New" w:cs="Courier New" w:eastAsia="Courier New" w:hAnsi="Courier New"/>
                <w:sz w:val="17"/>
                <w:szCs w:val="17"/>
                <w:color w:val="auto"/>
              </w:rPr>
              <w:t>Peter Johansson, or either of them acting</w:t>
            </w:r>
          </w:p>
        </w:tc>
      </w:tr>
    </w:tbl>
    <w:p>
      <w:pPr>
        <w:ind w:right="2239"/>
        <w:spacing w:after="0" w:line="241" w:lineRule="auto"/>
        <w:rPr>
          <w:sz w:val="20"/>
          <w:szCs w:val="20"/>
          <w:color w:val="auto"/>
        </w:rPr>
      </w:pPr>
      <w:r>
        <w:rPr>
          <w:rFonts w:ascii="Courier New" w:cs="Courier New" w:eastAsia="Courier New" w:hAnsi="Courier New"/>
          <w:sz w:val="17"/>
          <w:szCs w:val="17"/>
          <w:color w:val="auto"/>
        </w:rPr>
        <w:t>singly and with full power of substitution, the undersigned's true and lawful attorney-in-fact to:</w:t>
      </w:r>
    </w:p>
    <w:p>
      <w:pPr>
        <w:spacing w:after="0" w:line="1" w:lineRule="exact"/>
        <w:rPr>
          <w:sz w:val="20"/>
          <w:szCs w:val="20"/>
          <w:color w:val="auto"/>
        </w:rPr>
      </w:pPr>
    </w:p>
    <w:p>
      <w:pPr>
        <w:ind w:right="1639" w:firstLine="3"/>
        <w:spacing w:after="0" w:line="241" w:lineRule="auto"/>
        <w:tabs>
          <w:tab w:leader="none" w:pos="8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CECO Environmental Corp., a Delaware corporation (the "Company"), Forms 3, 4 and 5 (and any amendments thereto) in accordance with Section 16(a) of the Securities Exchange Act of 1934, as amended (the "Exchange Act"), and the rules thereunder;</w:t>
      </w:r>
    </w:p>
    <w:p>
      <w:pPr>
        <w:spacing w:after="0" w:line="1" w:lineRule="exact"/>
        <w:rPr>
          <w:rFonts w:ascii="Courier New" w:cs="Courier New" w:eastAsia="Courier New" w:hAnsi="Courier New"/>
          <w:sz w:val="17"/>
          <w:szCs w:val="17"/>
          <w:color w:val="auto"/>
        </w:rPr>
      </w:pPr>
    </w:p>
    <w:p>
      <w:pPr>
        <w:ind w:right="1739" w:firstLine="3"/>
        <w:spacing w:after="0" w:line="241" w:lineRule="auto"/>
        <w:tabs>
          <w:tab w:leader="none" w:pos="8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1" w:lineRule="exact"/>
        <w:rPr>
          <w:rFonts w:ascii="Courier New" w:cs="Courier New" w:eastAsia="Courier New" w:hAnsi="Courier New"/>
          <w:sz w:val="17"/>
          <w:szCs w:val="17"/>
          <w:color w:val="auto"/>
        </w:rPr>
      </w:pPr>
    </w:p>
    <w:p>
      <w:pPr>
        <w:ind w:right="1739" w:firstLine="3"/>
        <w:spacing w:after="0" w:line="256" w:lineRule="auto"/>
        <w:tabs>
          <w:tab w:leader="none" w:pos="8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1" w:lineRule="exact"/>
        <w:rPr>
          <w:rFonts w:ascii="Courier New" w:cs="Courier New" w:eastAsia="Courier New" w:hAnsi="Courier New"/>
          <w:sz w:val="16"/>
          <w:szCs w:val="16"/>
          <w:color w:val="auto"/>
        </w:rPr>
      </w:pPr>
    </w:p>
    <w:p>
      <w:pPr>
        <w:ind w:right="1939" w:firstLine="3"/>
        <w:spacing w:after="0" w:line="241" w:lineRule="auto"/>
        <w:tabs>
          <w:tab w:leader="none" w:pos="8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 w:lineRule="exact"/>
        <w:rPr>
          <w:rFonts w:ascii="Courier New" w:cs="Courier New" w:eastAsia="Courier New" w:hAnsi="Courier New"/>
          <w:sz w:val="17"/>
          <w:szCs w:val="17"/>
          <w:color w:val="auto"/>
        </w:rPr>
      </w:pPr>
    </w:p>
    <w:p>
      <w:pPr>
        <w:ind w:right="193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2" w:lineRule="exact"/>
        <w:rPr>
          <w:rFonts w:ascii="Courier New" w:cs="Courier New" w:eastAsia="Courier New" w:hAnsi="Courier New"/>
          <w:sz w:val="17"/>
          <w:szCs w:val="17"/>
          <w:color w:val="auto"/>
        </w:rPr>
      </w:pPr>
    </w:p>
    <w:p>
      <w:pPr>
        <w:ind w:right="1939" w:firstLine="1208"/>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1" w:lineRule="exact"/>
        <w:rPr>
          <w:rFonts w:ascii="Courier New" w:cs="Courier New" w:eastAsia="Courier New" w:hAnsi="Courier New"/>
          <w:sz w:val="17"/>
          <w:szCs w:val="17"/>
          <w:color w:val="auto"/>
        </w:rPr>
      </w:pPr>
    </w:p>
    <w:p>
      <w:pPr>
        <w:ind w:right="1939" w:firstLine="1208"/>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PAGE FOLLOWS]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September 11, 2023</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Joycelynn Watkins-Asiyanbi</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Joycelynn Watkins-Asiyanbi</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6806"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2023-10-03T15:16:45Z</dcterms:created>
  <dcterms:modified xsi:type="dcterms:W3CDTF">2023-10-03T15:16:45Z</dcterms:modified>
</cp:coreProperties>
</file>