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CECO ENVIRONMENTAL CORP.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48" w:right="37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000-07099</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427" w:lineRule="exact"/>
        <w:rPr>
          <w:sz w:val="24"/>
          <w:szCs w:val="24"/>
          <w:color w:val="auto"/>
        </w:rPr>
      </w:pPr>
    </w:p>
    <w:p>
      <w:pPr>
        <w:sectPr>
          <w:pgSz w:w="11900" w:h="16838" w:orient="portrait"/>
          <w:cols w:equalWidth="0" w:num="3">
            <w:col w:w="4500" w:space="720"/>
            <w:col w:w="2100" w:space="720"/>
            <w:col w:w="3160"/>
          </w:cols>
          <w:pgMar w:left="320" w:top="848" w:right="379" w:bottom="1440" w:gutter="0" w:footer="0" w:header="0"/>
          <w:type w:val="continuous"/>
        </w:sectPr>
      </w:pP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5080 Spectrum Drive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Suite 800E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Addison, Texas 75001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1200"/>
          </w:cols>
          <w:pgMar w:left="320" w:top="848" w:right="379" w:bottom="1440" w:gutter="0" w:footer="0" w:header="0"/>
          <w:type w:val="continuous"/>
        </w:sectPr>
      </w:pP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Kiril Kovachev</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(214) 357-6181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58"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8" w:right="379" w:bottom="1440" w:gutter="0" w:footer="0" w:header="0"/>
          <w:type w:val="continuous"/>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CECO Environmental Corp. (including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filing this Form SD pursuant to Rule 13p-1 under the Securities Exchange Act of 1934 for the reporting period from January 1, 2025 to December 31, 2025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w:t>
      </w:r>
      <w:r>
        <w:rPr>
          <w:rFonts w:ascii="Times New Roman" w:cs="Times New Roman" w:eastAsia="Times New Roman" w:hAnsi="Times New Roman"/>
          <w:sz w:val="18"/>
          <w:szCs w:val="18"/>
          <w:b w:val="1"/>
          <w:bCs w:val="1"/>
          <w:color w:val="auto"/>
        </w:rPr>
        <w:t>conflict minerals</w:t>
      </w:r>
      <w:r>
        <w:rPr>
          <w:rFonts w:ascii="Times New Roman" w:cs="Times New Roman" w:eastAsia="Times New Roman" w:hAnsi="Times New Roman"/>
          <w:sz w:val="18"/>
          <w:szCs w:val="18"/>
          <w:color w:val="auto"/>
        </w:rPr>
        <w:t>” (as defined below) are necessary to the functionality or production of such products. Form SD defines “conflict minerals” as: (i)(a) columbite-tantalite (or coltan, the metal ore from which tantalum is extracted), (b) cassiterite (the metal ore from which tin is extracted),</w:t>
      </w:r>
    </w:p>
    <w:p>
      <w:pPr>
        <w:spacing w:after="0" w:line="1" w:lineRule="exact"/>
        <w:rPr>
          <w:sz w:val="20"/>
          <w:szCs w:val="20"/>
          <w:color w:val="auto"/>
        </w:rPr>
      </w:pPr>
    </w:p>
    <w:p>
      <w:pPr>
        <w:jc w:val="both"/>
        <w:ind w:firstLine="8"/>
        <w:spacing w:after="0" w:line="255" w:lineRule="auto"/>
        <w:tabs>
          <w:tab w:leader="none" w:pos="2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Company’s operations may at times manufacture, or contract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its products during the Reporting Period, which the Company refers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its additional due diligence regarding the sources of such Subject Minerals, are contained in the Company’s Conflict Minerals Report, a copy of which is filed as Exhibit 1.01 to this Form SD, and is publicly available at https://investors.cecoenviro.com/financials-filings/sec-filings. The content on, or accessible through, any website referred to in this Form SD is not incorporated by reference into this Form SD unless expressly noted.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Section 2.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3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7012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119" w:lineRule="exact"/>
        <w:rPr>
          <w:sz w:val="20"/>
          <w:szCs w:val="20"/>
          <w:color w:val="auto"/>
        </w:rPr>
      </w:pPr>
    </w:p>
    <w:p>
      <w:pPr>
        <w:ind w:left="400"/>
        <w:spacing w:after="0"/>
        <w:tabs>
          <w:tab w:leader="none" w:pos="16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Conflict Minerals Report of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Kiril Kovachev</w:t>
            </w:r>
          </w:p>
        </w:tc>
        <w:tc>
          <w:tcPr>
            <w:tcW w:w="184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45"/>
        </w:trPr>
        <w:tc>
          <w:tcPr>
            <w:tcW w:w="460" w:type="dxa"/>
            <w:vAlign w:val="bottom"/>
          </w:tcPr>
          <w:p>
            <w:pPr>
              <w:spacing w:after="0"/>
              <w:rPr>
                <w:sz w:val="21"/>
                <w:szCs w:val="21"/>
                <w:color w:val="auto"/>
              </w:rPr>
            </w:pPr>
          </w:p>
        </w:tc>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Kiril Kovachev</w:t>
            </w:r>
          </w:p>
        </w:tc>
        <w:tc>
          <w:tcPr>
            <w:tcW w:w="1840" w:type="dxa"/>
            <w:vAlign w:val="bottom"/>
          </w:tcPr>
          <w:p>
            <w:pPr>
              <w:spacing w:after="0"/>
              <w:rPr>
                <w:sz w:val="21"/>
                <w:szCs w:val="21"/>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34"/>
        </w:trPr>
        <w:tc>
          <w:tcPr>
            <w:tcW w:w="4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184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1627"/>
        </w:trPr>
        <w:tc>
          <w:tcPr>
            <w:tcW w:w="4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2025 to December 31, 2025</w:t>
      </w:r>
    </w:p>
    <w:p>
      <w:pPr>
        <w:spacing w:after="0" w:line="185"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color w:val="auto"/>
        </w:rPr>
        <w:t>This Conflict Minerals Report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of CECO Environmental Corp. (including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 has been prepared pursuant to Rule 13p-1 and Form SD promulgated under the Securities Exchange Act of 1934 for the reporting period from January 1, 2025 to December 31, 2025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later) are necessary to the functionality or production of such products. Form SD defines “</w:t>
      </w:r>
      <w:r>
        <w:rPr>
          <w:rFonts w:ascii="Times New Roman" w:cs="Times New Roman" w:eastAsia="Times New Roman" w:hAnsi="Times New Roman"/>
          <w:sz w:val="18"/>
          <w:szCs w:val="18"/>
          <w:b w:val="1"/>
          <w:bCs w:val="1"/>
          <w:i w:val="1"/>
          <w:iCs w:val="1"/>
          <w:color w:val="auto"/>
        </w:rPr>
        <w:t>conflict minerals</w:t>
      </w:r>
      <w:r>
        <w:rPr>
          <w:rFonts w:ascii="Times New Roman" w:cs="Times New Roman" w:eastAsia="Times New Roman" w:hAnsi="Times New Roman"/>
          <w:sz w:val="18"/>
          <w:szCs w:val="18"/>
          <w:color w:val="auto"/>
        </w:rPr>
        <w:t>”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17"/>
          <w:szCs w:val="17"/>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materially vary from those expressed. For a more complete discussion of these and other risk factors, see the Company’s other filings with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i w:val="1"/>
          <w:iCs w:val="1"/>
          <w:color w:val="auto"/>
        </w:rPr>
        <w:t>”), including its Annual Report on Form</w:t>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i w:val="1"/>
          <w:iCs w:val="1"/>
          <w:color w:val="auto"/>
        </w:rPr>
        <w:t>10-K for the year ended December 31, 2025 and subsequent Quarterly Reports on Form 10-Q. The Company makes these statements as of the date of this disclosure and undertakes no obligation to update them unless otherwise required by law.</w:t>
      </w:r>
    </w:p>
    <w:p>
      <w:pPr>
        <w:spacing w:after="0" w:line="14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operations may at times manufacture, or contract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the products during the Reporting Period, which the Company refers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https://investors.cecoenviro.com/financials-filings/sec-filings. The content on, or accessible through, any website referred to in this Report is not incorporated by reference into this Report unless expressly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190"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RCOI and Due Diligence Process.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 The Company also exercised due diligence on the source and chain of custody of the Subject Minerals. The Company’s due diligence measures have been designed to conform to the framework in the Organization for Economic Co-operation and Development Due Diligence Guidance for Responsible Supply Chain of Minerals from Conflict-Affected and High Risk Areas: Third Edition, including the related supplements on gold, tin, tantalum and tungsten (the “</w:t>
      </w:r>
      <w:r>
        <w:rPr>
          <w:rFonts w:ascii="Times New Roman" w:cs="Times New Roman" w:eastAsia="Times New Roman" w:hAnsi="Times New Roman"/>
          <w:sz w:val="18"/>
          <w:szCs w:val="18"/>
          <w:b w:val="1"/>
          <w:bCs w:val="1"/>
          <w:i w:val="1"/>
          <w:iCs w:val="1"/>
          <w:color w:val="auto"/>
        </w:rPr>
        <w:t>OECD Guidelines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RCOI</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to provide information regarding the origin of any conflict minerals that are included in its products. In accordance with the OECD Guidelines and related guidance provided by the SEC, the Company worked with its direct suppliers to identify, where possible, the smelters and/or refiners and countries of origin of the Subject Minerals.</w:t>
      </w:r>
    </w:p>
    <w:p>
      <w:pPr>
        <w:spacing w:after="0" w:line="160"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The Company worked to identify direct suppliers that it believed potentially provided materials or components containing Subject Minerals (collectively, the “</w:t>
      </w:r>
      <w:r>
        <w:rPr>
          <w:rFonts w:ascii="Times New Roman" w:cs="Times New Roman" w:eastAsia="Times New Roman" w:hAnsi="Times New Roman"/>
          <w:sz w:val="18"/>
          <w:szCs w:val="18"/>
          <w:b w:val="1"/>
          <w:bCs w:val="1"/>
          <w:i w:val="1"/>
          <w:iCs w:val="1"/>
          <w:color w:val="auto"/>
        </w:rPr>
        <w:t>Covered Suppliers</w:t>
      </w:r>
      <w:r>
        <w:rPr>
          <w:rFonts w:ascii="Times New Roman" w:cs="Times New Roman" w:eastAsia="Times New Roman" w:hAnsi="Times New Roman"/>
          <w:sz w:val="18"/>
          <w:szCs w:val="18"/>
          <w:color w:val="auto"/>
        </w:rPr>
        <w:t>”) during the Reporting Period. The Company then included additional questions regarding conflict minerals in its Supplier Questionnaire on Conflict Minerals, which the Company refers to as the “</w:t>
      </w:r>
      <w:r>
        <w:rPr>
          <w:rFonts w:ascii="Times New Roman" w:cs="Times New Roman" w:eastAsia="Times New Roman" w:hAnsi="Times New Roman"/>
          <w:sz w:val="18"/>
          <w:szCs w:val="18"/>
          <w:b w:val="1"/>
          <w:bCs w:val="1"/>
          <w:i w:val="1"/>
          <w:iCs w:val="1"/>
          <w:color w:val="auto"/>
        </w:rPr>
        <w:t>Supplier Questionnaire</w:t>
      </w:r>
      <w:r>
        <w:rPr>
          <w:rFonts w:ascii="Times New Roman" w:cs="Times New Roman" w:eastAsia="Times New Roman" w:hAnsi="Times New Roman"/>
          <w:sz w:val="18"/>
          <w:szCs w:val="18"/>
          <w:color w:val="auto"/>
        </w:rPr>
        <w:t>,” to determine whether each such Covered Supplier was supplying materials or components to the Company that contained Subject Minerals and, if so, to determine the source of such Subject Minerals. The Company’s Supplier Questionnaire requires suppliers, including potential suppliers, to, among other matters, confirm the source of any conflict minerals contained in materials or components supplied to the Company during the Reporting Period.</w:t>
      </w:r>
    </w:p>
    <w:p>
      <w:pPr>
        <w:spacing w:after="0" w:line="147" w:lineRule="exact"/>
        <w:rPr>
          <w:sz w:val="20"/>
          <w:szCs w:val="20"/>
          <w:color w:val="auto"/>
        </w:rPr>
      </w:pPr>
    </w:p>
    <w:p>
      <w:pPr>
        <w:jc w:val="both"/>
        <w:ind w:right="520" w:firstLine="749"/>
        <w:spacing w:after="0" w:line="266" w:lineRule="auto"/>
        <w:rPr>
          <w:sz w:val="20"/>
          <w:szCs w:val="20"/>
          <w:color w:val="auto"/>
        </w:rPr>
      </w:pPr>
      <w:r>
        <w:rPr>
          <w:rFonts w:ascii="Times New Roman" w:cs="Times New Roman" w:eastAsia="Times New Roman" w:hAnsi="Times New Roman"/>
          <w:sz w:val="18"/>
          <w:szCs w:val="18"/>
          <w:color w:val="auto"/>
        </w:rPr>
        <w:t>The Company operates as a leading provider of critical solutions in industrial air quality, industrial water treatment, and energy transition solutions through its engineered systems and industrial process solutions segments. The Company, with respect to the Reporting Period, reasonably determined that both of its segments’ product groups contained Subject Minerals.</w:t>
      </w:r>
    </w:p>
    <w:p>
      <w:pPr>
        <w:spacing w:after="0" w:line="135"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Given the size and complexity of the Company’s global supply chain, the Company focused on its largest Covered Suppliers, ranked by the amount the Company spends with each such Covered Supplier, and Covered Suppliers that had the highest probability of supplying the Company with materials or components containing Subject Minerals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electronics). An escalation process was initiated with Covered Suppliers who continued to be non-responsive after the above contacts were made, or whose initial (or subsequent) response was not complete or otherwise warranted clarification or confirmation. Using a risk-based approach, the Company evaluated responses from the Covered Suppliers for plausibility, consistency and gaps both in terms of which materials or components were stated to contain or not contain Subject Minerals, as well as the origin of those Subject Minerals. The Company engaged certain Covered Suppliers, holding discussions and reviewing the results of their internal due diligence efforts, to ensure that the Company’s inquiries regarding conflict minerals were understood and complied with.</w:t>
      </w:r>
    </w:p>
    <w:p>
      <w:pPr>
        <w:spacing w:after="0" w:line="165"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 general, the Company obtained completed Supplier Questionnaires or similar representations from Covered Suppliers. Such representations included, from certain Covered Suppliers, the Responsible Minerals Initiative (“</w:t>
      </w:r>
      <w:r>
        <w:rPr>
          <w:rFonts w:ascii="Times New Roman" w:cs="Times New Roman" w:eastAsia="Times New Roman" w:hAnsi="Times New Roman"/>
          <w:sz w:val="18"/>
          <w:szCs w:val="18"/>
          <w:b w:val="1"/>
          <w:bCs w:val="1"/>
          <w:i w:val="1"/>
          <w:iCs w:val="1"/>
          <w:color w:val="auto"/>
        </w:rPr>
        <w:t>RMI</w:t>
      </w:r>
      <w:r>
        <w:rPr>
          <w:rFonts w:ascii="Times New Roman" w:cs="Times New Roman" w:eastAsia="Times New Roman" w:hAnsi="Times New Roman"/>
          <w:sz w:val="18"/>
          <w:szCs w:val="18"/>
          <w:color w:val="auto"/>
        </w:rPr>
        <w:t>”) Conflict Minerals Reporting Template, indicating the facility at which the Subject Minerals were processed.</w:t>
      </w:r>
    </w:p>
    <w:p>
      <w:pPr>
        <w:spacing w:after="0" w:line="13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Of the Covered Suppliers that completed Supplier Questionnaires or provided similar representations, a substantial majority reported that the Subject Minerals are not necessary to the functionality or production of their products supplied to the Company. In addition, of the Covered Suppliers that completed Supplier Questionnaires or provided similar representations, a minimal amount reported that the Subject Minerals are necessary to the functionality or production of their products supplied to the Company. Although the Company received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 w:name="page6"/>
    <w:bookmarkEnd w:id="5"/>
    <w:p>
      <w:pPr>
        <w:ind w:right="100"/>
        <w:spacing w:after="0" w:line="255" w:lineRule="auto"/>
        <w:rPr>
          <w:sz w:val="20"/>
          <w:szCs w:val="20"/>
          <w:color w:val="auto"/>
        </w:rPr>
      </w:pPr>
      <w:r>
        <w:rPr>
          <w:rFonts w:ascii="Times New Roman" w:cs="Times New Roman" w:eastAsia="Times New Roman" w:hAnsi="Times New Roman"/>
          <w:sz w:val="18"/>
          <w:szCs w:val="18"/>
          <w:color w:val="auto"/>
        </w:rPr>
        <w:t>Supplier Questionnaires or similar representations from Covered Suppliers that listed smelter or refiner names and/or countries of origin for the Subject Minerals, such Covered Suppliers were unable to accurately report which specific smelters or refiners and/or countries of origin were part of the supply chain for the Subject Minerals. For example, the majority of Covered Suppliers reported their sourcing results on a company-wide basis, rather than on a product-specific basis, or were unable to determine the smelter or refiner and/or countries of origin for the Subject Minerals. A Covered Supplier’s failure to identify a specific smelter or refiner and/or country of origin at any point in its supply chain will drive an equivalent response for the Company and, therefore, the Company is unable to report any known smelters or refiners or countries of origin for the Subject Minerals at this time. The Company’s RCOI procedures are an evolving process. See “</w:t>
      </w:r>
      <w:r>
        <w:rPr>
          <w:rFonts w:ascii="Times New Roman" w:cs="Times New Roman" w:eastAsia="Times New Roman" w:hAnsi="Times New Roman"/>
          <w:sz w:val="18"/>
          <w:szCs w:val="18"/>
          <w:i w:val="1"/>
          <w:iCs w:val="1"/>
          <w:color w:val="auto"/>
        </w:rPr>
        <w:t>Additional Due Diligence and Risk Mitigation</w:t>
      </w:r>
      <w:r>
        <w:rPr>
          <w:rFonts w:ascii="Times New Roman" w:cs="Times New Roman" w:eastAsia="Times New Roman" w:hAnsi="Times New Roman"/>
          <w:sz w:val="18"/>
          <w:szCs w:val="18"/>
          <w:color w:val="auto"/>
        </w:rPr>
        <w:t>” below for additional detail.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due diligence process is based on the OECD Guidelines. Due diligence measures undertaken by the Company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 included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 Strong Company Management Systems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Team to Support Supply Chain Due Diligence.</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has established an internal team to manage conflict minerals engagement with its suppliers. During the Reporting Period, the Company held meetings with legal advisors, the Company’s executive management, and with senior members of the Company’s supply chain management department and environmental/health/safety department to educate the Company’s procurement and compliance personnel on the SEC’s rules regarding conflict minerals and to ensure the timely implementation of the Company’s conflict minerals programs. This center-led team of subject matter experts is responsible for working with the Company’s employees to provide training and guidance, implement reporting systems and facilitate communication between departments with respect to compliance with the SEC’s reporting requirements regarding conflict minerals.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Measures Taken to Strengthen Engagement with Suppliers.</w:t>
      </w:r>
    </w:p>
    <w:p>
      <w:pPr>
        <w:spacing w:after="0" w:line="22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Company’s conflict minerals reporting compliance measures are managed at the division level where the supplier relationship exists. Each division is responsible for managing the conflict minerals, if any, provided by its supply base and for identifying, where possible, the supplier of such conflict minerals in the Company’s materials or components. Using the Supplier Questionnaire, the Company engages suppliers of conflict minerals, communicates its reporting obligations with respect to conflict minerals and follows up with such suppliers to ensure ongoing compliance.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Conflict Minerals Policy.</w:t>
      </w:r>
    </w:p>
    <w:p>
      <w:pPr>
        <w:spacing w:after="0" w:line="227"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Within the Company’s supplier relationships, the Company seeks to ethically manage its sourcing processes and hold the Company and its suppliers to high standards of behavior. This means that the Company is committed to working with its suppliers to encourage responsible practices throughout the supply network. The Company’s conflict minerals policy is publicly available at https://investors.cecoenviro.com/corporate-governance.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 and Assess Risks in the Supply Chain</w:t>
      </w:r>
    </w:p>
    <w:p>
      <w:pPr>
        <w:spacing w:after="0" w:line="2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As discussed above, the Company continues to assess its supply chain risks and work with its suppliers in developing greater supply chain transparency. This includes surveying various procurement and supply chain personnel for Conflict Mineral policy compliance.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Implement a Strategy to Respond to Identified Risks</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 w:name="page7"/>
    <w:bookmarkEnd w:id="6"/>
    <w:p>
      <w:pPr>
        <w:spacing w:after="0" w:line="256" w:lineRule="auto"/>
        <w:rPr>
          <w:sz w:val="20"/>
          <w:szCs w:val="20"/>
          <w:color w:val="auto"/>
        </w:rPr>
      </w:pPr>
      <w:r>
        <w:rPr>
          <w:rFonts w:ascii="Times New Roman" w:cs="Times New Roman" w:eastAsia="Times New Roman" w:hAnsi="Times New Roman"/>
          <w:sz w:val="18"/>
          <w:szCs w:val="18"/>
          <w:color w:val="auto"/>
        </w:rPr>
        <w:t>manages conflict minerals engagement with the Company’s suppliers also works to address any significant due diligence findings as they arise. For example, as noted above, the Company conducted additional due diligence for certain Covered Suppliers who provided inadequate or incomplete initial responses to the Company’s RCOI. The Company uses its Supplier Questionnaires to monitor the use of conflict minerals in its supply chain. Data from the Supplier Questionnaires is used at the corporate, group and division levels to oversee the Company’s supplier base. In addition, the questionnaires provide key metrics to decision makers to assist with the Company’s conflict minerals reporting compliance and provide meaningful comparisons regarding supply chain transparency across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 Out Independent Third-Party Audit of Smelter’s / Refiner’s Due Diligence Practices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Where possible, the Company has relied on third-party assurances and certifications. For example, the Company accepts as reliable any smelter that is compliant with the RMI Responsible Mineral Assurance Process standards. To the extent that other audited supplier certifications are provided to the Company, the Company may consider reliance on a case-by-case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Annually on Supply Chain Due Diligence</w:t>
      </w:r>
    </w:p>
    <w:p>
      <w:pPr>
        <w:spacing w:after="0" w:line="229"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Form SD and this Report are publicly available at https://investors.cecoenviro.com/financials-filings/sec-filings and meet the OECD Guidelines’ recommendation to report annually on supply chain due diligence.</w:t>
      </w:r>
    </w:p>
    <w:p>
      <w:pPr>
        <w:spacing w:after="0" w:line="117" w:lineRule="exact"/>
        <w:rPr>
          <w:sz w:val="20"/>
          <w:szCs w:val="20"/>
          <w:color w:val="auto"/>
        </w:rPr>
      </w:pPr>
    </w:p>
    <w:p>
      <w:pPr>
        <w:ind w:left="960" w:hanging="443"/>
        <w:spacing w:after="0"/>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Based on the information obtained pursuant to the Supplier Questionnaires, RCOI and due diligence process described above, the Company does not have sufficient information, with respect to the Reporting Period, to determine the known facility/smelter or country of origin of any of the Subject Minerals. The Company expects to continue to implement and refine its conflict minerals program to improve its supply chain transparency by obtaining more accurate and more complete information from its suppliers. See “Additional Due Diligence and Risk Mitigation” below for additional detail.</w:t>
      </w:r>
    </w:p>
    <w:p>
      <w:pPr>
        <w:spacing w:after="0" w:line="176" w:lineRule="exact"/>
        <w:rPr>
          <w:sz w:val="20"/>
          <w:szCs w:val="20"/>
          <w:color w:val="auto"/>
        </w:rPr>
      </w:pPr>
    </w:p>
    <w:p>
      <w:pPr>
        <w:ind w:left="920" w:hanging="403"/>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Due Diligence and Risk Mitigation.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expects to take the following steps, among others, to improve its RCOI process and due diligence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Terms and Conditions / Supplier Code of Conduct</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is continuing to strengthen its commitment to the responsible sourcing of conflict minerals through the use of specific terms and conditions in certain supply agreements and purchase orders. When engaging certain suppliers who may supply the Company with materials or components containing conflict minerals, the Company may in the future include terms and conditions in certain supply agreements and purchase orders that require, among other matters, that no materials or components supplied under such contract may contain any conflict minerals that directly or indirectly finance any armed group that has been identified as a perpetrator of human rights abuses. The Company has established a supplier code of conduct to prohibit suppliers from supplying the Company with certain conflict minerals originating in the Covered Countries.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Continuous Improvement of Supply Chain Due Diligence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 expects to continue to improve its supply chain due diligence efforts. Such measures may include, but are not limited to:</w:t>
      </w:r>
    </w:p>
    <w:p>
      <w:pPr>
        <w:spacing w:after="0" w:line="18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presence of conflict minerals in its supply chain;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clearly communicating expectations with regard to transparency of supplier sourcing of conflict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 w:name="page8"/>
    <w:bookmarkEnd w:id="7"/>
    <w:p>
      <w:pPr>
        <w:ind w:left="378" w:hanging="378"/>
        <w:spacing w:after="0"/>
        <w:tabs>
          <w:tab w:leader="none" w:pos="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response rate for the RCOI process;</w:t>
      </w:r>
    </w:p>
    <w:p>
      <w:pPr>
        <w:spacing w:after="0" w:line="184"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surveying various internal procurement and supply chain personnel for Conflict Mineral policy compliance;</w:t>
      </w:r>
    </w:p>
    <w:p>
      <w:pPr>
        <w:spacing w:after="0" w:line="198" w:lineRule="exact"/>
        <w:rPr>
          <w:rFonts w:ascii="Times New Roman" w:cs="Times New Roman" w:eastAsia="Times New Roman" w:hAnsi="Times New Roman"/>
          <w:sz w:val="18"/>
          <w:szCs w:val="18"/>
          <w:color w:val="auto"/>
        </w:rPr>
      </w:pPr>
    </w:p>
    <w:p>
      <w:pPr>
        <w:ind w:left="378" w:right="60" w:hanging="378"/>
        <w:spacing w:after="0" w:line="282" w:lineRule="auto"/>
        <w:tabs>
          <w:tab w:leader="none" w:pos="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compare RCOI results to information collected via independent conflict free smelter validation programs such as the RMI Responsible Mineral Assurance Process standards; and</w:t>
      </w:r>
    </w:p>
    <w:p>
      <w:pPr>
        <w:spacing w:after="0" w:line="121" w:lineRule="exact"/>
        <w:rPr>
          <w:rFonts w:ascii="Times New Roman" w:cs="Times New Roman" w:eastAsia="Times New Roman" w:hAnsi="Times New Roman"/>
          <w:sz w:val="18"/>
          <w:szCs w:val="18"/>
          <w:color w:val="auto"/>
        </w:rPr>
      </w:pPr>
    </w:p>
    <w:p>
      <w:pPr>
        <w:ind w:left="378" w:hanging="378"/>
        <w:spacing w:after="0" w:line="282" w:lineRule="auto"/>
        <w:tabs>
          <w:tab w:leader="none" w:pos="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smelters identified as a result of the RCOI process and requesting their compliance with an industry program such as the RMI Responsible Mineral Assurance Process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967105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218"/>
      </w:cols>
      <w:pgMar w:left="702" w:top="141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2026-05-29T06:34:17Z</dcterms:created>
  <dcterms:modified xsi:type="dcterms:W3CDTF">2026-05-29T06:34:17Z</dcterms:modified>
</cp:coreProperties>
</file>