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519"/>
        <w:spacing w:after="0"/>
        <w:rPr>
          <w:sz w:val="20"/>
          <w:szCs w:val="20"/>
          <w:color w:val="auto"/>
        </w:rPr>
      </w:pPr>
      <w:r>
        <w:rPr>
          <w:rFonts w:ascii="Arial" w:cs="Arial" w:eastAsia="Arial" w:hAnsi="Arial"/>
          <w:sz w:val="32"/>
          <w:szCs w:val="32"/>
          <w:b w:val="1"/>
          <w:bCs w:val="1"/>
          <w:color w:val="auto"/>
        </w:rPr>
        <w:t>SECURITIES AND EXCHANGE COMMISSION</w:t>
      </w:r>
    </w:p>
    <w:p>
      <w:pPr>
        <w:ind w:left="45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4" w:lineRule="exact"/>
        <w:rPr>
          <w:sz w:val="24"/>
          <w:szCs w:val="24"/>
          <w:color w:val="auto"/>
        </w:rPr>
      </w:pPr>
    </w:p>
    <w:p>
      <w:pPr>
        <w:ind w:left="4880"/>
        <w:spacing w:after="0"/>
        <w:rPr>
          <w:sz w:val="20"/>
          <w:szCs w:val="20"/>
          <w:color w:val="auto"/>
        </w:rPr>
      </w:pPr>
      <w:r>
        <w:rPr>
          <w:rFonts w:ascii="Arial" w:cs="Arial" w:eastAsia="Arial" w:hAnsi="Arial"/>
          <w:sz w:val="32"/>
          <w:szCs w:val="32"/>
          <w:b w:val="1"/>
          <w:bCs w:val="1"/>
          <w:color w:val="auto"/>
        </w:rPr>
        <w:t>FORM SD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2" w:lineRule="exact"/>
        <w:rPr>
          <w:sz w:val="24"/>
          <w:szCs w:val="24"/>
          <w:color w:val="auto"/>
        </w:rPr>
      </w:pPr>
    </w:p>
    <w:p>
      <w:pPr>
        <w:ind w:left="4260"/>
        <w:spacing w:after="0"/>
        <w:rPr>
          <w:sz w:val="20"/>
          <w:szCs w:val="20"/>
          <w:color w:val="auto"/>
        </w:rPr>
      </w:pPr>
      <w:r>
        <w:rPr>
          <w:rFonts w:ascii="Arial" w:cs="Arial" w:eastAsia="Arial" w:hAnsi="Arial"/>
          <w:sz w:val="22"/>
          <w:szCs w:val="22"/>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6" w:lineRule="exact"/>
        <w:rPr>
          <w:sz w:val="24"/>
          <w:szCs w:val="24"/>
          <w:color w:val="auto"/>
        </w:rPr>
      </w:pPr>
    </w:p>
    <w:p>
      <w:pPr>
        <w:jc w:val="center"/>
        <w:ind w:right="-519"/>
        <w:spacing w:after="0"/>
        <w:rPr>
          <w:sz w:val="20"/>
          <w:szCs w:val="20"/>
          <w:color w:val="auto"/>
        </w:rPr>
      </w:pPr>
      <w:r>
        <w:rPr>
          <w:rFonts w:ascii="Arial" w:cs="Arial" w:eastAsia="Arial" w:hAnsi="Arial"/>
          <w:sz w:val="43"/>
          <w:szCs w:val="43"/>
          <w:b w:val="1"/>
          <w:bCs w:val="1"/>
          <w:color w:val="auto"/>
        </w:rPr>
        <w:t>CECO ENVIRONMENTAL CORP.</w:t>
      </w:r>
    </w:p>
    <w:p>
      <w:pPr>
        <w:spacing w:after="0" w:line="37" w:lineRule="exact"/>
        <w:rPr>
          <w:sz w:val="24"/>
          <w:szCs w:val="24"/>
          <w:color w:val="auto"/>
        </w:rPr>
      </w:pPr>
    </w:p>
    <w:p>
      <w:pPr>
        <w:ind w:left="364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740"/>
          </w:cols>
          <w:pgMar w:left="320" w:top="206" w:right="839" w:bottom="1440" w:gutter="0" w:footer="0" w:header="0"/>
        </w:sectPr>
      </w:pPr>
    </w:p>
    <w:p>
      <w:pPr>
        <w:spacing w:after="0" w:line="200" w:lineRule="exact"/>
        <w:rPr>
          <w:sz w:val="24"/>
          <w:szCs w:val="24"/>
          <w:color w:val="auto"/>
        </w:rPr>
      </w:pPr>
    </w:p>
    <w:p>
      <w:pPr>
        <w:spacing w:after="0" w:line="208" w:lineRule="exact"/>
        <w:rPr>
          <w:sz w:val="24"/>
          <w:szCs w:val="24"/>
          <w:color w:val="auto"/>
        </w:rPr>
      </w:pPr>
    </w:p>
    <w:p>
      <w:pPr>
        <w:ind w:left="16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388" w:lineRule="exact"/>
        <w:rPr>
          <w:sz w:val="24"/>
          <w:szCs w:val="24"/>
          <w:color w:val="auto"/>
        </w:rPr>
      </w:pPr>
    </w:p>
    <w:p>
      <w:pPr>
        <w:jc w:val="center"/>
        <w:ind w:right="2120"/>
        <w:spacing w:after="0"/>
        <w:rPr>
          <w:sz w:val="20"/>
          <w:szCs w:val="20"/>
          <w:color w:val="auto"/>
        </w:rPr>
      </w:pPr>
      <w:r>
        <w:rPr>
          <w:rFonts w:ascii="Arial" w:cs="Arial" w:eastAsia="Arial" w:hAnsi="Arial"/>
          <w:sz w:val="16"/>
          <w:szCs w:val="16"/>
          <w:b w:val="1"/>
          <w:bCs w:val="1"/>
          <w:color w:val="auto"/>
        </w:rPr>
        <w:t>000-07099</w:t>
      </w:r>
    </w:p>
    <w:p>
      <w:pPr>
        <w:spacing w:after="0" w:line="20" w:lineRule="exact"/>
        <w:rPr>
          <w:sz w:val="24"/>
          <w:szCs w:val="24"/>
          <w:color w:val="auto"/>
        </w:rPr>
      </w:pPr>
      <w:r>
        <w:rPr>
          <w:sz w:val="24"/>
          <w:szCs w:val="24"/>
          <w:color w:val="auto"/>
        </w:rPr>
        <w:br w:type="column"/>
      </w:r>
    </w:p>
    <w:p>
      <w:pPr>
        <w:spacing w:after="0" w:line="38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13-2566064</w:t>
      </w:r>
    </w:p>
    <w:p>
      <w:pPr>
        <w:spacing w:after="0" w:line="32" w:lineRule="exact"/>
        <w:rPr>
          <w:sz w:val="24"/>
          <w:szCs w:val="24"/>
          <w:color w:val="auto"/>
        </w:rPr>
      </w:pPr>
    </w:p>
    <w:p>
      <w:pPr>
        <w:sectPr>
          <w:pgSz w:w="11900" w:h="16838" w:orient="portrait"/>
          <w:cols w:equalWidth="0" w:num="3">
            <w:col w:w="4640" w:space="720"/>
            <w:col w:w="2900" w:space="720"/>
            <w:col w:w="1760"/>
          </w:cols>
          <w:pgMar w:left="320" w:top="206" w:right="839" w:bottom="1440" w:gutter="0" w:footer="0" w:header="0"/>
          <w:type w:val="continuous"/>
        </w:sectPr>
      </w:pPr>
    </w:p>
    <w:p>
      <w:pPr>
        <w:spacing w:after="0" w:line="12" w:lineRule="exact"/>
        <w:rPr>
          <w:sz w:val="24"/>
          <w:szCs w:val="24"/>
          <w:color w:val="auto"/>
        </w:rPr>
      </w:pPr>
    </w:p>
    <w:p>
      <w:pPr>
        <w:ind w:left="840"/>
        <w:spacing w:after="0"/>
        <w:rPr>
          <w:sz w:val="20"/>
          <w:szCs w:val="20"/>
          <w:color w:val="auto"/>
        </w:rPr>
      </w:pPr>
      <w:r>
        <w:rPr>
          <w:rFonts w:ascii="Arial" w:cs="Arial" w:eastAsia="Arial" w:hAnsi="Arial"/>
          <w:sz w:val="16"/>
          <w:szCs w:val="16"/>
          <w:b w:val="1"/>
          <w:bCs w:val="1"/>
          <w:color w:val="auto"/>
        </w:rPr>
        <w:t>(State or other jurisdiction of</w:t>
      </w:r>
    </w:p>
    <w:p>
      <w:pPr>
        <w:ind w:left="780"/>
        <w:spacing w:after="0"/>
        <w:rPr>
          <w:sz w:val="20"/>
          <w:szCs w:val="20"/>
          <w:color w:val="auto"/>
        </w:rPr>
      </w:pPr>
      <w:r>
        <w:rPr>
          <w:rFonts w:ascii="Arial" w:cs="Arial" w:eastAsia="Arial" w:hAnsi="Arial"/>
          <w:sz w:val="16"/>
          <w:szCs w:val="16"/>
          <w:b w:val="1"/>
          <w:bCs w:val="1"/>
          <w:color w:val="auto"/>
        </w:rPr>
        <w:t>incorporation or organization)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6"/>
          <w:szCs w:val="16"/>
          <w:b w:val="1"/>
          <w:bCs w:val="1"/>
          <w:color w:val="auto"/>
        </w:rPr>
        <w:t>(Commission</w:t>
      </w:r>
    </w:p>
    <w:p>
      <w:pPr>
        <w:spacing w:after="0"/>
        <w:rPr>
          <w:sz w:val="20"/>
          <w:szCs w:val="20"/>
          <w:color w:val="auto"/>
        </w:rPr>
      </w:pPr>
      <w:r>
        <w:rPr>
          <w:rFonts w:ascii="Arial" w:cs="Arial" w:eastAsia="Arial" w:hAnsi="Arial"/>
          <w:sz w:val="17"/>
          <w:szCs w:val="17"/>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7"/>
          <w:szCs w:val="17"/>
          <w:b w:val="1"/>
          <w:bCs w:val="1"/>
          <w:color w:val="auto"/>
        </w:rPr>
        <w:t>(I.R.S. Employer</w:t>
      </w:r>
    </w:p>
    <w:p>
      <w:pPr>
        <w:spacing w:after="0"/>
        <w:rPr>
          <w:sz w:val="20"/>
          <w:szCs w:val="20"/>
          <w:color w:val="auto"/>
        </w:rPr>
      </w:pPr>
      <w:r>
        <w:rPr>
          <w:rFonts w:ascii="Arial" w:cs="Arial" w:eastAsia="Arial" w:hAnsi="Arial"/>
          <w:sz w:val="16"/>
          <w:szCs w:val="16"/>
          <w:b w:val="1"/>
          <w:bCs w:val="1"/>
          <w:color w:val="auto"/>
        </w:rPr>
        <w:t>Identification No.)</w:t>
      </w:r>
    </w:p>
    <w:p>
      <w:pPr>
        <w:spacing w:after="0" w:line="211" w:lineRule="exact"/>
        <w:rPr>
          <w:sz w:val="24"/>
          <w:szCs w:val="24"/>
          <w:color w:val="auto"/>
        </w:rPr>
      </w:pPr>
    </w:p>
    <w:p>
      <w:pPr>
        <w:sectPr>
          <w:pgSz w:w="11900" w:h="16838" w:orient="portrait"/>
          <w:cols w:equalWidth="0" w:num="3">
            <w:col w:w="4500" w:space="720"/>
            <w:col w:w="2760" w:space="720"/>
            <w:col w:w="2040"/>
          </w:cols>
          <w:pgMar w:left="320" w:top="206" w:right="839" w:bottom="1440" w:gutter="0" w:footer="0" w:header="0"/>
          <w:type w:val="continuous"/>
        </w:sectPr>
      </w:pPr>
    </w:p>
    <w:p>
      <w:pPr>
        <w:spacing w:after="0" w:line="3"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14651 North Dallas Parkway</w:t>
      </w:r>
    </w:p>
    <w:p>
      <w:pPr>
        <w:spacing w:after="0" w:line="11"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Dallas, Texas 75254</w:t>
      </w:r>
    </w:p>
    <w:p>
      <w:pPr>
        <w:jc w:val="center"/>
        <w:ind w:right="-519"/>
        <w:spacing w:after="0"/>
        <w:rPr>
          <w:sz w:val="20"/>
          <w:szCs w:val="20"/>
          <w:color w:val="auto"/>
        </w:rPr>
      </w:pPr>
      <w:r>
        <w:rPr>
          <w:rFonts w:ascii="Arial" w:cs="Arial" w:eastAsia="Arial" w:hAnsi="Arial"/>
          <w:sz w:val="16"/>
          <w:szCs w:val="16"/>
          <w:b w:val="1"/>
          <w:bCs w:val="1"/>
          <w:color w:val="auto"/>
        </w:rPr>
        <w:t>(Address of principal executive offices) (Zip Code)</w:t>
      </w:r>
    </w:p>
    <w:p>
      <w:pPr>
        <w:spacing w:after="0" w:line="215"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Matthew Eckl</w:t>
      </w:r>
    </w:p>
    <w:p>
      <w:pPr>
        <w:spacing w:after="0" w:line="11"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Chief Financial Officer</w:t>
      </w:r>
    </w:p>
    <w:p>
      <w:pPr>
        <w:jc w:val="center"/>
        <w:ind w:right="-519"/>
        <w:spacing w:after="0"/>
        <w:rPr>
          <w:sz w:val="20"/>
          <w:szCs w:val="20"/>
          <w:color w:val="auto"/>
        </w:rPr>
      </w:pPr>
      <w:r>
        <w:rPr>
          <w:rFonts w:ascii="Arial" w:cs="Arial" w:eastAsia="Arial" w:hAnsi="Arial"/>
          <w:sz w:val="18"/>
          <w:szCs w:val="18"/>
          <w:b w:val="1"/>
          <w:bCs w:val="1"/>
          <w:color w:val="auto"/>
        </w:rPr>
        <w:t>(214) 357-6181</w:t>
      </w:r>
    </w:p>
    <w:p>
      <w:pPr>
        <w:sectPr>
          <w:pgSz w:w="11900" w:h="16838" w:orient="portrait"/>
          <w:cols w:equalWidth="0" w:num="1">
            <w:col w:w="10740"/>
          </w:cols>
          <w:pgMar w:left="320" w:top="206" w:right="839" w:bottom="1440" w:gutter="0" w:footer="0" w:header="0"/>
          <w:type w:val="continuous"/>
        </w:sectPr>
      </w:pPr>
    </w:p>
    <w:p>
      <w:pPr>
        <w:spacing w:after="0" w:line="3" w:lineRule="exact"/>
        <w:rPr>
          <w:sz w:val="24"/>
          <w:szCs w:val="24"/>
          <w:color w:val="auto"/>
        </w:rPr>
      </w:pPr>
    </w:p>
    <w:p>
      <w:pPr>
        <w:ind w:left="1680"/>
        <w:spacing w:after="0"/>
        <w:rPr>
          <w:sz w:val="20"/>
          <w:szCs w:val="20"/>
          <w:color w:val="auto"/>
        </w:rPr>
      </w:pPr>
      <w:r>
        <w:rPr>
          <w:rFonts w:ascii="Arial" w:cs="Arial" w:eastAsia="Arial" w:hAnsi="Arial"/>
          <w:sz w:val="18"/>
          <w:szCs w:val="18"/>
          <w:b w:val="1"/>
          <w:bCs w:val="1"/>
          <w:color w:val="auto"/>
        </w:rPr>
        <w:t>(Name and telephone number, including area code, of person to contact in connection with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257175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400" w:lineRule="exact"/>
        <w:rPr>
          <w:sz w:val="24"/>
          <w:szCs w:val="24"/>
          <w:color w:val="auto"/>
        </w:rPr>
      </w:pPr>
    </w:p>
    <w:p>
      <w:pPr>
        <w:spacing w:after="0" w:line="261" w:lineRule="auto"/>
        <w:rPr>
          <w:sz w:val="20"/>
          <w:szCs w:val="20"/>
          <w:color w:val="auto"/>
        </w:rPr>
      </w:pPr>
      <w:r>
        <w:rPr>
          <w:rFonts w:ascii="Arial" w:cs="Arial" w:eastAsia="Arial" w:hAnsi="Arial"/>
          <w:sz w:val="18"/>
          <w:szCs w:val="18"/>
          <w:color w:val="auto"/>
        </w:rPr>
        <w:t>Check the appropriate box to indicate the rule pursuant to which this form is being filed, and provide the period to which the information in this form applies:</w:t>
      </w:r>
    </w:p>
    <w:p>
      <w:pPr>
        <w:spacing w:after="0" w:line="157" w:lineRule="exact"/>
        <w:rPr>
          <w:sz w:val="24"/>
          <w:szCs w:val="24"/>
          <w:color w:val="auto"/>
        </w:rPr>
      </w:pPr>
    </w:p>
    <w:p>
      <w:pPr>
        <w:ind w:left="280" w:hanging="259"/>
        <w:spacing w:after="0"/>
        <w:tabs>
          <w:tab w:leader="none" w:pos="2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13p-1 under the Securities Exchange Act (17 CFR 240.13p-1) for the reporting period from January 1 to 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670560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0"/>
          </w:cols>
          <w:pgMar w:left="320" w:top="206" w:right="83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Section 1. Conflict Minerals Disclosure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1.01. Conflict Minerals Disclosure and Report.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 Minerals Disclosure</w:t>
      </w:r>
    </w:p>
    <w:p>
      <w:pPr>
        <w:spacing w:after="0" w:line="216" w:lineRule="exact"/>
        <w:rPr>
          <w:sz w:val="20"/>
          <w:szCs w:val="20"/>
          <w:color w:val="auto"/>
        </w:rPr>
      </w:pPr>
    </w:p>
    <w:p>
      <w:pPr>
        <w:ind w:right="260" w:firstLine="749"/>
        <w:spacing w:after="0" w:line="291" w:lineRule="auto"/>
        <w:rPr>
          <w:sz w:val="20"/>
          <w:szCs w:val="20"/>
          <w:color w:val="auto"/>
        </w:rPr>
      </w:pPr>
      <w:r>
        <w:rPr>
          <w:rFonts w:ascii="Arial" w:cs="Arial" w:eastAsia="Arial" w:hAnsi="Arial"/>
          <w:sz w:val="17"/>
          <w:szCs w:val="17"/>
          <w:color w:val="auto"/>
        </w:rPr>
        <w:t>CECO Environmental Corp. (including its consolidated subsidiaries,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is filing this Form SD pursuant to Rule 13p-1 under the Securities Exchange Act of 1934 for the reporting period from January 1, 2021 to December 31, 2021 (the “</w:t>
      </w:r>
      <w:r>
        <w:rPr>
          <w:rFonts w:ascii="Arial" w:cs="Arial" w:eastAsia="Arial" w:hAnsi="Arial"/>
          <w:sz w:val="17"/>
          <w:szCs w:val="17"/>
          <w:b w:val="1"/>
          <w:bCs w:val="1"/>
          <w:i w:val="1"/>
          <w:iCs w:val="1"/>
          <w:color w:val="auto"/>
        </w:rPr>
        <w:t>Reporting Period</w:t>
      </w:r>
      <w:r>
        <w:rPr>
          <w:rFonts w:ascii="Arial" w:cs="Arial" w:eastAsia="Arial" w:hAnsi="Arial"/>
          <w:sz w:val="17"/>
          <w:szCs w:val="17"/>
          <w:color w:val="auto"/>
        </w:rPr>
        <w:t>”).</w:t>
      </w:r>
    </w:p>
    <w:p>
      <w:pPr>
        <w:spacing w:after="0" w:line="147" w:lineRule="exact"/>
        <w:rPr>
          <w:sz w:val="20"/>
          <w:szCs w:val="20"/>
          <w:color w:val="auto"/>
        </w:rPr>
      </w:pPr>
    </w:p>
    <w:p>
      <w:pPr>
        <w:ind w:firstLine="749"/>
        <w:spacing w:after="0" w:line="271" w:lineRule="auto"/>
        <w:rPr>
          <w:sz w:val="20"/>
          <w:szCs w:val="20"/>
          <w:color w:val="auto"/>
        </w:rPr>
      </w:pPr>
      <w:r>
        <w:rPr>
          <w:rFonts w:ascii="Arial" w:cs="Arial" w:eastAsia="Arial" w:hAnsi="Arial"/>
          <w:sz w:val="16"/>
          <w:szCs w:val="16"/>
          <w:color w:val="auto"/>
        </w:rPr>
        <w:t>Rule 13p-1, through Form SD, requires the disclosure of certain information if a company manufactures or contracts to manufacture products for which certain “</w:t>
      </w:r>
      <w:r>
        <w:rPr>
          <w:rFonts w:ascii="Arial" w:cs="Arial" w:eastAsia="Arial" w:hAnsi="Arial"/>
          <w:sz w:val="16"/>
          <w:szCs w:val="16"/>
          <w:b w:val="1"/>
          <w:bCs w:val="1"/>
          <w:color w:val="auto"/>
        </w:rPr>
        <w:t>conflict minerals</w:t>
      </w:r>
      <w:r>
        <w:rPr>
          <w:rFonts w:ascii="Arial" w:cs="Arial" w:eastAsia="Arial" w:hAnsi="Arial"/>
          <w:sz w:val="16"/>
          <w:szCs w:val="16"/>
          <w:color w:val="auto"/>
        </w:rPr>
        <w:t>” (as defined below) are necessary to the functionality or production of such products. Form SD defines “conflict minerals” as: (i)(a) columbite-tantalite (or coltan, the metal ore from which tantalum is extracted), (b) cassiterite (the metal ore from which tin is extracted),</w:t>
      </w:r>
    </w:p>
    <w:p>
      <w:pPr>
        <w:jc w:val="both"/>
        <w:ind w:right="60" w:firstLine="8"/>
        <w:spacing w:after="0" w:line="239" w:lineRule="auto"/>
        <w:tabs>
          <w:tab w:leader="none" w:pos="245" w:val="left"/>
        </w:tabs>
        <w:numPr>
          <w:ilvl w:val="0"/>
          <w:numId w:val="2"/>
        </w:numPr>
        <w:rPr>
          <w:rFonts w:ascii="Arial" w:cs="Arial" w:eastAsia="Arial" w:hAnsi="Arial"/>
          <w:sz w:val="18"/>
          <w:szCs w:val="18"/>
          <w:color w:val="auto"/>
        </w:rPr>
      </w:pPr>
      <w:r>
        <w:rPr>
          <w:rFonts w:ascii="Arial" w:cs="Arial" w:eastAsia="Arial" w:hAnsi="Arial"/>
          <w:sz w:val="18"/>
          <w:szCs w:val="18"/>
          <w:color w:val="auto"/>
        </w:rPr>
        <w:t>gold and (d) wolframite (the metal ore from which tungsten is extracted), or their derivatives, which are currently limited to tantalum, tin and tungsten; or (ii) any other mineral or its derivatives determined by the U.S. Secretary of State to be financing conflict in the Democratic Republic of the Congo or an “adjoining country,” as such term is defined in Form SD (collectively, the “</w:t>
      </w:r>
      <w:r>
        <w:rPr>
          <w:rFonts w:ascii="Arial" w:cs="Arial" w:eastAsia="Arial" w:hAnsi="Arial"/>
          <w:sz w:val="18"/>
          <w:szCs w:val="18"/>
          <w:b w:val="1"/>
          <w:bCs w:val="1"/>
          <w:color w:val="auto"/>
        </w:rPr>
        <w:t>Covered Countries</w:t>
      </w:r>
      <w:r>
        <w:rPr>
          <w:rFonts w:ascii="Arial" w:cs="Arial" w:eastAsia="Arial" w:hAnsi="Arial"/>
          <w:sz w:val="18"/>
          <w:szCs w:val="18"/>
          <w:color w:val="auto"/>
        </w:rPr>
        <w:t>”).</w:t>
      </w:r>
    </w:p>
    <w:p>
      <w:pPr>
        <w:spacing w:after="0" w:line="189" w:lineRule="exact"/>
        <w:rPr>
          <w:sz w:val="20"/>
          <w:szCs w:val="20"/>
          <w:color w:val="auto"/>
        </w:rPr>
      </w:pPr>
    </w:p>
    <w:p>
      <w:pPr>
        <w:ind w:firstLine="749"/>
        <w:spacing w:after="0" w:line="253" w:lineRule="auto"/>
        <w:rPr>
          <w:sz w:val="20"/>
          <w:szCs w:val="20"/>
          <w:color w:val="auto"/>
        </w:rPr>
      </w:pPr>
      <w:r>
        <w:rPr>
          <w:rFonts w:ascii="Arial" w:cs="Arial" w:eastAsia="Arial" w:hAnsi="Arial"/>
          <w:sz w:val="17"/>
          <w:szCs w:val="17"/>
          <w:color w:val="auto"/>
        </w:rPr>
        <w:t>The Company’s operations may at times manufacture, or contract to manufacture, products for which conflict minerals are necessary to the functionality or production of those products (collectively, the “</w:t>
      </w:r>
      <w:r>
        <w:rPr>
          <w:rFonts w:ascii="Arial" w:cs="Arial" w:eastAsia="Arial" w:hAnsi="Arial"/>
          <w:sz w:val="17"/>
          <w:szCs w:val="17"/>
          <w:b w:val="1"/>
          <w:bCs w:val="1"/>
          <w:i w:val="1"/>
          <w:iCs w:val="1"/>
          <w:color w:val="auto"/>
        </w:rPr>
        <w:t>products</w:t>
      </w:r>
      <w:r>
        <w:rPr>
          <w:rFonts w:ascii="Arial" w:cs="Arial" w:eastAsia="Arial" w:hAnsi="Arial"/>
          <w:sz w:val="17"/>
          <w:szCs w:val="17"/>
          <w:color w:val="auto"/>
        </w:rPr>
        <w:t>”). As required by Form SD, the Company has conducted a good faith reasonable country of origin inquiry (“</w:t>
      </w:r>
      <w:r>
        <w:rPr>
          <w:rFonts w:ascii="Arial" w:cs="Arial" w:eastAsia="Arial" w:hAnsi="Arial"/>
          <w:sz w:val="17"/>
          <w:szCs w:val="17"/>
          <w:b w:val="1"/>
          <w:bCs w:val="1"/>
          <w:i w:val="1"/>
          <w:iCs w:val="1"/>
          <w:color w:val="auto"/>
        </w:rPr>
        <w:t>RCOI</w:t>
      </w:r>
      <w:r>
        <w:rPr>
          <w:rFonts w:ascii="Arial" w:cs="Arial" w:eastAsia="Arial" w:hAnsi="Arial"/>
          <w:sz w:val="17"/>
          <w:szCs w:val="17"/>
          <w:color w:val="auto"/>
        </w:rPr>
        <w:t>”) regarding the conflict minerals included in its products during the Reporting Period, which the Company refers to as the “</w:t>
      </w:r>
      <w:r>
        <w:rPr>
          <w:rFonts w:ascii="Arial" w:cs="Arial" w:eastAsia="Arial" w:hAnsi="Arial"/>
          <w:sz w:val="17"/>
          <w:szCs w:val="17"/>
          <w:b w:val="1"/>
          <w:bCs w:val="1"/>
          <w:i w:val="1"/>
          <w:iCs w:val="1"/>
          <w:color w:val="auto"/>
        </w:rPr>
        <w:t>Subject Minerals</w:t>
      </w:r>
      <w:r>
        <w:rPr>
          <w:rFonts w:ascii="Arial" w:cs="Arial" w:eastAsia="Arial" w:hAnsi="Arial"/>
          <w:sz w:val="17"/>
          <w:szCs w:val="17"/>
          <w:color w:val="auto"/>
        </w:rPr>
        <w:t>,” to determine whether any such Subject Minerals originated in the Covered Countries and/or whether any of the Subject Minerals were from recycled or scrap sources. Where applicable, the Company has conducted additional due diligence regarding the sources of the Subject Minerals. The results of the Company’s RCOI regarding the Subject Minerals, as well as its additional due diligence regarding the sources of such Subject Minerals, are contained in the Company’s Conflict Minerals Report, a copy of which is filed as Exhibit 1.01 to this Form SD, and is publicly available at http://www.cecoenviro.com/sec-filings. The content on, or accessible through, any website referred to in this Form SD is not incorporated by reference into this Form SD unless expressly noted.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1.02. Exhibit.</w:t>
      </w:r>
    </w:p>
    <w:p>
      <w:pPr>
        <w:spacing w:after="0" w:line="21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Conflict Minerals Report required by Item 1.01 is filed as Exhibit 1.01 to this Form SD.</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2. Exhibits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2.01. Exhibits</w:t>
      </w:r>
    </w:p>
    <w:p>
      <w:pPr>
        <w:spacing w:after="0" w:line="21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exhibit is filed as part of this Form SD.</w:t>
      </w:r>
    </w:p>
    <w:p>
      <w:pPr>
        <w:spacing w:after="0" w:line="372"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Exhibit</w:t>
      </w:r>
    </w:p>
    <w:p>
      <w:pPr>
        <w:ind w:left="420"/>
        <w:spacing w:after="0"/>
        <w:tabs>
          <w:tab w:leader="none" w:pos="1620" w:val="left"/>
        </w:tabs>
        <w:rPr>
          <w:sz w:val="20"/>
          <w:szCs w:val="20"/>
          <w:color w:val="auto"/>
        </w:rPr>
      </w:pPr>
      <w:r>
        <w:rPr>
          <w:rFonts w:ascii="Arial" w:cs="Arial" w:eastAsia="Arial" w:hAnsi="Arial"/>
          <w:sz w:val="18"/>
          <w:szCs w:val="18"/>
          <w:b w:val="1"/>
          <w:bCs w:val="1"/>
          <w:color w:val="auto"/>
        </w:rPr>
        <w:t>No.</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-12065</wp:posOffset>
            </wp:positionV>
            <wp:extent cx="70123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12305" cy="8255"/>
                    </a:xfrm>
                    <a:prstGeom prst="rect">
                      <a:avLst/>
                    </a:prstGeom>
                    <a:noFill/>
                  </pic:spPr>
                </pic:pic>
              </a:graphicData>
            </a:graphic>
          </wp:anchor>
        </w:drawing>
      </w:r>
    </w:p>
    <w:p>
      <w:pPr>
        <w:spacing w:after="0" w:line="108" w:lineRule="exact"/>
        <w:rPr>
          <w:sz w:val="20"/>
          <w:szCs w:val="20"/>
          <w:color w:val="auto"/>
        </w:rPr>
      </w:pPr>
    </w:p>
    <w:p>
      <w:pPr>
        <w:ind w:left="400"/>
        <w:spacing w:after="0"/>
        <w:tabs>
          <w:tab w:leader="none" w:pos="162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0000FF"/>
        </w:rPr>
        <w:t>Conflict Minerals Report of CECO Environmental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439420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200" w:firstLine="749"/>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duly authorized undersigned.</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20" w:type="dxa"/>
            <w:vAlign w:val="bottom"/>
            <w:gridSpan w:val="2"/>
          </w:tcPr>
          <w:p>
            <w:pPr>
              <w:ind w:left="20"/>
              <w:spacing w:after="0"/>
              <w:rPr>
                <w:sz w:val="20"/>
                <w:szCs w:val="20"/>
                <w:color w:val="auto"/>
              </w:rPr>
            </w:pPr>
            <w:r>
              <w:rPr>
                <w:rFonts w:ascii="Arial" w:cs="Arial" w:eastAsia="Arial" w:hAnsi="Arial"/>
                <w:sz w:val="18"/>
                <w:szCs w:val="18"/>
                <w:color w:val="auto"/>
              </w:rPr>
              <w:t>By:  /s/ Matthew Eckl</w:t>
            </w:r>
          </w:p>
        </w:tc>
        <w:tc>
          <w:tcPr>
            <w:tcW w:w="1880" w:type="dxa"/>
            <w:vAlign w:val="bottom"/>
          </w:tcPr>
          <w:p>
            <w:pPr>
              <w:spacing w:after="0"/>
              <w:rPr>
                <w:sz w:val="20"/>
                <w:szCs w:val="20"/>
                <w:color w:val="auto"/>
              </w:rPr>
            </w:pPr>
          </w:p>
        </w:tc>
        <w:tc>
          <w:tcPr>
            <w:tcW w:w="4420" w:type="dxa"/>
            <w:vAlign w:val="bottom"/>
          </w:tcPr>
          <w:p>
            <w:pPr>
              <w:jc w:val="center"/>
              <w:spacing w:after="0"/>
              <w:rPr>
                <w:sz w:val="20"/>
                <w:szCs w:val="20"/>
                <w:color w:val="auto"/>
              </w:rPr>
            </w:pPr>
            <w:r>
              <w:rPr>
                <w:rFonts w:ascii="Arial" w:cs="Arial" w:eastAsia="Arial" w:hAnsi="Arial"/>
                <w:sz w:val="18"/>
                <w:szCs w:val="18"/>
                <w:color w:val="auto"/>
                <w:w w:val="91"/>
              </w:rPr>
              <w:t>May 24, 2022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80" w:type="dxa"/>
            <w:vAlign w:val="bottom"/>
            <w:vMerge w:val="restart"/>
          </w:tcPr>
          <w:p>
            <w:pPr>
              <w:spacing w:after="0"/>
              <w:rPr>
                <w:sz w:val="20"/>
                <w:szCs w:val="20"/>
                <w:color w:val="auto"/>
              </w:rPr>
            </w:pPr>
          </w:p>
        </w:tc>
        <w:tc>
          <w:tcPr>
            <w:tcW w:w="4440" w:type="dxa"/>
            <w:vAlign w:val="bottom"/>
            <w:tcBorders>
              <w:top w:val="single" w:sz="8" w:color="auto"/>
            </w:tcBorders>
            <w:vMerge w:val="restart"/>
          </w:tcPr>
          <w:p>
            <w:pPr>
              <w:spacing w:after="0"/>
              <w:rPr>
                <w:sz w:val="20"/>
                <w:szCs w:val="20"/>
                <w:color w:val="auto"/>
              </w:rPr>
            </w:pPr>
            <w:r>
              <w:rPr>
                <w:rFonts w:ascii="Arial" w:cs="Arial" w:eastAsia="Arial" w:hAnsi="Arial"/>
                <w:sz w:val="18"/>
                <w:szCs w:val="18"/>
                <w:color w:val="auto"/>
              </w:rPr>
              <w:t>Matthew Eckl</w:t>
            </w:r>
          </w:p>
        </w:tc>
        <w:tc>
          <w:tcPr>
            <w:tcW w:w="1880" w:type="dxa"/>
            <w:vAlign w:val="bottom"/>
          </w:tcPr>
          <w:p>
            <w:pPr>
              <w:spacing w:after="0"/>
              <w:rPr>
                <w:sz w:val="20"/>
                <w:szCs w:val="20"/>
                <w:color w:val="auto"/>
              </w:rPr>
            </w:pPr>
          </w:p>
        </w:tc>
        <w:tc>
          <w:tcPr>
            <w:tcW w:w="4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(Date)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0" w:type="dxa"/>
            <w:vAlign w:val="bottom"/>
            <w:vMerge w:val="continue"/>
          </w:tcPr>
          <w:p>
            <w:pPr>
              <w:spacing w:after="0"/>
              <w:rPr>
                <w:sz w:val="2"/>
                <w:szCs w:val="2"/>
                <w:color w:val="auto"/>
              </w:rPr>
            </w:pPr>
          </w:p>
        </w:tc>
        <w:tc>
          <w:tcPr>
            <w:tcW w:w="4440" w:type="dxa"/>
            <w:vAlign w:val="bottom"/>
            <w:vMerge w:val="continue"/>
          </w:tcPr>
          <w:p>
            <w:pPr>
              <w:spacing w:after="0"/>
              <w:rPr>
                <w:sz w:val="2"/>
                <w:szCs w:val="2"/>
                <w:color w:val="auto"/>
              </w:rPr>
            </w:pPr>
          </w:p>
        </w:tc>
        <w:tc>
          <w:tcPr>
            <w:tcW w:w="1880" w:type="dxa"/>
            <w:vAlign w:val="bottom"/>
          </w:tcPr>
          <w:p>
            <w:pPr>
              <w:spacing w:after="0"/>
              <w:rPr>
                <w:sz w:val="2"/>
                <w:szCs w:val="2"/>
                <w:color w:val="auto"/>
              </w:rPr>
            </w:pPr>
          </w:p>
        </w:tc>
        <w:tc>
          <w:tcPr>
            <w:tcW w:w="44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920" w:type="dxa"/>
            <w:vAlign w:val="bottom"/>
            <w:gridSpan w:val="2"/>
          </w:tcPr>
          <w:p>
            <w:pPr>
              <w:ind w:left="480"/>
              <w:spacing w:after="0"/>
              <w:rPr>
                <w:sz w:val="20"/>
                <w:szCs w:val="20"/>
                <w:color w:val="auto"/>
              </w:rPr>
            </w:pPr>
            <w:r>
              <w:rPr>
                <w:rFonts w:ascii="Arial" w:cs="Arial" w:eastAsia="Arial" w:hAnsi="Arial"/>
                <w:sz w:val="18"/>
                <w:szCs w:val="18"/>
                <w:color w:val="auto"/>
              </w:rPr>
              <w:t>Chief Financial Officer</w:t>
            </w:r>
          </w:p>
        </w:tc>
        <w:tc>
          <w:tcPr>
            <w:tcW w:w="188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95"/>
        </w:trPr>
        <w:tc>
          <w:tcPr>
            <w:tcW w:w="480" w:type="dxa"/>
            <w:vAlign w:val="bottom"/>
            <w:tcBorders>
              <w:bottom w:val="single" w:sz="8" w:color="9A9A9A"/>
            </w:tcBorders>
          </w:tcPr>
          <w:p>
            <w:pPr>
              <w:spacing w:after="0"/>
              <w:rPr>
                <w:sz w:val="24"/>
                <w:szCs w:val="24"/>
                <w:color w:val="auto"/>
              </w:rPr>
            </w:pPr>
          </w:p>
        </w:tc>
        <w:tc>
          <w:tcPr>
            <w:tcW w:w="444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c>
          <w:tcPr>
            <w:tcW w:w="4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color w:val="auto"/>
        </w:rPr>
        <w:t>Exhibit 1.01</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CECO Environmental Corp.</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Conflict Minerals Report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reporting period from January 1, 2021 to December 31, 2021</w:t>
      </w:r>
    </w:p>
    <w:p>
      <w:pPr>
        <w:spacing w:after="0" w:line="175" w:lineRule="exact"/>
        <w:rPr>
          <w:sz w:val="20"/>
          <w:szCs w:val="20"/>
          <w:color w:val="auto"/>
        </w:rPr>
      </w:pPr>
    </w:p>
    <w:p>
      <w:pPr>
        <w:ind w:right="40" w:firstLine="749"/>
        <w:spacing w:after="0" w:line="248" w:lineRule="auto"/>
        <w:rPr>
          <w:sz w:val="20"/>
          <w:szCs w:val="20"/>
          <w:color w:val="auto"/>
        </w:rPr>
      </w:pPr>
      <w:r>
        <w:rPr>
          <w:rFonts w:ascii="Arial" w:cs="Arial" w:eastAsia="Arial" w:hAnsi="Arial"/>
          <w:sz w:val="18"/>
          <w:szCs w:val="18"/>
          <w:color w:val="auto"/>
        </w:rPr>
        <w:t>This Conflict Minerals Report (this “</w:t>
      </w:r>
      <w:r>
        <w:rPr>
          <w:rFonts w:ascii="Arial" w:cs="Arial" w:eastAsia="Arial" w:hAnsi="Arial"/>
          <w:sz w:val="18"/>
          <w:szCs w:val="18"/>
          <w:b w:val="1"/>
          <w:bCs w:val="1"/>
          <w:i w:val="1"/>
          <w:iCs w:val="1"/>
          <w:color w:val="auto"/>
        </w:rPr>
        <w:t>Report</w:t>
      </w:r>
      <w:r>
        <w:rPr>
          <w:rFonts w:ascii="Arial" w:cs="Arial" w:eastAsia="Arial" w:hAnsi="Arial"/>
          <w:sz w:val="18"/>
          <w:szCs w:val="18"/>
          <w:color w:val="auto"/>
        </w:rPr>
        <w:t>”) of CECO Environmental Corp. (including its consolidated subsidiaries,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xml:space="preserve"> “) has been prepared pursuant to Rule 13p-1 and Form SD promulgated under the Securities Exchange Act of 1934 for the reporting period from January 1, 2021 to December 31, 2021 (the “</w:t>
      </w:r>
      <w:r>
        <w:rPr>
          <w:rFonts w:ascii="Arial" w:cs="Arial" w:eastAsia="Arial" w:hAnsi="Arial"/>
          <w:sz w:val="18"/>
          <w:szCs w:val="18"/>
          <w:b w:val="1"/>
          <w:bCs w:val="1"/>
          <w:i w:val="1"/>
          <w:iCs w:val="1"/>
          <w:color w:val="auto"/>
        </w:rPr>
        <w:t>Reporting Period</w:t>
      </w:r>
      <w:r>
        <w:rPr>
          <w:rFonts w:ascii="Arial" w:cs="Arial" w:eastAsia="Arial" w:hAnsi="Arial"/>
          <w:sz w:val="18"/>
          <w:szCs w:val="18"/>
          <w:color w:val="auto"/>
        </w:rPr>
        <w:t>”).</w:t>
      </w:r>
    </w:p>
    <w:p>
      <w:pPr>
        <w:spacing w:after="0" w:line="155" w:lineRule="exact"/>
        <w:rPr>
          <w:sz w:val="20"/>
          <w:szCs w:val="20"/>
          <w:color w:val="auto"/>
        </w:rPr>
      </w:pPr>
    </w:p>
    <w:p>
      <w:pPr>
        <w:ind w:right="60" w:firstLine="749"/>
        <w:spacing w:after="0" w:line="257" w:lineRule="auto"/>
        <w:rPr>
          <w:sz w:val="20"/>
          <w:szCs w:val="20"/>
          <w:color w:val="auto"/>
        </w:rPr>
      </w:pPr>
      <w:r>
        <w:rPr>
          <w:rFonts w:ascii="Arial" w:cs="Arial" w:eastAsia="Arial" w:hAnsi="Arial"/>
          <w:sz w:val="17"/>
          <w:szCs w:val="17"/>
          <w:color w:val="auto"/>
        </w:rPr>
        <w:t>Rule 13p-1, through Form SD, requires the disclosure of certain information if a company manufactures or contracts to manufacture products for which certain “conflict minerals” (as defined later) are necessary to the functionality or production of such products. Form SD defines “</w:t>
      </w:r>
      <w:r>
        <w:rPr>
          <w:rFonts w:ascii="Arial" w:cs="Arial" w:eastAsia="Arial" w:hAnsi="Arial"/>
          <w:sz w:val="17"/>
          <w:szCs w:val="17"/>
          <w:b w:val="1"/>
          <w:bCs w:val="1"/>
          <w:i w:val="1"/>
          <w:iCs w:val="1"/>
          <w:color w:val="auto"/>
        </w:rPr>
        <w:t>conflict minerals</w:t>
      </w:r>
      <w:r>
        <w:rPr>
          <w:rFonts w:ascii="Arial" w:cs="Arial" w:eastAsia="Arial" w:hAnsi="Arial"/>
          <w:sz w:val="17"/>
          <w:szCs w:val="17"/>
          <w:color w:val="auto"/>
        </w:rPr>
        <w:t>” as: (i)(a) columbite-tantalite (or coltan, the metal ore from which tantalum is extracted), (b) cassiterite (the metal ore from which tin is extracted), (c) gold and (d) wolframite (the metal ore from which tungsten is extracted), or their derivatives, which are currently limited to tantalum, tin and tungsten; or (ii) any other mineral or its derivatives determined by the U.S. Secretary of State to be financing conflict in the Democratic Republic of the Congo or an “adjoining country,” as such term is defined in Form SD (collectively, the “</w:t>
      </w:r>
      <w:r>
        <w:rPr>
          <w:rFonts w:ascii="Arial" w:cs="Arial" w:eastAsia="Arial" w:hAnsi="Arial"/>
          <w:sz w:val="17"/>
          <w:szCs w:val="17"/>
          <w:b w:val="1"/>
          <w:bCs w:val="1"/>
          <w:i w:val="1"/>
          <w:iCs w:val="1"/>
          <w:color w:val="auto"/>
        </w:rPr>
        <w:t>Covered Countries</w:t>
      </w:r>
      <w:r>
        <w:rPr>
          <w:rFonts w:ascii="Arial" w:cs="Arial" w:eastAsia="Arial" w:hAnsi="Arial"/>
          <w:sz w:val="17"/>
          <w:szCs w:val="17"/>
          <w:color w:val="auto"/>
        </w:rPr>
        <w:t>”).</w:t>
      </w:r>
    </w:p>
    <w:p>
      <w:pPr>
        <w:spacing w:after="0" w:line="135" w:lineRule="exact"/>
        <w:rPr>
          <w:sz w:val="20"/>
          <w:szCs w:val="20"/>
          <w:color w:val="auto"/>
        </w:rPr>
      </w:pPr>
    </w:p>
    <w:p>
      <w:pPr>
        <w:ind w:right="60" w:firstLine="749"/>
        <w:spacing w:after="0" w:line="270" w:lineRule="auto"/>
        <w:rPr>
          <w:sz w:val="20"/>
          <w:szCs w:val="20"/>
          <w:color w:val="auto"/>
        </w:rPr>
      </w:pPr>
      <w:r>
        <w:rPr>
          <w:rFonts w:ascii="Arial" w:cs="Arial" w:eastAsia="Arial" w:hAnsi="Arial"/>
          <w:sz w:val="16"/>
          <w:szCs w:val="16"/>
          <w:i w:val="1"/>
          <w:iCs w:val="1"/>
          <w:color w:val="auto"/>
        </w:rPr>
        <w:t>Forward-looking statements contained in this Report are made based on known events and circumstances at the time of release, and as such, are subject in the future to unforeseen uncertainties and risks. Statements in this Report which express a belief, expectation or intention, as well as those that are not historical fact, are forward-looking statements, including statements related to the Company’s compliance efforts and expected actions identified in this Report. These forward-looking statements are subject to various risks, uncertainties and assumptions, including, among other matters, the Company’s customers’ requirements to use certain suppliers, the Company’s suppliers’ responsiveness and cooperation with the Company’s due diligence efforts, the Company’s ability to implement improvements in its conflict minerals program and the Company’s ability to identify and mitigate related risks in its supply chain. If one or more of these or other risks materialize, actual results may materially vary from those expressed. For a more complete discussion of these and other risk factors, see the Company’s other filings with the Securities and Exchange Commission (the “</w:t>
      </w:r>
      <w:r>
        <w:rPr>
          <w:rFonts w:ascii="Arial" w:cs="Arial" w:eastAsia="Arial" w:hAnsi="Arial"/>
          <w:sz w:val="16"/>
          <w:szCs w:val="16"/>
          <w:b w:val="1"/>
          <w:bCs w:val="1"/>
          <w:i w:val="1"/>
          <w:iCs w:val="1"/>
          <w:color w:val="auto"/>
        </w:rPr>
        <w:t>SEC</w:t>
      </w:r>
      <w:r>
        <w:rPr>
          <w:rFonts w:ascii="Arial" w:cs="Arial" w:eastAsia="Arial" w:hAnsi="Arial"/>
          <w:sz w:val="16"/>
          <w:szCs w:val="16"/>
          <w:i w:val="1"/>
          <w:iCs w:val="1"/>
          <w:color w:val="auto"/>
        </w:rPr>
        <w:t>”), including its Annual Report on Form 10-K for the year ended December 31, 2021 and subsequent Quarterly Reports on Form 10-Q. The Company makes these statements as of the date of this disclosure and undertakes no obligation to update them unless otherwise required by law.</w:t>
      </w:r>
    </w:p>
    <w:p>
      <w:pPr>
        <w:spacing w:after="0" w:line="131" w:lineRule="exact"/>
        <w:rPr>
          <w:sz w:val="20"/>
          <w:szCs w:val="20"/>
          <w:color w:val="auto"/>
        </w:rPr>
      </w:pPr>
    </w:p>
    <w:p>
      <w:pPr>
        <w:ind w:right="20" w:firstLine="749"/>
        <w:spacing w:after="0" w:line="254" w:lineRule="auto"/>
        <w:rPr>
          <w:sz w:val="20"/>
          <w:szCs w:val="20"/>
          <w:color w:val="auto"/>
        </w:rPr>
      </w:pPr>
      <w:r>
        <w:rPr>
          <w:rFonts w:ascii="Arial" w:cs="Arial" w:eastAsia="Arial" w:hAnsi="Arial"/>
          <w:sz w:val="17"/>
          <w:szCs w:val="17"/>
          <w:color w:val="auto"/>
        </w:rPr>
        <w:t>The Company’s operations may at times manufacture, or contract to manufacture, products for which conflict minerals are necessary to the functionality or production of those products (collectively, the “</w:t>
      </w:r>
      <w:r>
        <w:rPr>
          <w:rFonts w:ascii="Arial" w:cs="Arial" w:eastAsia="Arial" w:hAnsi="Arial"/>
          <w:sz w:val="17"/>
          <w:szCs w:val="17"/>
          <w:b w:val="1"/>
          <w:bCs w:val="1"/>
          <w:i w:val="1"/>
          <w:iCs w:val="1"/>
          <w:color w:val="auto"/>
        </w:rPr>
        <w:t>products</w:t>
      </w:r>
      <w:r>
        <w:rPr>
          <w:rFonts w:ascii="Arial" w:cs="Arial" w:eastAsia="Arial" w:hAnsi="Arial"/>
          <w:sz w:val="17"/>
          <w:szCs w:val="17"/>
          <w:color w:val="auto"/>
        </w:rPr>
        <w:t>”). As required by Form SD, the Company has conducted a good faith reasonable country of origin inquiry (“</w:t>
      </w:r>
      <w:r>
        <w:rPr>
          <w:rFonts w:ascii="Arial" w:cs="Arial" w:eastAsia="Arial" w:hAnsi="Arial"/>
          <w:sz w:val="17"/>
          <w:szCs w:val="17"/>
          <w:b w:val="1"/>
          <w:bCs w:val="1"/>
          <w:i w:val="1"/>
          <w:iCs w:val="1"/>
          <w:color w:val="auto"/>
        </w:rPr>
        <w:t>RCOI</w:t>
      </w:r>
      <w:r>
        <w:rPr>
          <w:rFonts w:ascii="Arial" w:cs="Arial" w:eastAsia="Arial" w:hAnsi="Arial"/>
          <w:sz w:val="17"/>
          <w:szCs w:val="17"/>
          <w:color w:val="auto"/>
        </w:rPr>
        <w:t>”) regarding the conflict minerals included in the products during the Reporting Period, which the Company refers to as the “</w:t>
      </w:r>
      <w:r>
        <w:rPr>
          <w:rFonts w:ascii="Arial" w:cs="Arial" w:eastAsia="Arial" w:hAnsi="Arial"/>
          <w:sz w:val="17"/>
          <w:szCs w:val="17"/>
          <w:b w:val="1"/>
          <w:bCs w:val="1"/>
          <w:i w:val="1"/>
          <w:iCs w:val="1"/>
          <w:color w:val="auto"/>
        </w:rPr>
        <w:t>Subject Minerals</w:t>
      </w:r>
      <w:r>
        <w:rPr>
          <w:rFonts w:ascii="Arial" w:cs="Arial" w:eastAsia="Arial" w:hAnsi="Arial"/>
          <w:sz w:val="17"/>
          <w:szCs w:val="17"/>
          <w:color w:val="auto"/>
        </w:rPr>
        <w:t>,” to determine whether any such Subject Minerals originated in the Covered Countries and/or whether any of the Subject Minerals were from recycled or scrap sources. Where applicable, the Company has conducted additional due diligence regarding the sources of the Subject Minerals. The results of the Company’s RCOI regarding the Subject Minerals, as well as the Company’s additional due diligence regarding the sources of such Subject Minerals, are contained in this Report, which is publicly available at www.cecoenviro.com/sec-filings. The content on, or accessible through, any website referred to in this Report is not incorporated by reference into this Report unless expressly noted.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402590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ind w:left="1020" w:hanging="503"/>
        <w:spacing w:after="0"/>
        <w:tabs>
          <w:tab w:leader="none" w:pos="102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RCOI and Due Diligence Process.</w:t>
      </w:r>
    </w:p>
    <w:p>
      <w:pPr>
        <w:spacing w:after="0" w:line="216" w:lineRule="exact"/>
        <w:rPr>
          <w:sz w:val="20"/>
          <w:szCs w:val="20"/>
          <w:color w:val="auto"/>
        </w:rPr>
      </w:pPr>
    </w:p>
    <w:p>
      <w:pPr>
        <w:ind w:right="120" w:firstLine="749"/>
        <w:spacing w:after="0" w:line="257" w:lineRule="auto"/>
        <w:rPr>
          <w:sz w:val="20"/>
          <w:szCs w:val="20"/>
          <w:color w:val="auto"/>
        </w:rPr>
      </w:pPr>
      <w:r>
        <w:rPr>
          <w:rFonts w:ascii="Arial" w:cs="Arial" w:eastAsia="Arial" w:hAnsi="Arial"/>
          <w:sz w:val="17"/>
          <w:szCs w:val="17"/>
          <w:color w:val="auto"/>
        </w:rPr>
        <w:t>The Company has conducted a good faith RCOI regarding the Subject Minerals. This good faith RCOI was reasonably designed to determine whether any of the Subject Minerals originated in the Covered Countries and whether any of the Subject Minerals may be from recycled or scrap sources, in accordance with Form SD and related guidance provided by the SEC. The Company also exercised due diligence on the source and chain of custody of the Subject Minerals. The Company’s due diligence measures have been designed to conform to the framework in the Organization for Economic Co-operation and Development Due Diligence Guidance for Responsible Supply Chain of Minerals from Conflict-Affected and High Risk Areas: Third Edition, including the related supplements on gold, tin, tantalum and tungsten (the “</w:t>
      </w:r>
      <w:r>
        <w:rPr>
          <w:rFonts w:ascii="Arial" w:cs="Arial" w:eastAsia="Arial" w:hAnsi="Arial"/>
          <w:sz w:val="17"/>
          <w:szCs w:val="17"/>
          <w:b w:val="1"/>
          <w:bCs w:val="1"/>
          <w:i w:val="1"/>
          <w:iCs w:val="1"/>
          <w:color w:val="auto"/>
        </w:rPr>
        <w:t>OECD Guidelines</w:t>
      </w:r>
      <w:r>
        <w:rPr>
          <w:rFonts w:ascii="Arial" w:cs="Arial" w:eastAsia="Arial" w:hAnsi="Arial"/>
          <w:sz w:val="17"/>
          <w:szCs w:val="17"/>
          <w:color w:val="auto"/>
        </w:rPr>
        <w: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RCOI</w:t>
      </w:r>
    </w:p>
    <w:p>
      <w:pPr>
        <w:spacing w:after="0" w:line="216" w:lineRule="exact"/>
        <w:rPr>
          <w:sz w:val="20"/>
          <w:szCs w:val="20"/>
          <w:color w:val="auto"/>
        </w:rPr>
      </w:pPr>
    </w:p>
    <w:p>
      <w:pPr>
        <w:ind w:right="40" w:firstLine="749"/>
        <w:spacing w:after="0" w:line="257" w:lineRule="auto"/>
        <w:rPr>
          <w:sz w:val="20"/>
          <w:szCs w:val="20"/>
          <w:color w:val="auto"/>
        </w:rPr>
      </w:pPr>
      <w:r>
        <w:rPr>
          <w:rFonts w:ascii="Arial" w:cs="Arial" w:eastAsia="Arial" w:hAnsi="Arial"/>
          <w:sz w:val="17"/>
          <w:szCs w:val="17"/>
          <w:color w:val="auto"/>
        </w:rPr>
        <w:t>The Company’s global supply chain is complex. In the course of its business operations, the Company may purchase materials and components containing conflict minerals. These materials and components may, in turn, be included in the Company’s products. Because the Company does not purchase conflict minerals directly from mines, smelters or refiners, there are many third parties in the supply chain between the Company and the original sources of conflict minerals. As a result, the Company relies on its direct suppliers to provide information regarding the origin of any conflict minerals that are included in its products. In accordance with the OECD Guidelines and related guidance provided by the SEC, the Company worked with its direct suppliers to identify, where possible, the smelters and/or refiners and countries of origin of the Subject Minerals.</w:t>
      </w:r>
    </w:p>
    <w:p>
      <w:pPr>
        <w:spacing w:after="0" w:line="148" w:lineRule="exact"/>
        <w:rPr>
          <w:sz w:val="20"/>
          <w:szCs w:val="20"/>
          <w:color w:val="auto"/>
        </w:rPr>
      </w:pPr>
    </w:p>
    <w:p>
      <w:pPr>
        <w:ind w:right="300" w:firstLine="749"/>
        <w:spacing w:after="0" w:line="257" w:lineRule="auto"/>
        <w:rPr>
          <w:sz w:val="20"/>
          <w:szCs w:val="20"/>
          <w:color w:val="auto"/>
        </w:rPr>
      </w:pPr>
      <w:r>
        <w:rPr>
          <w:rFonts w:ascii="Arial" w:cs="Arial" w:eastAsia="Arial" w:hAnsi="Arial"/>
          <w:sz w:val="17"/>
          <w:szCs w:val="17"/>
          <w:color w:val="auto"/>
        </w:rPr>
        <w:t>The Company worked to identify direct suppliers that it believed potentially provided materials or components containing Subject Minerals (collectively, the “</w:t>
      </w:r>
      <w:r>
        <w:rPr>
          <w:rFonts w:ascii="Arial" w:cs="Arial" w:eastAsia="Arial" w:hAnsi="Arial"/>
          <w:sz w:val="17"/>
          <w:szCs w:val="17"/>
          <w:b w:val="1"/>
          <w:bCs w:val="1"/>
          <w:i w:val="1"/>
          <w:iCs w:val="1"/>
          <w:color w:val="auto"/>
        </w:rPr>
        <w:t>Covered Suppliers</w:t>
      </w:r>
      <w:r>
        <w:rPr>
          <w:rFonts w:ascii="Arial" w:cs="Arial" w:eastAsia="Arial" w:hAnsi="Arial"/>
          <w:sz w:val="17"/>
          <w:szCs w:val="17"/>
          <w:color w:val="auto"/>
        </w:rPr>
        <w:t>”) during the Reporting Period. The Company then included additional questions regarding conflict minerals in its Supplier Questionnaire on Conflict Minerals, which the Company refers to as the “</w:t>
      </w:r>
      <w:r>
        <w:rPr>
          <w:rFonts w:ascii="Arial" w:cs="Arial" w:eastAsia="Arial" w:hAnsi="Arial"/>
          <w:sz w:val="17"/>
          <w:szCs w:val="17"/>
          <w:b w:val="1"/>
          <w:bCs w:val="1"/>
          <w:i w:val="1"/>
          <w:iCs w:val="1"/>
          <w:color w:val="auto"/>
        </w:rPr>
        <w:t>Supplier Questionnaire</w:t>
      </w:r>
      <w:r>
        <w:rPr>
          <w:rFonts w:ascii="Arial" w:cs="Arial" w:eastAsia="Arial" w:hAnsi="Arial"/>
          <w:sz w:val="17"/>
          <w:szCs w:val="17"/>
          <w:color w:val="auto"/>
        </w:rPr>
        <w:t>,” to determine whether each such Covered Supplier was supplying materials or components to the Company that contained Subject Minerals and, if so, to determine the source of such Subject Minerals. The Company’s Supplier Questionnaire requires suppliers, including potential suppliers, to, among other matters, confirm the source of any conflict minerals contained in materials or components supplied to the Company during the Reporting Period.</w:t>
      </w:r>
    </w:p>
    <w:p>
      <w:pPr>
        <w:spacing w:after="0" w:line="135" w:lineRule="exact"/>
        <w:rPr>
          <w:sz w:val="20"/>
          <w:szCs w:val="20"/>
          <w:color w:val="auto"/>
        </w:rPr>
      </w:pPr>
    </w:p>
    <w:p>
      <w:pPr>
        <w:ind w:firstLine="749"/>
        <w:spacing w:after="0" w:line="248" w:lineRule="auto"/>
        <w:rPr>
          <w:sz w:val="20"/>
          <w:szCs w:val="20"/>
          <w:color w:val="auto"/>
        </w:rPr>
      </w:pPr>
      <w:r>
        <w:rPr>
          <w:rFonts w:ascii="Arial" w:cs="Arial" w:eastAsia="Arial" w:hAnsi="Arial"/>
          <w:sz w:val="18"/>
          <w:szCs w:val="18"/>
          <w:color w:val="auto"/>
        </w:rPr>
        <w:t>The Company operates as a leading global provider of engineered technologies focused on critical solutions in the engineered systems and industrial process solutions segments. The Company, with respect to the Reporting Period, reasonably determined that both of its segments’ product groups contained Subject Minerals.</w:t>
      </w:r>
    </w:p>
    <w:p>
      <w:pPr>
        <w:spacing w:after="0" w:line="141" w:lineRule="exact"/>
        <w:rPr>
          <w:sz w:val="20"/>
          <w:szCs w:val="20"/>
          <w:color w:val="auto"/>
        </w:rPr>
      </w:pPr>
    </w:p>
    <w:p>
      <w:pPr>
        <w:ind w:right="180" w:firstLine="749"/>
        <w:spacing w:after="0" w:line="254" w:lineRule="auto"/>
        <w:rPr>
          <w:sz w:val="20"/>
          <w:szCs w:val="20"/>
          <w:color w:val="auto"/>
        </w:rPr>
      </w:pPr>
      <w:r>
        <w:rPr>
          <w:rFonts w:ascii="Arial" w:cs="Arial" w:eastAsia="Arial" w:hAnsi="Arial"/>
          <w:sz w:val="17"/>
          <w:szCs w:val="17"/>
          <w:color w:val="auto"/>
        </w:rPr>
        <w:t>Given the size and complexity of the Company’s global supply chain, the Company focused on its largest Covered Suppliers, ranked by the amount the Company spends with each such Covered Supplier, and Covered Suppliers that had the highest probability of supplying the Company with materials or components containing Subject Minerals (</w:t>
      </w:r>
      <w:r>
        <w:rPr>
          <w:rFonts w:ascii="Arial" w:cs="Arial" w:eastAsia="Arial" w:hAnsi="Arial"/>
          <w:sz w:val="17"/>
          <w:szCs w:val="17"/>
          <w:i w:val="1"/>
          <w:iCs w:val="1"/>
          <w:color w:val="auto"/>
        </w:rPr>
        <w:t>e.g.</w:t>
      </w:r>
      <w:r>
        <w:rPr>
          <w:rFonts w:ascii="Arial" w:cs="Arial" w:eastAsia="Arial" w:hAnsi="Arial"/>
          <w:sz w:val="17"/>
          <w:szCs w:val="17"/>
          <w:color w:val="auto"/>
        </w:rPr>
        <w:t>, electronics). An escalation process was initiated with Covered Suppliers who continued to be non-responsive after the above contacts were made, or whose initial (or subsequent) response was not complete or otherwise warranted clarification or confirmation. Using a risk-based approach, the Company evaluated responses from the Covered Suppliers for plausibility, consistency and gaps both in terms of which materials or components were stated to contain or not contain Subject Minerals, as well as the origin of those Subject Minerals. The Company engaged certain Covered Suppliers, holding discussions and reviewing the results of their internal due diligence efforts, to ensure that the Company’s inquiries regarding conflict minerals were understood and complied with.</w:t>
      </w:r>
    </w:p>
    <w:p>
      <w:pPr>
        <w:spacing w:after="0" w:line="154" w:lineRule="exact"/>
        <w:rPr>
          <w:sz w:val="20"/>
          <w:szCs w:val="20"/>
          <w:color w:val="auto"/>
        </w:rPr>
      </w:pPr>
    </w:p>
    <w:p>
      <w:pPr>
        <w:ind w:right="200" w:firstLine="749"/>
        <w:spacing w:after="0" w:line="248" w:lineRule="auto"/>
        <w:rPr>
          <w:sz w:val="20"/>
          <w:szCs w:val="20"/>
          <w:color w:val="auto"/>
        </w:rPr>
      </w:pPr>
      <w:r>
        <w:rPr>
          <w:rFonts w:ascii="Arial" w:cs="Arial" w:eastAsia="Arial" w:hAnsi="Arial"/>
          <w:sz w:val="18"/>
          <w:szCs w:val="18"/>
          <w:color w:val="auto"/>
        </w:rPr>
        <w:t>In general, the Company obtained completed Supplier Questionnaires or similar representations from Covered Suppliers. Such representations included, from certain Covered Suppliers, the Responsible Minerals Initiative (“RMI”) Conflict Minerals Reporting Template, indicating the facility at which the Subject Minerals were processed.</w:t>
      </w:r>
    </w:p>
    <w:p>
      <w:pPr>
        <w:spacing w:after="0" w:line="141" w:lineRule="exact"/>
        <w:rPr>
          <w:sz w:val="20"/>
          <w:szCs w:val="20"/>
          <w:color w:val="auto"/>
        </w:rPr>
      </w:pPr>
    </w:p>
    <w:p>
      <w:pPr>
        <w:ind w:right="100" w:firstLine="749"/>
        <w:spacing w:after="0" w:line="241" w:lineRule="auto"/>
        <w:rPr>
          <w:sz w:val="20"/>
          <w:szCs w:val="20"/>
          <w:color w:val="auto"/>
        </w:rPr>
      </w:pPr>
      <w:r>
        <w:rPr>
          <w:rFonts w:ascii="Arial" w:cs="Arial" w:eastAsia="Arial" w:hAnsi="Arial"/>
          <w:sz w:val="18"/>
          <w:szCs w:val="18"/>
          <w:color w:val="auto"/>
        </w:rPr>
        <w:t>Of the Covered Suppliers that completed Supplier Questionnaires or provided similar representations, a substantial majority reported that the Subject Minerals are not necessary to the functionality or production of their products supplied to the Company. In addition, of the Covered Suppliers that completed Supplier Questionnaires or provided similar representations, a minimal amount reported that the Subject Minerals are necessary to the functionality or production of their products supplied to the Company. Although the Company received completed Supplier Questionnaires or similar representations from Covered Suppliers that listed smelter or refiner names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399415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5" w:name="page6"/>
    <w:bookmarkEnd w:id="5"/>
    <w:p>
      <w:pPr>
        <w:spacing w:after="0" w:line="239" w:lineRule="auto"/>
        <w:rPr>
          <w:sz w:val="20"/>
          <w:szCs w:val="20"/>
          <w:color w:val="auto"/>
        </w:rPr>
      </w:pPr>
      <w:r>
        <w:rPr>
          <w:rFonts w:ascii="Arial" w:cs="Arial" w:eastAsia="Arial" w:hAnsi="Arial"/>
          <w:sz w:val="18"/>
          <w:szCs w:val="18"/>
          <w:color w:val="auto"/>
        </w:rPr>
        <w:t>and/or countries of origin for the Subject Minerals, such Covered Suppliers were unable to accurately report which specific smelters or refiners and/or countries of origin were part of the supply chain for the Subject Minerals. For example, the majority of Covered Suppliers reported their sourcing results on a company-wide basis, rather than on a product-specific basis, or were unable to determine the smelter or refiner and/or countries of origin for the Subject Minerals. A Covered Supplier’s failure to identify a specific smelter or refiner and/or country of origin at any point in its supply chain will drive an equivalent response for the Company and, therefore, the Company is unable to report any known smelters or refiners or countries of origin for the Subject Minerals at this time. The Company’s RCOI procedures are an evolving process. See “</w:t>
      </w:r>
      <w:r>
        <w:rPr>
          <w:rFonts w:ascii="Arial" w:cs="Arial" w:eastAsia="Arial" w:hAnsi="Arial"/>
          <w:sz w:val="18"/>
          <w:szCs w:val="18"/>
          <w:i w:val="1"/>
          <w:iCs w:val="1"/>
          <w:color w:val="auto"/>
        </w:rPr>
        <w:t>Additional Due Diligence and Risk Mitigation</w:t>
      </w:r>
      <w:r>
        <w:rPr>
          <w:rFonts w:ascii="Arial" w:cs="Arial" w:eastAsia="Arial" w:hAnsi="Arial"/>
          <w:sz w:val="18"/>
          <w:szCs w:val="18"/>
          <w:color w:val="auto"/>
        </w:rPr>
        <w:t>” below for additional detail.</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Due Diligence</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17"/>
          <w:szCs w:val="17"/>
          <w:color w:val="auto"/>
        </w:rPr>
        <w:t>The Company’s due diligence process is based on the OECD Guidelines. Due diligence measures undertaken by the Company during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Reporting Period included the following:</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Establish Strong Company Management Systems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Internal Team to Support Supply Chain Due Diligence.</w:t>
      </w:r>
    </w:p>
    <w:p>
      <w:pPr>
        <w:spacing w:after="0" w:line="212" w:lineRule="exact"/>
        <w:rPr>
          <w:sz w:val="20"/>
          <w:szCs w:val="20"/>
          <w:color w:val="auto"/>
        </w:rPr>
      </w:pPr>
    </w:p>
    <w:p>
      <w:pPr>
        <w:ind w:right="60" w:firstLine="749"/>
        <w:spacing w:after="0" w:line="257" w:lineRule="auto"/>
        <w:rPr>
          <w:sz w:val="20"/>
          <w:szCs w:val="20"/>
          <w:color w:val="auto"/>
        </w:rPr>
      </w:pPr>
      <w:r>
        <w:rPr>
          <w:rFonts w:ascii="Arial" w:cs="Arial" w:eastAsia="Arial" w:hAnsi="Arial"/>
          <w:sz w:val="17"/>
          <w:szCs w:val="17"/>
          <w:color w:val="auto"/>
        </w:rPr>
        <w:t>The Company has established an internal team to manage conflict minerals engagement with its suppliers. During the Reporting Period, the Company held meetings with legal advisors, the Company’s Chief Financial Officer and with senior members of the Company’s supply chain management department and environmental/health/safety department to educate the Company’s procurement and compliance personnel on the SEC’s rules regarding conflict minerals and to ensure the timely implementation of the Company’s conflict minerals programs. This center-led team of subject matter experts is responsible for working with the Company’s employees to provide training and guidance, implement reporting systems and facilitate communication between departments with respect to compliance with the SEC’s reporting requirements regarding conflict minerals.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Internal Measures Taken to Strengthen Engagement with Suppliers.</w:t>
      </w:r>
    </w:p>
    <w:p>
      <w:pPr>
        <w:spacing w:after="0" w:line="212" w:lineRule="exact"/>
        <w:rPr>
          <w:sz w:val="20"/>
          <w:szCs w:val="20"/>
          <w:color w:val="auto"/>
        </w:rPr>
      </w:pPr>
    </w:p>
    <w:p>
      <w:pPr>
        <w:ind w:right="180" w:firstLine="749"/>
        <w:spacing w:after="0" w:line="262" w:lineRule="auto"/>
        <w:rPr>
          <w:sz w:val="20"/>
          <w:szCs w:val="20"/>
          <w:color w:val="auto"/>
        </w:rPr>
      </w:pPr>
      <w:r>
        <w:rPr>
          <w:rFonts w:ascii="Arial" w:cs="Arial" w:eastAsia="Arial" w:hAnsi="Arial"/>
          <w:sz w:val="17"/>
          <w:szCs w:val="17"/>
          <w:color w:val="auto"/>
        </w:rPr>
        <w:t>The Company’s conflict minerals reporting compliance measures are managed at the division level where the supplier relationship exists. Each division is responsible for managing the conflict minerals, if any, provided by its supply base and for identifying, where possible, the supplier of such conflict minerals in the Company’s materials or components. Using the Supplier Questionnaire, the Company engages suppliers of conflict minerals, communicates its reporting obligations with respect to conflict minerals and follows up with such suppliers to ensure ongoing compliance.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Adoption of Conflict Minerals Policy.</w:t>
      </w:r>
    </w:p>
    <w:p>
      <w:pPr>
        <w:spacing w:after="0" w:line="212" w:lineRule="exact"/>
        <w:rPr>
          <w:sz w:val="20"/>
          <w:szCs w:val="20"/>
          <w:color w:val="auto"/>
        </w:rPr>
      </w:pPr>
    </w:p>
    <w:p>
      <w:pPr>
        <w:ind w:right="140" w:firstLine="749"/>
        <w:spacing w:after="0" w:line="294" w:lineRule="auto"/>
        <w:rPr>
          <w:sz w:val="20"/>
          <w:szCs w:val="20"/>
          <w:color w:val="auto"/>
        </w:rPr>
      </w:pPr>
      <w:r>
        <w:rPr>
          <w:rFonts w:ascii="Arial" w:cs="Arial" w:eastAsia="Arial" w:hAnsi="Arial"/>
          <w:sz w:val="16"/>
          <w:szCs w:val="16"/>
          <w:color w:val="auto"/>
        </w:rPr>
        <w:t>Within the Company’s supplier relationships, the Company seeks to ethically manage its sourcing processes and hold the Company and its suppliers to high standards of behavior. This means that the Company is committed to working with its suppliers to encourage responsible practices throughout the supply network. The Company’s conflict minerals policy is publicly available at https://investors.cecoenviro.com/conflict-minerals-policy.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Identify and Assess Risks in the Supply Chain</w:t>
      </w:r>
    </w:p>
    <w:p>
      <w:pPr>
        <w:spacing w:after="0" w:line="212" w:lineRule="exact"/>
        <w:rPr>
          <w:sz w:val="20"/>
          <w:szCs w:val="20"/>
          <w:color w:val="auto"/>
        </w:rPr>
      </w:pPr>
    </w:p>
    <w:p>
      <w:pPr>
        <w:ind w:right="500" w:firstLine="749"/>
        <w:spacing w:after="0" w:line="291" w:lineRule="auto"/>
        <w:rPr>
          <w:sz w:val="20"/>
          <w:szCs w:val="20"/>
          <w:color w:val="auto"/>
        </w:rPr>
      </w:pPr>
      <w:r>
        <w:rPr>
          <w:rFonts w:ascii="Arial" w:cs="Arial" w:eastAsia="Arial" w:hAnsi="Arial"/>
          <w:sz w:val="17"/>
          <w:szCs w:val="17"/>
          <w:color w:val="auto"/>
        </w:rPr>
        <w:t>As discussed above, the Company continues to assess its supply chain risks and work with its suppliers in developing greater supply chain transparency. This includes surveying various procurement and supply chain personnel for Conflict Mineral policy compliance.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Design and Implement a Strategy to Respond to Identified Risks</w:t>
      </w:r>
    </w:p>
    <w:p>
      <w:pPr>
        <w:spacing w:after="0" w:line="212" w:lineRule="exact"/>
        <w:rPr>
          <w:sz w:val="20"/>
          <w:szCs w:val="20"/>
          <w:color w:val="auto"/>
        </w:rPr>
      </w:pPr>
    </w:p>
    <w:p>
      <w:pPr>
        <w:ind w:right="40" w:firstLine="749"/>
        <w:spacing w:after="0" w:line="248" w:lineRule="auto"/>
        <w:rPr>
          <w:sz w:val="20"/>
          <w:szCs w:val="20"/>
          <w:color w:val="auto"/>
        </w:rPr>
      </w:pPr>
      <w:r>
        <w:rPr>
          <w:rFonts w:ascii="Arial" w:cs="Arial" w:eastAsia="Arial" w:hAnsi="Arial"/>
          <w:sz w:val="18"/>
          <w:szCs w:val="18"/>
          <w:color w:val="auto"/>
        </w:rPr>
        <w:t>The Company is committed to maintaining high standards of corporate responsibility through its compliance with Form SD. As required by Form SD, the Company is reporting the findings of its RCOI and additional due diligence measures through the preparation of this Report. The Company’s internal team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394970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manages conflict minerals engagement with the Company’s suppliers also works to address any significant due diligence findings as they arise. For example, as noted above, the Company conducted additional due diligence for certain Covered Suppliers who provided inadequate or incomplete initial responses to the Company’s RCOI. The Company uses its Supplier Questionnaires to monitor the use of conflict minerals in its supply chain. Data from the Supplier Questionnaires is used at the corporate, group and division levels to oversee the Company’s supplier base. In addition, the questionnaires provide key metrics to decision makers to assist with the Company’s conflict minerals reporting compliance and provide meaningful comparisons regarding supply chain transparency across the Company.</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Carry Out Independent Third-Party Audit of Smelter’s / Refiner’s Due Diligence Practices</w:t>
      </w:r>
    </w:p>
    <w:p>
      <w:pPr>
        <w:spacing w:after="0" w:line="212" w:lineRule="exact"/>
        <w:rPr>
          <w:sz w:val="20"/>
          <w:szCs w:val="20"/>
          <w:color w:val="auto"/>
        </w:rPr>
      </w:pPr>
    </w:p>
    <w:p>
      <w:pPr>
        <w:ind w:firstLine="749"/>
        <w:spacing w:after="0" w:line="248" w:lineRule="auto"/>
        <w:rPr>
          <w:sz w:val="20"/>
          <w:szCs w:val="20"/>
          <w:color w:val="auto"/>
        </w:rPr>
      </w:pPr>
      <w:r>
        <w:rPr>
          <w:rFonts w:ascii="Arial" w:cs="Arial" w:eastAsia="Arial" w:hAnsi="Arial"/>
          <w:sz w:val="18"/>
          <w:szCs w:val="18"/>
          <w:color w:val="auto"/>
        </w:rPr>
        <w:t>Where possible, the Company has relied on third-party assurances and certifications. For example, the Company accepts as reliable any smelter that is compliant with the RMI Responsible Mineral Assurance Process standards. To the extent that other audited supplier certifications are provided to the Company, the Company may consider reliance on a case-by-case basis.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Report Annually on Supply Chain Due Diligence</w:t>
      </w:r>
    </w:p>
    <w:p>
      <w:pPr>
        <w:spacing w:after="0" w:line="212" w:lineRule="exact"/>
        <w:rPr>
          <w:sz w:val="20"/>
          <w:szCs w:val="20"/>
          <w:color w:val="auto"/>
        </w:rPr>
      </w:pPr>
    </w:p>
    <w:p>
      <w:pPr>
        <w:ind w:right="320" w:firstLine="749"/>
        <w:spacing w:after="0" w:line="261" w:lineRule="auto"/>
        <w:rPr>
          <w:sz w:val="20"/>
          <w:szCs w:val="20"/>
          <w:color w:val="auto"/>
        </w:rPr>
      </w:pPr>
      <w:r>
        <w:rPr>
          <w:rFonts w:ascii="Arial" w:cs="Arial" w:eastAsia="Arial" w:hAnsi="Arial"/>
          <w:sz w:val="18"/>
          <w:szCs w:val="18"/>
          <w:color w:val="auto"/>
        </w:rPr>
        <w:t>The Form SD and this Report are publicly available at www.cecoenviro.com/sec-filings and meet the OECD Guidelines’ recommendation to report annually on supply chain due diligence.</w:t>
      </w:r>
    </w:p>
    <w:p>
      <w:pPr>
        <w:spacing w:after="0" w:line="167"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2. Due Diligence Results.</w:t>
      </w:r>
    </w:p>
    <w:p>
      <w:pPr>
        <w:spacing w:after="0" w:line="216" w:lineRule="exact"/>
        <w:rPr>
          <w:sz w:val="20"/>
          <w:szCs w:val="20"/>
          <w:color w:val="auto"/>
        </w:rPr>
      </w:pPr>
    </w:p>
    <w:p>
      <w:pPr>
        <w:ind w:right="20" w:firstLine="749"/>
        <w:spacing w:after="0" w:line="284" w:lineRule="auto"/>
        <w:rPr>
          <w:sz w:val="20"/>
          <w:szCs w:val="20"/>
          <w:color w:val="auto"/>
        </w:rPr>
      </w:pPr>
      <w:r>
        <w:rPr>
          <w:rFonts w:ascii="Arial" w:cs="Arial" w:eastAsia="Arial" w:hAnsi="Arial"/>
          <w:sz w:val="16"/>
          <w:szCs w:val="16"/>
          <w:color w:val="auto"/>
        </w:rPr>
        <w:t>Based on the information obtained pursuant to the Supplier Questionnaires, RCOI and due diligence process described above, the Company does not have sufficient information, with respect to the Reporting Period, to determine the known facility/smelter or country of origin of any of the Subject Minerals. The Company expects to continue to implement and refine its conflict minerals program to improve its supply chain transparency by obtaining more accurate and more complete information from its suppliers. See “Additional Due Diligence and Risk Mitigation” below for additional detail.</w:t>
      </w:r>
    </w:p>
    <w:p>
      <w:pPr>
        <w:spacing w:after="0" w:line="151"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3. Additional Due Diligence and Risk Mitigation.</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Company expects to take the following steps, among others, to improve its RCOI process and due diligence measures: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Terms and Conditions / Supplier Code of Conduct</w:t>
      </w:r>
    </w:p>
    <w:p>
      <w:pPr>
        <w:spacing w:after="0" w:line="212" w:lineRule="exact"/>
        <w:rPr>
          <w:sz w:val="20"/>
          <w:szCs w:val="20"/>
          <w:color w:val="auto"/>
        </w:rPr>
      </w:pPr>
    </w:p>
    <w:p>
      <w:pPr>
        <w:ind w:firstLine="749"/>
        <w:spacing w:after="0" w:line="257" w:lineRule="auto"/>
        <w:rPr>
          <w:sz w:val="20"/>
          <w:szCs w:val="20"/>
          <w:color w:val="auto"/>
        </w:rPr>
      </w:pPr>
      <w:r>
        <w:rPr>
          <w:rFonts w:ascii="Arial" w:cs="Arial" w:eastAsia="Arial" w:hAnsi="Arial"/>
          <w:sz w:val="17"/>
          <w:szCs w:val="17"/>
          <w:color w:val="auto"/>
        </w:rPr>
        <w:t>The Company is continuing to strengthen its commitment to the responsible sourcing of conflict minerals through the use of specific terms and conditions in certain supply agreements and purchase orders. When engaging certain suppliers who may supply the Company with materials or components containing conflict minerals, the Company may in the future include terms and conditions in certain supply agreements and purchase orders that require, among other matters, that no materials or components supplied under such contract may contain any conflict minerals that directly or indirectly finance any armed group that has been identified as a perpetrator of human rights abuses. The Company may establish a supplier code of conduct to prohibit suppliers from supplying the Company with certain conflict minerals originating in the Covered Countries.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Continuous Improvement of Supply Chain Due Diligence</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Company expects to continue to improve its supply chain due diligence efforts. Such measures may include, but are not limited to:</w:t>
      </w:r>
    </w:p>
    <w:p>
      <w:pPr>
        <w:spacing w:after="0" w:line="185" w:lineRule="exact"/>
        <w:rPr>
          <w:sz w:val="20"/>
          <w:szCs w:val="20"/>
          <w:color w:val="auto"/>
        </w:rPr>
      </w:pPr>
    </w:p>
    <w:p>
      <w:pPr>
        <w:ind w:left="760" w:hanging="378"/>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assessing the presence of conflict minerals in its supply chain;</w:t>
      </w:r>
    </w:p>
    <w:p>
      <w:pPr>
        <w:spacing w:after="0" w:line="171" w:lineRule="exact"/>
        <w:rPr>
          <w:rFonts w:ascii="Arial" w:cs="Arial" w:eastAsia="Arial" w:hAnsi="Arial"/>
          <w:sz w:val="18"/>
          <w:szCs w:val="18"/>
          <w:color w:val="auto"/>
        </w:rPr>
      </w:pPr>
    </w:p>
    <w:p>
      <w:pPr>
        <w:ind w:left="760" w:hanging="378"/>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clearly communicating expectations with regard to transparency of supplier sourcing of conflict minerals;</w:t>
      </w:r>
    </w:p>
    <w:p>
      <w:pPr>
        <w:spacing w:after="0" w:line="171" w:lineRule="exact"/>
        <w:rPr>
          <w:rFonts w:ascii="Arial" w:cs="Arial" w:eastAsia="Arial" w:hAnsi="Arial"/>
          <w:sz w:val="18"/>
          <w:szCs w:val="18"/>
          <w:color w:val="auto"/>
        </w:rPr>
      </w:pPr>
    </w:p>
    <w:p>
      <w:pPr>
        <w:ind w:left="760" w:hanging="378"/>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increasing the response rate for the RCOI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422275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 w:name="page8"/>
    <w:bookmarkEnd w:id="7"/>
    <w:p>
      <w:pPr>
        <w:ind w:left="378" w:hanging="378"/>
        <w:spacing w:after="0"/>
        <w:tabs>
          <w:tab w:leader="none" w:pos="378" w:val="left"/>
        </w:tabs>
        <w:numPr>
          <w:ilvl w:val="0"/>
          <w:numId w:val="5"/>
        </w:numPr>
        <w:rPr>
          <w:rFonts w:ascii="Arial" w:cs="Arial" w:eastAsia="Arial" w:hAnsi="Arial"/>
          <w:sz w:val="18"/>
          <w:szCs w:val="18"/>
          <w:color w:val="auto"/>
        </w:rPr>
      </w:pPr>
      <w:r>
        <w:rPr>
          <w:rFonts w:ascii="Arial" w:cs="Arial" w:eastAsia="Arial" w:hAnsi="Arial"/>
          <w:sz w:val="18"/>
          <w:szCs w:val="18"/>
          <w:color w:val="auto"/>
        </w:rPr>
        <w:t>surveying various internal procurement and supply chain personnel for Conflict Mineral policy compliance;</w:t>
      </w:r>
    </w:p>
    <w:p>
      <w:pPr>
        <w:spacing w:after="0" w:line="171" w:lineRule="exact"/>
        <w:rPr>
          <w:rFonts w:ascii="Arial" w:cs="Arial" w:eastAsia="Arial" w:hAnsi="Arial"/>
          <w:sz w:val="18"/>
          <w:szCs w:val="18"/>
          <w:color w:val="auto"/>
        </w:rPr>
      </w:pPr>
    </w:p>
    <w:p>
      <w:pPr>
        <w:ind w:left="378" w:right="60" w:hanging="378"/>
        <w:spacing w:after="0" w:line="261" w:lineRule="auto"/>
        <w:tabs>
          <w:tab w:leader="none" w:pos="378"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continuing to compare RCOI results to information collected via independent conflict free smelter validation programs such as the RMI Responsible Mineral Assurance Process standards; and</w:t>
      </w:r>
    </w:p>
    <w:p>
      <w:pPr>
        <w:spacing w:after="0" w:line="143" w:lineRule="exact"/>
        <w:rPr>
          <w:rFonts w:ascii="Arial" w:cs="Arial" w:eastAsia="Arial" w:hAnsi="Arial"/>
          <w:sz w:val="18"/>
          <w:szCs w:val="18"/>
          <w:color w:val="auto"/>
        </w:rPr>
      </w:pPr>
    </w:p>
    <w:p>
      <w:pPr>
        <w:ind w:left="378" w:hanging="378"/>
        <w:spacing w:after="0" w:line="261" w:lineRule="auto"/>
        <w:tabs>
          <w:tab w:leader="none" w:pos="378"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contacting smelters identified as a result of the RCOI process and requesting their compliance with an industry program such as the RMI Responsible Mineral Assurance Process standards.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-249555</wp:posOffset>
            </wp:positionH>
            <wp:positionV relativeFrom="paragraph">
              <wp:posOffset>387985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0218"/>
      </w:cols>
      <w:pgMar w:left="702" w:top="125" w:right="9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3"/>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2022-05-24T11:02:04Z</dcterms:created>
  <dcterms:modified xsi:type="dcterms:W3CDTF">2022-05-24T11:02:04Z</dcterms:modified>
</cp:coreProperties>
</file>