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124460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151765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6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Date of Report (Date of earliest event reported): May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146685</wp:posOffset>
            </wp:positionV>
            <wp:extent cx="1645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133350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ectPr>
          <w:pgSz w:w="11900" w:h="16838" w:orient="portrait"/>
          <w:cols w:equalWidth="0" w:num="1">
            <w:col w:w="11080"/>
          </w:cols>
          <w:pgMar w:left="320" w:top="391" w:right="49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580" w:space="720"/>
            <w:col w:w="2980" w:space="720"/>
            <w:col w:w="2080"/>
          </w:cols>
          <w:pgMar w:left="320" w:top="391" w:right="499" w:bottom="1440" w:gutter="0" w:footer="0" w:header="0"/>
          <w:type w:val="continuous"/>
        </w:sectPr>
      </w:pPr>
    </w:p>
    <w:p>
      <w:pPr>
        <w:spacing w:after="0" w:line="12" w:lineRule="exact"/>
        <w:rPr>
          <w:sz w:val="24"/>
          <w:szCs w:val="24"/>
          <w:color w:val="auto"/>
        </w:rPr>
      </w:pPr>
    </w:p>
    <w:p>
      <w:pPr>
        <w:jc w:val="center"/>
        <w:ind w:right="880"/>
        <w:spacing w:after="0"/>
        <w:rPr>
          <w:sz w:val="20"/>
          <w:szCs w:val="20"/>
          <w:color w:val="auto"/>
        </w:rPr>
      </w:pPr>
      <w:r>
        <w:rPr>
          <w:rFonts w:ascii="Arial" w:cs="Arial" w:eastAsia="Arial" w:hAnsi="Arial"/>
          <w:sz w:val="13"/>
          <w:szCs w:val="13"/>
          <w:b w:val="1"/>
          <w:bCs w:val="1"/>
          <w:color w:val="auto"/>
        </w:rPr>
        <w:t>(State or other jurisdiction</w:t>
      </w:r>
    </w:p>
    <w:p>
      <w:pPr>
        <w:jc w:val="center"/>
        <w:ind w:right="8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500" w:space="720"/>
            <w:col w:w="2940" w:space="720"/>
            <w:col w:w="2200"/>
          </w:cols>
          <w:pgMar w:left="320" w:top="391" w:right="499" w:bottom="1440" w:gutter="0" w:footer="0" w:header="0"/>
          <w:type w:val="continuous"/>
        </w:sectPr>
      </w:pPr>
    </w:p>
    <w:p>
      <w:pPr>
        <w:jc w:val="center"/>
        <w:ind w:right="5560"/>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5560"/>
        <w:spacing w:after="0"/>
        <w:rPr>
          <w:sz w:val="20"/>
          <w:szCs w:val="20"/>
          <w:color w:val="auto"/>
        </w:rPr>
      </w:pPr>
      <w:r>
        <w:rPr>
          <w:rFonts w:ascii="Arial" w:cs="Arial" w:eastAsia="Arial" w:hAnsi="Arial"/>
          <w:sz w:val="18"/>
          <w:szCs w:val="18"/>
          <w:b w:val="1"/>
          <w:bCs w:val="1"/>
          <w:color w:val="auto"/>
        </w:rPr>
        <w:t>Suite 500</w:t>
      </w:r>
    </w:p>
    <w:p>
      <w:pPr>
        <w:sectPr>
          <w:pgSz w:w="11900" w:h="16838" w:orient="portrait"/>
          <w:cols w:equalWidth="0" w:num="1">
            <w:col w:w="11080"/>
          </w:cols>
          <w:pgMar w:left="320" w:top="391" w:right="499" w:bottom="1440" w:gutter="0" w:footer="0" w:header="0"/>
          <w:type w:val="continuous"/>
        </w:sectPr>
      </w:pPr>
    </w:p>
    <w:p>
      <w:pPr>
        <w:spacing w:after="0" w:line="9" w:lineRule="exact"/>
        <w:rPr>
          <w:sz w:val="24"/>
          <w:szCs w:val="24"/>
          <w:color w:val="auto"/>
        </w:rPr>
      </w:pPr>
    </w:p>
    <w:p>
      <w:pPr>
        <w:ind w:left="2340"/>
        <w:spacing w:after="0"/>
        <w:rPr>
          <w:sz w:val="20"/>
          <w:szCs w:val="20"/>
          <w:color w:val="auto"/>
        </w:rPr>
      </w:pPr>
      <w:r>
        <w:rPr>
          <w:rFonts w:ascii="Arial" w:cs="Arial" w:eastAsia="Arial" w:hAnsi="Arial"/>
          <w:sz w:val="17"/>
          <w:szCs w:val="17"/>
          <w:b w:val="1"/>
          <w:bCs w:val="1"/>
          <w:color w:val="auto"/>
        </w:rPr>
        <w:t>Dallas</w:t>
      </w:r>
      <w:r>
        <w:rPr>
          <w:rFonts w:ascii="Arial" w:cs="Arial" w:eastAsia="Arial" w:hAnsi="Arial"/>
          <w:sz w:val="18"/>
          <w:szCs w:val="18"/>
          <w:b w:val="1"/>
          <w:bCs w:val="1"/>
          <w:color w:val="auto"/>
        </w:rPr>
        <w:t>, 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75254</w:t>
      </w:r>
    </w:p>
    <w:p>
      <w:pPr>
        <w:spacing w:after="0" w:line="49" w:lineRule="exact"/>
        <w:rPr>
          <w:sz w:val="24"/>
          <w:szCs w:val="24"/>
          <w:color w:val="auto"/>
        </w:rPr>
      </w:pPr>
    </w:p>
    <w:p>
      <w:pPr>
        <w:sectPr>
          <w:pgSz w:w="11900" w:h="16838" w:orient="portrait"/>
          <w:cols w:equalWidth="0" w:num="2">
            <w:col w:w="7540" w:space="720"/>
            <w:col w:w="2820"/>
          </w:cols>
          <w:pgMar w:left="320" w:top="391" w:right="49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39" w:lineRule="exact"/>
        <w:rPr>
          <w:sz w:val="24"/>
          <w:szCs w:val="24"/>
          <w:color w:val="auto"/>
        </w:rPr>
      </w:pPr>
    </w:p>
    <w:p>
      <w:pPr>
        <w:sectPr>
          <w:pgSz w:w="11900" w:h="16838" w:orient="portrait"/>
          <w:cols w:equalWidth="0" w:num="2">
            <w:col w:w="7440" w:space="720"/>
            <w:col w:w="2920"/>
          </w:cols>
          <w:pgMar w:left="320" w:top="391"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560" w:right="2460" w:hanging="3552"/>
        <w:spacing w:after="0" w:line="428" w:lineRule="auto"/>
        <w:tabs>
          <w:tab w:leader="none" w:pos="59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100" w:type="dxa"/>
        <w:tblCellMar>
          <w:top w:w="0" w:type="dxa"/>
          <w:left w:w="0" w:type="dxa"/>
          <w:bottom w:w="0" w:type="dxa"/>
          <w:right w:w="0" w:type="dxa"/>
        </w:tblCellMar>
      </w:tblPr>
      <w:tr>
        <w:trPr>
          <w:trHeight w:val="182"/>
        </w:trPr>
        <w:tc>
          <w:tcPr>
            <w:tcW w:w="3100" w:type="dxa"/>
            <w:vAlign w:val="bottom"/>
          </w:tcPr>
          <w:p>
            <w:pPr>
              <w:jc w:val="center"/>
              <w:ind w:right="588"/>
              <w:spacing w:after="0"/>
              <w:rPr>
                <w:sz w:val="20"/>
                <w:szCs w:val="20"/>
                <w:color w:val="auto"/>
              </w:rPr>
            </w:pPr>
            <w:r>
              <w:rPr>
                <w:rFonts w:ascii="Arial" w:cs="Arial" w:eastAsia="Arial" w:hAnsi="Arial"/>
                <w:sz w:val="14"/>
                <w:szCs w:val="14"/>
                <w:color w:val="auto"/>
                <w:w w:val="92"/>
              </w:rPr>
              <w:t>Title of each class</w:t>
            </w:r>
          </w:p>
        </w:tc>
        <w:tc>
          <w:tcPr>
            <w:tcW w:w="2380" w:type="dxa"/>
            <w:vAlign w:val="bottom"/>
          </w:tcPr>
          <w:p>
            <w:pPr>
              <w:jc w:val="center"/>
              <w:ind w:right="48"/>
              <w:spacing w:after="0"/>
              <w:rPr>
                <w:sz w:val="20"/>
                <w:szCs w:val="20"/>
                <w:color w:val="auto"/>
              </w:rPr>
            </w:pPr>
            <w:r>
              <w:rPr>
                <w:rFonts w:ascii="Arial" w:cs="Arial" w:eastAsia="Arial" w:hAnsi="Arial"/>
                <w:sz w:val="14"/>
                <w:szCs w:val="14"/>
                <w:color w:val="auto"/>
                <w:w w:val="95"/>
              </w:rPr>
              <w:t>Trading Symbol</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203"/>
        </w:trPr>
        <w:tc>
          <w:tcPr>
            <w:tcW w:w="3100" w:type="dxa"/>
            <w:vAlign w:val="bottom"/>
          </w:tcPr>
          <w:p>
            <w:pPr>
              <w:jc w:val="center"/>
              <w:ind w:right="608"/>
              <w:spacing w:after="0"/>
              <w:rPr>
                <w:sz w:val="20"/>
                <w:szCs w:val="20"/>
                <w:color w:val="auto"/>
              </w:rPr>
            </w:pPr>
            <w:r>
              <w:rPr>
                <w:rFonts w:ascii="Arial" w:cs="Arial" w:eastAsia="Arial" w:hAnsi="Arial"/>
                <w:sz w:val="14"/>
                <w:szCs w:val="14"/>
                <w:color w:val="auto"/>
                <w:w w:val="91"/>
              </w:rPr>
              <w:t>Common Stock, par value $0.01 per share</w:t>
            </w:r>
          </w:p>
        </w:tc>
        <w:tc>
          <w:tcPr>
            <w:tcW w:w="2380" w:type="dxa"/>
            <w:vAlign w:val="bottom"/>
          </w:tcPr>
          <w:p>
            <w:pPr>
              <w:jc w:val="center"/>
              <w:ind w:right="28"/>
              <w:spacing w:after="0"/>
              <w:rPr>
                <w:sz w:val="20"/>
                <w:szCs w:val="20"/>
                <w:color w:val="auto"/>
              </w:rPr>
            </w:pPr>
            <w:r>
              <w:rPr>
                <w:rFonts w:ascii="Arial" w:cs="Arial" w:eastAsia="Arial" w:hAnsi="Arial"/>
                <w:sz w:val="14"/>
                <w:szCs w:val="14"/>
                <w:color w:val="auto"/>
                <w:w w:val="92"/>
              </w:rPr>
              <w:t>CECE</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7"/>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-240665</wp:posOffset>
            </wp:positionV>
            <wp:extent cx="672084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266065"/>
                    </a:xfrm>
                    <a:prstGeom prst="rect">
                      <a:avLst/>
                    </a:prstGeom>
                    <a:noFill/>
                  </pic:spPr>
                </pic:pic>
              </a:graphicData>
            </a:graphic>
          </wp:anchor>
        </w:drawing>
      </w:r>
    </w:p>
    <w:p>
      <w:pPr>
        <w:spacing w:after="0" w:line="16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4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91"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May 6, 2021, CECO Environmental Corp., a Delaware corporation, issued a press release announcing its financial results for the three months ended March 31, 2021. A copy of the press release is furnished as Exhibit 99.1 to this report and is incorporated herein by reference.</w:t>
      </w:r>
    </w:p>
    <w:p>
      <w:pPr>
        <w:spacing w:after="0" w:line="14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10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2"/>
                <w:szCs w:val="22"/>
                <w:color w:val="auto"/>
              </w:rPr>
            </w:pPr>
          </w:p>
        </w:tc>
        <w:tc>
          <w:tcPr>
            <w:tcW w:w="1022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6,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790"/>
        </w:trPr>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676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678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35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9728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Reports First Quarter 2021 Results;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Strong Start to 2021 Achieving Significant Growth in Bookings and Backlog</w:t>
      </w:r>
    </w:p>
    <w:p>
      <w:pPr>
        <w:spacing w:after="0" w:line="243" w:lineRule="exact"/>
        <w:rPr>
          <w:sz w:val="20"/>
          <w:szCs w:val="20"/>
          <w:color w:val="auto"/>
        </w:rPr>
      </w:pPr>
    </w:p>
    <w:p>
      <w:pPr>
        <w:ind w:left="120" w:right="60"/>
        <w:spacing w:after="0" w:line="284" w:lineRule="auto"/>
        <w:rPr>
          <w:sz w:val="20"/>
          <w:szCs w:val="20"/>
          <w:color w:val="auto"/>
        </w:rPr>
      </w:pPr>
      <w:r>
        <w:rPr>
          <w:rFonts w:ascii="Arial" w:cs="Arial" w:eastAsia="Arial" w:hAnsi="Arial"/>
          <w:sz w:val="19"/>
          <w:szCs w:val="19"/>
          <w:b w:val="1"/>
          <w:bCs w:val="1"/>
          <w:color w:val="auto"/>
        </w:rPr>
        <w:t xml:space="preserve">DALLAS, Texas, May 6, 2021 -- CECO Environmental Corp. (Nasdaq: CECE), </w:t>
      </w:r>
      <w:r>
        <w:rPr>
          <w:rFonts w:ascii="Arial" w:cs="Arial" w:eastAsia="Arial" w:hAnsi="Arial"/>
          <w:sz w:val="19"/>
          <w:szCs w:val="19"/>
          <w:color w:val="auto"/>
        </w:rPr>
        <w:t>a leading global air quality and fluid handling</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serving the energy, industrial and other niche markets, today reported its financial results for the first quarter of 2021.</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Highlights of the First Quarter 2021*</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of $71.9 million, compared with $80.5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Gross profit of $24.4 million (33.9% margin), compared with 28.3 million (35.2% margin)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Operating income of $3.1 million, compared with $4.2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operating income of $5.0 million, compared with $6.3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was $1.2 million, compared with $3.4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net income of $3.1 million, compared with $5.3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$6.4 million, compared with $7.4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Earnings per diluted share was $0.03, compared with $0.10</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earnings per diluted share of $0.09, compared with $0.15</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Bookings of $92.1 million, compared with $75.7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Backlog of $203.1 million, compared with $183.1 million as of December 31, 2020</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Cash provided by operating activities of $9.9 million, compared with $7.0 million</w:t>
      </w:r>
    </w:p>
    <w:p>
      <w:pPr>
        <w:ind w:left="740" w:hanging="368"/>
        <w:spacing w:after="0" w:line="204" w:lineRule="auto"/>
        <w:tabs>
          <w:tab w:leader="none" w:pos="740" w:val="left"/>
        </w:tabs>
        <w:numPr>
          <w:ilvl w:val="0"/>
          <w:numId w:val="3"/>
        </w:numPr>
        <w:rPr>
          <w:rFonts w:ascii="Arial" w:cs="Arial" w:eastAsia="Arial" w:hAnsi="Arial"/>
          <w:sz w:val="22"/>
          <w:szCs w:val="22"/>
          <w:color w:val="auto"/>
        </w:rPr>
      </w:pPr>
      <w:r>
        <w:rPr>
          <w:rFonts w:ascii="Arial" w:cs="Arial" w:eastAsia="Arial" w:hAnsi="Arial"/>
          <w:sz w:val="20"/>
          <w:szCs w:val="20"/>
          <w:color w:val="auto"/>
        </w:rPr>
        <w:t>Cash and cash equivalents were $40.9 million, compared with $36.0 million as of December 31, 2020</w:t>
      </w:r>
    </w:p>
    <w:p>
      <w:pPr>
        <w:ind w:left="740" w:hanging="368"/>
        <w:spacing w:after="0" w:line="224" w:lineRule="auto"/>
        <w:tabs>
          <w:tab w:leader="none" w:pos="740" w:val="left"/>
        </w:tabs>
        <w:numPr>
          <w:ilvl w:val="0"/>
          <w:numId w:val="3"/>
        </w:numPr>
        <w:rPr>
          <w:rFonts w:ascii="Arial" w:cs="Arial" w:eastAsia="Arial" w:hAnsi="Arial"/>
          <w:sz w:val="22"/>
          <w:szCs w:val="22"/>
          <w:color w:val="auto"/>
        </w:rPr>
      </w:pPr>
      <w:r>
        <w:rPr>
          <w:rFonts w:ascii="Arial" w:cs="Arial" w:eastAsia="Arial" w:hAnsi="Arial"/>
          <w:sz w:val="20"/>
          <w:szCs w:val="20"/>
          <w:color w:val="auto"/>
        </w:rPr>
        <w:t>Bank Debt of $70.6 million, compared with $74.0 million as of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are versus the comparable prior-year period, unless otherwise stated</w:t>
      </w:r>
    </w:p>
    <w:p>
      <w:pPr>
        <w:spacing w:after="0" w:line="195" w:lineRule="exact"/>
        <w:rPr>
          <w:sz w:val="20"/>
          <w:szCs w:val="20"/>
          <w:color w:val="auto"/>
        </w:rPr>
      </w:pPr>
    </w:p>
    <w:p>
      <w:pPr>
        <w:ind w:left="220" w:right="360"/>
        <w:spacing w:after="0" w:line="244" w:lineRule="auto"/>
        <w:rPr>
          <w:sz w:val="20"/>
          <w:szCs w:val="20"/>
          <w:color w:val="auto"/>
        </w:rPr>
      </w:pPr>
      <w:r>
        <w:rPr>
          <w:rFonts w:ascii="Arial" w:cs="Arial" w:eastAsia="Arial" w:hAnsi="Arial"/>
          <w:sz w:val="19"/>
          <w:szCs w:val="19"/>
          <w:color w:val="auto"/>
        </w:rPr>
        <w:t>Todd Gleason, CECO’s Chief Executive Officer, commented, “We are off to a great start and I am very pleased with our first quarter performance. Our strong, double-digit growth in bookings and tremendous free cash flow generation reflect our focused execution and our leadership position in improving end-markets. We continue to execute for our customers while prudently managing our cost structure, which has yielded very good margins despite year-over-year decline in revenues.”</w:t>
      </w:r>
    </w:p>
    <w:p>
      <w:pPr>
        <w:spacing w:after="0" w:line="205" w:lineRule="exact"/>
        <w:rPr>
          <w:sz w:val="20"/>
          <w:szCs w:val="20"/>
          <w:color w:val="auto"/>
        </w:rPr>
      </w:pPr>
    </w:p>
    <w:p>
      <w:pPr>
        <w:ind w:left="220" w:right="160"/>
        <w:spacing w:after="0" w:line="232" w:lineRule="auto"/>
        <w:rPr>
          <w:sz w:val="20"/>
          <w:szCs w:val="20"/>
          <w:color w:val="auto"/>
        </w:rPr>
      </w:pPr>
      <w:r>
        <w:rPr>
          <w:rFonts w:ascii="Arial" w:cs="Arial" w:eastAsia="Arial" w:hAnsi="Arial"/>
          <w:sz w:val="20"/>
          <w:szCs w:val="20"/>
          <w:color w:val="auto"/>
        </w:rPr>
        <w:t>Mr. Gleason added, “We expect to turn the corner on topline growth in the coming periods given our booking’s growth over the past few quarters. Additionally, we are excited to articulate our long-term growth strategy in mid-2021 – which will build on our position as an environmental solutions leader in diversified industrial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240"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A conference call is scheduled for today at 8:30 a.m. ET to discuss the first quarter 2021 financial results. The conference call may also be accessed by dialing (888) 346-4547 (Toll-Free) within the U.S., (855) 669-9657 (Toll-Free) within Canada or Toll/International (412) 317-5251.</w:t>
      </w:r>
    </w:p>
    <w:p>
      <w:pPr>
        <w:spacing w:after="0" w:line="211" w:lineRule="exact"/>
        <w:rPr>
          <w:sz w:val="20"/>
          <w:szCs w:val="20"/>
          <w:color w:val="auto"/>
        </w:rPr>
      </w:pPr>
    </w:p>
    <w:p>
      <w:pPr>
        <w:ind w:left="120" w:right="260"/>
        <w:spacing w:after="0" w:line="363" w:lineRule="auto"/>
        <w:rPr>
          <w:sz w:val="20"/>
          <w:szCs w:val="20"/>
          <w:color w:val="auto"/>
        </w:rPr>
      </w:pPr>
      <w:r>
        <w:rPr>
          <w:rFonts w:ascii="Arial" w:cs="Arial" w:eastAsia="Arial" w:hAnsi="Arial"/>
          <w:sz w:val="19"/>
          <w:szCs w:val="19"/>
          <w:color w:val="auto"/>
        </w:rPr>
        <w:t xml:space="preserve">The live webcast and slides can also be accessed at </w:t>
      </w:r>
      <w:r>
        <w:rPr>
          <w:rFonts w:ascii="Arial" w:cs="Arial" w:eastAsia="Arial" w:hAnsi="Arial"/>
          <w:sz w:val="19"/>
          <w:szCs w:val="19"/>
          <w:u w:val="single" w:color="auto"/>
          <w:color w:val="auto"/>
        </w:rPr>
        <w:t>https://investors.cecoenviro.com/events-webcasts-and-presentations</w:t>
      </w:r>
      <w:r>
        <w:rPr>
          <w:rFonts w:ascii="Arial" w:cs="Arial" w:eastAsia="Arial" w:hAnsi="Arial"/>
          <w:sz w:val="19"/>
          <w:szCs w:val="19"/>
          <w:color w:val="auto"/>
        </w:rPr>
        <w:t xml:space="preserve"> A replay of the conference call will be available on the Company's website for 7 days. The replay may be accessed by dialing</w:t>
      </w:r>
    </w:p>
    <w:p>
      <w:pPr>
        <w:spacing w:after="0" w:line="1" w:lineRule="exact"/>
        <w:rPr>
          <w:sz w:val="20"/>
          <w:szCs w:val="20"/>
          <w:color w:val="auto"/>
        </w:rPr>
      </w:pPr>
    </w:p>
    <w:p>
      <w:pPr>
        <w:ind w:left="120" w:right="300" w:hanging="8"/>
        <w:spacing w:after="0" w:line="236" w:lineRule="auto"/>
        <w:tabs>
          <w:tab w:leader="none" w:pos="631" w:val="left"/>
        </w:tabs>
        <w:numPr>
          <w:ilvl w:val="0"/>
          <w:numId w:val="4"/>
        </w:numPr>
        <w:rPr>
          <w:rFonts w:ascii="Arial" w:cs="Arial" w:eastAsia="Arial" w:hAnsi="Arial"/>
          <w:sz w:val="20"/>
          <w:szCs w:val="20"/>
          <w:color w:val="auto"/>
        </w:rPr>
      </w:pPr>
      <w:r>
        <w:rPr>
          <w:rFonts w:ascii="Arial" w:cs="Arial" w:eastAsia="Arial" w:hAnsi="Arial"/>
          <w:sz w:val="20"/>
          <w:szCs w:val="20"/>
          <w:color w:val="auto"/>
        </w:rPr>
        <w:t>344-7529 (Toll-Free) within the U.S., (855) 669-9658 (Toll-Free) within Canada, or Toll/International (412) 317-0088 and entering access code 10155011.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CECO ENVIRONMENTAL</w:t>
      </w:r>
    </w:p>
    <w:p>
      <w:pPr>
        <w:spacing w:after="0" w:line="216" w:lineRule="exact"/>
        <w:rPr>
          <w:sz w:val="20"/>
          <w:szCs w:val="20"/>
          <w:color w:val="auto"/>
        </w:rPr>
      </w:pPr>
    </w:p>
    <w:p>
      <w:pPr>
        <w:jc w:val="both"/>
        <w:ind w:left="120" w:right="80"/>
        <w:spacing w:after="0" w:line="228" w:lineRule="auto"/>
        <w:rPr>
          <w:sz w:val="20"/>
          <w:szCs w:val="20"/>
          <w:color w:val="auto"/>
        </w:rPr>
      </w:pPr>
      <w:r>
        <w:rPr>
          <w:rFonts w:ascii="Arial" w:cs="Arial" w:eastAsia="Arial" w:hAnsi="Arial"/>
          <w:sz w:val="20"/>
          <w:szCs w:val="20"/>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industries including power generation, wastewater treatment, poly silicon fabrication, petrochemical processing, electric vehicle production, battery recycling, general industrial, refining, and a wide range of other industries. CECO is listed on Nasdaq under the ticker symbol "CECE". For more information, please visit www.cecoenviro.com.</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ind w:right="8360" w:firstLine="8"/>
        <w:spacing w:after="0" w:line="257" w:lineRule="auto"/>
        <w:tabs>
          <w:tab w:leader="none" w:pos="517"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5508625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5662930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ind w:left="3400"/>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40,864</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41,173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auto"/>
              </w:rPr>
              <w:t>Assets held for sale</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181,496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183,485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Goodwill</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161,652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161,820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9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413,657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419,314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ind w:left="1780"/>
              <w:spacing w:after="0"/>
              <w:rPr>
                <w:sz w:val="20"/>
                <w:szCs w:val="20"/>
                <w:color w:val="auto"/>
              </w:rPr>
            </w:pPr>
            <w:r>
              <w:rPr>
                <w:rFonts w:ascii="Arial" w:cs="Arial" w:eastAsia="Arial" w:hAnsi="Arial"/>
                <w:sz w:val="18"/>
                <w:szCs w:val="18"/>
                <w:b w:val="1"/>
                <w:bCs w:val="1"/>
                <w:color w:val="auto"/>
              </w:rPr>
              <w:t>LIABILITIES AND SHAREHOLDERS’ EQUITY</w:t>
            </w: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w:t>
            </w:r>
          </w:p>
        </w:tc>
        <w:tc>
          <w:tcPr>
            <w:tcW w:w="11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85,518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106,062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Other liabilities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Debt, less current portion</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Deferred income tax liability, net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208,006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Shareholders’ equity:</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80" w:type="dxa"/>
            <w:vAlign w:val="bottom"/>
          </w:tcPr>
          <w:p>
            <w:pPr>
              <w:ind w:left="260"/>
              <w:spacing w:after="0"/>
              <w:rPr>
                <w:sz w:val="20"/>
                <w:szCs w:val="20"/>
                <w:color w:val="auto"/>
              </w:rPr>
            </w:pPr>
            <w:r>
              <w:rPr>
                <w:rFonts w:ascii="Arial" w:cs="Arial" w:eastAsia="Arial" w:hAnsi="Arial"/>
                <w:sz w:val="18"/>
                <w:szCs w:val="18"/>
                <w:color w:val="auto"/>
              </w:rPr>
              <w:t>Common stock, $.01 par value; 100,000,000 shares authorized, 35,567,511</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660"/>
              <w:spacing w:after="0"/>
              <w:rPr>
                <w:sz w:val="20"/>
                <w:szCs w:val="20"/>
                <w:color w:val="auto"/>
              </w:rPr>
            </w:pPr>
            <w:r>
              <w:rPr>
                <w:rFonts w:ascii="Arial" w:cs="Arial" w:eastAsia="Arial" w:hAnsi="Arial"/>
                <w:sz w:val="18"/>
                <w:szCs w:val="18"/>
                <w:color w:val="auto"/>
              </w:rPr>
              <w:t>and 35,504,757 shares issued and outstanding at March 31, 2021 and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660"/>
              <w:spacing w:after="0"/>
              <w:rPr>
                <w:sz w:val="20"/>
                <w:szCs w:val="20"/>
                <w:color w:val="auto"/>
              </w:rPr>
            </w:pPr>
            <w:r>
              <w:rPr>
                <w:rFonts w:ascii="Arial" w:cs="Arial" w:eastAsia="Arial" w:hAnsi="Arial"/>
                <w:sz w:val="18"/>
                <w:szCs w:val="18"/>
                <w:color w:val="auto"/>
              </w:rPr>
              <w:t>December 31, 2020, respectively</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in excess of par value</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Accumulated loss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(36,960)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(38,141)</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(14,441)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treasury stock, at cost, 137,920 shares at March 31, 2021 and</w:t>
            </w: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660"/>
              <w:spacing w:after="0"/>
              <w:rPr>
                <w:sz w:val="20"/>
                <w:szCs w:val="20"/>
                <w:color w:val="auto"/>
              </w:rPr>
            </w:pPr>
            <w:r>
              <w:rPr>
                <w:rFonts w:ascii="Arial" w:cs="Arial" w:eastAsia="Arial" w:hAnsi="Arial"/>
                <w:sz w:val="18"/>
                <w:szCs w:val="18"/>
                <w:color w:val="auto"/>
              </w:rPr>
              <w:t>December 31, 2020</w:t>
            </w: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shareholders’ equity</w:t>
            </w:r>
          </w:p>
        </w:tc>
        <w:tc>
          <w:tcPr>
            <w:tcW w:w="9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204,581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Noncontrolling interest</w:t>
            </w:r>
          </w:p>
        </w:tc>
        <w:tc>
          <w:tcPr>
            <w:tcW w:w="9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shareholders equity</w:t>
            </w:r>
          </w:p>
        </w:tc>
        <w:tc>
          <w:tcPr>
            <w:tcW w:w="9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205,651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9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413,657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80" w:type="dxa"/>
            <w:vAlign w:val="bottom"/>
            <w:tcBorders>
              <w:bottom w:val="single" w:sz="8" w:color="D9D9D9"/>
            </w:tcBorders>
          </w:tcPr>
          <w:p>
            <w:pPr>
              <w:spacing w:after="0"/>
              <w:rPr>
                <w:sz w:val="17"/>
                <w:szCs w:val="17"/>
                <w:color w:val="auto"/>
              </w:rPr>
            </w:pPr>
          </w:p>
        </w:tc>
        <w:tc>
          <w:tcPr>
            <w:tcW w:w="960" w:type="dxa"/>
            <w:vAlign w:val="bottom"/>
            <w:tcBorders>
              <w:bottom w:val="single" w:sz="8" w:color="D9D9D9"/>
            </w:tcBorders>
          </w:tcPr>
          <w:p>
            <w:pPr>
              <w:spacing w:after="0"/>
              <w:rPr>
                <w:sz w:val="17"/>
                <w:szCs w:val="17"/>
                <w:color w:val="auto"/>
              </w:rPr>
            </w:pPr>
          </w:p>
        </w:tc>
        <w:tc>
          <w:tcPr>
            <w:tcW w:w="160" w:type="dxa"/>
            <w:vAlign w:val="bottom"/>
            <w:tcBorders>
              <w:bottom w:val="single" w:sz="8" w:color="D9D9D9"/>
            </w:tcBorders>
          </w:tcPr>
          <w:p>
            <w:pPr>
              <w:spacing w:after="0"/>
              <w:rPr>
                <w:sz w:val="17"/>
                <w:szCs w:val="17"/>
                <w:color w:val="auto"/>
              </w:rPr>
            </w:pPr>
          </w:p>
        </w:tc>
        <w:tc>
          <w:tcPr>
            <w:tcW w:w="1440" w:type="dxa"/>
            <w:vAlign w:val="bottom"/>
            <w:tcBorders>
              <w:bottom w:val="single" w:sz="8" w:color="D9D9D9"/>
            </w:tcBorders>
          </w:tcPr>
          <w:p>
            <w:pPr>
              <w:spacing w:after="0"/>
              <w:rPr>
                <w:sz w:val="17"/>
                <w:szCs w:val="17"/>
                <w:color w:val="auto"/>
              </w:rPr>
            </w:pPr>
          </w:p>
        </w:tc>
        <w:tc>
          <w:tcPr>
            <w:tcW w:w="160" w:type="dxa"/>
            <w:vAlign w:val="bottom"/>
            <w:tcBorders>
              <w:bottom w:val="single" w:sz="8" w:color="D9D9D9"/>
            </w:tcBorders>
          </w:tcPr>
          <w:p>
            <w:pPr>
              <w:spacing w:after="0"/>
              <w:rPr>
                <w:sz w:val="17"/>
                <w:szCs w:val="17"/>
                <w:color w:val="auto"/>
              </w:rPr>
            </w:pPr>
          </w:p>
        </w:tc>
        <w:tc>
          <w:tcPr>
            <w:tcW w:w="100" w:type="dxa"/>
            <w:vAlign w:val="bottom"/>
            <w:tcBorders>
              <w:bottom w:val="single" w:sz="8" w:color="D9D9D9"/>
            </w:tcBorders>
          </w:tcPr>
          <w:p>
            <w:pPr>
              <w:spacing w:after="0"/>
              <w:rPr>
                <w:sz w:val="17"/>
                <w:szCs w:val="17"/>
                <w:color w:val="auto"/>
              </w:rPr>
            </w:pPr>
          </w:p>
        </w:tc>
        <w:tc>
          <w:tcPr>
            <w:tcW w:w="100" w:type="dxa"/>
            <w:vAlign w:val="bottom"/>
            <w:tcBorders>
              <w:bottom w:val="single" w:sz="8" w:color="D9D9D9"/>
            </w:tcBorders>
          </w:tcPr>
          <w:p>
            <w:pPr>
              <w:spacing w:after="0"/>
              <w:rPr>
                <w:sz w:val="17"/>
                <w:szCs w:val="17"/>
                <w:color w:val="auto"/>
              </w:rPr>
            </w:pPr>
          </w:p>
        </w:tc>
        <w:tc>
          <w:tcPr>
            <w:tcW w:w="1520" w:type="dxa"/>
            <w:vAlign w:val="bottom"/>
            <w:tcBorders>
              <w:bottom w:val="single" w:sz="8" w:color="D9D9D9"/>
            </w:tcBorders>
          </w:tcPr>
          <w:p>
            <w:pPr>
              <w:spacing w:after="0"/>
              <w:rPr>
                <w:sz w:val="17"/>
                <w:szCs w:val="17"/>
                <w:color w:val="auto"/>
              </w:rPr>
            </w:pPr>
          </w:p>
        </w:tc>
        <w:tc>
          <w:tcPr>
            <w:tcW w:w="120" w:type="dxa"/>
            <w:vAlign w:val="bottom"/>
            <w:tcBorders>
              <w:bottom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D9D9D9"/>
            </w:tcBorders>
          </w:tcPr>
          <w:p>
            <w:pPr>
              <w:spacing w:after="0"/>
              <w:rPr>
                <w:sz w:val="19"/>
                <w:szCs w:val="19"/>
                <w:color w:val="auto"/>
              </w:rPr>
            </w:pPr>
          </w:p>
        </w:tc>
        <w:tc>
          <w:tcPr>
            <w:tcW w:w="96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144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152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657"/>
        </w:trPr>
        <w:tc>
          <w:tcPr>
            <w:tcW w:w="8000" w:type="dxa"/>
            <w:vAlign w:val="bottom"/>
            <w:gridSpan w:val="3"/>
          </w:tcPr>
          <w:p>
            <w:pPr>
              <w:jc w:val="center"/>
              <w:ind w:left="3151"/>
              <w:spacing w:after="0"/>
              <w:rPr>
                <w:sz w:val="20"/>
                <w:szCs w:val="20"/>
                <w:color w:val="auto"/>
              </w:rPr>
            </w:pPr>
            <w:r>
              <w:rPr>
                <w:rFonts w:ascii="Arial" w:cs="Arial" w:eastAsia="Arial" w:hAnsi="Arial"/>
                <w:sz w:val="18"/>
                <w:szCs w:val="18"/>
                <w:b w:val="1"/>
                <w:bCs w:val="1"/>
                <w:color w:val="auto"/>
                <w:w w:val="99"/>
              </w:rPr>
              <w:t>CECO ENVIRONMENTAL CORP. AND SUBSIDIARIES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5"/>
          </w:tcPr>
          <w:p>
            <w:pPr>
              <w:jc w:val="center"/>
              <w:ind w:left="1751"/>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3300" w:type="dxa"/>
            <w:vAlign w:val="bottom"/>
            <w:gridSpan w:val="2"/>
          </w:tcPr>
          <w:p>
            <w:pPr>
              <w:jc w:val="center"/>
              <w:ind w:right="1367"/>
              <w:spacing w:after="0"/>
              <w:rPr>
                <w:sz w:val="20"/>
                <w:szCs w:val="20"/>
                <w:color w:val="auto"/>
              </w:rPr>
            </w:pPr>
            <w:r>
              <w:rPr>
                <w:rFonts w:ascii="Arial" w:cs="Arial" w:eastAsia="Arial" w:hAnsi="Arial"/>
                <w:sz w:val="18"/>
                <w:szCs w:val="18"/>
                <w:b w:val="1"/>
                <w:bCs w:val="1"/>
                <w:color w:val="auto"/>
                <w:w w:val="91"/>
              </w:rPr>
              <w:t>(unaudited)</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70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2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4700" w:type="dxa"/>
            <w:vAlign w:val="bottom"/>
            <w:tcBorders>
              <w:bottom w:val="single" w:sz="8" w:color="CFF0FC"/>
            </w:tcBorders>
            <w:vMerge w:val="continue"/>
          </w:tcPr>
          <w:p>
            <w:pPr>
              <w:spacing w:after="0"/>
              <w:rPr>
                <w:sz w:val="13"/>
                <w:szCs w:val="13"/>
                <w:color w:val="auto"/>
              </w:rPr>
            </w:pPr>
          </w:p>
        </w:tc>
        <w:tc>
          <w:tcPr>
            <w:tcW w:w="29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9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2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2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29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2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29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29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w:t>
            </w:r>
          </w:p>
        </w:tc>
        <w:tc>
          <w:tcPr>
            <w:tcW w:w="2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CECO Environmental Corp.</w:t>
            </w:r>
          </w:p>
        </w:tc>
        <w:tc>
          <w:tcPr>
            <w:tcW w:w="29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Earnings per share:</w:t>
            </w:r>
          </w:p>
        </w:tc>
        <w:tc>
          <w:tcPr>
            <w:tcW w:w="2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3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9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vMerge w:val="continue"/>
          </w:tcPr>
          <w:p>
            <w:pPr>
              <w:spacing w:after="0"/>
              <w:rPr>
                <w:sz w:val="21"/>
                <w:szCs w:val="21"/>
                <w:color w:val="auto"/>
              </w:rPr>
            </w:pPr>
          </w:p>
        </w:tc>
        <w:tc>
          <w:tcPr>
            <w:tcW w:w="294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9"/>
              </w:rPr>
              <w:t>Weighted average number of common shares outstanding:</w:t>
            </w:r>
          </w:p>
        </w:tc>
        <w:tc>
          <w:tcPr>
            <w:tcW w:w="2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Basic</w:t>
            </w:r>
          </w:p>
        </w:tc>
        <w:tc>
          <w:tcPr>
            <w:tcW w:w="2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35,396,705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35,155,377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35,774,208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35,394,865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702945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99.1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56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i w:val="1"/>
                <w:iCs w:val="1"/>
                <w:color w:val="auto"/>
              </w:rPr>
              <w:t>Operating margin in accordance with GAAP</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4"/>
          </w:tcPr>
          <w:p>
            <w:pPr>
              <w:jc w:val="right"/>
              <w:ind w:right="140"/>
              <w:spacing w:after="0"/>
              <w:rPr>
                <w:sz w:val="20"/>
                <w:szCs w:val="20"/>
                <w:color w:val="auto"/>
              </w:rPr>
            </w:pPr>
            <w:r>
              <w:rPr>
                <w:rFonts w:ascii="Arial" w:cs="Arial" w:eastAsia="Arial" w:hAnsi="Arial"/>
                <w:sz w:val="18"/>
                <w:szCs w:val="18"/>
                <w:i w:val="1"/>
                <w:iCs w:val="1"/>
                <w:color w:val="auto"/>
              </w:rPr>
              <w:t>4.3%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5.2%</w:t>
            </w: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tcBorders>
            <w:gridSpan w:val="2"/>
          </w:tcPr>
          <w:p>
            <w:pPr>
              <w:jc w:val="right"/>
              <w:ind w:right="2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Non-GAAP operating margin</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7.0%</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i w:val="1"/>
                <w:iCs w:val="1"/>
                <w:color w:val="auto"/>
              </w:rPr>
              <w:t>7.8%</w:t>
            </w:r>
          </w:p>
        </w:tc>
        <w:tc>
          <w:tcPr>
            <w:tcW w:w="0" w:type="dxa"/>
            <w:vAlign w:val="bottom"/>
          </w:tcPr>
          <w:p>
            <w:pPr>
              <w:spacing w:after="0"/>
              <w:rPr>
                <w:sz w:val="1"/>
                <w:szCs w:val="1"/>
                <w:color w:val="auto"/>
              </w:rPr>
            </w:pPr>
          </w:p>
        </w:tc>
      </w:tr>
      <w:tr>
        <w:trPr>
          <w:trHeight w:val="634"/>
        </w:trPr>
        <w:tc>
          <w:tcPr>
            <w:tcW w:w="75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560" w:type="dxa"/>
            <w:vAlign w:val="bottom"/>
            <w:tcBorders>
              <w:bottom w:val="single" w:sz="8" w:color="CFF0FC"/>
            </w:tcBorders>
            <w:vMerge w:val="continue"/>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Net income as reported in accordance with GAAP</w:t>
            </w:r>
          </w:p>
        </w:tc>
        <w:tc>
          <w:tcPr>
            <w:tcW w:w="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500"/>
              <w:spacing w:after="0"/>
              <w:rPr>
                <w:sz w:val="20"/>
                <w:szCs w:val="20"/>
                <w:color w:val="auto"/>
              </w:rPr>
            </w:pPr>
            <w:r>
              <w:rPr>
                <w:rFonts w:ascii="Arial" w:cs="Arial" w:eastAsia="Arial" w:hAnsi="Arial"/>
                <w:sz w:val="18"/>
                <w:szCs w:val="18"/>
                <w:color w:val="auto"/>
              </w:rPr>
              <w:t>Amortization and earnout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Restructuring expenses</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4"/>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500"/>
              <w:spacing w:after="0"/>
              <w:rPr>
                <w:sz w:val="20"/>
                <w:szCs w:val="20"/>
                <w:color w:val="auto"/>
              </w:rPr>
            </w:pPr>
            <w:r>
              <w:rPr>
                <w:rFonts w:ascii="Arial" w:cs="Arial" w:eastAsia="Arial" w:hAnsi="Arial"/>
                <w:sz w:val="18"/>
                <w:szCs w:val="18"/>
                <w:color w:val="auto"/>
              </w:rPr>
              <w:t>Acquisition and integration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remeasurement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500"/>
              <w:spacing w:after="0"/>
              <w:rPr>
                <w:sz w:val="20"/>
                <w:szCs w:val="20"/>
                <w:color w:val="auto"/>
              </w:rPr>
            </w:pPr>
            <w:r>
              <w:rPr>
                <w:rFonts w:ascii="Arial" w:cs="Arial" w:eastAsia="Arial" w:hAnsi="Arial"/>
                <w:sz w:val="18"/>
                <w:szCs w:val="18"/>
                <w:color w:val="auto"/>
              </w:rPr>
              <w:t>Tax benefit of adjustments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30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stock compensation</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50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Adjusted EBITDA</w:t>
            </w:r>
          </w:p>
        </w:tc>
        <w:tc>
          <w:tcPr>
            <w:tcW w:w="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50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Non-GAAP earnings per share:</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50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280" w:type="dxa"/>
            <w:vAlign w:val="bottom"/>
            <w:tcBorders>
              <w:bottom w:val="single" w:sz="8" w:color="D9D9D9"/>
            </w:tcBorders>
          </w:tcPr>
          <w:p>
            <w:pPr>
              <w:spacing w:after="0"/>
              <w:rPr>
                <w:sz w:val="18"/>
                <w:szCs w:val="18"/>
                <w:color w:val="auto"/>
              </w:rPr>
            </w:pPr>
          </w:p>
        </w:tc>
        <w:tc>
          <w:tcPr>
            <w:tcW w:w="128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20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340" w:type="dxa"/>
            <w:vAlign w:val="bottom"/>
            <w:tcBorders>
              <w:bottom w:val="single" w:sz="8" w:color="D9D9D9"/>
            </w:tcBorders>
          </w:tcPr>
          <w:p>
            <w:pPr>
              <w:spacing w:after="0"/>
              <w:rPr>
                <w:sz w:val="18"/>
                <w:szCs w:val="18"/>
                <w:color w:val="auto"/>
              </w:rPr>
            </w:pPr>
          </w:p>
        </w:tc>
        <w:tc>
          <w:tcPr>
            <w:tcW w:w="120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128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D9D9D9"/>
            </w:tcBorders>
          </w:tcPr>
          <w:p>
            <w:pPr>
              <w:spacing w:after="0"/>
              <w:rPr>
                <w:sz w:val="19"/>
                <w:szCs w:val="19"/>
                <w:color w:val="auto"/>
              </w:rPr>
            </w:pPr>
          </w:p>
        </w:tc>
        <w:tc>
          <w:tcPr>
            <w:tcW w:w="120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213"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w:t>
      </w:r>
    </w:p>
    <w:p>
      <w:pPr>
        <w:spacing w:after="0" w:line="212" w:lineRule="exact"/>
        <w:rPr>
          <w:sz w:val="20"/>
          <w:szCs w:val="20"/>
          <w:color w:val="auto"/>
        </w:rPr>
      </w:pPr>
    </w:p>
    <w:p>
      <w:pPr>
        <w:ind w:right="260"/>
        <w:spacing w:after="0" w:line="225"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as we present them in the financial data included in this press release, have been adjusted to exclude the effects of amortization expenses for acquisition related intangible assets, contingent retention and</w:t>
      </w:r>
    </w:p>
    <w:p>
      <w:pPr>
        <w:spacing w:after="0" w:line="1"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color w:val="auto"/>
        </w:rPr>
        <w:t>earnout expenses, restructuring expenses primarily relating to severance and legal expenses, acquisition and integration expenses which include retention, legal, accounting, banking, and other expenses and other nonrecurring or infrequent items and the associated tax benefit of these 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10"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212" w:lineRule="exact"/>
        <w:rPr>
          <w:sz w:val="20"/>
          <w:szCs w:val="20"/>
          <w:color w:val="auto"/>
        </w:rPr>
      </w:pPr>
    </w:p>
    <w:p>
      <w:pPr>
        <w:jc w:val="both"/>
        <w:ind w:right="60"/>
        <w:spacing w:after="0" w:line="232"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non-GAAP operating income, non-GAAP net income, non-GAAP operating margin and non-GAAP earnings per basic and diluted share and adjusted EBITDA stated in the tables above are reconciled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226" w:lineRule="exact"/>
        <w:rPr>
          <w:sz w:val="20"/>
          <w:szCs w:val="20"/>
          <w:color w:val="auto"/>
        </w:rPr>
      </w:pPr>
    </w:p>
    <w:p>
      <w:pPr>
        <w:jc w:val="both"/>
        <w:spacing w:after="0"/>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2020 and include, but are not limited to: the sensitivity of our business to economic and financial market conditions generally and economic conditions in CECO’s service areas; dependence on fixed price contracts and the risks associated therewith, including actual costs exceeding estimates and method of accounting for revenue;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strategic transactions and our ability to repay or refinance it or incur additional debt in the future; the impact of federal, state or local government regulations; economic and political conditions generally; our ability to successfully realize the expected benefits of our restructuring program; our ability to successfully integrate acquired businesses and realize the synergies from strategic transactions; unpredictability and severity of catastrophic events, including cyber 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669290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877"/>
    </w:lvl>
  </w:abstractNum>
  <w:abstractNum w:abstractNumId="4">
    <w:nsid w:val="46E87CCD"/>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2021-05-06T06:14:43Z</dcterms:created>
  <dcterms:modified xsi:type="dcterms:W3CDTF">2021-05-06T06:14:43Z</dcterms:modified>
</cp:coreProperties>
</file>