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rrd117150.htm"/>
      <w:bookmarkStart w:id="1" w:name="ksrrd117150"/>
      <w:bookmarkStart w:id="2" w:name="rrd117150.htm"/>
      <w:bookmarkStart w:id="3" w:name="ksrrd117150"/>
      <w:bookmarkEnd w:id="2"/>
      <w:bookmarkEnd w:id="3"/>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UNITED STATES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Washington, D.C. 20549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Form 8-K </w:t>
      </w:r>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Current Report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Pursuant to Section 13 or 15(d) of the Securities Exchange Act of 1934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Date of Report (Date of earliest event reported):  05/08/2006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CECO ENVIRONMENTAL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Commission File Number:  0-7099</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20"/>
        <w:gridCol w:w="306"/>
        <w:gridCol w:w="3879"/>
      </w:tblGrid>
      <w:tr>
        <w:trPr/>
        <w:tc>
          <w:tcPr>
            <w:tcW w:w="6020" w:type="dxa"/>
            <w:tcBorders/>
            <w:shd w:fill="auto" w:val="clear"/>
            <w:vAlign w:val="bottom"/>
          </w:tcPr>
          <w:p>
            <w:pPr>
              <w:pStyle w:val="TableContents"/>
              <w:spacing w:before="0" w:after="0"/>
              <w:jc w:val="center"/>
              <w:rPr/>
            </w:pPr>
            <w:r>
              <w:rPr>
                <w:rFonts w:ascii="times New Roman" w:hAnsi="times New Roman"/>
                <w:b/>
                <w:color w:val="000000"/>
                <w:sz w:val="24"/>
              </w:rPr>
              <w:t>DE</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4"/>
              </w:rPr>
              <w:t>13-2566064</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(State or other jurisdiction of</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(IRS Employer</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incorporation)</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Identification No.)</w:t>
            </w:r>
            <w:r>
              <w:rPr/>
              <w:t xml:space="preserve"> </w:t>
            </w:r>
          </w:p>
        </w:tc>
      </w:tr>
    </w:tbl>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3120 Forrer Street, Cincinnati, OH 45209</w:t>
      </w:r>
    </w:p>
    <w:p>
      <w:pPr>
        <w:pStyle w:val="TextBody"/>
        <w:spacing w:before="0" w:after="0"/>
        <w:jc w:val="center"/>
        <w:rPr/>
      </w:pPr>
      <w:r>
        <w:rPr>
          <w:rFonts w:ascii="times New Roman" w:hAnsi="times New Roman"/>
          <w:b/>
          <w:color w:val="000000"/>
          <w:sz w:val="20"/>
        </w:rPr>
        <w:t>(Address of principal executive offices, including zip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(416) 593-6543 </w:t>
      </w:r>
    </w:p>
    <w:p>
      <w:pPr>
        <w:pStyle w:val="TextBody"/>
        <w:spacing w:before="0" w:after="0"/>
        <w:jc w:val="center"/>
        <w:rPr/>
      </w:pPr>
      <w:r>
        <w:rPr>
          <w:rFonts w:ascii="times New Roman" w:hAnsi="times New Roman"/>
          <w:b/>
          <w:color w:val="000000"/>
          <w:sz w:val="20"/>
        </w:rPr>
        <w:t>(Registrants telephone number, including area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(Former name or former address, if changed since last report) </w:t>
      </w:r>
    </w:p>
    <w:p>
      <w:pPr>
        <w:pStyle w:val="TextBody"/>
        <w:spacing w:before="0" w:after="0"/>
        <w:rPr/>
      </w:pPr>
      <w:r>
        <w:rPr/>
        <w:t xml:space="preserve">  </w:t>
      </w:r>
    </w:p>
    <w:p>
      <w:pPr>
        <w:pStyle w:val="TextBody"/>
        <w:jc w:val="left"/>
        <w:rPr>
          <w:rFonts w:ascii="times New Roman" w:hAnsi="times New Roman"/>
          <w:b/>
          <w:color w:val="000000"/>
          <w:sz w:val="20"/>
        </w:rPr>
      </w:pPr>
      <w:r>
        <w:rPr>
          <w:rFonts w:ascii="times New Roman" w:hAnsi="times New Roman"/>
          <w:b/>
          <w:color w:val="000000"/>
          <w:sz w:val="20"/>
        </w:rPr>
        <w:t>Check the appropriate box below if the Form 8-K filing is intended to simultaneously satisfy the filing obligation of the registrant under any of the following provisions:</w:t>
      </w:r>
    </w:p>
    <w:p>
      <w:pPr>
        <w:pStyle w:val="TextBody"/>
        <w:spacing w:before="0" w:after="0"/>
        <w:jc w:val="left"/>
        <w:rPr>
          <w:rFonts w:ascii="times New Roman" w:hAnsi="times New Roman"/>
          <w:b/>
          <w:color w:val="000000"/>
          <w:sz w:val="20"/>
        </w:rPr>
      </w:pPr>
      <w:r>
        <w:rPr>
          <w:rFonts w:ascii="times New Roman" w:hAnsi="times New Roman"/>
          <w:b/>
          <w:color w:val="000000"/>
          <w:sz w:val="20"/>
        </w:rPr>
        <w:t>[  ]   Written communications pursuant to Rule 425 under the Securities Act (17 CFR 230.425)</w:t>
        <w:br/>
        <w:br/>
        <w:t>[  ]   Soliciting material pursuant to Rule 14a-12 under the Exchange Act (17 CFR 240.14a-12)</w:t>
        <w:br/>
        <w:br/>
        <w:t>[  ]   Pre-commencement communications pursuant to Rule 14d-2(b) under the Exchange Act (17 CFR 240.14d-2(b))</w:t>
        <w:br/>
        <w:br/>
        <w:t xml:space="preserve">[  ]   Pre-commencement communications pursuant to Rule 13e-4(c) under the Exchange Act (17 CFR 240.13e-4(c)) </w:t>
      </w:r>
    </w:p>
    <w:p>
      <w:pPr>
        <w:pStyle w:val="TextBody"/>
        <w:spacing w:before="0" w:after="0"/>
        <w:rPr/>
      </w:pPr>
      <w:r>
        <w:rPr/>
        <w:t xml:space="preserve">  </w:t>
      </w:r>
    </w:p>
    <w:p>
      <w:pPr>
        <w:pStyle w:val="HorizontalLine"/>
        <w:pBdr>
          <w:bottom w:val="single" w:sz="24" w:space="0" w:color="000000"/>
        </w:pBdr>
        <w:rPr/>
      </w:pPr>
      <w:r>
        <w:rPr/>
      </w:r>
      <w:r>
        <w:br w:type="page"/>
      </w:r>
    </w:p>
    <w:p>
      <w:pPr>
        <w:pStyle w:val="TextBody"/>
        <w:spacing w:before="0" w:after="0"/>
        <w:jc w:val="center"/>
        <w:rPr>
          <w:sz w:val="20"/>
        </w:rPr>
      </w:pPr>
      <w:r>
        <w:rPr>
          <w:sz w:val="20"/>
        </w:rPr>
        <w:t xml:space="preserve">Information to be included in the report </w:t>
      </w:r>
    </w:p>
    <w:p>
      <w:pPr>
        <w:pStyle w:val="TextBody"/>
        <w:spacing w:before="0" w:after="0"/>
        <w:rPr/>
      </w:pPr>
      <w:r>
        <w:rPr/>
        <w:t> </w:t>
      </w:r>
    </w:p>
    <w:p>
      <w:pPr>
        <w:pStyle w:val="TextBody"/>
        <w:spacing w:before="0" w:after="0"/>
        <w:jc w:val="left"/>
        <w:rPr/>
      </w:pPr>
      <w:r>
        <w:rPr>
          <w:rFonts w:ascii="times New Roman" w:hAnsi="times New Roman"/>
          <w:b/>
          <w:color w:val="000000"/>
          <w:sz w:val="20"/>
        </w:rPr>
        <w:t>Item 3.02.    Unregistered Sales of Equity Securities</w:t>
      </w:r>
      <w:r>
        <w:rPr/>
        <w:t xml:space="preserve"> </w:t>
      </w:r>
    </w:p>
    <w:p>
      <w:pPr>
        <w:pStyle w:val="TextBody"/>
        <w:spacing w:before="0" w:after="0"/>
        <w:rPr/>
      </w:pPr>
      <w:r>
        <w:rPr/>
        <w:t xml:space="preserve">  </w:t>
      </w:r>
    </w:p>
    <w:p>
      <w:pPr>
        <w:pStyle w:val="TextBody"/>
        <w:jc w:val="left"/>
        <w:rPr>
          <w:color w:val="000000"/>
        </w:rPr>
      </w:pPr>
      <w:r>
        <w:rPr>
          <w:color w:val="000000"/>
        </w:rPr>
        <w:t>As previously reported, CECO Environmental Corp.(the "Company")issued on December 31, 2001, warrants ("Warrants") to purchase 353,334 shares of our common stock at an initial exercise price of $3.60 per share, to a group of accredited investors led by Crestview Capital Fund L.P., a Chicago-based private investment fund. The Warrants have a five-year term. On May 8, 2006, two of the holders of Warrants, Crestview Capital Fund L.P. and Crestview Capital Master, LLC exercised their Warrants to purchase 216,667 and 25,000 shares of our common stock, respectively, and the Company has issued said 241,667 shares (the "Warrant Shares"). The Company received $870,001.20 of proceeds from the exercise of such Warrants.</w:t>
      </w:r>
    </w:p>
    <w:p>
      <w:pPr>
        <w:pStyle w:val="TextBody"/>
        <w:jc w:val="left"/>
        <w:rPr>
          <w:color w:val="000000"/>
        </w:rPr>
      </w:pPr>
      <w:r>
        <w:rPr>
          <w:color w:val="000000"/>
        </w:rPr>
        <w:t xml:space="preserve">The Warrant Shares were issued in a private placement transaction that was exempt from registration under Section 4(2) of the Securities Act of 1933, as amended, and rules promulgated by the Securities and Exchange Commission under Sections 3(b) and 4(2) of the Securities Act of 1933, as amended. </w:t>
      </w:r>
    </w:p>
    <w:p>
      <w:pPr>
        <w:pStyle w:val="TextBody"/>
        <w:jc w:val="left"/>
        <w:rPr>
          <w:color w:val="000000"/>
        </w:rPr>
      </w:pPr>
      <w:r>
        <w:rPr>
          <w:color w:val="000000"/>
        </w:rPr>
        <w:t>T he Warrant Shares have been registered for resale on Form S-3 (File No. 333-130294).</w:t>
      </w:r>
    </w:p>
    <w:p>
      <w:pPr>
        <w:pStyle w:val="TextBody"/>
        <w:spacing w:before="0" w:after="0"/>
        <w:rPr/>
      </w:pPr>
      <w:r>
        <w:rPr/>
        <w:t> </w:t>
      </w:r>
    </w:p>
    <w:p>
      <w:pPr>
        <w:pStyle w:val="HorizontalLine"/>
        <w:pBdr>
          <w:bottom w:val="double" w:sz="6" w:space="0" w:color="CCEEFF"/>
        </w:pBdr>
        <w:rPr/>
      </w:pP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Signature(s) </w:t>
      </w:r>
    </w:p>
    <w:p>
      <w:pPr>
        <w:pStyle w:val="TextBody"/>
        <w:spacing w:before="0" w:after="0"/>
        <w:rPr/>
      </w:pP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43"/>
        <w:gridCol w:w="309"/>
        <w:gridCol w:w="1443"/>
        <w:gridCol w:w="309"/>
        <w:gridCol w:w="309"/>
        <w:gridCol w:w="309"/>
        <w:gridCol w:w="310"/>
        <w:gridCol w:w="309"/>
        <w:gridCol w:w="5464"/>
      </w:tblGrid>
      <w:tr>
        <w:trPr/>
        <w:tc>
          <w:tcPr>
            <w:tcW w:w="3195" w:type="dxa"/>
            <w:gridSpan w:val="3"/>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xml:space="preserve">  </w:t>
            </w:r>
          </w:p>
        </w:tc>
        <w:tc>
          <w:tcPr>
            <w:tcW w:w="309" w:type="dxa"/>
            <w:tcBorders/>
            <w:shd w:fill="auto" w:val="clear"/>
            <w:vAlign w:val="center"/>
          </w:tcPr>
          <w:p>
            <w:pPr>
              <w:pStyle w:val="TableContents"/>
              <w:spacing w:before="0" w:after="283"/>
              <w:rPr/>
            </w:pPr>
            <w:r>
              <w:rPr/>
              <w:t xml:space="preserve">  </w:t>
            </w:r>
          </w:p>
        </w:tc>
        <w:tc>
          <w:tcPr>
            <w:tcW w:w="309" w:type="dxa"/>
            <w:tcBorders/>
            <w:shd w:fill="auto" w:val="clear"/>
            <w:vAlign w:val="bottom"/>
          </w:tcPr>
          <w:p>
            <w:pPr>
              <w:pStyle w:val="TableContents"/>
              <w:spacing w:before="0" w:after="283"/>
              <w:rPr/>
            </w:pPr>
            <w:r>
              <w:rPr/>
              <w:t xml:space="preserve">  </w:t>
            </w:r>
          </w:p>
        </w:tc>
        <w:tc>
          <w:tcPr>
            <w:tcW w:w="310" w:type="dxa"/>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5464" w:type="dxa"/>
            <w:tcBorders/>
            <w:shd w:fill="auto" w:val="clear"/>
          </w:tcPr>
          <w:p>
            <w:pPr>
              <w:pStyle w:val="TableContents"/>
              <w:spacing w:before="0" w:after="0"/>
              <w:rPr/>
            </w:pPr>
            <w:r>
              <w:rPr>
                <w:rFonts w:ascii="times New Roman" w:hAnsi="times New Roman"/>
                <w:color w:val="000000"/>
                <w:sz w:val="20"/>
              </w:rPr>
              <w:t>CECO ENVIRONMENTAL CORP</w:t>
            </w:r>
            <w:r>
              <w:rPr/>
              <w:t xml:space="preserve"> </w:t>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3195" w:type="dxa"/>
            <w:gridSpan w:val="3"/>
            <w:tcBorders/>
            <w:shd w:fill="auto" w:val="clear"/>
          </w:tcPr>
          <w:p>
            <w:pPr>
              <w:pStyle w:val="TableContents"/>
              <w:spacing w:before="0" w:after="0"/>
              <w:rPr/>
            </w:pPr>
            <w:r>
              <w:rPr>
                <w:rFonts w:ascii="times New Roman" w:hAnsi="times New Roman"/>
                <w:color w:val="000000"/>
                <w:sz w:val="20"/>
              </w:rPr>
              <w:t>Date: May 12, 2006</w:t>
            </w:r>
            <w:r>
              <w:rPr/>
              <w:t xml:space="preserve"> </w:t>
            </w:r>
          </w:p>
        </w:tc>
        <w:tc>
          <w:tcPr>
            <w:tcW w:w="309" w:type="dxa"/>
            <w:tcBorders/>
            <w:shd w:fill="auto" w:val="clear"/>
            <w:vAlign w:val="bottom"/>
          </w:tcPr>
          <w:p>
            <w:pPr>
              <w:pStyle w:val="TableContents"/>
              <w:spacing w:before="0" w:after="283"/>
              <w:rPr/>
            </w:pPr>
            <w:r>
              <w:rPr/>
              <w:t xml:space="preserve">  </w:t>
            </w:r>
          </w:p>
        </w:tc>
        <w:tc>
          <w:tcPr>
            <w:tcW w:w="309" w:type="dxa"/>
            <w:tcBorders/>
            <w:shd w:fill="auto" w:val="clear"/>
            <w:vAlign w:val="center"/>
          </w:tcPr>
          <w:p>
            <w:pPr>
              <w:pStyle w:val="TableContents"/>
              <w:spacing w:before="0" w:after="283"/>
              <w:rPr/>
            </w:pPr>
            <w:r>
              <w:rPr/>
              <w:t xml:space="preserve">  </w:t>
            </w:r>
          </w:p>
        </w:tc>
        <w:tc>
          <w:tcPr>
            <w:tcW w:w="309" w:type="dxa"/>
            <w:tcBorders/>
            <w:shd w:fill="auto" w:val="clear"/>
            <w:vAlign w:val="bottom"/>
          </w:tcPr>
          <w:p>
            <w:pPr>
              <w:pStyle w:val="TableContents"/>
              <w:spacing w:before="0" w:after="283"/>
              <w:rPr/>
            </w:pPr>
            <w:r>
              <w:rPr/>
              <w:t xml:space="preserve">  </w:t>
            </w:r>
          </w:p>
        </w:tc>
        <w:tc>
          <w:tcPr>
            <w:tcW w:w="310" w:type="dxa"/>
            <w:tcBorders/>
            <w:shd w:fill="auto" w:val="clear"/>
          </w:tcPr>
          <w:p>
            <w:pPr>
              <w:pStyle w:val="TableContents"/>
              <w:spacing w:before="0" w:after="0"/>
              <w:jc w:val="center"/>
              <w:rPr/>
            </w:pPr>
            <w:r>
              <w:rPr>
                <w:rFonts w:ascii="times New Roman" w:hAnsi="times New Roman"/>
                <w:color w:val="000000"/>
                <w:sz w:val="20"/>
              </w:rPr>
              <w:t>By:</w:t>
            </w:r>
            <w:r>
              <w:rPr/>
              <w:t xml:space="preserve"> </w:t>
            </w:r>
          </w:p>
        </w:tc>
        <w:tc>
          <w:tcPr>
            <w:tcW w:w="309" w:type="dxa"/>
            <w:tcBorders/>
            <w:shd w:fill="auto" w:val="clear"/>
            <w:vAlign w:val="bottom"/>
          </w:tcPr>
          <w:p>
            <w:pPr>
              <w:pStyle w:val="TableContents"/>
              <w:spacing w:before="0" w:after="283"/>
              <w:rPr/>
            </w:pPr>
            <w:r>
              <w:rPr/>
              <w:t> </w:t>
            </w:r>
          </w:p>
        </w:tc>
        <w:tc>
          <w:tcPr>
            <w:tcW w:w="5464" w:type="dxa"/>
            <w:tcBorders/>
            <w:shd w:fill="auto" w:val="clear"/>
          </w:tcPr>
          <w:p>
            <w:pPr>
              <w:pStyle w:val="TableContents"/>
              <w:spacing w:before="0" w:after="0"/>
              <w:rPr/>
            </w:pPr>
            <w:r>
              <w:rPr>
                <w:rFonts w:ascii="times New Roman" w:hAnsi="times New Roman"/>
                <w:color w:val="000000"/>
                <w:sz w:val="20"/>
              </w:rPr>
              <w:t>/s/    Dennis W. Blazer</w:t>
            </w:r>
            <w:r>
              <w:rPr/>
              <w:t xml:space="preserve"> </w:t>
            </w:r>
          </w:p>
          <w:p>
            <w:pPr>
              <w:pStyle w:val="HorizontalLine"/>
              <w:pBdr>
                <w:bottom w:val="single" w:sz="20" w:space="0" w:color="000000"/>
              </w:pBdr>
              <w:spacing w:before="0" w:after="283"/>
              <w:rPr/>
            </w:pPr>
            <w:r>
              <w:rPr/>
            </w:r>
          </w:p>
        </w:tc>
      </w:tr>
      <w:tr>
        <w:trPr/>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1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5464" w:type="dxa"/>
            <w:tcBorders/>
            <w:shd w:fill="auto" w:val="clear"/>
            <w:vAlign w:val="bottom"/>
          </w:tcPr>
          <w:p>
            <w:pPr>
              <w:pStyle w:val="TableContents"/>
              <w:spacing w:before="0" w:after="0"/>
              <w:rPr/>
            </w:pPr>
            <w:r>
              <w:rPr>
                <w:rFonts w:ascii="times New Roman" w:hAnsi="times New Roman"/>
                <w:color w:val="000000"/>
                <w:sz w:val="20"/>
              </w:rPr>
              <w:t>Dennis W. Blazer</w:t>
            </w:r>
            <w:r>
              <w:rPr/>
              <w:t xml:space="preserve"> </w:t>
            </w:r>
          </w:p>
        </w:tc>
      </w:tr>
      <w:tr>
        <w:trPr/>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1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5464" w:type="dxa"/>
            <w:tcBorders/>
            <w:shd w:fill="auto" w:val="clear"/>
            <w:vAlign w:val="bottom"/>
          </w:tcPr>
          <w:p>
            <w:pPr>
              <w:pStyle w:val="TableContents"/>
              <w:spacing w:before="0" w:after="0"/>
              <w:rPr/>
            </w:pPr>
            <w:r>
              <w:rPr>
                <w:rFonts w:ascii="times New Roman" w:hAnsi="times New Roman"/>
                <w:color w:val="000000"/>
                <w:sz w:val="20"/>
              </w:rPr>
              <w:t>Chief Financial Officer and Vice President--Finance and Administration</w:t>
            </w:r>
            <w:r>
              <w:rPr/>
              <w:t xml:space="preserve"> </w:t>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425</Words>
  <CharactersWithSpaces>2862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