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3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5410200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-1612265</wp:posOffset>
            </wp:positionH>
            <wp:positionV relativeFrom="paragraph">
              <wp:posOffset>20320</wp:posOffset>
            </wp:positionV>
            <wp:extent cx="7086600" cy="5766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576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2220" w:space="320"/>
            <w:col w:w="8620"/>
          </w:cols>
          <w:pgMar w:left="520" w:top="0" w:right="560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DEZWIREK PHILLIP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2300 YONGE STREET, SUITE 1710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440" w:firstLine="8"/>
        <w:spacing w:after="0" w:line="25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3">
            <w:col w:w="3260" w:space="720"/>
            <w:col w:w="3720" w:space="188"/>
            <w:col w:w="3272"/>
          </w:cols>
          <w:pgMar w:left="520" w:top="0" w:right="560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gridSpan w:val="3"/>
          </w:tcPr>
          <w:p>
            <w:pPr>
              <w:ind w:left="194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A6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M4P 1E4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145,174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Icarus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13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940,596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Corp.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spouse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4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40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such securities owned prior to transactions being reported on a Form 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40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Filer is President of Icarus Investment Corp. and disclaims beneficial ownership of these securities except to the extent of his pecuniary interest, if any, therein.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 w:right="460"/>
        <w:spacing w:after="0" w:line="2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15, 2008, filer mistakenly filed a Form 4 reporting purchases of 20,000 shares of common stock that did not occur on that date. The correct dates and purchase prices of such shares are being reported on a Form 5 of filer.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Phillip DeZwirek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05/31/2011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380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2240" w:h="15840" w:orient="portrait"/>
      <w:cols w:equalWidth="0" w:num="1">
        <w:col w:w="11160"/>
      </w:cols>
      <w:pgMar w:left="520" w:top="0" w:right="56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0897715" TargetMode="External"/><Relationship Id="rId13" Type="http://schemas.openxmlformats.org/officeDocument/2006/relationships/hyperlink" Target="file://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2020-01-29T05:26:41Z</dcterms:created>
  <dcterms:modified xsi:type="dcterms:W3CDTF">2020-01-29T05:26:41Z</dcterms:modified>
</cp:coreProperties>
</file>