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159385</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148590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Pursuant to Section 13 or 15(d)</w:t>
      </w:r>
    </w:p>
    <w:p>
      <w:pPr>
        <w:jc w:val="center"/>
        <w:ind w:right="-15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Date of Report (Date of earliest reported): June 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160020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CECO Environmental Corp.</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106045</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ectPr>
          <w:pgSz w:w="11900" w:h="16838" w:orient="portrait"/>
          <w:cols w:equalWidth="0" w:num="1">
            <w:col w:w="11260"/>
          </w:cols>
          <w:pgMar w:left="240" w:top="603" w:right="399" w:bottom="1440" w:gutter="0" w:footer="0" w:header="0"/>
        </w:sectPr>
      </w:pPr>
    </w:p>
    <w:p>
      <w:pPr>
        <w:spacing w:after="0" w:line="374"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jc w:val="center"/>
        <w:ind w:right="1300"/>
        <w:spacing w:after="0"/>
        <w:rPr>
          <w:sz w:val="20"/>
          <w:szCs w:val="20"/>
          <w:color w:val="auto"/>
        </w:rPr>
      </w:pPr>
      <w:r>
        <w:rPr>
          <w:rFonts w:ascii="Arial" w:cs="Arial" w:eastAsia="Arial" w:hAnsi="Arial"/>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48" w:lineRule="exact"/>
        <w:rPr>
          <w:sz w:val="24"/>
          <w:szCs w:val="24"/>
          <w:color w:val="auto"/>
        </w:rPr>
      </w:pPr>
    </w:p>
    <w:p>
      <w:pPr>
        <w:sectPr>
          <w:pgSz w:w="11900" w:h="16838" w:orient="portrait"/>
          <w:cols w:equalWidth="0" w:num="3">
            <w:col w:w="4500" w:space="720"/>
            <w:col w:w="2060" w:space="720"/>
            <w:col w:w="3260"/>
          </w:cols>
          <w:pgMar w:left="240" w:top="603" w:right="399" w:bottom="1440" w:gutter="0" w:footer="0" w:header="0"/>
          <w:type w:val="continuous"/>
        </w:sectPr>
      </w:pPr>
    </w:p>
    <w:p>
      <w:pPr>
        <w:spacing w:after="0" w:line="12" w:lineRule="exact"/>
        <w:rPr>
          <w:sz w:val="24"/>
          <w:szCs w:val="24"/>
          <w:color w:val="auto"/>
        </w:rPr>
      </w:pPr>
    </w:p>
    <w:p>
      <w:pPr>
        <w:jc w:val="center"/>
        <w:ind w:left="1220"/>
        <w:spacing w:after="0"/>
        <w:rPr>
          <w:sz w:val="20"/>
          <w:szCs w:val="20"/>
          <w:color w:val="auto"/>
        </w:rPr>
      </w:pPr>
      <w:r>
        <w:rPr>
          <w:rFonts w:ascii="Arial" w:cs="Arial" w:eastAsia="Arial" w:hAnsi="Arial"/>
          <w:sz w:val="13"/>
          <w:szCs w:val="13"/>
          <w:b w:val="1"/>
          <w:bCs w:val="1"/>
          <w:color w:val="auto"/>
        </w:rPr>
        <w:t>(State or Other Jurisdiction</w:t>
      </w:r>
    </w:p>
    <w:p>
      <w:pPr>
        <w:jc w:val="center"/>
        <w:ind w:left="12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(Commission</w:t>
      </w: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Arial" w:cs="Arial" w:eastAsia="Arial" w:hAnsi="Arial"/>
          <w:sz w:val="14"/>
          <w:szCs w:val="14"/>
          <w:b w:val="1"/>
          <w:bCs w:val="1"/>
          <w:color w:val="auto"/>
        </w:rPr>
        <w:t>(IRS Employer</w:t>
      </w:r>
    </w:p>
    <w:p>
      <w:pPr>
        <w:jc w:val="center"/>
        <w:ind w:right="2240"/>
        <w:spacing w:after="0"/>
        <w:rPr>
          <w:sz w:val="20"/>
          <w:szCs w:val="20"/>
          <w:color w:val="auto"/>
        </w:rPr>
      </w:pPr>
      <w:r>
        <w:rPr>
          <w:rFonts w:ascii="Arial" w:cs="Arial" w:eastAsia="Arial" w:hAnsi="Arial"/>
          <w:sz w:val="13"/>
          <w:szCs w:val="13"/>
          <w:b w:val="1"/>
          <w:bCs w:val="1"/>
          <w:color w:val="auto"/>
        </w:rPr>
        <w:t>Identification No)</w:t>
      </w:r>
    </w:p>
    <w:p>
      <w:pPr>
        <w:spacing w:after="0" w:line="199" w:lineRule="exact"/>
        <w:rPr>
          <w:sz w:val="24"/>
          <w:szCs w:val="24"/>
          <w:color w:val="auto"/>
        </w:rPr>
      </w:pPr>
    </w:p>
    <w:p>
      <w:pPr>
        <w:sectPr>
          <w:pgSz w:w="11900" w:h="16838" w:orient="portrait"/>
          <w:cols w:equalWidth="0" w:num="3">
            <w:col w:w="4480" w:space="720"/>
            <w:col w:w="2020" w:space="720"/>
            <w:col w:w="3320"/>
          </w:cols>
          <w:pgMar w:left="240" w:top="603" w:right="399" w:bottom="1440" w:gutter="0" w:footer="0" w:header="0"/>
          <w:type w:val="continuous"/>
        </w:sectPr>
      </w:pPr>
    </w:p>
    <w:p>
      <w:pPr>
        <w:jc w:val="center"/>
        <w:ind w:right="840"/>
        <w:spacing w:after="0"/>
        <w:rPr>
          <w:sz w:val="20"/>
          <w:szCs w:val="20"/>
          <w:color w:val="auto"/>
        </w:rPr>
      </w:pPr>
      <w:r>
        <w:rPr>
          <w:rFonts w:ascii="Arial" w:cs="Arial" w:eastAsia="Arial" w:hAnsi="Arial"/>
          <w:sz w:val="18"/>
          <w:szCs w:val="18"/>
          <w:b w:val="1"/>
          <w:bCs w:val="1"/>
          <w:color w:val="auto"/>
        </w:rPr>
        <w:t>14651 North Dallas Parkway</w:t>
      </w:r>
    </w:p>
    <w:p>
      <w:pPr>
        <w:spacing w:after="0" w:line="45" w:lineRule="exact"/>
        <w:rPr>
          <w:sz w:val="24"/>
          <w:szCs w:val="24"/>
          <w:color w:val="auto"/>
        </w:rPr>
      </w:pPr>
    </w:p>
    <w:p>
      <w:pPr>
        <w:jc w:val="center"/>
        <w:ind w:right="840"/>
        <w:spacing w:after="0"/>
        <w:rPr>
          <w:sz w:val="20"/>
          <w:szCs w:val="20"/>
          <w:color w:val="auto"/>
        </w:rPr>
      </w:pPr>
      <w:r>
        <w:rPr>
          <w:rFonts w:ascii="Arial" w:cs="Arial" w:eastAsia="Arial" w:hAnsi="Arial"/>
          <w:sz w:val="20"/>
          <w:szCs w:val="20"/>
          <w:b w:val="1"/>
          <w:bCs w:val="1"/>
          <w:color w:val="auto"/>
        </w:rPr>
        <w:t>Dallas, Texas</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75254</w:t>
      </w:r>
    </w:p>
    <w:p>
      <w:pPr>
        <w:spacing w:after="0" w:line="71" w:lineRule="exact"/>
        <w:rPr>
          <w:sz w:val="24"/>
          <w:szCs w:val="24"/>
          <w:color w:val="auto"/>
        </w:rPr>
      </w:pPr>
    </w:p>
    <w:p>
      <w:pPr>
        <w:sectPr>
          <w:pgSz w:w="11900" w:h="16838" w:orient="portrait"/>
          <w:cols w:equalWidth="0" w:num="2">
            <w:col w:w="7180" w:space="720"/>
            <w:col w:w="3360"/>
          </w:cols>
          <w:pgMar w:left="240" w:top="603" w:right="399" w:bottom="1440" w:gutter="0" w:footer="0" w:header="0"/>
          <w:type w:val="continuous"/>
        </w:sectPr>
      </w:pPr>
    </w:p>
    <w:p>
      <w:pPr>
        <w:ind w:left="17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7060" w:space="720"/>
            <w:col w:w="3480"/>
          </w:cols>
          <w:pgMar w:left="240" w:top="603" w:right="399" w:bottom="1440" w:gutter="0" w:footer="0" w:header="0"/>
          <w:type w:val="continuous"/>
        </w:sectPr>
      </w:pPr>
    </w:p>
    <w:p>
      <w:pPr>
        <w:spacing w:after="0" w:line="3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123190</wp:posOffset>
            </wp:positionV>
            <wp:extent cx="1672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85"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96" w:lineRule="exact"/>
        <w:rPr>
          <w:sz w:val="24"/>
          <w:szCs w:val="24"/>
          <w:color w:val="auto"/>
        </w:rPr>
      </w:pPr>
    </w:p>
    <w:p>
      <w:pPr>
        <w:ind w:left="880" w:hanging="872"/>
        <w:spacing w:after="0"/>
        <w:tabs>
          <w:tab w:leader="none" w:pos="8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22" w:lineRule="exact"/>
        <w:rPr>
          <w:rFonts w:ascii="MS PGothic" w:cs="MS PGothic" w:eastAsia="MS PGothic" w:hAnsi="MS PGothic"/>
          <w:sz w:val="14"/>
          <w:szCs w:val="14"/>
          <w:color w:val="auto"/>
        </w:rPr>
      </w:pPr>
    </w:p>
    <w:p>
      <w:pPr>
        <w:ind w:left="880" w:hanging="872"/>
        <w:spacing w:after="0"/>
        <w:tabs>
          <w:tab w:leader="none" w:pos="8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22" w:lineRule="exact"/>
        <w:rPr>
          <w:rFonts w:ascii="MS PGothic" w:cs="MS PGothic" w:eastAsia="MS PGothic" w:hAnsi="MS PGothic"/>
          <w:sz w:val="14"/>
          <w:szCs w:val="14"/>
          <w:color w:val="auto"/>
        </w:rPr>
      </w:pPr>
    </w:p>
    <w:p>
      <w:pPr>
        <w:ind w:left="880" w:hanging="872"/>
        <w:spacing w:after="0"/>
        <w:tabs>
          <w:tab w:leader="none" w:pos="8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22" w:lineRule="exact"/>
        <w:rPr>
          <w:rFonts w:ascii="MS PGothic" w:cs="MS PGothic" w:eastAsia="MS PGothic" w:hAnsi="MS PGothic"/>
          <w:sz w:val="14"/>
          <w:szCs w:val="14"/>
          <w:color w:val="auto"/>
        </w:rPr>
      </w:pPr>
    </w:p>
    <w:p>
      <w:pPr>
        <w:ind w:left="880" w:hanging="872"/>
        <w:spacing w:after="0"/>
        <w:tabs>
          <w:tab w:leader="none" w:pos="8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31"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09" w:lineRule="exact"/>
        <w:rPr>
          <w:sz w:val="24"/>
          <w:szCs w:val="24"/>
          <w:color w:val="auto"/>
        </w:rPr>
      </w:pPr>
    </w:p>
    <w:tbl>
      <w:tblPr>
        <w:tblLayout w:type="fixed"/>
        <w:tblInd w:w="1140" w:type="dxa"/>
        <w:tblCellMar>
          <w:top w:w="0" w:type="dxa"/>
          <w:left w:w="0" w:type="dxa"/>
          <w:bottom w:w="0" w:type="dxa"/>
          <w:right w:w="0" w:type="dxa"/>
        </w:tblCellMar>
      </w:tblPr>
      <w:tr>
        <w:trPr>
          <w:trHeight w:val="182"/>
        </w:trPr>
        <w:tc>
          <w:tcPr>
            <w:tcW w:w="3120" w:type="dxa"/>
            <w:vAlign w:val="bottom"/>
          </w:tcPr>
          <w:p>
            <w:pPr>
              <w:jc w:val="center"/>
              <w:ind w:right="608"/>
              <w:spacing w:after="0"/>
              <w:rPr>
                <w:sz w:val="20"/>
                <w:szCs w:val="20"/>
                <w:color w:val="auto"/>
              </w:rPr>
            </w:pPr>
            <w:r>
              <w:rPr>
                <w:rFonts w:ascii="Arial" w:cs="Arial" w:eastAsia="Arial" w:hAnsi="Arial"/>
                <w:sz w:val="14"/>
                <w:szCs w:val="14"/>
                <w:color w:val="auto"/>
                <w:w w:val="92"/>
              </w:rPr>
              <w:t>Title of each class</w:t>
            </w:r>
          </w:p>
        </w:tc>
        <w:tc>
          <w:tcPr>
            <w:tcW w:w="2440" w:type="dxa"/>
            <w:vAlign w:val="bottom"/>
          </w:tcPr>
          <w:p>
            <w:pPr>
              <w:jc w:val="center"/>
              <w:ind w:right="68"/>
              <w:spacing w:after="0"/>
              <w:rPr>
                <w:sz w:val="20"/>
                <w:szCs w:val="20"/>
                <w:color w:val="auto"/>
              </w:rPr>
            </w:pPr>
            <w:r>
              <w:rPr>
                <w:rFonts w:ascii="Arial" w:cs="Arial" w:eastAsia="Arial" w:hAnsi="Arial"/>
                <w:sz w:val="14"/>
                <w:szCs w:val="14"/>
                <w:color w:val="auto"/>
                <w:w w:val="95"/>
              </w:rPr>
              <w:t>Trading Symbol</w:t>
            </w:r>
          </w:p>
        </w:tc>
        <w:tc>
          <w:tcPr>
            <w:tcW w:w="3360" w:type="dxa"/>
            <w:vAlign w:val="bottom"/>
          </w:tcPr>
          <w:p>
            <w:pPr>
              <w:jc w:val="center"/>
              <w:ind w:left="748"/>
              <w:spacing w:after="0"/>
              <w:rPr>
                <w:sz w:val="20"/>
                <w:szCs w:val="20"/>
                <w:color w:val="auto"/>
              </w:rPr>
            </w:pPr>
            <w:r>
              <w:rPr>
                <w:rFonts w:ascii="Arial" w:cs="Arial" w:eastAsia="Arial" w:hAnsi="Arial"/>
                <w:sz w:val="14"/>
                <w:szCs w:val="14"/>
                <w:color w:val="auto"/>
                <w:w w:val="91"/>
              </w:rPr>
              <w:t>Name of each exchange on which registered</w:t>
            </w:r>
          </w:p>
        </w:tc>
      </w:tr>
      <w:tr>
        <w:trPr>
          <w:trHeight w:val="203"/>
        </w:trPr>
        <w:tc>
          <w:tcPr>
            <w:tcW w:w="3120" w:type="dxa"/>
            <w:vAlign w:val="bottom"/>
          </w:tcPr>
          <w:p>
            <w:pPr>
              <w:jc w:val="center"/>
              <w:ind w:right="628"/>
              <w:spacing w:after="0"/>
              <w:rPr>
                <w:sz w:val="20"/>
                <w:szCs w:val="20"/>
                <w:color w:val="auto"/>
              </w:rPr>
            </w:pPr>
            <w:r>
              <w:rPr>
                <w:rFonts w:ascii="Arial" w:cs="Arial" w:eastAsia="Arial" w:hAnsi="Arial"/>
                <w:sz w:val="14"/>
                <w:szCs w:val="14"/>
                <w:color w:val="auto"/>
                <w:w w:val="91"/>
              </w:rPr>
              <w:t>Common Stock, par value $0.01 per share</w:t>
            </w:r>
          </w:p>
        </w:tc>
        <w:tc>
          <w:tcPr>
            <w:tcW w:w="2440" w:type="dxa"/>
            <w:vAlign w:val="bottom"/>
          </w:tcPr>
          <w:p>
            <w:pPr>
              <w:jc w:val="center"/>
              <w:ind w:right="48"/>
              <w:spacing w:after="0"/>
              <w:rPr>
                <w:sz w:val="20"/>
                <w:szCs w:val="20"/>
                <w:color w:val="auto"/>
              </w:rPr>
            </w:pPr>
            <w:r>
              <w:rPr>
                <w:rFonts w:ascii="Arial" w:cs="Arial" w:eastAsia="Arial" w:hAnsi="Arial"/>
                <w:sz w:val="14"/>
                <w:szCs w:val="14"/>
                <w:color w:val="auto"/>
                <w:w w:val="92"/>
              </w:rPr>
              <w:t>CECE</w:t>
            </w:r>
          </w:p>
        </w:tc>
        <w:tc>
          <w:tcPr>
            <w:tcW w:w="3360" w:type="dxa"/>
            <w:vAlign w:val="bottom"/>
          </w:tcPr>
          <w:p>
            <w:pPr>
              <w:jc w:val="center"/>
              <w:ind w:left="748"/>
              <w:spacing w:after="0"/>
              <w:rPr>
                <w:sz w:val="20"/>
                <w:szCs w:val="20"/>
                <w:color w:val="auto"/>
              </w:rPr>
            </w:pPr>
            <w:r>
              <w:rPr>
                <w:rFonts w:ascii="Arial" w:cs="Arial" w:eastAsia="Arial" w:hAnsi="Arial"/>
                <w:sz w:val="14"/>
                <w:szCs w:val="14"/>
                <w:color w:val="auto"/>
                <w:w w:val="97"/>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-240665</wp:posOffset>
            </wp:positionV>
            <wp:extent cx="6835140" cy="266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5140" cy="266065"/>
                    </a:xfrm>
                    <a:prstGeom prst="rect">
                      <a:avLst/>
                    </a:prstGeom>
                    <a:noFill/>
                  </pic:spPr>
                </pic:pic>
              </a:graphicData>
            </a:graphic>
          </wp:anchor>
        </w:drawing>
      </w:r>
    </w:p>
    <w:p>
      <w:pPr>
        <w:spacing w:after="0" w:line="149" w:lineRule="exact"/>
        <w:rPr>
          <w:sz w:val="24"/>
          <w:szCs w:val="24"/>
          <w:color w:val="auto"/>
        </w:rPr>
      </w:pPr>
    </w:p>
    <w:p>
      <w:pPr>
        <w:ind w:right="340"/>
        <w:spacing w:after="0" w:line="180" w:lineRule="exact"/>
        <w:rPr>
          <w:sz w:val="20"/>
          <w:szCs w:val="20"/>
          <w:color w:val="auto"/>
        </w:rPr>
      </w:pPr>
      <w:r>
        <w:rPr>
          <w:rFonts w:ascii="Arial" w:cs="Arial" w:eastAsia="Arial" w:hAnsi="Arial"/>
          <w:sz w:val="14"/>
          <w:szCs w:val="14"/>
          <w:color w:val="auto"/>
        </w:rPr>
        <w:t xml:space="preserve">Indicate by check mark whether the registrant is an emerging growth company as defined in Rule 405 of the Securities Act of 1933 (§ 230.405 of this chapter) or Rule 12b-2 of the Securities Exchange Act of 1934 (§ 240.12b-2 of this chapter). Emerging growth company </w:t>
      </w:r>
      <w:r>
        <w:rPr>
          <w:rFonts w:ascii="MS PGothic" w:cs="MS PGothic" w:eastAsia="MS PGothic" w:hAnsi="MS PGothic"/>
          <w:sz w:val="14"/>
          <w:szCs w:val="14"/>
          <w:color w:val="auto"/>
        </w:rPr>
        <w:t>☐</w:t>
      </w:r>
    </w:p>
    <w:p>
      <w:pPr>
        <w:spacing w:after="0" w:line="113"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349885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962660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603"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5.07 Submission of Matters to a Vote of Security Holders.</w:t>
      </w:r>
    </w:p>
    <w:p>
      <w:pPr>
        <w:spacing w:after="0" w:line="212" w:lineRule="exact"/>
        <w:rPr>
          <w:sz w:val="20"/>
          <w:szCs w:val="20"/>
          <w:color w:val="auto"/>
        </w:rPr>
      </w:pPr>
    </w:p>
    <w:p>
      <w:pPr>
        <w:ind w:right="60"/>
        <w:spacing w:after="0" w:line="248" w:lineRule="auto"/>
        <w:rPr>
          <w:sz w:val="20"/>
          <w:szCs w:val="20"/>
          <w:color w:val="auto"/>
        </w:rPr>
      </w:pPr>
      <w:r>
        <w:rPr>
          <w:rFonts w:ascii="Arial" w:cs="Arial" w:eastAsia="Arial" w:hAnsi="Arial"/>
          <w:sz w:val="21"/>
          <w:szCs w:val="21"/>
          <w:color w:val="auto"/>
        </w:rPr>
        <w:t>On June 5, 2019, CECO Environmental Corp.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held its 2019 Annual Meeting of Stockholders (the “</w:t>
      </w:r>
      <w:r>
        <w:rPr>
          <w:rFonts w:ascii="Arial" w:cs="Arial" w:eastAsia="Arial" w:hAnsi="Arial"/>
          <w:sz w:val="21"/>
          <w:szCs w:val="21"/>
          <w:b w:val="1"/>
          <w:bCs w:val="1"/>
          <w:i w:val="1"/>
          <w:iCs w:val="1"/>
          <w:color w:val="auto"/>
        </w:rPr>
        <w:t>Annual</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Meeting</w:t>
      </w:r>
      <w:r>
        <w:rPr>
          <w:rFonts w:ascii="Arial" w:cs="Arial" w:eastAsia="Arial" w:hAnsi="Arial"/>
          <w:sz w:val="21"/>
          <w:szCs w:val="21"/>
          <w:color w:val="auto"/>
        </w:rPr>
        <w:t>”). At the Annual Meeting, stockholders of the Company considered: 1) the election of the eight director nominees named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 the proxy statement; 2) an advisory vote to approve the Company’s named executive officer compensation; 3) an advisory vote to recommend the frequency of future advisory votes to approve named executive officer compensation; and 4) the ratification of the Company’s independent registered public accounting firm for fiscal 2019. The voting results at the Annual Meeting with respect to each of the matters described above were as follows:</w:t>
      </w:r>
    </w:p>
    <w:p>
      <w:pPr>
        <w:spacing w:after="0" w:line="177" w:lineRule="exact"/>
        <w:rPr>
          <w:sz w:val="20"/>
          <w:szCs w:val="20"/>
          <w:color w:val="auto"/>
        </w:rPr>
      </w:pPr>
    </w:p>
    <w:p>
      <w:pPr>
        <w:ind w:left="880" w:right="840" w:hanging="872"/>
        <w:spacing w:after="0" w:line="251" w:lineRule="auto"/>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eight director nominees named in the proxy statement and standing for election were elected based upon the following votes: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DIRECTOR NOMINEE</w:t>
            </w:r>
          </w:p>
        </w:tc>
        <w:tc>
          <w:tcPr>
            <w:tcW w:w="2160" w:type="dxa"/>
            <w:vAlign w:val="bottom"/>
            <w:gridSpan w:val="2"/>
          </w:tcPr>
          <w:p>
            <w:pPr>
              <w:ind w:left="780"/>
              <w:spacing w:after="0"/>
              <w:rPr>
                <w:sz w:val="20"/>
                <w:szCs w:val="20"/>
                <w:color w:val="auto"/>
              </w:rPr>
            </w:pPr>
            <w:r>
              <w:rPr>
                <w:rFonts w:ascii="Arial" w:cs="Arial" w:eastAsia="Arial" w:hAnsi="Arial"/>
                <w:sz w:val="14"/>
                <w:szCs w:val="14"/>
                <w:b w:val="1"/>
                <w:bCs w:val="1"/>
                <w:color w:val="auto"/>
              </w:rPr>
              <w:t>FOR</w:t>
            </w:r>
          </w:p>
        </w:tc>
        <w:tc>
          <w:tcPr>
            <w:tcW w:w="2160" w:type="dxa"/>
            <w:vAlign w:val="bottom"/>
            <w:gridSpan w:val="2"/>
          </w:tcPr>
          <w:p>
            <w:pPr>
              <w:ind w:left="540"/>
              <w:spacing w:after="0"/>
              <w:rPr>
                <w:sz w:val="20"/>
                <w:szCs w:val="20"/>
                <w:color w:val="auto"/>
              </w:rPr>
            </w:pPr>
            <w:r>
              <w:rPr>
                <w:rFonts w:ascii="Arial" w:cs="Arial" w:eastAsia="Arial" w:hAnsi="Arial"/>
                <w:sz w:val="14"/>
                <w:szCs w:val="14"/>
                <w:b w:val="1"/>
                <w:bCs w:val="1"/>
                <w:color w:val="auto"/>
              </w:rPr>
              <w:t>WITHHELD</w:t>
            </w:r>
          </w:p>
        </w:tc>
        <w:tc>
          <w:tcPr>
            <w:tcW w:w="2020" w:type="dxa"/>
            <w:vAlign w:val="bottom"/>
            <w:gridSpan w:val="2"/>
          </w:tcPr>
          <w:p>
            <w:pPr>
              <w:ind w:left="200"/>
              <w:spacing w:after="0"/>
              <w:rPr>
                <w:sz w:val="20"/>
                <w:szCs w:val="20"/>
                <w:color w:val="auto"/>
              </w:rPr>
            </w:pPr>
            <w:r>
              <w:rPr>
                <w:rFonts w:ascii="Arial" w:cs="Arial" w:eastAsia="Arial" w:hAnsi="Arial"/>
                <w:sz w:val="14"/>
                <w:szCs w:val="14"/>
                <w:b w:val="1"/>
                <w:bCs w:val="1"/>
                <w:color w:val="auto"/>
              </w:rPr>
              <w:t>BROKER NON-VOTES</w:t>
            </w:r>
          </w:p>
        </w:tc>
      </w:tr>
      <w:tr>
        <w:trPr>
          <w:trHeight w:val="223"/>
        </w:trPr>
        <w:tc>
          <w:tcPr>
            <w:tcW w:w="4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Jason DeZwirek</w:t>
            </w:r>
          </w:p>
        </w:tc>
        <w:tc>
          <w:tcPr>
            <w:tcW w:w="160" w:type="dxa"/>
            <w:vAlign w:val="bottom"/>
            <w:tcBorders>
              <w:top w:val="single" w:sz="8" w:color="CFF0FC"/>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jc w:val="right"/>
              <w:ind w:right="392"/>
              <w:spacing w:after="0"/>
              <w:rPr>
                <w:sz w:val="20"/>
                <w:szCs w:val="20"/>
                <w:color w:val="auto"/>
              </w:rPr>
            </w:pPr>
            <w:r>
              <w:rPr>
                <w:rFonts w:ascii="Arial" w:cs="Arial" w:eastAsia="Arial" w:hAnsi="Arial"/>
                <w:sz w:val="18"/>
                <w:szCs w:val="18"/>
                <w:color w:val="auto"/>
              </w:rPr>
              <w:t>24,397,603</w:t>
            </w:r>
          </w:p>
        </w:tc>
        <w:tc>
          <w:tcPr>
            <w:tcW w:w="280" w:type="dxa"/>
            <w:vAlign w:val="bottom"/>
            <w:tcBorders>
              <w:top w:val="single" w:sz="8" w:color="CFF0FC"/>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jc w:val="center"/>
              <w:ind w:left="32"/>
              <w:spacing w:after="0"/>
              <w:rPr>
                <w:sz w:val="20"/>
                <w:szCs w:val="20"/>
                <w:color w:val="auto"/>
              </w:rPr>
            </w:pPr>
            <w:r>
              <w:rPr>
                <w:rFonts w:ascii="Arial" w:cs="Arial" w:eastAsia="Arial" w:hAnsi="Arial"/>
                <w:sz w:val="18"/>
                <w:szCs w:val="18"/>
                <w:color w:val="auto"/>
                <w:w w:val="89"/>
              </w:rPr>
              <w:t>2,053,357</w:t>
            </w:r>
          </w:p>
        </w:tc>
        <w:tc>
          <w:tcPr>
            <w:tcW w:w="280" w:type="dxa"/>
            <w:vAlign w:val="bottom"/>
            <w:tcBorders>
              <w:top w:val="single" w:sz="8" w:color="CFF0FC"/>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jc w:val="right"/>
              <w:ind w:right="452"/>
              <w:spacing w:after="0"/>
              <w:rPr>
                <w:sz w:val="20"/>
                <w:szCs w:val="20"/>
                <w:color w:val="auto"/>
              </w:rPr>
            </w:pPr>
            <w:r>
              <w:rPr>
                <w:rFonts w:ascii="Arial" w:cs="Arial" w:eastAsia="Arial" w:hAnsi="Arial"/>
                <w:sz w:val="18"/>
                <w:szCs w:val="18"/>
                <w:color w:val="auto"/>
              </w:rPr>
              <w:t>4,349,815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Dennis Sadlowski</w:t>
            </w: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25,576,454</w:t>
            </w:r>
          </w:p>
        </w:tc>
        <w:tc>
          <w:tcPr>
            <w:tcW w:w="280" w:type="dxa"/>
            <w:vAlign w:val="bottom"/>
          </w:tcPr>
          <w:p>
            <w:pPr>
              <w:spacing w:after="0"/>
              <w:rPr>
                <w:sz w:val="19"/>
                <w:szCs w:val="19"/>
                <w:color w:val="auto"/>
              </w:rPr>
            </w:pPr>
          </w:p>
        </w:tc>
        <w:tc>
          <w:tcPr>
            <w:tcW w:w="1880" w:type="dxa"/>
            <w:vAlign w:val="bottom"/>
          </w:tcPr>
          <w:p>
            <w:pPr>
              <w:jc w:val="center"/>
              <w:ind w:left="12"/>
              <w:spacing w:after="0"/>
              <w:rPr>
                <w:sz w:val="20"/>
                <w:szCs w:val="20"/>
                <w:color w:val="auto"/>
              </w:rPr>
            </w:pPr>
            <w:r>
              <w:rPr>
                <w:rFonts w:ascii="Arial" w:cs="Arial" w:eastAsia="Arial" w:hAnsi="Arial"/>
                <w:sz w:val="18"/>
                <w:szCs w:val="18"/>
                <w:color w:val="auto"/>
                <w:w w:val="89"/>
              </w:rPr>
              <w:t>874,506</w:t>
            </w:r>
          </w:p>
        </w:tc>
        <w:tc>
          <w:tcPr>
            <w:tcW w:w="280" w:type="dxa"/>
            <w:vAlign w:val="bottom"/>
          </w:tcPr>
          <w:p>
            <w:pPr>
              <w:spacing w:after="0"/>
              <w:rPr>
                <w:sz w:val="19"/>
                <w:szCs w:val="19"/>
                <w:color w:val="auto"/>
              </w:rPr>
            </w:pPr>
          </w:p>
        </w:tc>
        <w:tc>
          <w:tcPr>
            <w:tcW w:w="1900" w:type="dxa"/>
            <w:vAlign w:val="bottom"/>
          </w:tcPr>
          <w:p>
            <w:pPr>
              <w:jc w:val="right"/>
              <w:ind w:right="452"/>
              <w:spacing w:after="0"/>
              <w:rPr>
                <w:sz w:val="20"/>
                <w:szCs w:val="20"/>
                <w:color w:val="auto"/>
              </w:rPr>
            </w:pPr>
            <w:r>
              <w:rPr>
                <w:rFonts w:ascii="Arial" w:cs="Arial" w:eastAsia="Arial" w:hAnsi="Arial"/>
                <w:sz w:val="18"/>
                <w:szCs w:val="18"/>
                <w:color w:val="auto"/>
              </w:rPr>
              <w:t>4,349,815</w:t>
            </w:r>
          </w:p>
        </w:tc>
        <w:tc>
          <w:tcPr>
            <w:tcW w:w="120" w:type="dxa"/>
            <w:vAlign w:val="bottom"/>
          </w:tcPr>
          <w:p>
            <w:pPr>
              <w:spacing w:after="0"/>
              <w:rPr>
                <w:sz w:val="19"/>
                <w:szCs w:val="19"/>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Eric M. Goldberg</w:t>
            </w:r>
          </w:p>
        </w:tc>
        <w:tc>
          <w:tcPr>
            <w:tcW w:w="1880" w:type="dxa"/>
            <w:vAlign w:val="bottom"/>
            <w:shd w:val="clear" w:color="auto" w:fill="CFF0FC"/>
          </w:tcPr>
          <w:p>
            <w:pPr>
              <w:jc w:val="right"/>
              <w:ind w:right="392"/>
              <w:spacing w:after="0"/>
              <w:rPr>
                <w:sz w:val="20"/>
                <w:szCs w:val="20"/>
                <w:color w:val="auto"/>
              </w:rPr>
            </w:pPr>
            <w:r>
              <w:rPr>
                <w:rFonts w:ascii="Arial" w:cs="Arial" w:eastAsia="Arial" w:hAnsi="Arial"/>
                <w:sz w:val="18"/>
                <w:szCs w:val="18"/>
                <w:color w:val="auto"/>
              </w:rPr>
              <w:t>26,237,821</w:t>
            </w:r>
          </w:p>
        </w:tc>
        <w:tc>
          <w:tcPr>
            <w:tcW w:w="280" w:type="dxa"/>
            <w:vAlign w:val="bottom"/>
            <w:shd w:val="clear" w:color="auto" w:fill="CFF0FC"/>
          </w:tcPr>
          <w:p>
            <w:pPr>
              <w:spacing w:after="0"/>
              <w:rPr>
                <w:sz w:val="19"/>
                <w:szCs w:val="19"/>
                <w:color w:val="auto"/>
              </w:rPr>
            </w:pPr>
          </w:p>
        </w:tc>
        <w:tc>
          <w:tcPr>
            <w:tcW w:w="188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89"/>
              </w:rPr>
              <w:t>213,139</w:t>
            </w:r>
          </w:p>
        </w:tc>
        <w:tc>
          <w:tcPr>
            <w:tcW w:w="28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452"/>
              <w:spacing w:after="0"/>
              <w:rPr>
                <w:sz w:val="20"/>
                <w:szCs w:val="20"/>
                <w:color w:val="auto"/>
              </w:rPr>
            </w:pPr>
            <w:r>
              <w:rPr>
                <w:rFonts w:ascii="Arial" w:cs="Arial" w:eastAsia="Arial" w:hAnsi="Arial"/>
                <w:sz w:val="18"/>
                <w:szCs w:val="18"/>
                <w:color w:val="auto"/>
              </w:rPr>
              <w:t>4,349,815</w:t>
            </w:r>
          </w:p>
        </w:tc>
        <w:tc>
          <w:tcPr>
            <w:tcW w:w="120" w:type="dxa"/>
            <w:vAlign w:val="bottom"/>
            <w:shd w:val="clear" w:color="auto" w:fill="CFF0FC"/>
          </w:tcPr>
          <w:p>
            <w:pPr>
              <w:spacing w:after="0"/>
              <w:rPr>
                <w:sz w:val="19"/>
                <w:szCs w:val="19"/>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David B. Liner</w:t>
            </w: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25,784,725</w:t>
            </w:r>
          </w:p>
        </w:tc>
        <w:tc>
          <w:tcPr>
            <w:tcW w:w="280" w:type="dxa"/>
            <w:vAlign w:val="bottom"/>
          </w:tcPr>
          <w:p>
            <w:pPr>
              <w:spacing w:after="0"/>
              <w:rPr>
                <w:sz w:val="19"/>
                <w:szCs w:val="19"/>
                <w:color w:val="auto"/>
              </w:rPr>
            </w:pPr>
          </w:p>
        </w:tc>
        <w:tc>
          <w:tcPr>
            <w:tcW w:w="1880" w:type="dxa"/>
            <w:vAlign w:val="bottom"/>
          </w:tcPr>
          <w:p>
            <w:pPr>
              <w:jc w:val="center"/>
              <w:ind w:left="12"/>
              <w:spacing w:after="0"/>
              <w:rPr>
                <w:sz w:val="20"/>
                <w:szCs w:val="20"/>
                <w:color w:val="auto"/>
              </w:rPr>
            </w:pPr>
            <w:r>
              <w:rPr>
                <w:rFonts w:ascii="Arial" w:cs="Arial" w:eastAsia="Arial" w:hAnsi="Arial"/>
                <w:sz w:val="18"/>
                <w:szCs w:val="18"/>
                <w:color w:val="auto"/>
                <w:w w:val="89"/>
              </w:rPr>
              <w:t>666,235</w:t>
            </w:r>
          </w:p>
        </w:tc>
        <w:tc>
          <w:tcPr>
            <w:tcW w:w="280" w:type="dxa"/>
            <w:vAlign w:val="bottom"/>
          </w:tcPr>
          <w:p>
            <w:pPr>
              <w:spacing w:after="0"/>
              <w:rPr>
                <w:sz w:val="19"/>
                <w:szCs w:val="19"/>
                <w:color w:val="auto"/>
              </w:rPr>
            </w:pPr>
          </w:p>
        </w:tc>
        <w:tc>
          <w:tcPr>
            <w:tcW w:w="1900" w:type="dxa"/>
            <w:vAlign w:val="bottom"/>
          </w:tcPr>
          <w:p>
            <w:pPr>
              <w:jc w:val="right"/>
              <w:ind w:right="452"/>
              <w:spacing w:after="0"/>
              <w:rPr>
                <w:sz w:val="20"/>
                <w:szCs w:val="20"/>
                <w:color w:val="auto"/>
              </w:rPr>
            </w:pPr>
            <w:r>
              <w:rPr>
                <w:rFonts w:ascii="Arial" w:cs="Arial" w:eastAsia="Arial" w:hAnsi="Arial"/>
                <w:sz w:val="18"/>
                <w:szCs w:val="18"/>
                <w:color w:val="auto"/>
              </w:rPr>
              <w:t>4,349,815</w:t>
            </w:r>
          </w:p>
        </w:tc>
        <w:tc>
          <w:tcPr>
            <w:tcW w:w="120" w:type="dxa"/>
            <w:vAlign w:val="bottom"/>
          </w:tcPr>
          <w:p>
            <w:pPr>
              <w:spacing w:after="0"/>
              <w:rPr>
                <w:sz w:val="19"/>
                <w:szCs w:val="19"/>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Claudio A. Mannarino</w:t>
            </w:r>
          </w:p>
        </w:tc>
        <w:tc>
          <w:tcPr>
            <w:tcW w:w="1880" w:type="dxa"/>
            <w:vAlign w:val="bottom"/>
            <w:shd w:val="clear" w:color="auto" w:fill="CFF0FC"/>
          </w:tcPr>
          <w:p>
            <w:pPr>
              <w:jc w:val="right"/>
              <w:ind w:right="392"/>
              <w:spacing w:after="0"/>
              <w:rPr>
                <w:sz w:val="20"/>
                <w:szCs w:val="20"/>
                <w:color w:val="auto"/>
              </w:rPr>
            </w:pPr>
            <w:r>
              <w:rPr>
                <w:rFonts w:ascii="Arial" w:cs="Arial" w:eastAsia="Arial" w:hAnsi="Arial"/>
                <w:sz w:val="18"/>
                <w:szCs w:val="18"/>
                <w:color w:val="auto"/>
              </w:rPr>
              <w:t>26,092,329</w:t>
            </w:r>
          </w:p>
        </w:tc>
        <w:tc>
          <w:tcPr>
            <w:tcW w:w="280" w:type="dxa"/>
            <w:vAlign w:val="bottom"/>
            <w:shd w:val="clear" w:color="auto" w:fill="CFF0FC"/>
          </w:tcPr>
          <w:p>
            <w:pPr>
              <w:spacing w:after="0"/>
              <w:rPr>
                <w:sz w:val="19"/>
                <w:szCs w:val="19"/>
                <w:color w:val="auto"/>
              </w:rPr>
            </w:pPr>
          </w:p>
        </w:tc>
        <w:tc>
          <w:tcPr>
            <w:tcW w:w="188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89"/>
              </w:rPr>
              <w:t>358,631</w:t>
            </w:r>
          </w:p>
        </w:tc>
        <w:tc>
          <w:tcPr>
            <w:tcW w:w="28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452"/>
              <w:spacing w:after="0"/>
              <w:rPr>
                <w:sz w:val="20"/>
                <w:szCs w:val="20"/>
                <w:color w:val="auto"/>
              </w:rPr>
            </w:pPr>
            <w:r>
              <w:rPr>
                <w:rFonts w:ascii="Arial" w:cs="Arial" w:eastAsia="Arial" w:hAnsi="Arial"/>
                <w:sz w:val="18"/>
                <w:szCs w:val="18"/>
                <w:color w:val="auto"/>
              </w:rPr>
              <w:t>4,349,815</w:t>
            </w:r>
          </w:p>
        </w:tc>
        <w:tc>
          <w:tcPr>
            <w:tcW w:w="120" w:type="dxa"/>
            <w:vAlign w:val="bottom"/>
            <w:shd w:val="clear" w:color="auto" w:fill="CFF0FC"/>
          </w:tcPr>
          <w:p>
            <w:pPr>
              <w:spacing w:after="0"/>
              <w:rPr>
                <w:sz w:val="19"/>
                <w:szCs w:val="19"/>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Munish Nanda</w:t>
            </w: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26,235,116</w:t>
            </w:r>
          </w:p>
        </w:tc>
        <w:tc>
          <w:tcPr>
            <w:tcW w:w="280" w:type="dxa"/>
            <w:vAlign w:val="bottom"/>
          </w:tcPr>
          <w:p>
            <w:pPr>
              <w:spacing w:after="0"/>
              <w:rPr>
                <w:sz w:val="19"/>
                <w:szCs w:val="19"/>
                <w:color w:val="auto"/>
              </w:rPr>
            </w:pPr>
          </w:p>
        </w:tc>
        <w:tc>
          <w:tcPr>
            <w:tcW w:w="1880" w:type="dxa"/>
            <w:vAlign w:val="bottom"/>
          </w:tcPr>
          <w:p>
            <w:pPr>
              <w:jc w:val="center"/>
              <w:ind w:left="12"/>
              <w:spacing w:after="0"/>
              <w:rPr>
                <w:sz w:val="20"/>
                <w:szCs w:val="20"/>
                <w:color w:val="auto"/>
              </w:rPr>
            </w:pPr>
            <w:r>
              <w:rPr>
                <w:rFonts w:ascii="Arial" w:cs="Arial" w:eastAsia="Arial" w:hAnsi="Arial"/>
                <w:sz w:val="18"/>
                <w:szCs w:val="18"/>
                <w:color w:val="auto"/>
                <w:w w:val="89"/>
              </w:rPr>
              <w:t>215,844</w:t>
            </w:r>
          </w:p>
        </w:tc>
        <w:tc>
          <w:tcPr>
            <w:tcW w:w="280" w:type="dxa"/>
            <w:vAlign w:val="bottom"/>
          </w:tcPr>
          <w:p>
            <w:pPr>
              <w:spacing w:after="0"/>
              <w:rPr>
                <w:sz w:val="19"/>
                <w:szCs w:val="19"/>
                <w:color w:val="auto"/>
              </w:rPr>
            </w:pPr>
          </w:p>
        </w:tc>
        <w:tc>
          <w:tcPr>
            <w:tcW w:w="1900" w:type="dxa"/>
            <w:vAlign w:val="bottom"/>
          </w:tcPr>
          <w:p>
            <w:pPr>
              <w:jc w:val="right"/>
              <w:ind w:right="452"/>
              <w:spacing w:after="0"/>
              <w:rPr>
                <w:sz w:val="20"/>
                <w:szCs w:val="20"/>
                <w:color w:val="auto"/>
              </w:rPr>
            </w:pPr>
            <w:r>
              <w:rPr>
                <w:rFonts w:ascii="Arial" w:cs="Arial" w:eastAsia="Arial" w:hAnsi="Arial"/>
                <w:sz w:val="18"/>
                <w:szCs w:val="18"/>
                <w:color w:val="auto"/>
              </w:rPr>
              <w:t>4,349,815</w:t>
            </w:r>
          </w:p>
        </w:tc>
        <w:tc>
          <w:tcPr>
            <w:tcW w:w="120" w:type="dxa"/>
            <w:vAlign w:val="bottom"/>
          </w:tcPr>
          <w:p>
            <w:pPr>
              <w:spacing w:after="0"/>
              <w:rPr>
                <w:sz w:val="19"/>
                <w:szCs w:val="19"/>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Jonathan Pollack</w:t>
            </w:r>
          </w:p>
        </w:tc>
        <w:tc>
          <w:tcPr>
            <w:tcW w:w="1880" w:type="dxa"/>
            <w:vAlign w:val="bottom"/>
            <w:shd w:val="clear" w:color="auto" w:fill="CFF0FC"/>
          </w:tcPr>
          <w:p>
            <w:pPr>
              <w:jc w:val="right"/>
              <w:ind w:right="392"/>
              <w:spacing w:after="0"/>
              <w:rPr>
                <w:sz w:val="20"/>
                <w:szCs w:val="20"/>
                <w:color w:val="auto"/>
              </w:rPr>
            </w:pPr>
            <w:r>
              <w:rPr>
                <w:rFonts w:ascii="Arial" w:cs="Arial" w:eastAsia="Arial" w:hAnsi="Arial"/>
                <w:sz w:val="18"/>
                <w:szCs w:val="18"/>
                <w:color w:val="auto"/>
              </w:rPr>
              <w:t>22,845,027</w:t>
            </w:r>
          </w:p>
        </w:tc>
        <w:tc>
          <w:tcPr>
            <w:tcW w:w="280" w:type="dxa"/>
            <w:vAlign w:val="bottom"/>
            <w:shd w:val="clear" w:color="auto" w:fill="CFF0FC"/>
          </w:tcPr>
          <w:p>
            <w:pPr>
              <w:spacing w:after="0"/>
              <w:rPr>
                <w:sz w:val="19"/>
                <w:szCs w:val="19"/>
                <w:color w:val="auto"/>
              </w:rPr>
            </w:pPr>
          </w:p>
        </w:tc>
        <w:tc>
          <w:tcPr>
            <w:tcW w:w="1880" w:type="dxa"/>
            <w:vAlign w:val="bottom"/>
            <w:shd w:val="clear" w:color="auto" w:fill="CFF0FC"/>
          </w:tcPr>
          <w:p>
            <w:pPr>
              <w:jc w:val="center"/>
              <w:ind w:left="32"/>
              <w:spacing w:after="0"/>
              <w:rPr>
                <w:sz w:val="20"/>
                <w:szCs w:val="20"/>
                <w:color w:val="auto"/>
              </w:rPr>
            </w:pPr>
            <w:r>
              <w:rPr>
                <w:rFonts w:ascii="Arial" w:cs="Arial" w:eastAsia="Arial" w:hAnsi="Arial"/>
                <w:sz w:val="18"/>
                <w:szCs w:val="18"/>
                <w:color w:val="auto"/>
                <w:w w:val="89"/>
              </w:rPr>
              <w:t>3,605,933</w:t>
            </w:r>
          </w:p>
        </w:tc>
        <w:tc>
          <w:tcPr>
            <w:tcW w:w="28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452"/>
              <w:spacing w:after="0"/>
              <w:rPr>
                <w:sz w:val="20"/>
                <w:szCs w:val="20"/>
                <w:color w:val="auto"/>
              </w:rPr>
            </w:pPr>
            <w:r>
              <w:rPr>
                <w:rFonts w:ascii="Arial" w:cs="Arial" w:eastAsia="Arial" w:hAnsi="Arial"/>
                <w:sz w:val="18"/>
                <w:szCs w:val="18"/>
                <w:color w:val="auto"/>
              </w:rPr>
              <w:t>4,349,815</w:t>
            </w:r>
          </w:p>
        </w:tc>
        <w:tc>
          <w:tcPr>
            <w:tcW w:w="120" w:type="dxa"/>
            <w:vAlign w:val="bottom"/>
            <w:shd w:val="clear" w:color="auto" w:fill="CFF0FC"/>
          </w:tcPr>
          <w:p>
            <w:pPr>
              <w:spacing w:after="0"/>
              <w:rPr>
                <w:sz w:val="19"/>
                <w:szCs w:val="19"/>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Valerie Gentile Sachs</w:t>
            </w: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26,100,518</w:t>
            </w:r>
          </w:p>
        </w:tc>
        <w:tc>
          <w:tcPr>
            <w:tcW w:w="280" w:type="dxa"/>
            <w:vAlign w:val="bottom"/>
          </w:tcPr>
          <w:p>
            <w:pPr>
              <w:spacing w:after="0"/>
              <w:rPr>
                <w:sz w:val="20"/>
                <w:szCs w:val="20"/>
                <w:color w:val="auto"/>
              </w:rPr>
            </w:pPr>
          </w:p>
        </w:tc>
        <w:tc>
          <w:tcPr>
            <w:tcW w:w="1880" w:type="dxa"/>
            <w:vAlign w:val="bottom"/>
          </w:tcPr>
          <w:p>
            <w:pPr>
              <w:jc w:val="center"/>
              <w:ind w:left="12"/>
              <w:spacing w:after="0"/>
              <w:rPr>
                <w:sz w:val="20"/>
                <w:szCs w:val="20"/>
                <w:color w:val="auto"/>
              </w:rPr>
            </w:pPr>
            <w:r>
              <w:rPr>
                <w:rFonts w:ascii="Arial" w:cs="Arial" w:eastAsia="Arial" w:hAnsi="Arial"/>
                <w:sz w:val="18"/>
                <w:szCs w:val="18"/>
                <w:color w:val="auto"/>
                <w:w w:val="89"/>
              </w:rPr>
              <w:t>350,442</w:t>
            </w:r>
          </w:p>
        </w:tc>
        <w:tc>
          <w:tcPr>
            <w:tcW w:w="280" w:type="dxa"/>
            <w:vAlign w:val="bottom"/>
          </w:tcPr>
          <w:p>
            <w:pPr>
              <w:spacing w:after="0"/>
              <w:rPr>
                <w:sz w:val="20"/>
                <w:szCs w:val="20"/>
                <w:color w:val="auto"/>
              </w:rPr>
            </w:pPr>
          </w:p>
        </w:tc>
        <w:tc>
          <w:tcPr>
            <w:tcW w:w="1900" w:type="dxa"/>
            <w:vAlign w:val="bottom"/>
          </w:tcPr>
          <w:p>
            <w:pPr>
              <w:jc w:val="right"/>
              <w:ind w:right="452"/>
              <w:spacing w:after="0"/>
              <w:rPr>
                <w:sz w:val="20"/>
                <w:szCs w:val="20"/>
                <w:color w:val="auto"/>
              </w:rPr>
            </w:pPr>
            <w:r>
              <w:rPr>
                <w:rFonts w:ascii="Arial" w:cs="Arial" w:eastAsia="Arial" w:hAnsi="Arial"/>
                <w:sz w:val="18"/>
                <w:szCs w:val="18"/>
                <w:color w:val="auto"/>
              </w:rPr>
              <w:t>4,349,815</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10" w:lineRule="exact"/>
        <w:rPr>
          <w:sz w:val="20"/>
          <w:szCs w:val="20"/>
          <w:color w:val="auto"/>
        </w:rPr>
      </w:pPr>
    </w:p>
    <w:p>
      <w:pPr>
        <w:ind w:left="880" w:hanging="872"/>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Company’s named executive officer compensation was approved on an advisory basis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gridSpan w:val="2"/>
          </w:tcPr>
          <w:p>
            <w:pPr>
              <w:ind w:left="1140"/>
              <w:spacing w:after="0"/>
              <w:rPr>
                <w:sz w:val="20"/>
                <w:szCs w:val="20"/>
                <w:color w:val="auto"/>
              </w:rPr>
            </w:pPr>
            <w:r>
              <w:rPr>
                <w:rFonts w:ascii="Arial" w:cs="Arial" w:eastAsia="Arial" w:hAnsi="Arial"/>
                <w:sz w:val="14"/>
                <w:szCs w:val="14"/>
                <w:b w:val="1"/>
                <w:bCs w:val="1"/>
                <w:color w:val="auto"/>
              </w:rPr>
              <w:t>FOR</w:t>
            </w:r>
          </w:p>
        </w:tc>
        <w:tc>
          <w:tcPr>
            <w:tcW w:w="2900" w:type="dxa"/>
            <w:vAlign w:val="bottom"/>
            <w:gridSpan w:val="2"/>
          </w:tcPr>
          <w:p>
            <w:pPr>
              <w:ind w:left="940"/>
              <w:spacing w:after="0"/>
              <w:rPr>
                <w:sz w:val="20"/>
                <w:szCs w:val="20"/>
                <w:color w:val="auto"/>
              </w:rPr>
            </w:pPr>
            <w:r>
              <w:rPr>
                <w:rFonts w:ascii="Arial" w:cs="Arial" w:eastAsia="Arial" w:hAnsi="Arial"/>
                <w:sz w:val="14"/>
                <w:szCs w:val="14"/>
                <w:b w:val="1"/>
                <w:bCs w:val="1"/>
                <w:color w:val="auto"/>
              </w:rPr>
              <w:t>AGAINST</w:t>
            </w:r>
          </w:p>
        </w:tc>
        <w:tc>
          <w:tcPr>
            <w:tcW w:w="2900" w:type="dxa"/>
            <w:vAlign w:val="bottom"/>
            <w:gridSpan w:val="2"/>
          </w:tcPr>
          <w:p>
            <w:pPr>
              <w:ind w:left="960"/>
              <w:spacing w:after="0"/>
              <w:rPr>
                <w:sz w:val="20"/>
                <w:szCs w:val="20"/>
                <w:color w:val="auto"/>
              </w:rPr>
            </w:pPr>
            <w:r>
              <w:rPr>
                <w:rFonts w:ascii="Arial" w:cs="Arial" w:eastAsia="Arial" w:hAnsi="Arial"/>
                <w:sz w:val="14"/>
                <w:szCs w:val="14"/>
                <w:b w:val="1"/>
                <w:bCs w:val="1"/>
                <w:color w:val="auto"/>
              </w:rPr>
              <w:t>ABSTAIN</w:t>
            </w:r>
          </w:p>
        </w:tc>
        <w:tc>
          <w:tcPr>
            <w:tcW w:w="2700" w:type="dxa"/>
            <w:vAlign w:val="bottom"/>
          </w:tcPr>
          <w:p>
            <w:pPr>
              <w:jc w:val="right"/>
              <w:ind w:right="579"/>
              <w:spacing w:after="0"/>
              <w:rPr>
                <w:sz w:val="20"/>
                <w:szCs w:val="20"/>
                <w:color w:val="auto"/>
              </w:rPr>
            </w:pPr>
            <w:r>
              <w:rPr>
                <w:rFonts w:ascii="Arial" w:cs="Arial" w:eastAsia="Arial" w:hAnsi="Arial"/>
                <w:sz w:val="14"/>
                <w:szCs w:val="14"/>
                <w:b w:val="1"/>
                <w:bCs w:val="1"/>
                <w:color w:val="auto"/>
              </w:rPr>
              <w:t>BROKER NON-VOTES</w:t>
            </w:r>
          </w:p>
        </w:tc>
      </w:tr>
      <w:tr>
        <w:trPr>
          <w:trHeight w:val="223"/>
        </w:trPr>
        <w:tc>
          <w:tcPr>
            <w:tcW w:w="2700" w:type="dxa"/>
            <w:vAlign w:val="bottom"/>
            <w:tcBorders>
              <w:top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rPr>
              <w:t>26,244,221</w:t>
            </w:r>
          </w:p>
        </w:tc>
        <w:tc>
          <w:tcPr>
            <w:tcW w:w="220" w:type="dxa"/>
            <w:vAlign w:val="bottom"/>
            <w:tcBorders>
              <w:top w:val="single" w:sz="8" w:color="CFF0FC"/>
            </w:tcBorders>
            <w:shd w:val="clear" w:color="auto" w:fill="CFF0FC"/>
          </w:tcPr>
          <w:p>
            <w:pPr>
              <w:spacing w:after="0"/>
              <w:rPr>
                <w:sz w:val="19"/>
                <w:szCs w:val="19"/>
                <w:color w:val="auto"/>
              </w:rPr>
            </w:pPr>
          </w:p>
        </w:tc>
        <w:tc>
          <w:tcPr>
            <w:tcW w:w="2680" w:type="dxa"/>
            <w:vAlign w:val="bottom"/>
            <w:tcBorders>
              <w:top w:val="single" w:sz="8" w:color="auto"/>
            </w:tcBorders>
            <w:shd w:val="clear" w:color="auto" w:fill="CFF0FC"/>
          </w:tcPr>
          <w:p>
            <w:pPr>
              <w:jc w:val="right"/>
              <w:ind w:right="979"/>
              <w:spacing w:after="0"/>
              <w:rPr>
                <w:sz w:val="20"/>
                <w:szCs w:val="20"/>
                <w:color w:val="auto"/>
              </w:rPr>
            </w:pPr>
            <w:r>
              <w:rPr>
                <w:rFonts w:ascii="Arial" w:cs="Arial" w:eastAsia="Arial" w:hAnsi="Arial"/>
                <w:sz w:val="18"/>
                <w:szCs w:val="18"/>
                <w:color w:val="auto"/>
              </w:rPr>
              <w:t>160,148</w:t>
            </w:r>
          </w:p>
        </w:tc>
        <w:tc>
          <w:tcPr>
            <w:tcW w:w="220" w:type="dxa"/>
            <w:vAlign w:val="bottom"/>
            <w:tcBorders>
              <w:top w:val="single" w:sz="8" w:color="CFF0FC"/>
            </w:tcBorders>
            <w:shd w:val="clear" w:color="auto" w:fill="CFF0FC"/>
          </w:tcPr>
          <w:p>
            <w:pPr>
              <w:spacing w:after="0"/>
              <w:rPr>
                <w:sz w:val="19"/>
                <w:szCs w:val="19"/>
                <w:color w:val="auto"/>
              </w:rPr>
            </w:pPr>
          </w:p>
        </w:tc>
        <w:tc>
          <w:tcPr>
            <w:tcW w:w="2680" w:type="dxa"/>
            <w:vAlign w:val="bottom"/>
            <w:tcBorders>
              <w:top w:val="single" w:sz="8" w:color="auto"/>
            </w:tcBorders>
            <w:shd w:val="clear" w:color="auto" w:fill="CFF0FC"/>
          </w:tcPr>
          <w:p>
            <w:pPr>
              <w:jc w:val="right"/>
              <w:ind w:right="1019"/>
              <w:spacing w:after="0"/>
              <w:rPr>
                <w:sz w:val="20"/>
                <w:szCs w:val="20"/>
                <w:color w:val="auto"/>
              </w:rPr>
            </w:pPr>
            <w:r>
              <w:rPr>
                <w:rFonts w:ascii="Arial" w:cs="Arial" w:eastAsia="Arial" w:hAnsi="Arial"/>
                <w:sz w:val="18"/>
                <w:szCs w:val="18"/>
                <w:color w:val="auto"/>
              </w:rPr>
              <w:t>46,591</w:t>
            </w:r>
          </w:p>
        </w:tc>
        <w:tc>
          <w:tcPr>
            <w:tcW w:w="220" w:type="dxa"/>
            <w:vAlign w:val="bottom"/>
            <w:tcBorders>
              <w:top w:val="single" w:sz="8" w:color="CFF0FC"/>
            </w:tcBorders>
            <w:shd w:val="clear" w:color="auto" w:fill="CFF0FC"/>
          </w:tcPr>
          <w:p>
            <w:pPr>
              <w:spacing w:after="0"/>
              <w:rPr>
                <w:sz w:val="19"/>
                <w:szCs w:val="19"/>
                <w:color w:val="auto"/>
              </w:rPr>
            </w:pPr>
          </w:p>
        </w:tc>
        <w:tc>
          <w:tcPr>
            <w:tcW w:w="27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rPr>
              <w:t>4,349,815</w:t>
            </w:r>
          </w:p>
        </w:tc>
      </w:tr>
    </w:tbl>
    <w:p>
      <w:pPr>
        <w:spacing w:after="0" w:line="195" w:lineRule="exact"/>
        <w:rPr>
          <w:sz w:val="20"/>
          <w:szCs w:val="20"/>
          <w:color w:val="auto"/>
        </w:rPr>
      </w:pPr>
    </w:p>
    <w:p>
      <w:pPr>
        <w:ind w:left="880" w:right="260" w:hanging="872"/>
        <w:spacing w:after="0" w:line="251" w:lineRule="auto"/>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Company’s frequency of future advisory votes for named executive officer compensation was recommended on an advisory basis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20" w:type="dxa"/>
            <w:vAlign w:val="bottom"/>
            <w:gridSpan w:val="2"/>
          </w:tcPr>
          <w:p>
            <w:pPr>
              <w:ind w:left="760"/>
              <w:spacing w:after="0"/>
              <w:rPr>
                <w:sz w:val="20"/>
                <w:szCs w:val="20"/>
                <w:color w:val="auto"/>
              </w:rPr>
            </w:pPr>
            <w:r>
              <w:rPr>
                <w:rFonts w:ascii="Arial" w:cs="Arial" w:eastAsia="Arial" w:hAnsi="Arial"/>
                <w:sz w:val="14"/>
                <w:szCs w:val="14"/>
                <w:b w:val="1"/>
                <w:bCs w:val="1"/>
                <w:color w:val="auto"/>
              </w:rPr>
              <w:t>1 YEAR</w:t>
            </w:r>
          </w:p>
        </w:tc>
        <w:tc>
          <w:tcPr>
            <w:tcW w:w="2300" w:type="dxa"/>
            <w:vAlign w:val="bottom"/>
            <w:gridSpan w:val="2"/>
          </w:tcPr>
          <w:p>
            <w:pPr>
              <w:ind w:left="740"/>
              <w:spacing w:after="0"/>
              <w:rPr>
                <w:sz w:val="20"/>
                <w:szCs w:val="20"/>
                <w:color w:val="auto"/>
              </w:rPr>
            </w:pPr>
            <w:r>
              <w:rPr>
                <w:rFonts w:ascii="Arial" w:cs="Arial" w:eastAsia="Arial" w:hAnsi="Arial"/>
                <w:sz w:val="14"/>
                <w:szCs w:val="14"/>
                <w:b w:val="1"/>
                <w:bCs w:val="1"/>
                <w:color w:val="auto"/>
              </w:rPr>
              <w:t>2 YEAR</w:t>
            </w:r>
          </w:p>
        </w:tc>
        <w:tc>
          <w:tcPr>
            <w:tcW w:w="2320" w:type="dxa"/>
            <w:vAlign w:val="bottom"/>
            <w:gridSpan w:val="2"/>
          </w:tcPr>
          <w:p>
            <w:pPr>
              <w:ind w:left="760"/>
              <w:spacing w:after="0"/>
              <w:rPr>
                <w:sz w:val="20"/>
                <w:szCs w:val="20"/>
                <w:color w:val="auto"/>
              </w:rPr>
            </w:pPr>
            <w:r>
              <w:rPr>
                <w:rFonts w:ascii="Arial" w:cs="Arial" w:eastAsia="Arial" w:hAnsi="Arial"/>
                <w:sz w:val="14"/>
                <w:szCs w:val="14"/>
                <w:b w:val="1"/>
                <w:bCs w:val="1"/>
                <w:color w:val="auto"/>
              </w:rPr>
              <w:t>3 YEAR</w:t>
            </w:r>
          </w:p>
        </w:tc>
        <w:tc>
          <w:tcPr>
            <w:tcW w:w="2320" w:type="dxa"/>
            <w:vAlign w:val="bottom"/>
            <w:gridSpan w:val="2"/>
          </w:tcPr>
          <w:p>
            <w:pPr>
              <w:ind w:left="700"/>
              <w:spacing w:after="0"/>
              <w:rPr>
                <w:sz w:val="20"/>
                <w:szCs w:val="20"/>
                <w:color w:val="auto"/>
              </w:rPr>
            </w:pPr>
            <w:r>
              <w:rPr>
                <w:rFonts w:ascii="Arial" w:cs="Arial" w:eastAsia="Arial" w:hAnsi="Arial"/>
                <w:sz w:val="14"/>
                <w:szCs w:val="14"/>
                <w:b w:val="1"/>
                <w:bCs w:val="1"/>
                <w:color w:val="auto"/>
              </w:rPr>
              <w:t>ABSTAIN</w:t>
            </w:r>
          </w:p>
        </w:tc>
        <w:tc>
          <w:tcPr>
            <w:tcW w:w="2160" w:type="dxa"/>
            <w:vAlign w:val="bottom"/>
          </w:tcPr>
          <w:p>
            <w:pPr>
              <w:jc w:val="right"/>
              <w:ind w:right="319"/>
              <w:spacing w:after="0"/>
              <w:rPr>
                <w:sz w:val="20"/>
                <w:szCs w:val="20"/>
                <w:color w:val="auto"/>
              </w:rPr>
            </w:pPr>
            <w:r>
              <w:rPr>
                <w:rFonts w:ascii="Arial" w:cs="Arial" w:eastAsia="Arial" w:hAnsi="Arial"/>
                <w:sz w:val="14"/>
                <w:szCs w:val="14"/>
                <w:b w:val="1"/>
                <w:bCs w:val="1"/>
                <w:color w:val="auto"/>
              </w:rPr>
              <w:t>BROKER NON-VOTES</w:t>
            </w:r>
          </w:p>
        </w:tc>
      </w:tr>
      <w:tr>
        <w:trPr>
          <w:trHeight w:val="223"/>
        </w:trPr>
        <w:tc>
          <w:tcPr>
            <w:tcW w:w="2140" w:type="dxa"/>
            <w:vAlign w:val="bottom"/>
            <w:tcBorders>
              <w:top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rPr>
              <w:t>24,159,603</w:t>
            </w:r>
          </w:p>
        </w:tc>
        <w:tc>
          <w:tcPr>
            <w:tcW w:w="180" w:type="dxa"/>
            <w:vAlign w:val="bottom"/>
            <w:tcBorders>
              <w:top w:val="single" w:sz="8" w:color="CFF0FC"/>
            </w:tcBorders>
            <w:shd w:val="clear" w:color="auto" w:fill="CFF0FC"/>
          </w:tcPr>
          <w:p>
            <w:pPr>
              <w:spacing w:after="0"/>
              <w:rPr>
                <w:sz w:val="19"/>
                <w:szCs w:val="19"/>
                <w:color w:val="auto"/>
              </w:rPr>
            </w:pPr>
          </w:p>
        </w:tc>
        <w:tc>
          <w:tcPr>
            <w:tcW w:w="2140" w:type="dxa"/>
            <w:vAlign w:val="bottom"/>
            <w:tcBorders>
              <w:top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rPr>
              <w:t>223,068</w:t>
            </w:r>
          </w:p>
        </w:tc>
        <w:tc>
          <w:tcPr>
            <w:tcW w:w="160" w:type="dxa"/>
            <w:vAlign w:val="bottom"/>
            <w:tcBorders>
              <w:top w:val="single" w:sz="8" w:color="CFF0FC"/>
            </w:tcBorders>
            <w:shd w:val="clear" w:color="auto" w:fill="CFF0FC"/>
          </w:tcPr>
          <w:p>
            <w:pPr>
              <w:spacing w:after="0"/>
              <w:rPr>
                <w:sz w:val="19"/>
                <w:szCs w:val="19"/>
                <w:color w:val="auto"/>
              </w:rPr>
            </w:pPr>
          </w:p>
        </w:tc>
        <w:tc>
          <w:tcPr>
            <w:tcW w:w="2140" w:type="dxa"/>
            <w:vAlign w:val="bottom"/>
            <w:tcBorders>
              <w:top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rPr>
              <w:t>2,023,888</w:t>
            </w:r>
          </w:p>
        </w:tc>
        <w:tc>
          <w:tcPr>
            <w:tcW w:w="180" w:type="dxa"/>
            <w:vAlign w:val="bottom"/>
            <w:tcBorders>
              <w:top w:val="single" w:sz="8" w:color="CFF0FC"/>
            </w:tcBorders>
            <w:shd w:val="clear" w:color="auto" w:fill="CFF0FC"/>
          </w:tcPr>
          <w:p>
            <w:pPr>
              <w:spacing w:after="0"/>
              <w:rPr>
                <w:sz w:val="19"/>
                <w:szCs w:val="19"/>
                <w:color w:val="auto"/>
              </w:rPr>
            </w:pPr>
          </w:p>
        </w:tc>
        <w:tc>
          <w:tcPr>
            <w:tcW w:w="2140" w:type="dxa"/>
            <w:vAlign w:val="bottom"/>
            <w:tcBorders>
              <w:top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rPr>
              <w:t>44,401</w:t>
            </w:r>
          </w:p>
        </w:tc>
        <w:tc>
          <w:tcPr>
            <w:tcW w:w="180" w:type="dxa"/>
            <w:vAlign w:val="bottom"/>
            <w:tcBorders>
              <w:top w:val="single" w:sz="8" w:color="CFF0FC"/>
            </w:tcBorders>
            <w:shd w:val="clear" w:color="auto" w:fill="CFF0FC"/>
          </w:tcPr>
          <w:p>
            <w:pPr>
              <w:spacing w:after="0"/>
              <w:rPr>
                <w:sz w:val="19"/>
                <w:szCs w:val="19"/>
                <w:color w:val="auto"/>
              </w:rPr>
            </w:pPr>
          </w:p>
        </w:tc>
        <w:tc>
          <w:tcPr>
            <w:tcW w:w="2160" w:type="dxa"/>
            <w:vAlign w:val="bottom"/>
            <w:tcBorders>
              <w:top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rPr>
              <w:t>4,349,815</w:t>
            </w:r>
          </w:p>
        </w:tc>
      </w:tr>
    </w:tbl>
    <w:p>
      <w:pPr>
        <w:spacing w:after="0" w:line="195" w:lineRule="exact"/>
        <w:rPr>
          <w:sz w:val="20"/>
          <w:szCs w:val="20"/>
          <w:color w:val="auto"/>
        </w:rPr>
      </w:pPr>
    </w:p>
    <w:p>
      <w:pPr>
        <w:ind w:left="880" w:right="40" w:hanging="872"/>
        <w:spacing w:after="0" w:line="251" w:lineRule="auto"/>
        <w:tabs>
          <w:tab w:leader="none" w:pos="88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appointment of BDO USA, LLP as the Company’s independent registered public accounting firm for fiscal 2019 was ratified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ind w:left="1600"/>
              <w:spacing w:after="0"/>
              <w:rPr>
                <w:sz w:val="20"/>
                <w:szCs w:val="20"/>
                <w:color w:val="auto"/>
              </w:rPr>
            </w:pPr>
            <w:r>
              <w:rPr>
                <w:rFonts w:ascii="Arial" w:cs="Arial" w:eastAsia="Arial" w:hAnsi="Arial"/>
                <w:sz w:val="14"/>
                <w:szCs w:val="14"/>
                <w:b w:val="1"/>
                <w:bCs w:val="1"/>
                <w:color w:val="auto"/>
              </w:rPr>
              <w:t>FOR</w:t>
            </w:r>
          </w:p>
        </w:tc>
        <w:tc>
          <w:tcPr>
            <w:tcW w:w="3880" w:type="dxa"/>
            <w:vAlign w:val="bottom"/>
            <w:gridSpan w:val="2"/>
          </w:tcPr>
          <w:p>
            <w:pPr>
              <w:ind w:left="1420"/>
              <w:spacing w:after="0"/>
              <w:rPr>
                <w:sz w:val="20"/>
                <w:szCs w:val="20"/>
                <w:color w:val="auto"/>
              </w:rPr>
            </w:pPr>
            <w:r>
              <w:rPr>
                <w:rFonts w:ascii="Arial" w:cs="Arial" w:eastAsia="Arial" w:hAnsi="Arial"/>
                <w:sz w:val="14"/>
                <w:szCs w:val="14"/>
                <w:b w:val="1"/>
                <w:bCs w:val="1"/>
                <w:color w:val="auto"/>
              </w:rPr>
              <w:t>AGAINST</w:t>
            </w:r>
          </w:p>
        </w:tc>
        <w:tc>
          <w:tcPr>
            <w:tcW w:w="3640" w:type="dxa"/>
            <w:vAlign w:val="bottom"/>
          </w:tcPr>
          <w:p>
            <w:pPr>
              <w:jc w:val="right"/>
              <w:ind w:right="1479"/>
              <w:spacing w:after="0"/>
              <w:rPr>
                <w:sz w:val="20"/>
                <w:szCs w:val="20"/>
                <w:color w:val="auto"/>
              </w:rPr>
            </w:pPr>
            <w:r>
              <w:rPr>
                <w:rFonts w:ascii="Arial" w:cs="Arial" w:eastAsia="Arial" w:hAnsi="Arial"/>
                <w:sz w:val="14"/>
                <w:szCs w:val="14"/>
                <w:b w:val="1"/>
                <w:bCs w:val="1"/>
                <w:color w:val="auto"/>
              </w:rPr>
              <w:t>ABSTAIN</w:t>
            </w:r>
          </w:p>
        </w:tc>
        <w:tc>
          <w:tcPr>
            <w:tcW w:w="20" w:type="dxa"/>
            <w:vAlign w:val="bottom"/>
          </w:tcPr>
          <w:p>
            <w:pPr>
              <w:spacing w:after="0"/>
              <w:rPr>
                <w:sz w:val="14"/>
                <w:szCs w:val="14"/>
                <w:color w:val="auto"/>
              </w:rPr>
            </w:pPr>
          </w:p>
        </w:tc>
      </w:tr>
      <w:tr>
        <w:trPr>
          <w:trHeight w:val="223"/>
        </w:trPr>
        <w:tc>
          <w:tcPr>
            <w:tcW w:w="3620" w:type="dxa"/>
            <w:vAlign w:val="bottom"/>
            <w:tcBorders>
              <w:top w:val="single" w:sz="8" w:color="auto"/>
            </w:tcBorders>
            <w:shd w:val="clear" w:color="auto" w:fill="CFF0FC"/>
          </w:tcPr>
          <w:p>
            <w:pPr>
              <w:jc w:val="right"/>
              <w:ind w:right="1339"/>
              <w:spacing w:after="0"/>
              <w:rPr>
                <w:sz w:val="20"/>
                <w:szCs w:val="20"/>
                <w:color w:val="auto"/>
              </w:rPr>
            </w:pPr>
            <w:r>
              <w:rPr>
                <w:rFonts w:ascii="Arial" w:cs="Arial" w:eastAsia="Arial" w:hAnsi="Arial"/>
                <w:sz w:val="18"/>
                <w:szCs w:val="18"/>
                <w:color w:val="auto"/>
              </w:rPr>
              <w:t>30,345,895</w:t>
            </w:r>
          </w:p>
        </w:tc>
        <w:tc>
          <w:tcPr>
            <w:tcW w:w="280" w:type="dxa"/>
            <w:vAlign w:val="bottom"/>
            <w:tcBorders>
              <w:top w:val="single" w:sz="8" w:color="CFF0FC"/>
            </w:tcBorders>
            <w:shd w:val="clear" w:color="auto" w:fill="CFF0FC"/>
          </w:tcPr>
          <w:p>
            <w:pPr>
              <w:spacing w:after="0"/>
              <w:rPr>
                <w:sz w:val="19"/>
                <w:szCs w:val="19"/>
                <w:color w:val="auto"/>
              </w:rPr>
            </w:pPr>
          </w:p>
        </w:tc>
        <w:tc>
          <w:tcPr>
            <w:tcW w:w="3600" w:type="dxa"/>
            <w:vAlign w:val="bottom"/>
            <w:tcBorders>
              <w:top w:val="single" w:sz="8" w:color="auto"/>
            </w:tcBorders>
            <w:shd w:val="clear" w:color="auto" w:fill="CFF0FC"/>
          </w:tcPr>
          <w:p>
            <w:pPr>
              <w:jc w:val="right"/>
              <w:ind w:right="1439"/>
              <w:spacing w:after="0"/>
              <w:rPr>
                <w:sz w:val="20"/>
                <w:szCs w:val="20"/>
                <w:color w:val="auto"/>
              </w:rPr>
            </w:pPr>
            <w:r>
              <w:rPr>
                <w:rFonts w:ascii="Arial" w:cs="Arial" w:eastAsia="Arial" w:hAnsi="Arial"/>
                <w:sz w:val="18"/>
                <w:szCs w:val="18"/>
                <w:color w:val="auto"/>
              </w:rPr>
              <w:t>439,478</w:t>
            </w:r>
          </w:p>
        </w:tc>
        <w:tc>
          <w:tcPr>
            <w:tcW w:w="280" w:type="dxa"/>
            <w:vAlign w:val="bottom"/>
            <w:tcBorders>
              <w:top w:val="single" w:sz="8" w:color="CFF0FC"/>
            </w:tcBorders>
            <w:shd w:val="clear" w:color="auto" w:fill="CFF0FC"/>
          </w:tcPr>
          <w:p>
            <w:pPr>
              <w:spacing w:after="0"/>
              <w:rPr>
                <w:sz w:val="19"/>
                <w:szCs w:val="19"/>
                <w:color w:val="auto"/>
              </w:rPr>
            </w:pPr>
          </w:p>
        </w:tc>
        <w:tc>
          <w:tcPr>
            <w:tcW w:w="3640" w:type="dxa"/>
            <w:vAlign w:val="bottom"/>
            <w:tcBorders>
              <w:top w:val="single" w:sz="8" w:color="auto"/>
            </w:tcBorders>
            <w:shd w:val="clear" w:color="auto" w:fill="CFF0FC"/>
          </w:tcPr>
          <w:p>
            <w:pPr>
              <w:jc w:val="right"/>
              <w:ind w:right="1499"/>
              <w:spacing w:after="0"/>
              <w:rPr>
                <w:sz w:val="20"/>
                <w:szCs w:val="20"/>
                <w:color w:val="auto"/>
              </w:rPr>
            </w:pPr>
            <w:r>
              <w:rPr>
                <w:rFonts w:ascii="Arial" w:cs="Arial" w:eastAsia="Arial" w:hAnsi="Arial"/>
                <w:sz w:val="18"/>
                <w:szCs w:val="18"/>
                <w:color w:val="auto"/>
              </w:rPr>
              <w:t>15,402</w:t>
            </w:r>
          </w:p>
        </w:tc>
        <w:tc>
          <w:tcPr>
            <w:tcW w:w="20" w:type="dxa"/>
            <w:vAlign w:val="bottom"/>
          </w:tcPr>
          <w:p>
            <w:pPr>
              <w:spacing w:after="0"/>
              <w:rPr>
                <w:sz w:val="19"/>
                <w:szCs w:val="19"/>
                <w:color w:val="auto"/>
              </w:rPr>
            </w:pPr>
          </w:p>
        </w:tc>
      </w:tr>
      <w:tr>
        <w:trPr>
          <w:trHeight w:val="1006"/>
        </w:trPr>
        <w:tc>
          <w:tcPr>
            <w:tcW w:w="3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73" w:lineRule="exact"/>
        <w:rPr>
          <w:sz w:val="20"/>
          <w:szCs w:val="20"/>
          <w:color w:val="auto"/>
        </w:rPr>
      </w:pPr>
    </w:p>
    <w:p>
      <w:pPr>
        <w:spacing w:after="0"/>
        <w:tabs>
          <w:tab w:leader="none" w:pos="5660" w:val="left"/>
        </w:tabs>
        <w:rPr>
          <w:sz w:val="20"/>
          <w:szCs w:val="20"/>
          <w:color w:val="auto"/>
        </w:rPr>
      </w:pPr>
      <w:r>
        <w:rPr>
          <w:rFonts w:ascii="Arial" w:cs="Arial" w:eastAsia="Arial" w:hAnsi="Arial"/>
          <w:sz w:val="22"/>
          <w:szCs w:val="22"/>
          <w:color w:val="auto"/>
        </w:rPr>
        <w:t>Date: June 6, 2019</w:t>
      </w:r>
      <w:r>
        <w:rPr>
          <w:sz w:val="20"/>
          <w:szCs w:val="20"/>
          <w:color w:val="auto"/>
        </w:rPr>
        <w:tab/>
      </w:r>
      <w:r>
        <w:rPr>
          <w:rFonts w:ascii="Arial" w:cs="Arial" w:eastAsia="Arial" w:hAnsi="Arial"/>
          <w:sz w:val="19"/>
          <w:szCs w:val="19"/>
          <w:color w:val="auto"/>
        </w:rPr>
        <w:t>CECO Environmental Corp.</w:t>
      </w:r>
    </w:p>
    <w:p>
      <w:pPr>
        <w:spacing w:after="0" w:line="20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Matthew Eckl</w:t>
      </w:r>
    </w:p>
    <w:p>
      <w:pPr>
        <w:ind w:left="6240"/>
        <w:spacing w:after="0" w:line="238" w:lineRule="auto"/>
        <w:rPr>
          <w:sz w:val="20"/>
          <w:szCs w:val="20"/>
          <w:color w:val="auto"/>
        </w:rPr>
      </w:pPr>
      <w:r>
        <w:rPr>
          <w:rFonts w:ascii="Arial" w:cs="Arial" w:eastAsia="Arial" w:hAnsi="Arial"/>
          <w:sz w:val="22"/>
          <w:szCs w:val="22"/>
          <w:color w:val="auto"/>
        </w:rPr>
        <w:t>Matthew Eckl</w:t>
      </w:r>
    </w:p>
    <w:p>
      <w:pPr>
        <w:ind w:left="6240"/>
        <w:spacing w:after="0"/>
        <w:rPr>
          <w:sz w:val="20"/>
          <w:szCs w:val="20"/>
          <w:color w:val="auto"/>
        </w:rPr>
      </w:pPr>
      <w:r>
        <w:rPr>
          <w:rFonts w:ascii="Arial" w:cs="Arial" w:eastAsia="Arial" w:hAnsi="Arial"/>
          <w:sz w:val="22"/>
          <w:szCs w:val="22"/>
          <w:color w:val="auto"/>
        </w:rPr>
        <w:t>Chief Financial Officer</w:t>
      </w:r>
    </w:p>
    <w:sectPr>
      <w:pgSz w:w="11900" w:h="16838" w:orient="portrait"/>
      <w:cols w:equalWidth="0" w:num="1">
        <w:col w:w="10900"/>
      </w:cols>
      <w:pgMar w:left="240" w:top="328"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2019-12-01T23:26:58Z</dcterms:created>
  <dcterms:modified xsi:type="dcterms:W3CDTF">2019-12-01T23:26:58Z</dcterms:modified>
</cp:coreProperties>
</file>