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2794000</wp:posOffset>
            </wp:positionH>
            <wp:positionV relativeFrom="paragraph">
              <wp:posOffset>123825</wp:posOffset>
            </wp:positionV>
            <wp:extent cx="1668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2794000</wp:posOffset>
            </wp:positionH>
            <wp:positionV relativeFrom="paragraph">
              <wp:posOffset>155575</wp:posOffset>
            </wp:positionV>
            <wp:extent cx="1668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2794000</wp:posOffset>
            </wp:positionH>
            <wp:positionV relativeFrom="paragraph">
              <wp:posOffset>141605</wp:posOffset>
            </wp:positionV>
            <wp:extent cx="1668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pacing w:after="0" w:line="3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2794000</wp:posOffset>
            </wp:positionH>
            <wp:positionV relativeFrom="paragraph">
              <wp:posOffset>132715</wp:posOffset>
            </wp:positionV>
            <wp:extent cx="1668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p>
      <w:pPr>
        <w:spacing w:after="0" w:line="200" w:lineRule="exact"/>
        <w:rPr>
          <w:sz w:val="24"/>
          <w:szCs w:val="24"/>
          <w:color w:val="auto"/>
        </w:rPr>
      </w:pPr>
    </w:p>
    <w:p>
      <w:pPr>
        <w:spacing w:after="0" w:line="20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000-7099</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13-2566064</w:t>
      </w:r>
    </w:p>
    <w:p>
      <w:pPr>
        <w:spacing w:after="0" w:line="22" w:lineRule="exact"/>
        <w:rPr>
          <w:sz w:val="24"/>
          <w:szCs w:val="24"/>
          <w:color w:val="auto"/>
        </w:rPr>
      </w:pPr>
    </w:p>
    <w:p>
      <w:pPr>
        <w:sectPr>
          <w:pgSz w:w="11900" w:h="16838" w:orient="portrait"/>
          <w:cols w:equalWidth="0" w:num="3">
            <w:col w:w="4660" w:space="720"/>
            <w:col w:w="3060" w:space="720"/>
            <w:col w:w="2220"/>
          </w:cols>
          <w:pgMar w:left="240" w:top="375" w:right="279" w:bottom="1440" w:gutter="0" w:footer="0" w:header="0"/>
          <w:type w:val="continuous"/>
        </w:sect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7" w:lineRule="exact"/>
        <w:rPr>
          <w:sz w:val="24"/>
          <w:szCs w:val="24"/>
          <w:color w:val="auto"/>
        </w:rPr>
      </w:pPr>
    </w:p>
    <w:p>
      <w:pPr>
        <w:sectPr>
          <w:pgSz w:w="11900" w:h="16838" w:orient="portrait"/>
          <w:cols w:equalWidth="0" w:num="3">
            <w:col w:w="4600" w:space="720"/>
            <w:col w:w="3000" w:space="720"/>
            <w:col w:w="2340"/>
          </w:cols>
          <w:pgMar w:left="240" w:top="375" w:right="279" w:bottom="1440" w:gutter="0" w:footer="0" w:header="0"/>
          <w:type w:val="continuous"/>
        </w:sect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14651 North Dallas Parkway</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75254</w:t>
      </w:r>
    </w:p>
    <w:p>
      <w:pPr>
        <w:spacing w:after="0" w:line="42" w:lineRule="exact"/>
        <w:rPr>
          <w:sz w:val="24"/>
          <w:szCs w:val="24"/>
          <w:color w:val="auto"/>
        </w:rPr>
      </w:pPr>
    </w:p>
    <w:p>
      <w:pPr>
        <w:sectPr>
          <w:pgSz w:w="11900" w:h="16838" w:orient="portrait"/>
          <w:cols w:equalWidth="0" w:num="2">
            <w:col w:w="7680" w:space="720"/>
            <w:col w:w="2980"/>
          </w:cols>
          <w:pgMar w:left="240" w:top="375" w:right="27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6" w:lineRule="exact"/>
        <w:rPr>
          <w:sz w:val="24"/>
          <w:szCs w:val="24"/>
          <w:color w:val="auto"/>
        </w:rPr>
      </w:pPr>
    </w:p>
    <w:p>
      <w:pPr>
        <w:sectPr>
          <w:pgSz w:w="11900" w:h="16838" w:orient="portrait"/>
          <w:cols w:equalWidth="0" w:num="2">
            <w:col w:w="7580" w:space="720"/>
            <w:col w:w="3080"/>
          </w:cols>
          <w:pgMar w:left="240" w:top="375"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2794000</wp:posOffset>
            </wp:positionH>
            <wp:positionV relativeFrom="paragraph">
              <wp:posOffset>156845</wp:posOffset>
            </wp:positionV>
            <wp:extent cx="1668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pacing w:after="0" w:line="383"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2"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2"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2"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4"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9" w:lineRule="exact"/>
        <w:rPr>
          <w:sz w:val="24"/>
          <w:szCs w:val="24"/>
          <w:color w:val="auto"/>
        </w:rPr>
      </w:pPr>
    </w:p>
    <w:p>
      <w:pPr>
        <w:ind w:right="140"/>
        <w:spacing w:after="0" w:line="242"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0" w:lineRule="exact"/>
        <w:rPr>
          <w:sz w:val="20"/>
          <w:szCs w:val="20"/>
          <w:color w:val="auto"/>
        </w:rPr>
      </w:pPr>
    </w:p>
    <w:p>
      <w:pPr>
        <w:ind w:right="480" w:firstLine="598"/>
        <w:spacing w:after="0" w:line="312" w:lineRule="auto"/>
        <w:rPr>
          <w:sz w:val="20"/>
          <w:szCs w:val="20"/>
          <w:color w:val="auto"/>
        </w:rPr>
      </w:pPr>
      <w:r>
        <w:rPr>
          <w:rFonts w:ascii="Times New Roman" w:cs="Times New Roman" w:eastAsia="Times New Roman" w:hAnsi="Times New Roman"/>
          <w:sz w:val="17"/>
          <w:szCs w:val="17"/>
          <w:color w:val="auto"/>
        </w:rPr>
        <w:t>On March 7, 2019, CECO Environmental Corp., a Delaware corporation, issued a press release announcing its financial results for the three and twelve months ended December 31, 2018. A copy of the press release is furnished as Exhibit 99.1 to this report and is incorporated herein by reference.</w:t>
      </w:r>
    </w:p>
    <w:p>
      <w:pPr>
        <w:spacing w:after="0" w:line="138" w:lineRule="exact"/>
        <w:rPr>
          <w:sz w:val="20"/>
          <w:szCs w:val="20"/>
          <w:color w:val="auto"/>
        </w:rPr>
      </w:pPr>
    </w:p>
    <w:p>
      <w:pPr>
        <w:ind w:right="60" w:firstLine="598"/>
        <w:spacing w:after="0" w:line="265"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0" w:lineRule="exact"/>
        <w:rPr>
          <w:sz w:val="20"/>
          <w:szCs w:val="20"/>
          <w:color w:val="auto"/>
        </w:rPr>
      </w:pPr>
    </w:p>
    <w:p>
      <w:pPr>
        <w:ind w:left="600" w:hanging="592"/>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2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color w:val="auto"/>
                <w:w w:val="9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March 7, 2019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60" w:type="dxa"/>
            <w:vAlign w:val="bottom"/>
            <w:tcBorders>
              <w:top w:val="single" w:sz="8" w:color="0000EE"/>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8" w:lineRule="exact"/>
        <w:rPr>
          <w:sz w:val="20"/>
          <w:szCs w:val="20"/>
          <w:color w:val="auto"/>
        </w:rPr>
      </w:pPr>
    </w:p>
    <w:p>
      <w:pPr>
        <w:ind w:firstLine="598"/>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860" w:val="left"/>
        </w:tabs>
        <w:rPr>
          <w:sz w:val="20"/>
          <w:szCs w:val="20"/>
          <w:color w:val="auto"/>
        </w:rPr>
      </w:pPr>
      <w:r>
        <w:rPr>
          <w:rFonts w:ascii="Times New Roman" w:cs="Times New Roman" w:eastAsia="Times New Roman" w:hAnsi="Times New Roman"/>
          <w:sz w:val="18"/>
          <w:szCs w:val="18"/>
          <w:color w:val="auto"/>
        </w:rPr>
        <w:t>Date: March 7, 2019</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4" w:lineRule="exact"/>
        <w:rPr>
          <w:sz w:val="20"/>
          <w:szCs w:val="20"/>
          <w:color w:val="auto"/>
        </w:rPr>
      </w:pPr>
    </w:p>
    <w:p>
      <w:pPr>
        <w:ind w:left="688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4650740</wp:posOffset>
            </wp:positionH>
            <wp:positionV relativeFrom="paragraph">
              <wp:posOffset>17145</wp:posOffset>
            </wp:positionV>
            <wp:extent cx="2600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Matthew Eckl</w:t>
      </w:r>
    </w:p>
    <w:p>
      <w:pPr>
        <w:spacing w:after="0" w:line="2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860"/>
          </w:cols>
          <w:pgMar w:left="240" w:top="117"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95375" cy="513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5375"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Fourth Quarter and Full Year 2018 Results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Achieves significant improvement in fourth quarter financial performance</w:t>
      </w:r>
    </w:p>
    <w:p>
      <w:pPr>
        <w:spacing w:after="0" w:line="224" w:lineRule="exact"/>
        <w:rPr>
          <w:sz w:val="20"/>
          <w:szCs w:val="20"/>
          <w:color w:val="auto"/>
        </w:rPr>
      </w:pPr>
    </w:p>
    <w:p>
      <w:pPr>
        <w:jc w:val="both"/>
        <w:ind w:left="120" w:right="60"/>
        <w:spacing w:after="0" w:line="245" w:lineRule="auto"/>
        <w:rPr>
          <w:sz w:val="20"/>
          <w:szCs w:val="20"/>
          <w:color w:val="auto"/>
        </w:rPr>
      </w:pPr>
      <w:r>
        <w:rPr>
          <w:rFonts w:ascii="Arial" w:cs="Arial" w:eastAsia="Arial" w:hAnsi="Arial"/>
          <w:sz w:val="20"/>
          <w:szCs w:val="20"/>
          <w:b w:val="1"/>
          <w:bCs w:val="1"/>
          <w:color w:val="auto"/>
        </w:rPr>
        <w:t xml:space="preserve">DALLAS, Texas, March 7, 2019 -- CECO Environmental Corp. (Nasdaq: CECE), </w:t>
      </w:r>
      <w:r>
        <w:rPr>
          <w:rFonts w:ascii="Arial" w:cs="Arial" w:eastAsia="Arial" w:hAnsi="Arial"/>
          <w:sz w:val="20"/>
          <w:szCs w:val="20"/>
          <w:color w:val="auto"/>
        </w:rPr>
        <w:t>a leading global air quality and fluid handling</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serving the energy, industrial and other niche markets, today reported its financial results for the fourth quarter and full year of 2018.</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Highlights of the Fourth Quarter 2018*</w:t>
      </w:r>
    </w:p>
    <w:p>
      <w:pPr>
        <w:spacing w:after="0" w:line="24" w:lineRule="exact"/>
        <w:rPr>
          <w:sz w:val="20"/>
          <w:szCs w:val="20"/>
          <w:color w:val="auto"/>
        </w:rPr>
      </w:pPr>
    </w:p>
    <w:p>
      <w:pPr>
        <w:ind w:left="760" w:hanging="375"/>
        <w:spacing w:after="0"/>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Revenue of $93.9 million, compared with $73.5 million</w:t>
      </w:r>
    </w:p>
    <w:p>
      <w:pPr>
        <w:spacing w:after="0" w:line="7" w:lineRule="exact"/>
        <w:rPr>
          <w:rFonts w:ascii="Times New Roman" w:cs="Times New Roman" w:eastAsia="Times New Roman" w:hAnsi="Times New Roman"/>
          <w:sz w:val="19"/>
          <w:szCs w:val="19"/>
          <w:color w:val="auto"/>
        </w:rPr>
      </w:pPr>
    </w:p>
    <w:p>
      <w:pPr>
        <w:ind w:left="760" w:hanging="375"/>
        <w:spacing w:after="0" w:line="235" w:lineRule="auto"/>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Organic revenue of $93.9 million, compared to $65.0 million</w:t>
      </w:r>
    </w:p>
    <w:p>
      <w:pPr>
        <w:ind w:left="760" w:hanging="375"/>
        <w:spacing w:after="0"/>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Gross profit of $29.8 million (31.7% margin), compared with $25.6 million (34.8% margin)</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Operating Income of $5.7 million, compared with a $(8.2) million loss</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Non-GAAP operating income of $8.4 million, compared with $3.5 million</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Net Income was $0.9 million, compared with a $(11.6) million loss</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Non-GAAP net income of $3.0 million, compared with a $(1.7) million loss</w:t>
      </w:r>
    </w:p>
    <w:p>
      <w:pPr>
        <w:spacing w:after="0" w:line="9" w:lineRule="exact"/>
        <w:rPr>
          <w:rFonts w:ascii="Times New Roman" w:cs="Times New Roman" w:eastAsia="Times New Roman" w:hAnsi="Times New Roman"/>
          <w:sz w:val="19"/>
          <w:szCs w:val="19"/>
          <w:color w:val="auto"/>
        </w:rPr>
      </w:pPr>
    </w:p>
    <w:p>
      <w:pPr>
        <w:ind w:left="760" w:hanging="375"/>
        <w:spacing w:after="0" w:line="235" w:lineRule="auto"/>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Net Income per diluted share was $0.03, compared with $(0.34) loss per diluted share</w:t>
      </w:r>
    </w:p>
    <w:p>
      <w:pPr>
        <w:ind w:left="760" w:hanging="375"/>
        <w:spacing w:after="0" w:line="235" w:lineRule="auto"/>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Non-GAAP net income per diluted share of $0.08, compared with $(0.05) loss</w:t>
      </w:r>
    </w:p>
    <w:p>
      <w:pPr>
        <w:ind w:left="760" w:hanging="375"/>
        <w:spacing w:after="0" w:line="235" w:lineRule="auto"/>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Adjusted EBITDA of $10.0 million, compared with $4.9 million</w:t>
      </w:r>
    </w:p>
    <w:p>
      <w:pPr>
        <w:ind w:left="760" w:hanging="375"/>
        <w:spacing w:after="0" w:line="235" w:lineRule="auto"/>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Bookings of $74.5 million, compared with $91.4 million</w:t>
      </w:r>
    </w:p>
    <w:p>
      <w:pPr>
        <w:ind w:left="760" w:hanging="375"/>
        <w:spacing w:after="0"/>
        <w:tabs>
          <w:tab w:leader="none" w:pos="7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Backlog of $182.1 million, compared with $150.6 million, adjusted for divestitures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Full-Year 2018 Highlights*</w:t>
      </w:r>
    </w:p>
    <w:p>
      <w:pPr>
        <w:spacing w:after="0" w:line="24" w:lineRule="exact"/>
        <w:rPr>
          <w:sz w:val="20"/>
          <w:szCs w:val="20"/>
          <w:color w:val="auto"/>
        </w:rPr>
      </w:pPr>
    </w:p>
    <w:p>
      <w:pPr>
        <w:ind w:left="760" w:hanging="375"/>
        <w:spacing w:after="0"/>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Revenue of $337.3 million, compared with $345.1 million</w:t>
      </w:r>
    </w:p>
    <w:p>
      <w:pPr>
        <w:spacing w:after="0" w:line="7" w:lineRule="exact"/>
        <w:rPr>
          <w:rFonts w:ascii="Times New Roman" w:cs="Times New Roman" w:eastAsia="Times New Roman" w:hAnsi="Times New Roman"/>
          <w:sz w:val="19"/>
          <w:szCs w:val="19"/>
          <w:color w:val="auto"/>
        </w:rPr>
      </w:pPr>
    </w:p>
    <w:p>
      <w:pPr>
        <w:ind w:left="760" w:hanging="375"/>
        <w:spacing w:after="0" w:line="235" w:lineRule="auto"/>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Organic revenue of $328.0 million, compared with $310.5 million</w:t>
      </w:r>
    </w:p>
    <w:p>
      <w:pPr>
        <w:ind w:left="760" w:hanging="375"/>
        <w:spacing w:after="0"/>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Gross profit of $111.5 million, down $1.7 million</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Gross margin of 33.1%, up 30 basis points</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Net loss of $(7.1) million, or $(0.21) loss per share</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Non-GAAP net income of $10.2 million, or $0.29 per diluted share</w:t>
      </w:r>
    </w:p>
    <w:p>
      <w:pPr>
        <w:spacing w:after="0" w:line="9" w:lineRule="exact"/>
        <w:rPr>
          <w:rFonts w:ascii="Times New Roman" w:cs="Times New Roman" w:eastAsia="Times New Roman" w:hAnsi="Times New Roman"/>
          <w:sz w:val="19"/>
          <w:szCs w:val="19"/>
          <w:color w:val="auto"/>
        </w:rPr>
      </w:pPr>
    </w:p>
    <w:p>
      <w:pPr>
        <w:ind w:left="760" w:hanging="375"/>
        <w:spacing w:after="0"/>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Adjusted EBITDA of $30.7 million</w:t>
      </w:r>
    </w:p>
    <w:p>
      <w:pPr>
        <w:spacing w:after="0" w:line="9" w:lineRule="exact"/>
        <w:rPr>
          <w:rFonts w:ascii="Times New Roman" w:cs="Times New Roman" w:eastAsia="Times New Roman" w:hAnsi="Times New Roman"/>
          <w:sz w:val="19"/>
          <w:szCs w:val="19"/>
          <w:color w:val="auto"/>
        </w:rPr>
      </w:pPr>
    </w:p>
    <w:p>
      <w:pPr>
        <w:ind w:left="760" w:hanging="375"/>
        <w:spacing w:after="0" w:line="235" w:lineRule="auto"/>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Bookings of $367.4 million, compared with $333.6 million</w:t>
      </w:r>
    </w:p>
    <w:p>
      <w:pPr>
        <w:ind w:left="760" w:hanging="375"/>
        <w:spacing w:after="0"/>
        <w:tabs>
          <w:tab w:leader="none" w:pos="760" w:val="left"/>
        </w:tabs>
        <w:numPr>
          <w:ilvl w:val="1"/>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Bookings of $359.1 million, compared with $297.9 million, adjusted for divestitures</w:t>
      </w:r>
    </w:p>
    <w:p>
      <w:pPr>
        <w:spacing w:after="0" w:line="220" w:lineRule="exact"/>
        <w:rPr>
          <w:rFonts w:ascii="Times New Roman" w:cs="Times New Roman" w:eastAsia="Times New Roman" w:hAnsi="Times New Roman"/>
          <w:sz w:val="19"/>
          <w:szCs w:val="19"/>
          <w:color w:val="auto"/>
        </w:rPr>
      </w:pPr>
    </w:p>
    <w:p>
      <w:pPr>
        <w:ind w:left="1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 All comparisons are versus the comparable prior-year period, which include results from divestitures, unless otherwise stated.</w:t>
      </w:r>
    </w:p>
    <w:p>
      <w:pPr>
        <w:spacing w:after="0" w:line="228" w:lineRule="exact"/>
        <w:rPr>
          <w:sz w:val="20"/>
          <w:szCs w:val="20"/>
          <w:color w:val="auto"/>
        </w:rPr>
      </w:pPr>
    </w:p>
    <w:p>
      <w:pPr>
        <w:ind w:left="120" w:right="180"/>
        <w:spacing w:after="0" w:line="246" w:lineRule="auto"/>
        <w:rPr>
          <w:sz w:val="20"/>
          <w:szCs w:val="20"/>
          <w:color w:val="auto"/>
        </w:rPr>
      </w:pPr>
      <w:r>
        <w:rPr>
          <w:rFonts w:ascii="Arial" w:cs="Arial" w:eastAsia="Arial" w:hAnsi="Arial"/>
          <w:sz w:val="19"/>
          <w:szCs w:val="19"/>
          <w:color w:val="auto"/>
        </w:rPr>
        <w:t>CECO’s Chief Executive Officer Dennis Sadlowski commented, “I am very pleased with our financial results for the fourth quarter and want to thank the entire CECO team for delivering big improvements in our performance. We achieved 44% year-over-year organic revenue growth, over 100% growth in EBITDA, and incredible free cash flow generation of $17 million. We view cash earnings as integral to generating top-tier returns for our shareholders and believe this to be a fundamental strength of CECO’s asset light business model.”</w:t>
      </w:r>
    </w:p>
    <w:p>
      <w:pPr>
        <w:spacing w:after="0" w:line="174"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19"/>
          <w:szCs w:val="19"/>
          <w:color w:val="auto"/>
        </w:rPr>
        <w:t>Mr. Sadlowski added, “In 2018, we executed on our operating strategy, delivered growth with a 20% year-over-year increase in bookings and are well underway to transforming how we do business with a more customer focused and solutions-based mindset. Our fourth quarter bookings were below our expectations as capital markets volatility and US political tensions created delays in customer decisions. We expect this to be more of a timing issue as our overall sales pipeline remains very strong and robust. We are headed into a new year with an impressive backlog of $182 million, which is up $32 million organically from the prior year. Our end markets are large and generally healthy going into 2019 which provide us confidence in our aggressive financial targets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FOURTH QUARTER RESULTS</w:t>
      </w:r>
    </w:p>
    <w:p>
      <w:pPr>
        <w:spacing w:after="0" w:line="189"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Revenue in the fourth quarter of 2018 was $93.9 million, up 27.8% from $73.5 million in the prior-year period, and up 6.3% from $88.3 million in the third quarter of 2018. Revenue in the fourth quarter of 2017 included $8.5 million attributable to our divested businesses, Keystone, Strobic and Zhongli.</w:t>
      </w:r>
    </w:p>
    <w:p>
      <w:pPr>
        <w:spacing w:after="0" w:line="174"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Operating Income was $ 5.7 million for the fourth quarter of 2018 (6.1% margin), compared with an $(8.2) million loss in the prior-year period. Non-GAAP operating income was $8.4 million for the fourth quarter of 2018 (9.0% margin), compared with $3.5 million in the prior-year period (4.8% margin).</w:t>
      </w:r>
    </w:p>
    <w:p>
      <w:pPr>
        <w:spacing w:after="0" w:line="174"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Net income was $0.9 million for the fourth quarter of 2018, compared with a $(11.6) million net loss in the prior-year period. Net income on a non-GAAP basis was $3.0 million for the fourth quarter of 2018, compared with a $(1.7) million net loss in the prior-year period.</w:t>
      </w:r>
    </w:p>
    <w:p>
      <w:pPr>
        <w:spacing w:after="0" w:line="174"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Net income per diluted share was $0.03 for the fourth quarter of 2018, compared with net loss per diluted share of $(0.34) in the prior-year period. Non-GAAP net income per diluted share was $0.08 for the fourth quarter of 2018, compared with non-GAAP net loss per diluted share of $(0.05) for the prior-year period.</w:t>
      </w:r>
    </w:p>
    <w:p>
      <w:pPr>
        <w:spacing w:after="0" w:line="16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20"/>
          <w:szCs w:val="20"/>
          <w:color w:val="auto"/>
        </w:rPr>
        <w:t>Cash and cash equivalents were $43.7 million and bank debt was $76.1 million as of December 31, 2018, compared with $29.9 million and $117.7 million, respectively, as of December 31, 2017.</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17"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Total backlog at December 31, 2018 was $182.1 million as compared with $168.9 million at December 31, 2017, and $211.4 million on September 30, 2018. In 2018, $18.3 million of beginning backlog was attributable to the divested Keystone, Strobic, and Zhongli businesses. Adjusted for divestitures, backlog increased $31.5 million year-over-year.</w:t>
      </w:r>
    </w:p>
    <w:p>
      <w:pPr>
        <w:spacing w:after="0" w:line="174"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Bookings were $74.5 million for the fourth quarter of 2018, compared with $91.4 million in the prior-year period. Bookings in the 2017 quarter included $6.5 million attributable to the noted divestitures, compared with $1.7 million in the current-year. Adjusted for divestitures, bookings in the fourth quarter decreased $12.1 million.</w:t>
      </w:r>
    </w:p>
    <w:p>
      <w:pPr>
        <w:spacing w:after="0" w:line="174"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Bookings were $367.4 million for the year of 2018 as compared with $333.6 million for the prior-year period. Bookings for the year of 2017 included $35.7 million attributable to noted divestitures, compared with $8.3 million in the current-year. Adjusted for divestitures, bookings for the year increased $61.2 million.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2018 FULL YEAR RESULTS</w:t>
      </w:r>
    </w:p>
    <w:p>
      <w:pPr>
        <w:spacing w:after="0" w:line="217"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20"/>
          <w:szCs w:val="20"/>
          <w:color w:val="auto"/>
        </w:rPr>
        <w:t>Revenue was $337.3 million for the twelve months in 2018, down 2.2% from $345.1 million in the prior-year period. Revenue in 2017 included $34.6 million attributable to our divested businesses, Keystone, Strobic, and Zhongli compared with $9.3 million for the year of 2018.</w:t>
      </w:r>
    </w:p>
    <w:p>
      <w:pPr>
        <w:spacing w:after="0" w:line="161" w:lineRule="exact"/>
        <w:rPr>
          <w:sz w:val="20"/>
          <w:szCs w:val="20"/>
          <w:color w:val="auto"/>
        </w:rPr>
      </w:pPr>
    </w:p>
    <w:p>
      <w:pPr>
        <w:jc w:val="both"/>
        <w:ind w:left="120" w:right="100"/>
        <w:spacing w:after="0" w:line="244" w:lineRule="auto"/>
        <w:rPr>
          <w:sz w:val="20"/>
          <w:szCs w:val="20"/>
          <w:color w:val="auto"/>
        </w:rPr>
      </w:pPr>
      <w:r>
        <w:rPr>
          <w:rFonts w:ascii="Arial" w:cs="Arial" w:eastAsia="Arial" w:hAnsi="Arial"/>
          <w:sz w:val="20"/>
          <w:szCs w:val="20"/>
          <w:color w:val="auto"/>
        </w:rPr>
        <w:t>Operating income was $10.0 million in 2018 (3.0% margin), compared with $8.0 million in the prior-year period (2.3% margin). Operating income on a non-GAAP basis was $24.1 million in 2018 (7.1% margin), compared with $28.3 million in the prior-year period (8.2% margin).</w:t>
      </w:r>
    </w:p>
    <w:p>
      <w:pPr>
        <w:spacing w:after="0" w:line="16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20"/>
          <w:szCs w:val="20"/>
          <w:color w:val="auto"/>
        </w:rPr>
        <w:t>Net loss was $(7.1) million for 2018, compared with a net loss of $(3.0) million in the prior-year period. Net income on a non-GAAP basis was $10.2 million for the year of 2018, compared with $9.5 million in the prior-year period.</w:t>
      </w:r>
    </w:p>
    <w:p>
      <w:pPr>
        <w:spacing w:after="0" w:line="156" w:lineRule="exact"/>
        <w:rPr>
          <w:sz w:val="20"/>
          <w:szCs w:val="20"/>
          <w:color w:val="auto"/>
        </w:rPr>
      </w:pPr>
    </w:p>
    <w:p>
      <w:pPr>
        <w:ind w:left="120" w:right="1480"/>
        <w:spacing w:after="0" w:line="289" w:lineRule="auto"/>
        <w:rPr>
          <w:sz w:val="20"/>
          <w:szCs w:val="20"/>
          <w:color w:val="auto"/>
        </w:rPr>
      </w:pPr>
      <w:r>
        <w:rPr>
          <w:rFonts w:ascii="Arial" w:cs="Arial" w:eastAsia="Arial" w:hAnsi="Arial"/>
          <w:sz w:val="19"/>
          <w:szCs w:val="19"/>
          <w:color w:val="auto"/>
        </w:rPr>
        <w:t>Net loss per diluted share was $(0.21) in 2018, compared with net loss of $(0.09) in the prior-year period. Non-GAAP net income per diluted share was $0.29 for the year of 2018, compared with $0.27 for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189" w:lineRule="exact"/>
        <w:rPr>
          <w:sz w:val="20"/>
          <w:szCs w:val="20"/>
          <w:color w:val="auto"/>
        </w:rPr>
      </w:pPr>
    </w:p>
    <w:p>
      <w:pPr>
        <w:jc w:val="both"/>
        <w:ind w:left="120"/>
        <w:spacing w:after="0" w:line="244" w:lineRule="auto"/>
        <w:rPr>
          <w:sz w:val="20"/>
          <w:szCs w:val="20"/>
          <w:color w:val="auto"/>
        </w:rPr>
      </w:pPr>
      <w:r>
        <w:rPr>
          <w:rFonts w:ascii="Arial" w:cs="Arial" w:eastAsia="Arial" w:hAnsi="Arial"/>
          <w:sz w:val="20"/>
          <w:szCs w:val="20"/>
          <w:color w:val="auto"/>
        </w:rPr>
        <w:t>A conference call is scheduled for today at 8:30 a.m. ET to discuss the fourth quarter and fiscal 2018 financial results. The conference call may also be accessed by dialing (888) 346-4547 (Toll-Free) within the U.S., (855) 669-9657 (Toll-Free) within Canada or Toll/International (412) 317-5251.</w:t>
      </w:r>
    </w:p>
    <w:p>
      <w:pPr>
        <w:spacing w:after="0" w:line="174" w:lineRule="exact"/>
        <w:rPr>
          <w:sz w:val="20"/>
          <w:szCs w:val="20"/>
          <w:color w:val="auto"/>
        </w:rPr>
      </w:pPr>
    </w:p>
    <w:p>
      <w:pPr>
        <w:ind w:left="120" w:right="460"/>
        <w:spacing w:after="0" w:line="376" w:lineRule="auto"/>
        <w:rPr>
          <w:sz w:val="20"/>
          <w:szCs w:val="20"/>
          <w:color w:val="auto"/>
        </w:rPr>
      </w:pPr>
      <w:r>
        <w:rPr>
          <w:rFonts w:ascii="Arial" w:cs="Arial" w:eastAsia="Arial" w:hAnsi="Arial"/>
          <w:sz w:val="19"/>
          <w:szCs w:val="19"/>
          <w:color w:val="auto"/>
        </w:rPr>
        <w:t xml:space="preserve">The live webcast and slides can also be accessed at </w:t>
      </w:r>
      <w:r>
        <w:rPr>
          <w:rFonts w:ascii="Arial" w:cs="Arial" w:eastAsia="Arial" w:hAnsi="Arial"/>
          <w:sz w:val="19"/>
          <w:szCs w:val="19"/>
          <w:u w:val="single" w:color="auto"/>
          <w:color w:val="auto"/>
        </w:rPr>
        <w:t>https://investors.cecoenviro.com/events-webcasts-and-presentations</w:t>
      </w:r>
      <w:r>
        <w:rPr>
          <w:rFonts w:ascii="Arial" w:cs="Arial" w:eastAsia="Arial" w:hAnsi="Arial"/>
          <w:sz w:val="19"/>
          <w:szCs w:val="19"/>
          <w:color w:val="auto"/>
        </w:rPr>
        <w:t xml:space="preserve"> A replay of the conference call will be available on the Company's website for 7 days. The replay may be accessed by dialing</w:t>
      </w:r>
    </w:p>
    <w:p>
      <w:pPr>
        <w:spacing w:after="0" w:line="2" w:lineRule="exact"/>
        <w:rPr>
          <w:sz w:val="20"/>
          <w:szCs w:val="20"/>
          <w:color w:val="auto"/>
        </w:rPr>
      </w:pPr>
    </w:p>
    <w:p>
      <w:pPr>
        <w:ind w:left="120" w:right="500" w:hanging="6"/>
        <w:spacing w:after="0" w:line="238" w:lineRule="auto"/>
        <w:tabs>
          <w:tab w:leader="none" w:pos="631" w:val="left"/>
        </w:tabs>
        <w:numPr>
          <w:ilvl w:val="0"/>
          <w:numId w:val="5"/>
        </w:numPr>
        <w:rPr>
          <w:rFonts w:ascii="Arial" w:cs="Arial" w:eastAsia="Arial" w:hAnsi="Arial"/>
          <w:sz w:val="20"/>
          <w:szCs w:val="20"/>
          <w:color w:val="auto"/>
        </w:rPr>
      </w:pPr>
      <w:r>
        <w:rPr>
          <w:rFonts w:ascii="Arial" w:cs="Arial" w:eastAsia="Arial" w:hAnsi="Arial"/>
          <w:sz w:val="20"/>
          <w:szCs w:val="20"/>
          <w:color w:val="auto"/>
        </w:rPr>
        <w:t>344-7529 (Toll-Free) within the U.S., (855) 669-9658 (Toll-Free) within Canada, or Toll/International (412) 317-0088 and entering access code 10128725.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189"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spacing w:after="0" w:line="12" w:lineRule="exact"/>
        <w:rPr>
          <w:sz w:val="20"/>
          <w:szCs w:val="20"/>
          <w:color w:val="auto"/>
        </w:rPr>
      </w:pPr>
    </w:p>
    <w:p>
      <w:pPr>
        <w:ind w:right="8560" w:firstLine="8"/>
        <w:spacing w:after="0" w:line="261" w:lineRule="auto"/>
        <w:tabs>
          <w:tab w:leader="none" w:pos="516"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5492750</wp:posOffset>
            </wp:positionV>
            <wp:extent cx="7246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5647055</wp:posOffset>
            </wp:positionV>
            <wp:extent cx="72466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220" w:type="dxa"/>
            <w:vAlign w:val="bottom"/>
            <w:gridSpan w:val="3"/>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Exhibit 99.1</w:t>
            </w:r>
          </w:p>
        </w:tc>
        <w:tc>
          <w:tcPr>
            <w:tcW w:w="0" w:type="dxa"/>
            <w:vAlign w:val="bottom"/>
          </w:tcPr>
          <w:p>
            <w:pPr>
              <w:spacing w:after="0"/>
              <w:rPr>
                <w:sz w:val="1"/>
                <w:szCs w:val="1"/>
                <w:color w:val="auto"/>
              </w:rPr>
            </w:pPr>
          </w:p>
        </w:tc>
      </w:tr>
      <w:tr>
        <w:trPr>
          <w:trHeight w:val="193"/>
        </w:trPr>
        <w:tc>
          <w:tcPr>
            <w:tcW w:w="8220" w:type="dxa"/>
            <w:vAlign w:val="bottom"/>
            <w:gridSpan w:val="3"/>
            <w:vMerge w:val="continue"/>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6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4"/>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560" w:type="dxa"/>
            <w:vAlign w:val="bottom"/>
            <w:tcBorders>
              <w:bottom w:val="single" w:sz="8" w:color="CFF0FC"/>
            </w:tcBorders>
            <w:vMerge w:val="continue"/>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43,676</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income taxes</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392,582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debt</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Note payable</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34,953,825 and</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34,707,924 shares issued and outstanding at December 31, 2018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2017, respectively</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loss</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(59,427)</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(52,673)</w:t>
            </w: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178,916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treasury stock, at cost, 137,920 shares at December 31, 2018 and 2017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178,560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Borders>
              <w:bottom w:val="single" w:sz="8" w:color="D9D9D9"/>
            </w:tcBorders>
          </w:tcPr>
          <w:p>
            <w:pPr>
              <w:spacing w:after="0"/>
              <w:rPr>
                <w:sz w:val="17"/>
                <w:szCs w:val="17"/>
                <w:color w:val="auto"/>
              </w:rPr>
            </w:pPr>
          </w:p>
        </w:tc>
        <w:tc>
          <w:tcPr>
            <w:tcW w:w="280" w:type="dxa"/>
            <w:vAlign w:val="bottom"/>
            <w:tcBorders>
              <w:bottom w:val="single" w:sz="8" w:color="D9D9D9"/>
            </w:tcBorders>
          </w:tcPr>
          <w:p>
            <w:pPr>
              <w:spacing w:after="0"/>
              <w:rPr>
                <w:sz w:val="17"/>
                <w:szCs w:val="17"/>
                <w:color w:val="auto"/>
              </w:rPr>
            </w:pPr>
          </w:p>
        </w:tc>
        <w:tc>
          <w:tcPr>
            <w:tcW w:w="380" w:type="dxa"/>
            <w:vAlign w:val="bottom"/>
            <w:tcBorders>
              <w:bottom w:val="single" w:sz="8" w:color="D9D9D9"/>
            </w:tcBorders>
          </w:tcPr>
          <w:p>
            <w:pPr>
              <w:spacing w:after="0"/>
              <w:rPr>
                <w:sz w:val="17"/>
                <w:szCs w:val="17"/>
                <w:color w:val="auto"/>
              </w:rPr>
            </w:pPr>
          </w:p>
        </w:tc>
        <w:tc>
          <w:tcPr>
            <w:tcW w:w="1200" w:type="dxa"/>
            <w:vAlign w:val="bottom"/>
            <w:tcBorders>
              <w:bottom w:val="single" w:sz="8" w:color="D9D9D9"/>
            </w:tcBorders>
          </w:tcPr>
          <w:p>
            <w:pPr>
              <w:spacing w:after="0"/>
              <w:rPr>
                <w:sz w:val="17"/>
                <w:szCs w:val="17"/>
                <w:color w:val="auto"/>
              </w:rPr>
            </w:pPr>
          </w:p>
        </w:tc>
        <w:tc>
          <w:tcPr>
            <w:tcW w:w="28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440" w:type="dxa"/>
            <w:vAlign w:val="bottom"/>
            <w:tcBorders>
              <w:bottom w:val="single" w:sz="8" w:color="D9D9D9"/>
            </w:tcBorders>
          </w:tcPr>
          <w:p>
            <w:pPr>
              <w:spacing w:after="0"/>
              <w:rPr>
                <w:sz w:val="17"/>
                <w:szCs w:val="17"/>
                <w:color w:val="auto"/>
              </w:rPr>
            </w:pPr>
          </w:p>
        </w:tc>
        <w:tc>
          <w:tcPr>
            <w:tcW w:w="114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120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440" w:type="dxa"/>
            <w:vAlign w:val="bottom"/>
            <w:tcBorders>
              <w:bottom w:val="single" w:sz="8" w:color="D9D9D9"/>
            </w:tcBorders>
          </w:tcPr>
          <w:p>
            <w:pPr>
              <w:spacing w:after="0"/>
              <w:rPr>
                <w:sz w:val="19"/>
                <w:szCs w:val="19"/>
                <w:color w:val="auto"/>
              </w:rPr>
            </w:pPr>
          </w:p>
        </w:tc>
        <w:tc>
          <w:tcPr>
            <w:tcW w:w="11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0540"/>
        <w:spacing w:after="0"/>
        <w:rPr>
          <w:sz w:val="20"/>
          <w:szCs w:val="20"/>
          <w:color w:val="auto"/>
        </w:rPr>
      </w:pPr>
      <w:r>
        <w:rPr>
          <w:rFonts w:ascii="Times New Roman" w:cs="Times New Roman" w:eastAsia="Times New Roman" w:hAnsi="Times New Roman"/>
          <w:sz w:val="17"/>
          <w:szCs w:val="17"/>
          <w:color w:val="auto"/>
        </w:rPr>
        <w:t>Exhibit 99.1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shares and per share data)</w:t>
            </w:r>
          </w:p>
        </w:tc>
        <w:tc>
          <w:tcPr>
            <w:tcW w:w="180" w:type="dxa"/>
            <w:vAlign w:val="bottom"/>
          </w:tcPr>
          <w:p>
            <w:pPr>
              <w:spacing w:after="0"/>
              <w:rPr>
                <w:sz w:val="14"/>
                <w:szCs w:val="14"/>
                <w:color w:val="auto"/>
              </w:rPr>
            </w:pPr>
          </w:p>
        </w:tc>
        <w:tc>
          <w:tcPr>
            <w:tcW w:w="25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55"/>
        </w:trPr>
        <w:tc>
          <w:tcPr>
            <w:tcW w:w="594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225,802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and goodwill impairment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(7,140)</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(6,721)</w:t>
            </w:r>
          </w:p>
        </w:tc>
        <w:tc>
          <w:tcPr>
            <w:tcW w:w="0" w:type="dxa"/>
            <w:vAlign w:val="bottom"/>
          </w:tcPr>
          <w:p>
            <w:pPr>
              <w:spacing w:after="0"/>
              <w:rPr>
                <w:sz w:val="1"/>
                <w:szCs w:val="1"/>
                <w:color w:val="auto"/>
              </w:rPr>
            </w:pPr>
          </w:p>
        </w:tc>
      </w:tr>
      <w:tr>
        <w:trPr>
          <w:trHeight w:val="223"/>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CECO Environmental Corp.</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per share attributable to CECO Environmental Corp.:</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3"/>
                <w:szCs w:val="23"/>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9"/>
        </w:trPr>
        <w:tc>
          <w:tcPr>
            <w:tcW w:w="5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34,812,714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34,568,508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34,714,395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34,445,256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35,298,212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34,568,508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34,714,395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3829685</wp:posOffset>
            </wp:positionV>
            <wp:extent cx="72466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3983990</wp:posOffset>
            </wp:positionV>
            <wp:extent cx="72466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vMerge w:val="continue"/>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as reported in accordance with GAAP</w:t>
            </w:r>
          </w:p>
        </w:tc>
        <w:tc>
          <w:tcPr>
            <w:tcW w:w="6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Less revenue attributable to divestitures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Organic revenue</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328.0</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76"/>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vMerge w:val="continue"/>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 income as reported in accordance with GAAP</w:t>
            </w:r>
          </w:p>
        </w:tc>
        <w:tc>
          <w:tcPr>
            <w:tcW w:w="70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3.0%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Legacy design repairs</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Plant, property and equipment valuation adjustment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and earnout (income) expenses, net</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Intangible asset and goodwill impairment</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Restructuring expense</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Facility exit expenses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7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4.8%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7.1%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10540"/>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34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1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Borders>
              <w:bottom w:val="single" w:sz="8" w:color="CFF0FC"/>
            </w:tcBorders>
            <w:vMerge w:val="continue"/>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37"/>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2"/>
          </w:tcPr>
          <w:p>
            <w:pPr>
              <w:jc w:val="right"/>
              <w:ind w:right="170"/>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as reported in accordance with GAAP</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Legacy design repairs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Plant, property and equipment valuation adjustment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and earnout (income) expenses, net</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Intangible asset and goodwill impairment</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Facility exit expenses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Tax benefit of adjustments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vMerge w:val="continue"/>
          </w:tcPr>
          <w:p>
            <w:pPr>
              <w:spacing w:after="0"/>
              <w:rPr>
                <w:sz w:val="19"/>
                <w:szCs w:val="19"/>
                <w:color w:val="auto"/>
              </w:rPr>
            </w:pPr>
          </w:p>
        </w:tc>
        <w:tc>
          <w:tcPr>
            <w:tcW w:w="72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stock compensation (excluding executive transition</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(0.34)</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5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gridSpan w:val="2"/>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9"/>
                <w:szCs w:val="19"/>
                <w:color w:val="auto"/>
              </w:rPr>
            </w:pP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(0.34)</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income per share:</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gridSpan w:val="2"/>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spacing w:after="0"/>
              <w:rPr>
                <w:sz w:val="20"/>
                <w:szCs w:val="20"/>
                <w:color w:val="auto"/>
              </w:rPr>
            </w:pP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tcPr>
          <w:p>
            <w:pPr>
              <w:spacing w:after="0"/>
              <w:rPr>
                <w:sz w:val="20"/>
                <w:szCs w:val="20"/>
                <w:color w:val="auto"/>
              </w:rPr>
            </w:pP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Borders>
              <w:bottom w:val="single" w:sz="8" w:color="D9D9D9"/>
            </w:tcBorders>
          </w:tcPr>
          <w:p>
            <w:pPr>
              <w:spacing w:after="0"/>
              <w:rPr>
                <w:sz w:val="18"/>
                <w:szCs w:val="18"/>
                <w:color w:val="auto"/>
              </w:rPr>
            </w:pPr>
          </w:p>
        </w:tc>
        <w:tc>
          <w:tcPr>
            <w:tcW w:w="340" w:type="dxa"/>
            <w:vAlign w:val="bottom"/>
            <w:tcBorders>
              <w:bottom w:val="single" w:sz="8" w:color="D9D9D9"/>
            </w:tcBorders>
          </w:tcPr>
          <w:p>
            <w:pPr>
              <w:spacing w:after="0"/>
              <w:rPr>
                <w:sz w:val="18"/>
                <w:szCs w:val="18"/>
                <w:color w:val="auto"/>
              </w:rPr>
            </w:pPr>
          </w:p>
        </w:tc>
        <w:tc>
          <w:tcPr>
            <w:tcW w:w="820" w:type="dxa"/>
            <w:vAlign w:val="bottom"/>
            <w:tcBorders>
              <w:bottom w:val="single" w:sz="8" w:color="D9D9D9"/>
            </w:tcBorders>
          </w:tcPr>
          <w:p>
            <w:pPr>
              <w:spacing w:after="0"/>
              <w:rPr>
                <w:sz w:val="18"/>
                <w:szCs w:val="18"/>
                <w:color w:val="auto"/>
              </w:rPr>
            </w:pPr>
          </w:p>
        </w:tc>
        <w:tc>
          <w:tcPr>
            <w:tcW w:w="44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84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34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720" w:type="dxa"/>
            <w:vAlign w:val="bottom"/>
            <w:tcBorders>
              <w:bottom w:val="single" w:sz="8" w:color="D9D9D9"/>
            </w:tcBorders>
          </w:tcPr>
          <w:p>
            <w:pPr>
              <w:spacing w:after="0"/>
              <w:rPr>
                <w:sz w:val="18"/>
                <w:szCs w:val="18"/>
                <w:color w:val="auto"/>
              </w:rPr>
            </w:pPr>
          </w:p>
        </w:tc>
        <w:tc>
          <w:tcPr>
            <w:tcW w:w="56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4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320" w:type="dxa"/>
            <w:vAlign w:val="bottom"/>
            <w:tcBorders>
              <w:bottom w:val="single" w:sz="8" w:color="D9D9D9"/>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D9D9D9"/>
            </w:tcBorders>
          </w:tcPr>
          <w:p>
            <w:pPr>
              <w:spacing w:after="0"/>
              <w:rPr>
                <w:sz w:val="19"/>
                <w:szCs w:val="19"/>
                <w:color w:val="auto"/>
              </w:rPr>
            </w:pPr>
          </w:p>
        </w:tc>
        <w:tc>
          <w:tcPr>
            <w:tcW w:w="340" w:type="dxa"/>
            <w:vAlign w:val="bottom"/>
            <w:tcBorders>
              <w:bottom w:val="single" w:sz="8" w:color="D9D9D9"/>
            </w:tcBorders>
          </w:tcPr>
          <w:p>
            <w:pPr>
              <w:spacing w:after="0"/>
              <w:rPr>
                <w:sz w:val="19"/>
                <w:szCs w:val="19"/>
                <w:color w:val="auto"/>
              </w:rPr>
            </w:pPr>
          </w:p>
        </w:tc>
        <w:tc>
          <w:tcPr>
            <w:tcW w:w="820" w:type="dxa"/>
            <w:vAlign w:val="bottom"/>
            <w:tcBorders>
              <w:bottom w:val="single" w:sz="8" w:color="D9D9D9"/>
            </w:tcBorders>
          </w:tcPr>
          <w:p>
            <w:pPr>
              <w:spacing w:after="0"/>
              <w:rPr>
                <w:sz w:val="19"/>
                <w:szCs w:val="19"/>
                <w:color w:val="auto"/>
              </w:rPr>
            </w:pPr>
          </w:p>
        </w:tc>
        <w:tc>
          <w:tcPr>
            <w:tcW w:w="44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84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34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720" w:type="dxa"/>
            <w:vAlign w:val="bottom"/>
            <w:tcBorders>
              <w:bottom w:val="single" w:sz="8" w:color="D9D9D9"/>
            </w:tcBorders>
          </w:tcPr>
          <w:p>
            <w:pPr>
              <w:spacing w:after="0"/>
              <w:rPr>
                <w:sz w:val="19"/>
                <w:szCs w:val="19"/>
                <w:color w:val="auto"/>
              </w:rPr>
            </w:pPr>
          </w:p>
        </w:tc>
        <w:tc>
          <w:tcPr>
            <w:tcW w:w="56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320" w:type="dxa"/>
            <w:vAlign w:val="bottom"/>
            <w:tcBorders>
              <w:bottom w:val="single" w:sz="8" w:color="D9D9D9"/>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CECO is providing organic revenue for comparability purposes given the impact of divestitures. A "non-GAAP financial measure" is a numerical measure of a company's historical financial performance that excludes amounts that are included in the most directly comparable measure calculated and presented in the GAAP statement of operations.</w:t>
      </w:r>
    </w:p>
    <w:p>
      <w:pPr>
        <w:spacing w:after="0" w:line="181"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loss on divestitures, net of selling costs, legacy design repairs, property, plant and equipment valuation adjustments, acquisition and integration expense activities including retention, legal, accounting, banking, amortization and contingent earn-out expenses, foreign currency re-measurement, executive transition expenses, facility exit expenses, restructuring expense, other nonrecurring or infrequent items and the associated tax benefit of these items. Organic revenue, as we present them in the financial data included in this press release, excludes revenue attributable to divested businesses.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3" w:lineRule="exact"/>
        <w:rPr>
          <w:sz w:val="20"/>
          <w:szCs w:val="20"/>
          <w:color w:val="auto"/>
        </w:rPr>
      </w:pPr>
    </w:p>
    <w:p>
      <w:pPr>
        <w:ind w:right="320"/>
        <w:spacing w:after="0" w:line="232" w:lineRule="auto"/>
        <w:rPr>
          <w:sz w:val="20"/>
          <w:szCs w:val="20"/>
          <w:color w:val="auto"/>
        </w:rPr>
      </w:pPr>
      <w:r>
        <w:rPr>
          <w:rFonts w:ascii="Arial" w:cs="Arial" w:eastAsia="Arial" w:hAnsi="Arial"/>
          <w:sz w:val="20"/>
          <w:szCs w:val="20"/>
          <w:color w:val="auto"/>
        </w:rPr>
        <w:t>Organic revenue, 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2" w:lineRule="exact"/>
        <w:rPr>
          <w:sz w:val="20"/>
          <w:szCs w:val="20"/>
          <w:color w:val="auto"/>
        </w:rPr>
      </w:pPr>
    </w:p>
    <w:p>
      <w:pPr>
        <w:ind w:right="180"/>
        <w:spacing w:after="0" w:line="238"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organic revenue,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03" w:lineRule="exact"/>
        <w:rPr>
          <w:sz w:val="20"/>
          <w:szCs w:val="20"/>
          <w:color w:val="auto"/>
        </w:rPr>
      </w:pPr>
    </w:p>
    <w:p>
      <w:pPr>
        <w:ind w:firstLine="518"/>
        <w:spacing w:after="0" w:line="226" w:lineRule="auto"/>
        <w:rPr>
          <w:sz w:val="20"/>
          <w:szCs w:val="20"/>
          <w:color w:val="auto"/>
        </w:rPr>
      </w:pPr>
      <w:r>
        <w:rPr>
          <w:rFonts w:ascii="Arial" w:cs="Arial" w:eastAsia="Arial" w:hAnsi="Arial"/>
          <w:sz w:val="20"/>
          <w:szCs w:val="20"/>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2018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and method of accounting for revenue;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divestitures of non-core assets and the effect of competition in the industries served by our Energy Solutions segment, Industrial Solutions segment and Fluid Handling Solutions segment.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decimal"/>
      <w:start w:val="877"/>
    </w:lvl>
  </w:abstractNum>
  <w:abstractNum w:abstractNumId="5">
    <w:nsid w:val="507ED7AB"/>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2020-01-09T15:39:47Z</dcterms:created>
  <dcterms:modified xsi:type="dcterms:W3CDTF">2020-01-09T15:39:47Z</dcterms:modified>
</cp:coreProperties>
</file>