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alibri" w:cs="Calibri" w:eastAsia="Calibri" w:hAnsi="Calibri"/>
          <w:sz w:val="11"/>
          <w:szCs w:val="11"/>
          <w:color w:val="003366"/>
        </w:rPr>
        <w:t>TABLE OF CONTENTS</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October 28, 2025</w:t>
      </w:r>
    </w:p>
    <w:p>
      <w:pPr>
        <w:spacing w:after="0" w:line="62" w:lineRule="exact"/>
        <w:rPr>
          <w:sz w:val="24"/>
          <w:szCs w:val="24"/>
          <w:color w:val="auto"/>
        </w:rPr>
      </w:pPr>
    </w:p>
    <w:p>
      <w:pPr>
        <w:jc w:val="right"/>
        <w:ind w:right="65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2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-3810</wp:posOffset>
            </wp:positionV>
            <wp:extent cx="484886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8860" cy="1333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35560</wp:posOffset>
            </wp:positionV>
            <wp:extent cx="48488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48860" cy="6985"/>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88900</wp:posOffset>
            </wp:positionV>
            <wp:extent cx="9683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74930</wp:posOffset>
            </wp:positionV>
            <wp:extent cx="9683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2"/>
          <w:szCs w:val="12"/>
          <w:color w:val="auto"/>
        </w:rPr>
        <w:t>​</w:t>
      </w:r>
    </w:p>
    <w:p>
      <w:pPr>
        <w:spacing w:after="0" w:line="63"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13-2566064</w:t>
            </w:r>
            <w:r>
              <w:rPr>
                <w:rFonts w:ascii="Times New Roman" w:cs="Times New Roman" w:eastAsia="Times New Roman" w:hAnsi="Times New Roman"/>
                <w:sz w:val="14"/>
                <w:szCs w:val="14"/>
                <w:color w:val="auto"/>
              </w:rPr>
              <w:t>​</w:t>
            </w:r>
          </w:p>
        </w:tc>
        <w:tc>
          <w:tcPr>
            <w:tcW w:w="480" w:type="dxa"/>
            <w:vAlign w:val="bottom"/>
          </w:tcPr>
          <w:p>
            <w:pPr>
              <w:ind w:left="4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7"/>
        </w:trPr>
        <w:tc>
          <w:tcPr>
            <w:tcW w:w="240" w:type="dxa"/>
            <w:vAlign w:val="bottom"/>
          </w:tcPr>
          <w:p>
            <w:pPr>
              <w:spacing w:after="0"/>
              <w:rPr>
                <w:sz w:val="12"/>
                <w:szCs w:val="12"/>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8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 Identification Number)</w:t>
            </w:r>
          </w:p>
        </w:tc>
        <w:tc>
          <w:tcPr>
            <w:tcW w:w="480" w:type="dxa"/>
            <w:vAlign w:val="bottom"/>
          </w:tcPr>
          <w:p>
            <w:pPr>
              <w:spacing w:after="0"/>
              <w:rPr>
                <w:sz w:val="12"/>
                <w:szCs w:val="12"/>
                <w:color w:val="auto"/>
              </w:rPr>
            </w:pPr>
          </w:p>
        </w:tc>
      </w:tr>
    </w:tbl>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5080 Spectrum Drive, Suite 800E</w:t>
      </w:r>
    </w:p>
    <w:p>
      <w:pPr>
        <w:jc w:val="center"/>
        <w:ind w:right="39"/>
        <w:spacing w:after="0" w:line="227" w:lineRule="auto"/>
        <w:rPr>
          <w:sz w:val="20"/>
          <w:szCs w:val="20"/>
          <w:color w:val="auto"/>
        </w:rPr>
      </w:pPr>
      <w:r>
        <w:rPr>
          <w:rFonts w:ascii="Times New Roman" w:cs="Times New Roman" w:eastAsia="Times New Roman" w:hAnsi="Times New Roman"/>
          <w:sz w:val="13"/>
          <w:szCs w:val="13"/>
          <w:b w:val="1"/>
          <w:bCs w:val="1"/>
          <w:color w:val="auto"/>
        </w:rPr>
        <w:t>Addison, Texas 75001</w:t>
      </w:r>
    </w:p>
    <w:p>
      <w:pPr>
        <w:jc w:val="center"/>
        <w:spacing w:after="0"/>
        <w:rPr>
          <w:sz w:val="20"/>
          <w:szCs w:val="20"/>
          <w:color w:val="auto"/>
        </w:rPr>
      </w:pPr>
      <w:r>
        <w:rPr>
          <w:rFonts w:ascii="Times New Roman" w:cs="Times New Roman" w:eastAsia="Times New Roman" w:hAnsi="Times New Roman"/>
          <w:sz w:val="13"/>
          <w:szCs w:val="13"/>
          <w:b w:val="1"/>
          <w:bCs w:val="1"/>
          <w:color w:val="auto"/>
        </w:rPr>
        <w:t>Phone: (214) 272-5300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83185</wp:posOffset>
            </wp:positionV>
            <wp:extent cx="9683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Peter Johansson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CECO Environmental Corp.</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5080 Spectrum Drive, Suite 800E</w:t>
      </w:r>
    </w:p>
    <w:p>
      <w:pPr>
        <w:jc w:val="center"/>
        <w:ind w:right="39"/>
        <w:spacing w:after="0" w:line="238" w:lineRule="auto"/>
        <w:rPr>
          <w:sz w:val="20"/>
          <w:szCs w:val="20"/>
          <w:color w:val="auto"/>
        </w:rPr>
      </w:pPr>
      <w:r>
        <w:rPr>
          <w:rFonts w:ascii="Times New Roman" w:cs="Times New Roman" w:eastAsia="Times New Roman" w:hAnsi="Times New Roman"/>
          <w:sz w:val="13"/>
          <w:szCs w:val="13"/>
          <w:b w:val="1"/>
          <w:bCs w:val="1"/>
          <w:color w:val="auto"/>
        </w:rPr>
        <w:t>Addison, Texas 75001</w:t>
      </w:r>
    </w:p>
    <w:p>
      <w:pPr>
        <w:jc w:val="center"/>
        <w:spacing w:after="0"/>
        <w:rPr>
          <w:sz w:val="20"/>
          <w:szCs w:val="20"/>
          <w:color w:val="auto"/>
        </w:rPr>
      </w:pPr>
      <w:r>
        <w:rPr>
          <w:rFonts w:ascii="Times New Roman" w:cs="Times New Roman" w:eastAsia="Times New Roman" w:hAnsi="Times New Roman"/>
          <w:sz w:val="13"/>
          <w:szCs w:val="13"/>
          <w:b w:val="1"/>
          <w:bCs w:val="1"/>
          <w:color w:val="auto"/>
        </w:rPr>
        <w:t>Telephone: (214) 272-5300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r>
        <w:rPr>
          <w:rFonts w:ascii="Times New Roman" w:cs="Times New Roman" w:eastAsia="Times New Roman" w:hAnsi="Times New Roman"/>
          <w:sz w:val="12"/>
          <w:szCs w:val="12"/>
          <w:color w:val="auto"/>
        </w:rPr>
        <w:t>​</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Jessica S. Lochmann</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Foley &amp; Lardner LLP</w:t>
      </w:r>
    </w:p>
    <w:p>
      <w:pPr>
        <w:jc w:val="center"/>
        <w:ind w:right="39"/>
        <w:spacing w:after="0" w:line="238" w:lineRule="auto"/>
        <w:rPr>
          <w:sz w:val="20"/>
          <w:szCs w:val="20"/>
          <w:color w:val="auto"/>
        </w:rPr>
      </w:pPr>
      <w:r>
        <w:rPr>
          <w:rFonts w:ascii="Times New Roman" w:cs="Times New Roman" w:eastAsia="Times New Roman" w:hAnsi="Times New Roman"/>
          <w:sz w:val="13"/>
          <w:szCs w:val="13"/>
          <w:b w:val="1"/>
          <w:bCs w:val="1"/>
          <w:color w:val="auto"/>
        </w:rPr>
        <w:t>777 East Wisconsin Avenue</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Milwaukee, Wisconsin 53202-5306</w:t>
      </w:r>
    </w:p>
    <w:p>
      <w:pPr>
        <w:jc w:val="center"/>
        <w:spacing w:after="0"/>
        <w:rPr>
          <w:sz w:val="20"/>
          <w:szCs w:val="20"/>
          <w:color w:val="auto"/>
        </w:rPr>
      </w:pPr>
      <w:r>
        <w:rPr>
          <w:rFonts w:ascii="Times New Roman" w:cs="Times New Roman" w:eastAsia="Times New Roman" w:hAnsi="Times New Roman"/>
          <w:sz w:val="13"/>
          <w:szCs w:val="13"/>
          <w:b w:val="1"/>
          <w:bCs w:val="1"/>
          <w:color w:val="auto"/>
        </w:rPr>
        <w:t>Phone: (414) 271-2400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9683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8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this registration statement becomes effective.</w:t>
      </w:r>
    </w:p>
    <w:p>
      <w:pPr>
        <w:spacing w:after="0" w:line="54" w:lineRule="exact"/>
        <w:rPr>
          <w:sz w:val="24"/>
          <w:szCs w:val="24"/>
          <w:color w:val="auto"/>
        </w:rPr>
      </w:pPr>
    </w:p>
    <w:p>
      <w:pPr>
        <w:ind w:left="680" w:right="73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779" w:firstLine="282"/>
        <w:spacing w:after="0" w:line="228" w:lineRule="auto"/>
        <w:rPr>
          <w:sz w:val="20"/>
          <w:szCs w:val="20"/>
          <w:color w:val="auto"/>
        </w:rPr>
      </w:pPr>
      <w:r>
        <w:rPr>
          <w:rFonts w:ascii="Times New Roman" w:cs="Times New Roman" w:eastAsia="Times New Roman" w:hAnsi="Times New Roman"/>
          <w:sz w:val="13"/>
          <w:szCs w:val="13"/>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spacing w:after="0" w:line="1" w:lineRule="exact"/>
        <w:rPr>
          <w:sz w:val="24"/>
          <w:szCs w:val="24"/>
          <w:color w:val="auto"/>
        </w:rPr>
      </w:pPr>
    </w:p>
    <w:p>
      <w:pPr>
        <w:ind w:left="680"/>
        <w:spacing w:after="0" w:line="131" w:lineRule="exact"/>
        <w:rPr>
          <w:sz w:val="20"/>
          <w:szCs w:val="20"/>
          <w:color w:val="auto"/>
        </w:rPr>
      </w:pPr>
      <w:r>
        <w:rPr>
          <w:rFonts w:ascii="MS PGothic" w:cs="MS PGothic" w:eastAsia="MS PGothic" w:hAnsi="MS PGothic"/>
          <w:sz w:val="13"/>
          <w:szCs w:val="13"/>
          <w:color w:val="auto"/>
        </w:rPr>
        <w:t>☒</w:t>
      </w:r>
    </w:p>
    <w:p>
      <w:pPr>
        <w:spacing w:after="0" w:line="73" w:lineRule="exact"/>
        <w:rPr>
          <w:sz w:val="24"/>
          <w:szCs w:val="24"/>
          <w:color w:val="auto"/>
        </w:rPr>
      </w:pPr>
    </w:p>
    <w:p>
      <w:pPr>
        <w:ind w:left="680" w:right="81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680" w:right="899" w:firstLine="282"/>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680" w:right="103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71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680" w:right="699" w:firstLine="282"/>
        <w:spacing w:after="0" w:line="24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680" w:type="dxa"/>
        <w:tblCellMar>
          <w:top w:w="0" w:type="dxa"/>
          <w:left w:w="0" w:type="dxa"/>
          <w:bottom w:w="0" w:type="dxa"/>
          <w:right w:w="0" w:type="dxa"/>
        </w:tblCellMar>
      </w:tblPr>
      <w:tr>
        <w:trPr>
          <w:trHeight w:val="16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6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1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 ​ ​</w:t>
            </w:r>
          </w:p>
        </w:tc>
        <w:tc>
          <w:tcPr>
            <w:tcW w:w="2980" w:type="dxa"/>
            <w:vAlign w:val="bottom"/>
          </w:tcPr>
          <w:p>
            <w:pPr>
              <w:ind w:left="1200"/>
              <w:spacing w:after="0"/>
              <w:rPr>
                <w:sz w:val="20"/>
                <w:szCs w:val="20"/>
                <w:color w:val="auto"/>
              </w:rPr>
            </w:pPr>
            <w:r>
              <w:rPr>
                <w:rFonts w:ascii="Times New Roman" w:cs="Times New Roman" w:eastAsia="Times New Roman" w:hAnsi="Times New Roman"/>
                <w:sz w:val="13"/>
                <w:szCs w:val="13"/>
                <w:color w:val="auto"/>
              </w:rPr>
              <w:t>​ ​ Accelerated filer</w:t>
            </w:r>
          </w:p>
        </w:tc>
        <w:tc>
          <w:tcPr>
            <w:tcW w:w="5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1400" w:type="dxa"/>
            <w:vAlign w:val="bottom"/>
          </w:tcPr>
          <w:p>
            <w:pPr>
              <w:spacing w:after="0" w:line="190"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Non-accelerated filer</w:t>
            </w:r>
          </w:p>
        </w:tc>
        <w:tc>
          <w:tcPr>
            <w:tcW w:w="6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1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 ​ ​</w:t>
            </w:r>
          </w:p>
        </w:tc>
        <w:tc>
          <w:tcPr>
            <w:tcW w:w="2980" w:type="dxa"/>
            <w:vAlign w:val="bottom"/>
          </w:tcPr>
          <w:p>
            <w:pPr>
              <w:ind w:left="1200"/>
              <w:spacing w:after="0" w:line="190"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Smaller reporting company</w:t>
            </w:r>
          </w:p>
        </w:tc>
        <w:tc>
          <w:tcPr>
            <w:tcW w:w="5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r>
      <w:tr>
        <w:trPr>
          <w:trHeight w:val="353"/>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24"/>
                <w:szCs w:val="24"/>
                <w:color w:val="auto"/>
              </w:rPr>
            </w:pPr>
          </w:p>
        </w:tc>
        <w:tc>
          <w:tcPr>
            <w:tcW w:w="1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 ​ ​</w:t>
            </w:r>
          </w:p>
        </w:tc>
        <w:tc>
          <w:tcPr>
            <w:tcW w:w="2980" w:type="dxa"/>
            <w:vAlign w:val="bottom"/>
          </w:tcPr>
          <w:p>
            <w:pPr>
              <w:ind w:left="1200"/>
              <w:spacing w:after="0"/>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5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1905</wp:posOffset>
            </wp:positionV>
            <wp:extent cx="9683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89" w:lineRule="exact"/>
        <w:rPr>
          <w:sz w:val="24"/>
          <w:szCs w:val="24"/>
          <w:color w:val="auto"/>
        </w:rPr>
      </w:pPr>
    </w:p>
    <w:p>
      <w:pPr>
        <w:ind w:left="680" w:right="119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43815</wp:posOffset>
            </wp:positionV>
            <wp:extent cx="48488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48860" cy="6985"/>
                    </a:xfrm>
                    <a:prstGeom prst="rect">
                      <a:avLst/>
                    </a:prstGeom>
                    <a:noFill/>
                  </pic:spPr>
                </pic:pic>
              </a:graphicData>
            </a:graphic>
          </wp:anchor>
        </w:drawing>
      </w:r>
    </w:p>
    <w:p>
      <w:pPr>
        <w:spacing w:after="0" w:line="7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-3810</wp:posOffset>
            </wp:positionV>
            <wp:extent cx="484886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48860" cy="1333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191135</wp:posOffset>
            </wp:positionV>
            <wp:extent cx="53581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300"/>
        <w:spacing w:after="0"/>
        <w:rPr>
          <w:sz w:val="20"/>
          <w:szCs w:val="20"/>
          <w:color w:val="auto"/>
        </w:rPr>
      </w:pPr>
      <w:r>
        <w:rPr>
          <w:rFonts w:ascii="Calibri" w:cs="Calibri" w:eastAsia="Calibri" w:hAnsi="Calibri"/>
          <w:sz w:val="11"/>
          <w:szCs w:val="11"/>
          <w:color w:val="003366"/>
        </w:rPr>
        <w:t>TABLE OF CONTENTS</w:t>
      </w:r>
    </w:p>
    <w:p>
      <w:pPr>
        <w:spacing w:after="0" w:line="3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83820</wp:posOffset>
            </wp:positionV>
            <wp:extent cx="1022350" cy="396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235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59"/>
        <w:spacing w:after="0" w:line="221" w:lineRule="auto"/>
        <w:rPr>
          <w:sz w:val="20"/>
          <w:szCs w:val="20"/>
          <w:color w:val="auto"/>
        </w:rPr>
      </w:pPr>
      <w:r>
        <w:rPr>
          <w:rFonts w:ascii="Times New Roman" w:cs="Times New Roman" w:eastAsia="Times New Roman" w:hAnsi="Times New Roman"/>
          <w:sz w:val="20"/>
          <w:szCs w:val="20"/>
          <w:b w:val="1"/>
          <w:bCs w:val="1"/>
          <w:color w:val="auto"/>
        </w:rPr>
        <w:t>Depositary Shares</w:t>
      </w:r>
    </w:p>
    <w:p>
      <w:pPr>
        <w:jc w:val="center"/>
        <w:ind w:right="59"/>
        <w:spacing w:after="0" w:line="232"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59"/>
        <w:spacing w:after="0" w:line="232" w:lineRule="auto"/>
        <w:rPr>
          <w:sz w:val="20"/>
          <w:szCs w:val="20"/>
          <w:color w:val="auto"/>
        </w:rPr>
      </w:pPr>
      <w:r>
        <w:rPr>
          <w:rFonts w:ascii="Times New Roman" w:cs="Times New Roman" w:eastAsia="Times New Roman" w:hAnsi="Times New Roman"/>
          <w:sz w:val="20"/>
          <w:szCs w:val="20"/>
          <w:b w:val="1"/>
          <w:bCs w:val="1"/>
          <w:color w:val="auto"/>
        </w:rPr>
        <w:t>Subscription Rights</w:t>
      </w:r>
    </w:p>
    <w:p>
      <w:pPr>
        <w:jc w:val="center"/>
        <w:ind w:right="59"/>
        <w:spacing w:after="0" w:line="221" w:lineRule="auto"/>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59"/>
        <w:spacing w:after="0" w:line="232" w:lineRule="auto"/>
        <w:rPr>
          <w:sz w:val="20"/>
          <w:szCs w:val="20"/>
          <w:color w:val="auto"/>
        </w:rPr>
      </w:pPr>
      <w:r>
        <w:rPr>
          <w:rFonts w:ascii="Times New Roman" w:cs="Times New Roman" w:eastAsia="Times New Roman" w:hAnsi="Times New Roman"/>
          <w:sz w:val="20"/>
          <w:szCs w:val="20"/>
          <w:b w:val="1"/>
          <w:bCs w:val="1"/>
          <w:color w:val="auto"/>
        </w:rPr>
        <w:t>Purchase Contracts</w:t>
      </w:r>
    </w:p>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73660</wp:posOffset>
            </wp:positionV>
            <wp:extent cx="9683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19" w:lineRule="exact"/>
        <w:rPr>
          <w:sz w:val="20"/>
          <w:szCs w:val="20"/>
          <w:color w:val="auto"/>
        </w:rPr>
      </w:pPr>
    </w:p>
    <w:p>
      <w:pPr>
        <w:ind w:left="680" w:right="699" w:firstLine="282"/>
        <w:spacing w:after="0" w:line="268" w:lineRule="auto"/>
        <w:rPr>
          <w:sz w:val="20"/>
          <w:szCs w:val="20"/>
          <w:color w:val="auto"/>
        </w:rPr>
      </w:pPr>
      <w:r>
        <w:rPr>
          <w:rFonts w:ascii="Times New Roman" w:cs="Times New Roman" w:eastAsia="Times New Roman" w:hAnsi="Times New Roman"/>
          <w:sz w:val="14"/>
          <w:szCs w:val="14"/>
          <w:color w:val="auto"/>
        </w:rPr>
        <w:t>We may offer and sell from time to time the securities identified above in one or more offerings in amounts, at prices and on terms determined at the time of the offering. This prospectus provides you with a general description of the securities we may offer.</w:t>
      </w:r>
    </w:p>
    <w:p>
      <w:pPr>
        <w:spacing w:after="0" w:line="2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We may offer and sell the following securities:</w:t>
      </w:r>
    </w:p>
    <w:p>
      <w:pPr>
        <w:spacing w:after="0" w:line="83" w:lineRule="exact"/>
        <w:rPr>
          <w:sz w:val="20"/>
          <w:szCs w:val="20"/>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93"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which may be convertible into our common stock or other securities;</w:t>
      </w:r>
    </w:p>
    <w:p>
      <w:pPr>
        <w:spacing w:after="0" w:line="93"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w:t>
      </w:r>
    </w:p>
    <w:p>
      <w:pPr>
        <w:spacing w:after="0" w:line="93"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depositary shares or debt securities;</w:t>
      </w:r>
    </w:p>
    <w:p>
      <w:pPr>
        <w:spacing w:after="0" w:line="93"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common stock, preferred stock, depositary shares or debt securities</w:t>
      </w:r>
    </w:p>
    <w:p>
      <w:pPr>
        <w:spacing w:after="0" w:line="93" w:lineRule="exact"/>
        <w:rPr>
          <w:rFonts w:ascii="Times New Roman" w:cs="Times New Roman" w:eastAsia="Times New Roman" w:hAnsi="Times New Roman"/>
          <w:sz w:val="14"/>
          <w:szCs w:val="14"/>
          <w:color w:val="auto"/>
        </w:rPr>
      </w:pPr>
    </w:p>
    <w:p>
      <w:pPr>
        <w:ind w:left="1100" w:right="1159" w:hanging="135"/>
        <w:spacing w:after="0" w:line="286" w:lineRule="auto"/>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in each case consisting of notes, debentures or other unsecured evidences of indebtedness which may be convertible into our common stock or other securities or property;</w:t>
      </w:r>
    </w:p>
    <w:p>
      <w:pPr>
        <w:spacing w:after="0" w:line="39" w:lineRule="exact"/>
        <w:rPr>
          <w:rFonts w:ascii="Times New Roman" w:cs="Times New Roman" w:eastAsia="Times New Roman" w:hAnsi="Times New Roman"/>
          <w:sz w:val="14"/>
          <w:szCs w:val="14"/>
          <w:color w:val="auto"/>
        </w:rPr>
      </w:pPr>
    </w:p>
    <w:p>
      <w:pPr>
        <w:ind w:left="1100" w:right="859" w:hanging="135"/>
        <w:spacing w:after="0" w:line="286" w:lineRule="auto"/>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which may include contracts obligating holders to purchase from us, and obligating us to sell to the holders, a specified number of common shares or other securities at a future date or dates; and</w:t>
      </w:r>
    </w:p>
    <w:p>
      <w:pPr>
        <w:spacing w:after="0" w:line="39"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comprising one or more securities described in this prospectus in any combination.</w:t>
      </w:r>
    </w:p>
    <w:p>
      <w:pPr>
        <w:spacing w:after="0" w:line="83" w:lineRule="exact"/>
        <w:rPr>
          <w:sz w:val="20"/>
          <w:szCs w:val="20"/>
          <w:color w:val="auto"/>
        </w:rPr>
      </w:pPr>
    </w:p>
    <w:p>
      <w:pPr>
        <w:ind w:left="680" w:right="739" w:firstLine="282"/>
        <w:spacing w:after="0" w:line="253" w:lineRule="auto"/>
        <w:rPr>
          <w:sz w:val="20"/>
          <w:szCs w:val="20"/>
          <w:color w:val="auto"/>
        </w:rPr>
      </w:pPr>
      <w:r>
        <w:rPr>
          <w:rFonts w:ascii="Times New Roman" w:cs="Times New Roman" w:eastAsia="Times New Roman" w:hAnsi="Times New Roman"/>
          <w:sz w:val="14"/>
          <w:szCs w:val="14"/>
          <w:color w:val="auto"/>
        </w:rPr>
        <w:t>We will provide the specific terms of the securities to be offered in one or more supplements to this prospectus. You should read this prospectus and the applicable prospectus supplement carefully before you invest in our securities. This prospectus may not be used to offer and sell our securities unless accompanied by a prospectus supplement describing the method and terms of the offering of those securities.</w:t>
      </w:r>
    </w:p>
    <w:p>
      <w:pPr>
        <w:spacing w:after="0" w:line="52" w:lineRule="exact"/>
        <w:rPr>
          <w:sz w:val="20"/>
          <w:szCs w:val="20"/>
          <w:color w:val="auto"/>
        </w:rPr>
      </w:pPr>
    </w:p>
    <w:p>
      <w:pPr>
        <w:ind w:left="680" w:right="719" w:firstLine="282"/>
        <w:spacing w:after="0" w:line="249" w:lineRule="auto"/>
        <w:rPr>
          <w:sz w:val="20"/>
          <w:szCs w:val="20"/>
          <w:color w:val="auto"/>
        </w:rPr>
      </w:pPr>
      <w:r>
        <w:rPr>
          <w:rFonts w:ascii="Times New Roman" w:cs="Times New Roman" w:eastAsia="Times New Roman" w:hAnsi="Times New Roman"/>
          <w:sz w:val="14"/>
          <w:szCs w:val="14"/>
          <w:color w:val="auto"/>
        </w:rPr>
        <w:t>We may offer and sell these securities to or through underwriters, dealers or agents, or directly to investors, on a continued or a delayed basis. The supplements to this prospectus will provide the specific terms of the plan of distribution. In addition, selling stockholders to be named in a prospectus supplement may offer and sell from time to time shares of our common stock in such amounts as set forth in a prospectus supplement. Unless otherwise set forth in a prospectus supplement, we will not receive any proceeds from the sale of shares of our common stock by any selling stockholders.</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Our common stock is listed on the NASDAQ Stock Market under the symbol “CECO.”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102235</wp:posOffset>
            </wp:positionV>
            <wp:extent cx="9683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62" w:lineRule="exact"/>
        <w:rPr>
          <w:sz w:val="20"/>
          <w:szCs w:val="20"/>
          <w:color w:val="auto"/>
        </w:rPr>
      </w:pPr>
    </w:p>
    <w:p>
      <w:pPr>
        <w:ind w:left="680" w:right="719" w:firstLine="282"/>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Investment in our securities involves risks. See “Risk Factors” on page </w:t>
      </w:r>
      <w:r>
        <w:rPr>
          <w:rFonts w:ascii="Times New Roman" w:cs="Times New Roman" w:eastAsia="Times New Roman" w:hAnsi="Times New Roman"/>
          <w:sz w:val="14"/>
          <w:szCs w:val="14"/>
          <w:b w:val="1"/>
          <w:bCs w:val="1"/>
          <w:u w:val="single" w:color="auto"/>
          <w:color w:val="0000EE"/>
        </w:rPr>
        <w:t>3</w:t>
      </w:r>
      <w:r>
        <w:rPr>
          <w:rFonts w:ascii="Times New Roman" w:cs="Times New Roman" w:eastAsia="Times New Roman" w:hAnsi="Times New Roman"/>
          <w:sz w:val="14"/>
          <w:szCs w:val="14"/>
          <w:b w:val="1"/>
          <w:bCs w:val="1"/>
          <w:color w:val="auto"/>
        </w:rPr>
        <w:t xml:space="preserve"> and in our most recent Annual Report on Form 10-K and subsequently filed Quarterly Reports on Form 10-Q or Current Reports on Form 8-K, if applicable, and in any applicable prospectus supplement for a discussion of certain factors which should be considered in an investment of the securities which may be offered hereby.</w:t>
      </w:r>
    </w:p>
    <w:p>
      <w:pPr>
        <w:spacing w:after="0" w:line="49" w:lineRule="exact"/>
        <w:rPr>
          <w:sz w:val="20"/>
          <w:szCs w:val="20"/>
          <w:color w:val="auto"/>
        </w:rPr>
      </w:pPr>
    </w:p>
    <w:p>
      <w:pPr>
        <w:ind w:left="680" w:right="979" w:firstLine="282"/>
        <w:spacing w:after="0" w:line="31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190500</wp:posOffset>
            </wp:positionV>
            <wp:extent cx="53581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12700</wp:posOffset>
            </wp:positionV>
            <wp:extent cx="408876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2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8765" cy="127635"/>
                    </a:xfrm>
                    <a:prstGeom prst="rect">
                      <a:avLst/>
                    </a:prstGeom>
                    <a:noFill/>
                  </pic:spPr>
                </pic:pic>
              </a:graphicData>
            </a:graphic>
          </wp:anchor>
        </w:drawing>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Information We Incorporate By Reference</w:t>
      </w:r>
    </w:p>
    <w:p>
      <w:pPr>
        <w:spacing w:after="0" w:line="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Disclosure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Selling Stockholders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580" w:space="720"/>
            <w:col w:w="1719"/>
          </w:cols>
          <w:pgMar w:left="1440" w:top="107" w:right="1440" w:bottom="1440" w:gutter="0" w:footer="0" w:header="0"/>
        </w:sectPr>
      </w:pPr>
    </w:p>
    <w:bookmarkStart w:id="3" w:name="page4"/>
    <w:bookmarkEnd w:id="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7" w:lineRule="exact"/>
        <w:rPr>
          <w:sz w:val="20"/>
          <w:szCs w:val="20"/>
          <w:color w:val="auto"/>
        </w:rPr>
      </w:pPr>
    </w:p>
    <w:p>
      <w:pPr>
        <w:ind w:left="1280" w:right="1779" w:firstLine="282"/>
        <w:spacing w:after="0" w:line="270" w:lineRule="auto"/>
        <w:rPr>
          <w:sz w:val="20"/>
          <w:szCs w:val="20"/>
          <w:color w:val="auto"/>
        </w:rPr>
      </w:pPr>
      <w:r>
        <w:rPr>
          <w:rFonts w:ascii="Times New Roman" w:cs="Times New Roman" w:eastAsia="Times New Roman" w:hAnsi="Times New Roman"/>
          <w:sz w:val="14"/>
          <w:szCs w:val="14"/>
          <w:color w:val="auto"/>
        </w:rPr>
        <w:t>Unless we otherwise state or the context otherwise indicates, all references in this prospectus to “CECO,” “us,” “our,” or “we” mean CECO Environmental Corp. and its consolidated subsidiaries.</w:t>
      </w:r>
    </w:p>
    <w:p>
      <w:pPr>
        <w:spacing w:after="0" w:line="72" w:lineRule="exact"/>
        <w:rPr>
          <w:sz w:val="20"/>
          <w:szCs w:val="20"/>
          <w:color w:val="auto"/>
        </w:rPr>
      </w:pPr>
    </w:p>
    <w:p>
      <w:pPr>
        <w:ind w:left="1280" w:right="1399" w:firstLine="282"/>
        <w:spacing w:after="0" w:line="24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or the SEC, as a “well- known seasoned issuer” as defined in Rule 405 under the Securities Act of 1933, as amended (the “Securities Act”), utilizing a “shelf” registration process. Under this shelf process, we may, from time to time, sell the securities or combinations of the securities described in this prospectus, and one or more of our stockholders to be named in a supplement to this prospectus may, from time to time, sell our common stock, in one or more offerings. This prospectus provides you with a general description of those securities. Each time we or the selling stockholders offer and sell securities, we or the selling stockholders will provide a prospectus supplement to this prospectus that will contain specific information about the securities being offered and sold and the terms of that offering.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additional information under the heading “Where You Can Find More Information” and “Information We Incorporate By Reference.”</w:t>
      </w:r>
    </w:p>
    <w:p>
      <w:pPr>
        <w:spacing w:after="0" w:line="257"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different information from the information contained or incorporated by reference in this prospectus and in any prospectus supplement or in any free writing prospectus that we may provide you. You should not assume that the information contained in this prospectus, any prospectus supplement, any document incorporated by reference or any free writing prospectus is accurate as of any date, other than the date mentioned on the cover page of these documents.</w:t>
      </w:r>
    </w:p>
    <w:p>
      <w:pPr>
        <w:spacing w:after="0" w:line="252" w:lineRule="exact"/>
        <w:rPr>
          <w:sz w:val="20"/>
          <w:szCs w:val="20"/>
          <w:color w:val="auto"/>
        </w:rPr>
      </w:pPr>
    </w:p>
    <w:p>
      <w:pPr>
        <w:ind w:left="1280" w:right="1379" w:firstLine="282"/>
        <w:spacing w:after="0" w:line="261" w:lineRule="auto"/>
        <w:rPr>
          <w:sz w:val="20"/>
          <w:szCs w:val="20"/>
          <w:color w:val="auto"/>
        </w:rPr>
      </w:pPr>
      <w:r>
        <w:rPr>
          <w:rFonts w:ascii="Times New Roman" w:cs="Times New Roman" w:eastAsia="Times New Roman" w:hAnsi="Times New Roman"/>
          <w:sz w:val="14"/>
          <w:szCs w:val="14"/>
          <w:color w:val="auto"/>
        </w:rPr>
        <w:t>We and the selling stockholders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7" w:lineRule="exact"/>
        <w:rPr>
          <w:sz w:val="20"/>
          <w:szCs w:val="20"/>
          <w:color w:val="auto"/>
        </w:rPr>
      </w:pPr>
    </w:p>
    <w:p>
      <w:pPr>
        <w:ind w:left="1280" w:right="1419" w:firstLine="282"/>
        <w:spacing w:after="0" w:line="246" w:lineRule="auto"/>
        <w:rPr>
          <w:sz w:val="20"/>
          <w:szCs w:val="20"/>
          <w:color w:val="auto"/>
        </w:rPr>
      </w:pPr>
      <w:r>
        <w:rPr>
          <w:rFonts w:ascii="Times New Roman" w:cs="Times New Roman" w:eastAsia="Times New Roman" w:hAnsi="Times New Roman"/>
          <w:sz w:val="14"/>
          <w:szCs w:val="14"/>
          <w:color w:val="auto"/>
        </w:rPr>
        <w:t>We are subject to the information and periodic reporting requirements of the Securities Exchange Act of 1934, as amended (the “Exchange Act”). We file annual, quarterly and current reports, proxy statements and other information with the SEC. Our SEC filings are available at the SEC’s website at http://www.sec.gov. You may also inspect our SEC reports and other information at our website at http://www.cecoenviro.com as soon as reasonably practicable after we electronically file such materials with, or furnish them to, the SEC. The information contained on or accessible through our website is not a part of this prospectus, other than the documents that we file with the SEC that are expressly incorporated by reference into this prospectus.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WE INCORPORATE BY REFERENCE</w:t>
      </w:r>
    </w:p>
    <w:p>
      <w:pPr>
        <w:spacing w:after="0" w:line="127" w:lineRule="exact"/>
        <w:rPr>
          <w:sz w:val="20"/>
          <w:szCs w:val="20"/>
          <w:color w:val="auto"/>
        </w:rPr>
      </w:pPr>
    </w:p>
    <w:p>
      <w:pPr>
        <w:ind w:left="1280" w:right="1299" w:firstLine="282"/>
        <w:spacing w:after="0" w:line="245"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93"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documents that we file with the SEC under Sections 13(a), 13(c), 14 or 15(d) of the Exchange Act (1) after the date of this prospectus and before the end of the offering of the securities pursuant to this prospectus:</w:t>
      </w:r>
    </w:p>
    <w:p>
      <w:pPr>
        <w:spacing w:after="0" w:line="47" w:lineRule="exact"/>
        <w:rPr>
          <w:sz w:val="20"/>
          <w:szCs w:val="20"/>
          <w:color w:val="auto"/>
        </w:rPr>
      </w:pPr>
    </w:p>
    <w:p>
      <w:pPr>
        <w:ind w:left="4440" w:right="2979" w:hanging="2873"/>
        <w:spacing w:after="0" w:line="492" w:lineRule="auto"/>
        <w:tabs>
          <w:tab w:leader="none" w:pos="169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w:t>
      </w:r>
      <w:hyperlink r:id="rId32">
        <w:r>
          <w:rPr>
            <w:rFonts w:ascii="Times New Roman" w:cs="Times New Roman" w:eastAsia="Times New Roman" w:hAnsi="Times New Roman"/>
            <w:sz w:val="14"/>
            <w:szCs w:val="14"/>
            <w:u w:val="single" w:color="auto"/>
            <w:color w:val="0000EE"/>
          </w:rPr>
          <w:t>December 31, 2024</w:t>
        </w:r>
      </w:hyperlink>
      <w:r>
        <w:rPr>
          <w:rFonts w:ascii="Times New Roman" w:cs="Times New Roman" w:eastAsia="Times New Roman" w:hAnsi="Times New Roman"/>
          <w:sz w:val="14"/>
          <w:szCs w:val="14"/>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392430</wp:posOffset>
            </wp:positionV>
            <wp:extent cx="53581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1679" w:hanging="133"/>
        <w:spacing w:after="0" w:line="286" w:lineRule="auto"/>
        <w:tabs>
          <w:tab w:leader="none" w:pos="1700" w:val="left"/>
        </w:tabs>
        <w:numPr>
          <w:ilvl w:val="0"/>
          <w:numId w:val="3"/>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quarters ended </w:t>
      </w:r>
      <w:hyperlink r:id="rId34">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6">
        <w:r>
          <w:rPr>
            <w:rFonts w:ascii="Times New Roman" w:cs="Times New Roman" w:eastAsia="Times New Roman" w:hAnsi="Times New Roman"/>
            <w:sz w:val="14"/>
            <w:szCs w:val="14"/>
            <w:u w:val="single" w:color="auto"/>
            <w:color w:val="0000EE"/>
          </w:rPr>
          <w:t>September 30, 2025</w:t>
        </w:r>
      </w:hyperlink>
      <w:r>
        <w:rPr>
          <w:rFonts w:ascii="Times New Roman" w:cs="Times New Roman" w:eastAsia="Times New Roman" w:hAnsi="Times New Roman"/>
          <w:sz w:val="14"/>
          <w:szCs w:val="14"/>
          <w:color w:val="000000"/>
        </w:rPr>
        <w:t>;</w:t>
      </w:r>
    </w:p>
    <w:p>
      <w:pPr>
        <w:spacing w:after="0" w:line="39" w:lineRule="exact"/>
        <w:rPr>
          <w:rFonts w:ascii="Times New Roman" w:cs="Times New Roman" w:eastAsia="Times New Roman" w:hAnsi="Times New Roman"/>
          <w:sz w:val="14"/>
          <w:szCs w:val="14"/>
          <w:color w:val="0000EE"/>
        </w:rPr>
      </w:pPr>
    </w:p>
    <w:p>
      <w:pPr>
        <w:ind w:left="1700" w:right="1659" w:hanging="133"/>
        <w:spacing w:after="0" w:line="286" w:lineRule="auto"/>
        <w:tabs>
          <w:tab w:leader="none" w:pos="1700" w:val="left"/>
        </w:tabs>
        <w:numPr>
          <w:ilvl w:val="0"/>
          <w:numId w:val="3"/>
        </w:numPr>
        <w:rPr>
          <w:rFonts w:ascii="Times New Roman" w:cs="Times New Roman" w:eastAsia="Times New Roman" w:hAnsi="Times New Roman"/>
          <w:sz w:val="14"/>
          <w:szCs w:val="14"/>
          <w:color w:val="0000EE"/>
        </w:rPr>
      </w:pPr>
      <w:hyperlink r:id="rId37">
        <w:r>
          <w:rPr>
            <w:rFonts w:ascii="Times New Roman" w:cs="Times New Roman" w:eastAsia="Times New Roman" w:hAnsi="Times New Roman"/>
            <w:sz w:val="14"/>
            <w:szCs w:val="14"/>
            <w:color w:val="auto"/>
          </w:rPr>
          <w:t xml:space="preserve">our Current Reports on Form 8-K filed on </w:t>
        </w:r>
        <w:r>
          <w:rPr>
            <w:rFonts w:ascii="Times New Roman" w:cs="Times New Roman" w:eastAsia="Times New Roman" w:hAnsi="Times New Roman"/>
            <w:sz w:val="14"/>
            <w:szCs w:val="14"/>
            <w:u w:val="single" w:color="auto"/>
            <w:color w:val="0000EE"/>
          </w:rPr>
          <w:t>March 6,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4,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22,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6,</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38">
        <w:r>
          <w:rPr>
            <w:rFonts w:ascii="Times New Roman" w:cs="Times New Roman" w:eastAsia="Times New Roman" w:hAnsi="Times New Roman"/>
            <w:sz w:val="14"/>
            <w:szCs w:val="14"/>
            <w:u w:val="single" w:color="auto"/>
            <w:color w:val="0000EE"/>
          </w:rPr>
          <w:t>July 24, 2025</w:t>
        </w:r>
      </w:hyperlink>
      <w:hyperlink r:id="rId37">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EE"/>
          </w:rPr>
          <w:t xml:space="preserve"> </w:t>
        </w:r>
      </w:hyperlink>
      <w:hyperlink r:id="rId39">
        <w:r>
          <w:rPr>
            <w:rFonts w:ascii="Times New Roman" w:cs="Times New Roman" w:eastAsia="Times New Roman" w:hAnsi="Times New Roman"/>
            <w:sz w:val="14"/>
            <w:szCs w:val="14"/>
            <w:u w:val="single" w:color="auto"/>
            <w:color w:val="0000EE"/>
          </w:rPr>
          <w:t>September 16, 2025</w:t>
        </w:r>
      </w:hyperlink>
      <w:hyperlink r:id="rId37">
        <w:r>
          <w:rPr>
            <w:rFonts w:ascii="Times New Roman" w:cs="Times New Roman" w:eastAsia="Times New Roman" w:hAnsi="Times New Roman"/>
            <w:sz w:val="14"/>
            <w:szCs w:val="14"/>
            <w:color w:val="000000"/>
          </w:rPr>
          <w:t>; and</w:t>
        </w:r>
      </w:hyperlink>
    </w:p>
    <w:p>
      <w:pPr>
        <w:spacing w:after="0" w:line="39" w:lineRule="exact"/>
        <w:rPr>
          <w:rFonts w:ascii="Times New Roman" w:cs="Times New Roman" w:eastAsia="Times New Roman" w:hAnsi="Times New Roman"/>
          <w:sz w:val="14"/>
          <w:szCs w:val="14"/>
          <w:color w:val="0000EE"/>
        </w:rPr>
      </w:pPr>
    </w:p>
    <w:p>
      <w:pPr>
        <w:ind w:left="1700" w:right="1339" w:hanging="133"/>
        <w:spacing w:after="0" w:line="261"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the registration statement on Form 10 filed with the SEC on December 13, 1992 pursuant to Section 12(g) of the Exchange Act, as modified or supplemented by the Description of Securities filed as </w:t>
      </w:r>
      <w:hyperlink r:id="rId40">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2019, together with all amendments or reports filed for the purpose of updating such description.</w:t>
      </w:r>
    </w:p>
    <w:p>
      <w:pPr>
        <w:spacing w:after="0" w:line="88" w:lineRule="exact"/>
        <w:rPr>
          <w:rFonts w:ascii="Times New Roman" w:cs="Times New Roman" w:eastAsia="Times New Roman" w:hAnsi="Times New Roman"/>
          <w:sz w:val="14"/>
          <w:szCs w:val="14"/>
          <w:color w:val="0000EE"/>
        </w:rPr>
      </w:pPr>
    </w:p>
    <w:p>
      <w:pPr>
        <w:ind w:left="1280" w:right="1519" w:firstLine="282"/>
        <w:spacing w:after="0" w:line="266" w:lineRule="auto"/>
        <w:rPr>
          <w:sz w:val="20"/>
          <w:szCs w:val="20"/>
          <w:color w:val="auto"/>
        </w:rPr>
      </w:pPr>
      <w:r>
        <w:rPr>
          <w:rFonts w:ascii="Times New Roman" w:cs="Times New Roman" w:eastAsia="Times New Roman" w:hAnsi="Times New Roman"/>
          <w:sz w:val="14"/>
          <w:szCs w:val="14"/>
          <w:color w:val="auto"/>
        </w:rPr>
        <w:t>We will not, however, incorporate by reference in this prospectus any documents or portions thereof that are not deemed “filed” with the SEC, including any information furnished pursuant to Item 2.02 or Item 7.01 of our current reports on Form 8-K unless, and except to the extent, specified in such current reports.</w:t>
      </w:r>
    </w:p>
    <w:p>
      <w:pPr>
        <w:spacing w:after="0" w:line="259" w:lineRule="exact"/>
        <w:rPr>
          <w:rFonts w:ascii="Times New Roman" w:cs="Times New Roman" w:eastAsia="Times New Roman" w:hAnsi="Times New Roman"/>
          <w:sz w:val="14"/>
          <w:szCs w:val="14"/>
          <w:color w:val="0000EE"/>
        </w:rPr>
      </w:pPr>
    </w:p>
    <w:p>
      <w:pPr>
        <w:ind w:left="1280" w:right="1519" w:firstLine="282"/>
        <w:spacing w:after="0" w:line="269" w:lineRule="auto"/>
        <w:rPr>
          <w:sz w:val="20"/>
          <w:szCs w:val="20"/>
          <w:color w:val="auto"/>
        </w:rPr>
      </w:pPr>
      <w:r>
        <w:rPr>
          <w:rFonts w:ascii="Times New Roman" w:cs="Times New Roman" w:eastAsia="Times New Roman" w:hAnsi="Times New Roman"/>
          <w:sz w:val="14"/>
          <w:szCs w:val="14"/>
          <w:color w:val="auto"/>
        </w:rPr>
        <w:t>We will provide you with a copy of any of these filings (other than an exhibit to these filings, unless the exhibit is specifically incorporated by reference into the filing requested) at no cost, if you submit a request to us by writing or telephoning us at the following address and telephone number:</w:t>
      </w:r>
    </w:p>
    <w:p>
      <w:pPr>
        <w:spacing w:after="0" w:line="73"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5080 Spectrum Drive, Suite 800E</w:t>
      </w:r>
    </w:p>
    <w:p>
      <w:pPr>
        <w:spacing w:after="0" w:line="8"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Addison, Texas 75001</w:t>
      </w:r>
    </w:p>
    <w:p>
      <w:pPr>
        <w:spacing w:after="0" w:line="8"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(888) 990-6670</w:t>
      </w:r>
    </w:p>
    <w:p>
      <w:pPr>
        <w:spacing w:after="0" w:line="8"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35"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7" w:lineRule="exact"/>
        <w:rPr>
          <w:sz w:val="20"/>
          <w:szCs w:val="20"/>
          <w:color w:val="auto"/>
        </w:rPr>
      </w:pPr>
    </w:p>
    <w:p>
      <w:pPr>
        <w:ind w:left="1280" w:right="1339" w:firstLine="282"/>
        <w:spacing w:after="0" w:line="245" w:lineRule="auto"/>
        <w:rPr>
          <w:sz w:val="20"/>
          <w:szCs w:val="20"/>
          <w:color w:val="auto"/>
        </w:rPr>
      </w:pPr>
      <w:r>
        <w:rPr>
          <w:rFonts w:ascii="Times New Roman" w:cs="Times New Roman" w:eastAsia="Times New Roman" w:hAnsi="Times New Roman"/>
          <w:sz w:val="14"/>
          <w:szCs w:val="14"/>
          <w:color w:val="auto"/>
        </w:rPr>
        <w:t>CECO is a leading environmentally focused, diversified industrial company, serving the broad landscape of industrial air, industrial water and energy transition markets globally providing innovative technology and application expertise through a collection of focused operating companies with niche leadership positions and well- established brands in fragmented markets with flexible business models and established supply chains.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3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7" w:lineRule="exact"/>
        <w:rPr>
          <w:sz w:val="20"/>
          <w:szCs w:val="20"/>
          <w:color w:val="auto"/>
        </w:rPr>
      </w:pPr>
    </w:p>
    <w:p>
      <w:pPr>
        <w:ind w:left="1280" w:right="1399" w:firstLine="282"/>
        <w:spacing w:after="0" w:line="246" w:lineRule="auto"/>
        <w:rPr>
          <w:sz w:val="20"/>
          <w:szCs w:val="20"/>
          <w:color w:val="auto"/>
        </w:rPr>
      </w:pPr>
      <w:r>
        <w:rPr>
          <w:rFonts w:ascii="Times New Roman" w:cs="Times New Roman" w:eastAsia="Times New Roman" w:hAnsi="Times New Roman"/>
          <w:sz w:val="14"/>
          <w:szCs w:val="14"/>
          <w:color w:val="auto"/>
        </w:rPr>
        <w:t>CECO is a Delaware corporation and has been publicly traded since January 1, 1978. Our common stock trades on the NASDAQ Stock Market under the symbol “CECO.” Our principal executive offices are located at 5080 Spectrum Drive, Suite 800E, Addison, Texas 75001. Our telephone number is (214) 272-5300. Our website is http://www.cecoenviro.com. The information contained on or accessible through our website is not part of this prospectus, other than the documents that we file with the SEC that are expressly incorporated by reference into this prospectus.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6" w:lineRule="exact"/>
        <w:rPr>
          <w:sz w:val="20"/>
          <w:szCs w:val="20"/>
          <w:color w:val="auto"/>
        </w:rPr>
      </w:pPr>
    </w:p>
    <w:p>
      <w:pPr>
        <w:ind w:left="1280" w:right="1339" w:firstLine="282"/>
        <w:spacing w:after="0" w:line="244"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in any applicable prospectus supplement.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REGARDING FORWARD-LOOKING STATEMENTS</w:t>
      </w:r>
    </w:p>
    <w:p>
      <w:pPr>
        <w:spacing w:after="0" w:line="127" w:lineRule="exact"/>
        <w:rPr>
          <w:sz w:val="20"/>
          <w:szCs w:val="20"/>
          <w:color w:val="auto"/>
        </w:rPr>
      </w:pPr>
    </w:p>
    <w:p>
      <w:pPr>
        <w:ind w:left="1280" w:right="1299" w:firstLine="282"/>
        <w:spacing w:after="0" w:line="244" w:lineRule="auto"/>
        <w:rPr>
          <w:sz w:val="20"/>
          <w:szCs w:val="20"/>
          <w:color w:val="auto"/>
        </w:rPr>
      </w:pPr>
      <w:r>
        <w:rPr>
          <w:rFonts w:ascii="Times New Roman" w:cs="Times New Roman" w:eastAsia="Times New Roman" w:hAnsi="Times New Roman"/>
          <w:sz w:val="14"/>
          <w:szCs w:val="14"/>
          <w:color w:val="auto"/>
        </w:rPr>
        <w:t>This prospectus, including the documents incorporated by reference, contains, and any prospectus supplement may contain,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prospectus, the documents incorporated by reference, and any prospectus supplement,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“Risk Factors” of the documents we incorporate by reference, and include, but are not limited to:</w:t>
      </w:r>
    </w:p>
    <w:p>
      <w:pPr>
        <w:spacing w:after="0" w:line="219" w:lineRule="exact"/>
        <w:rPr>
          <w:sz w:val="20"/>
          <w:szCs w:val="20"/>
          <w:color w:val="auto"/>
        </w:rPr>
      </w:pPr>
    </w:p>
    <w:p>
      <w:pPr>
        <w:jc w:val="both"/>
        <w:ind w:left="1700" w:right="1599" w:hanging="133"/>
        <w:spacing w:after="0" w:line="286"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recent acquisitions and the divestiture of our Fluid Handling Business (together, the “transactions”) on business relationships, operating results, and business generally, disruption of</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1399"/>
        <w:spacing w:after="0" w:line="258" w:lineRule="auto"/>
        <w:rPr>
          <w:sz w:val="20"/>
          <w:szCs w:val="20"/>
          <w:color w:val="auto"/>
        </w:rPr>
      </w:pPr>
      <w:r>
        <w:rPr>
          <w:rFonts w:ascii="Times New Roman" w:cs="Times New Roman" w:eastAsia="Times New Roman" w:hAnsi="Times New Roman"/>
          <w:sz w:val="14"/>
          <w:szCs w:val="14"/>
          <w:color w:val="auto"/>
        </w:rPr>
        <w:t>current plans and operations and potential difficulties in employee retention as a result of the transactions, diversion of management’s attention from ongoing business operations in connection with the integration of recent acquisitions,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59" w:lineRule="exact"/>
        <w:rPr>
          <w:sz w:val="20"/>
          <w:szCs w:val="20"/>
          <w:color w:val="auto"/>
        </w:rPr>
      </w:pPr>
    </w:p>
    <w:p>
      <w:pPr>
        <w:ind w:left="1700" w:right="179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fixed price contracts and the risks associated therewith, including actual costs exceeding estimates and method of accounting for revenue;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growth on our infrastructure, resources and existing sales;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expand operations in both new and existing markets;</w:t>
      </w:r>
    </w:p>
    <w:p>
      <w:pPr>
        <w:spacing w:after="0" w:line="93" w:lineRule="exact"/>
        <w:rPr>
          <w:rFonts w:ascii="Times New Roman" w:cs="Times New Roman" w:eastAsia="Times New Roman" w:hAnsi="Times New Roman"/>
          <w:sz w:val="14"/>
          <w:szCs w:val="14"/>
          <w:color w:val="auto"/>
        </w:rPr>
      </w:pPr>
    </w:p>
    <w:p>
      <w:pPr>
        <w:ind w:left="1700" w:right="1599" w:hanging="133"/>
        <w:spacing w:after="0" w:line="269"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contract delay or cancellation as a result of on-going or worsening supply chain challenges, or other customer-driven project delays relating to supply chain challenges or other customer considerations;</w:t>
      </w:r>
    </w:p>
    <w:p>
      <w:pPr>
        <w:spacing w:after="0" w:line="51" w:lineRule="exact"/>
        <w:rPr>
          <w:rFonts w:ascii="Times New Roman" w:cs="Times New Roman" w:eastAsia="Times New Roman" w:hAnsi="Times New Roman"/>
          <w:sz w:val="14"/>
          <w:szCs w:val="14"/>
          <w:color w:val="auto"/>
        </w:rPr>
      </w:pPr>
    </w:p>
    <w:p>
      <w:pPr>
        <w:ind w:left="1700" w:right="163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arising from faulty services or products that could result in significant professional or product liability, warranty or other claims;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or developments with respect to any litigation or investigation;</w:t>
      </w:r>
    </w:p>
    <w:p>
      <w:pPr>
        <w:spacing w:after="0" w:line="93" w:lineRule="exact"/>
        <w:rPr>
          <w:rFonts w:ascii="Times New Roman" w:cs="Times New Roman" w:eastAsia="Times New Roman" w:hAnsi="Times New Roman"/>
          <w:sz w:val="14"/>
          <w:szCs w:val="14"/>
          <w:color w:val="auto"/>
        </w:rPr>
      </w:pPr>
    </w:p>
    <w:p>
      <w:pPr>
        <w:ind w:left="1700" w:right="169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timely completion or performance standards that could result in higher cost and reduced profits or, in some cases, losses on projects;</w:t>
      </w:r>
    </w:p>
    <w:p>
      <w:pPr>
        <w:spacing w:after="0" w:line="39"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fluctuations in prices for manufactured components and raw materials, including as a result of tariffs and surcharges, and rising energy costs;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inflationary pressures relating to rising raw material costs and the cost of labor;</w:t>
      </w:r>
    </w:p>
    <w:p>
      <w:pPr>
        <w:spacing w:after="0" w:line="93" w:lineRule="exact"/>
        <w:rPr>
          <w:rFonts w:ascii="Times New Roman" w:cs="Times New Roman" w:eastAsia="Times New Roman" w:hAnsi="Times New Roman"/>
          <w:sz w:val="14"/>
          <w:szCs w:val="14"/>
          <w:color w:val="auto"/>
        </w:rPr>
      </w:pPr>
    </w:p>
    <w:p>
      <w:pPr>
        <w:ind w:left="1700" w:right="143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amount of debt incurred in connection with our strategic transactions and our ability to repay or refinance it or incur additional debt in the future;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federal, state or local government regulations, including with respect to tax policy;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repurchase shares of our common stock and the amounts and timing of repurchases;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conditions generally;</w:t>
      </w:r>
    </w:p>
    <w:p>
      <w:pPr>
        <w:spacing w:after="0" w:line="93" w:lineRule="exact"/>
        <w:rPr>
          <w:rFonts w:ascii="Times New Roman" w:cs="Times New Roman" w:eastAsia="Times New Roman" w:hAnsi="Times New Roman"/>
          <w:sz w:val="14"/>
          <w:szCs w:val="14"/>
          <w:color w:val="auto"/>
        </w:rPr>
      </w:pPr>
    </w:p>
    <w:p>
      <w:pPr>
        <w:ind w:left="1700" w:right="1299" w:hanging="133"/>
        <w:spacing w:after="0" w:line="269"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optimize our business portfolio by identifying acquisition targets, executing upon any strategic acquisitions or divestitures, integrating acquired businesses and realizing the synergies from strategic transactions; and</w:t>
      </w:r>
    </w:p>
    <w:p>
      <w:pPr>
        <w:spacing w:after="0" w:line="51" w:lineRule="exact"/>
        <w:rPr>
          <w:rFonts w:ascii="Times New Roman" w:cs="Times New Roman" w:eastAsia="Times New Roman" w:hAnsi="Times New Roman"/>
          <w:sz w:val="14"/>
          <w:szCs w:val="14"/>
          <w:color w:val="auto"/>
        </w:rPr>
      </w:pPr>
    </w:p>
    <w:p>
      <w:pPr>
        <w:ind w:left="1700" w:right="1339" w:hanging="133"/>
        <w:spacing w:after="0" w:line="269"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84"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7" w:lineRule="exact"/>
        <w:rPr>
          <w:sz w:val="20"/>
          <w:szCs w:val="20"/>
          <w:color w:val="auto"/>
        </w:rPr>
      </w:pPr>
    </w:p>
    <w:p>
      <w:pPr>
        <w:ind w:left="1280" w:right="1339" w:firstLine="282"/>
        <w:spacing w:after="0" w:line="279" w:lineRule="auto"/>
        <w:rPr>
          <w:sz w:val="20"/>
          <w:szCs w:val="20"/>
          <w:color w:val="auto"/>
        </w:rPr>
      </w:pPr>
      <w:r>
        <w:rPr>
          <w:rFonts w:ascii="Times New Roman" w:cs="Times New Roman" w:eastAsia="Times New Roman" w:hAnsi="Times New Roman"/>
          <w:sz w:val="14"/>
          <w:szCs w:val="14"/>
          <w:color w:val="auto"/>
        </w:rPr>
        <w:t>Unless we inform you otherwise in the applicable prospectus supplement, we expect to use the net proceeds from the sale of securities for general corporate purposes. These purposes may include, but are not limited to:</w:t>
      </w:r>
    </w:p>
    <w:p>
      <w:pPr>
        <w:spacing w:after="0" w:line="219" w:lineRule="exact"/>
        <w:rPr>
          <w:sz w:val="20"/>
          <w:szCs w:val="20"/>
          <w:color w:val="auto"/>
        </w:rPr>
      </w:pPr>
    </w:p>
    <w:p>
      <w:pPr>
        <w:ind w:left="1700" w:hanging="133"/>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or refinancing of outstanding indebtedness or other corporate obligations;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working capital;</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strategic transactions including acquisitions;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125" w:lineRule="exact"/>
        <w:rPr>
          <w:sz w:val="20"/>
          <w:szCs w:val="20"/>
          <w:color w:val="auto"/>
        </w:rPr>
      </w:pPr>
    </w:p>
    <w:p>
      <w:pPr>
        <w:ind w:left="1280" w:right="1459" w:firstLine="282"/>
        <w:spacing w:after="0" w:line="286" w:lineRule="auto"/>
        <w:rPr>
          <w:sz w:val="20"/>
          <w:szCs w:val="20"/>
          <w:color w:val="auto"/>
        </w:rPr>
      </w:pPr>
      <w:r>
        <w:rPr>
          <w:rFonts w:ascii="Times New Roman" w:cs="Times New Roman" w:eastAsia="Times New Roman" w:hAnsi="Times New Roman"/>
          <w:sz w:val="14"/>
          <w:szCs w:val="14"/>
          <w:color w:val="auto"/>
        </w:rPr>
        <w:t>Pending any specific application, we may initially invest funds in short-term marketable securities or apply them to the reduction of short-term indebtedness.</w:t>
      </w:r>
    </w:p>
    <w:p>
      <w:pPr>
        <w:spacing w:after="0" w:line="61"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The actual application of proceeds from the sale of any particular offering of securities using this prospectus will be described in the applicable prospectus supplement relating to such offering. The precise amount and timing of the application of these proceeds will depend upon our funding requirements and the availability and cost of other funds. In the case of a sale by a selling stockholder, we will not receive any of the proceeds from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27" w:lineRule="exact"/>
        <w:rPr>
          <w:sz w:val="20"/>
          <w:szCs w:val="20"/>
          <w:color w:val="auto"/>
        </w:rPr>
      </w:pPr>
    </w:p>
    <w:p>
      <w:pPr>
        <w:ind w:left="1280" w:right="1499" w:firstLine="282"/>
        <w:spacing w:after="0" w:line="247" w:lineRule="auto"/>
        <w:rPr>
          <w:sz w:val="20"/>
          <w:szCs w:val="20"/>
          <w:color w:val="auto"/>
        </w:rPr>
      </w:pPr>
      <w:r>
        <w:rPr>
          <w:rFonts w:ascii="Times New Roman" w:cs="Times New Roman" w:eastAsia="Times New Roman" w:hAnsi="Times New Roman"/>
          <w:sz w:val="14"/>
          <w:szCs w:val="14"/>
          <w:color w:val="auto"/>
        </w:rPr>
        <w:t>In the discussion that follows, we have summarized selected provisions of our certificate of incorporation and bylaws relating to our capital stock. This summary is not complete. This discussion is qualified in its entirety by reference to our certificate of incorporation and bylaws. You should read the provisions of our certificate of incorporation and bylaws as currently in effect for provisions that may be important to you. We have filed copies of those documents with the SEC, and they are incorporated by reference as exhibits to the registration statement of which this prospectus forms a part. See “Information We Incorporate By Reference.”</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authorized capital stock consists of:</w:t>
      </w:r>
    </w:p>
    <w:p>
      <w:pPr>
        <w:spacing w:after="0" w:line="93" w:lineRule="exact"/>
        <w:rPr>
          <w:sz w:val="20"/>
          <w:szCs w:val="20"/>
          <w:color w:val="auto"/>
        </w:rPr>
      </w:pPr>
    </w:p>
    <w:p>
      <w:pPr>
        <w:ind w:left="1700" w:hanging="133"/>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 shares of common stock, $0.01 par value per share;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shares of preferred stock, $0.01 par value per share, issuable in series.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16" w:lineRule="exact"/>
        <w:rPr>
          <w:sz w:val="20"/>
          <w:szCs w:val="20"/>
          <w:color w:val="auto"/>
        </w:rPr>
      </w:pPr>
    </w:p>
    <w:p>
      <w:pPr>
        <w:ind w:left="1280" w:right="1379" w:firstLine="282"/>
        <w:spacing w:after="0" w:line="246"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on all matters submitted to a vote of our stockholders and do not have cumulative voting rights. Holders of a majority of the shares of common stock entitled to vote in any election of our directors may elect all of the directors standing for election. Holders of our common stock are entitled to receive ratably such dividends, if any, as may be declared by our board of directors out of funds legally available therefor, subject to any preferential dividend rights of outstanding preferred stock. Upon our liquidation, dissolution or winding up, the holders of common stock are entitled to receive ratably our net assets available after the payment of all debts and other liabilities and subject to the prior rights of any outstanding preferred stock. Holders of our common stock have no preemptive, subscription, redemption or conversion rights.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outstanding shares of our common stock are fully paid and non-assessable.</w:t>
      </w:r>
    </w:p>
    <w:p>
      <w:pPr>
        <w:spacing w:after="0" w:line="125" w:lineRule="exact"/>
        <w:rPr>
          <w:sz w:val="20"/>
          <w:szCs w:val="20"/>
          <w:color w:val="auto"/>
        </w:rPr>
      </w:pPr>
    </w:p>
    <w:p>
      <w:pPr>
        <w:jc w:val="both"/>
        <w:ind w:left="1280" w:right="1659" w:firstLine="282"/>
        <w:spacing w:after="0" w:line="253" w:lineRule="auto"/>
        <w:rPr>
          <w:sz w:val="20"/>
          <w:szCs w:val="20"/>
          <w:color w:val="auto"/>
        </w:rPr>
      </w:pPr>
      <w:r>
        <w:rPr>
          <w:rFonts w:ascii="Times New Roman" w:cs="Times New Roman" w:eastAsia="Times New Roman" w:hAnsi="Times New Roman"/>
          <w:sz w:val="14"/>
          <w:szCs w:val="14"/>
          <w:color w:val="auto"/>
        </w:rPr>
        <w:t>The rights, preferences and privileges of holders of our common stock are subject to, and may be adversely affected by, the rights of the holders of shares of any series of preferred stock which we may designate and issue.</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16" w:lineRule="exact"/>
        <w:rPr>
          <w:sz w:val="20"/>
          <w:szCs w:val="20"/>
          <w:color w:val="auto"/>
        </w:rPr>
      </w:pPr>
    </w:p>
    <w:p>
      <w:pPr>
        <w:ind w:left="1280" w:right="1359" w:firstLine="282"/>
        <w:spacing w:after="0" w:line="248" w:lineRule="auto"/>
        <w:rPr>
          <w:sz w:val="20"/>
          <w:szCs w:val="20"/>
          <w:color w:val="auto"/>
        </w:rPr>
      </w:pPr>
      <w:r>
        <w:rPr>
          <w:rFonts w:ascii="Times New Roman" w:cs="Times New Roman" w:eastAsia="Times New Roman" w:hAnsi="Times New Roman"/>
          <w:sz w:val="14"/>
          <w:szCs w:val="14"/>
          <w:color w:val="auto"/>
        </w:rPr>
        <w:t>We have no outstanding shares of preferred stock. Our board of directors, without further action by our stockholders, is authorized to issue an aggregate of 10,000 shares of preferred stock. Our board of directors may issue preferred stock with dividend rates, redemption prices, preferences on liquidation or dissolution, conversion rights, voting rights and any other preferences, which rights and preferences could adversely affect the voting power of the holders of common stock. The issuance of preferred stock, while providing desirable flexibility in connection with possible acquisitions or other corporate purposes, could have the effect of making it more difficult for a third party to acquire us, or could discourage or delay a third party from acquiring control of us.</w:t>
      </w:r>
    </w:p>
    <w:p>
      <w:pPr>
        <w:spacing w:after="0" w:line="3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Limitation on Directors’ Liability</w:t>
      </w:r>
    </w:p>
    <w:p>
      <w:pPr>
        <w:spacing w:after="0" w:line="127" w:lineRule="exact"/>
        <w:rPr>
          <w:sz w:val="20"/>
          <w:szCs w:val="20"/>
          <w:color w:val="auto"/>
        </w:rPr>
      </w:pPr>
    </w:p>
    <w:p>
      <w:pPr>
        <w:ind w:left="1280" w:right="1379" w:firstLine="282"/>
        <w:spacing w:after="0" w:line="257" w:lineRule="auto"/>
        <w:rPr>
          <w:sz w:val="20"/>
          <w:szCs w:val="20"/>
          <w:color w:val="auto"/>
        </w:rPr>
      </w:pPr>
      <w:r>
        <w:rPr>
          <w:rFonts w:ascii="Times New Roman" w:cs="Times New Roman" w:eastAsia="Times New Roman" w:hAnsi="Times New Roman"/>
          <w:sz w:val="14"/>
          <w:szCs w:val="14"/>
          <w:color w:val="auto"/>
        </w:rPr>
        <w:t>Pursuant to the provisions of the General Corporation Law of the State of Delaware (“DGCL”), we have adopted provisions in our certificate of incorporation and bylaws that require us to indemnify our officers and directors to the fullest extent permitted by law, and eliminate the personal liability of our directors to us or our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in the case of directors only, for acts relating to unlawful payment of a dividend or an unlawful stock purchase or redemption, (d) for any transaction from which the director or officer derived an improper personal benefit, or (e) in the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79"/>
        <w:spacing w:after="0" w:line="263" w:lineRule="auto"/>
        <w:rPr>
          <w:sz w:val="20"/>
          <w:szCs w:val="20"/>
          <w:color w:val="auto"/>
        </w:rPr>
      </w:pPr>
      <w:r>
        <w:rPr>
          <w:rFonts w:ascii="Times New Roman" w:cs="Times New Roman" w:eastAsia="Times New Roman" w:hAnsi="Times New Roman"/>
          <w:sz w:val="14"/>
          <w:szCs w:val="14"/>
          <w:color w:val="auto"/>
        </w:rPr>
        <w:t>case of officers only, for any action by or in the right of CECO. These provisions do not eliminate a director’s duty of care. Moreover, the provisions do not apply to claims against a director for violation of certain laws, including federal securities laws. We believe that these provisions will assist it in attracting or retaining qualified individuals to serve as directors and officers.</w:t>
      </w:r>
    </w:p>
    <w:p>
      <w:pPr>
        <w:spacing w:after="0" w:line="89" w:lineRule="exact"/>
        <w:rPr>
          <w:sz w:val="20"/>
          <w:szCs w:val="20"/>
          <w:color w:val="auto"/>
        </w:rPr>
      </w:pPr>
    </w:p>
    <w:p>
      <w:pPr>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We may also, at its discretion, provide the same benefits of indemnification to any employee or agent of the corporation.</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our Certificate of Incorporation and Bylaws</w:t>
      </w:r>
    </w:p>
    <w:p>
      <w:pPr>
        <w:spacing w:after="0" w:line="127" w:lineRule="exact"/>
        <w:rPr>
          <w:sz w:val="20"/>
          <w:szCs w:val="20"/>
          <w:color w:val="auto"/>
        </w:rPr>
      </w:pPr>
    </w:p>
    <w:p>
      <w:pPr>
        <w:ind w:left="1280" w:right="1399" w:firstLine="282"/>
        <w:spacing w:after="0" w:line="256" w:lineRule="auto"/>
        <w:rPr>
          <w:sz w:val="20"/>
          <w:szCs w:val="20"/>
          <w:color w:val="auto"/>
        </w:rPr>
      </w:pPr>
      <w:r>
        <w:rPr>
          <w:rFonts w:ascii="Times New Roman" w:cs="Times New Roman" w:eastAsia="Times New Roman" w:hAnsi="Times New Roman"/>
          <w:sz w:val="14"/>
          <w:szCs w:val="14"/>
          <w:color w:val="auto"/>
        </w:rPr>
        <w:t>Some of the provisions of our certificate of incorporation and bylaws may have the effect of making it more difficult for a third party to acquire, or of discouraging a third party from attempting to acquire, control of us. These provisions are expected to discourage coercive takeover practices and inadequate takeover bids and to encourage persons seeking to acquire control of us to first negotiate with us. These provisions could limit the price investors might be willing to pay in the future for our common stock. We believe that the benefits of increased protection of our ability to negotiate with the proponent of an unfriendly or unsolicited acquisition proposal outweigh the disadvantage of discouraging these proposals, because among other things, negotiation may result in an improvement of their terms. These provisions could limit the price that investors might be willing to pay in the future for shares of our common stock. These provisions include:</w:t>
      </w:r>
    </w:p>
    <w:p>
      <w:pPr>
        <w:spacing w:after="0" w:line="234" w:lineRule="exact"/>
        <w:rPr>
          <w:sz w:val="20"/>
          <w:szCs w:val="20"/>
          <w:color w:val="auto"/>
        </w:rPr>
      </w:pPr>
    </w:p>
    <w:p>
      <w:pPr>
        <w:ind w:left="1700" w:hanging="133"/>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Procedures for advance notification of stockholder nominations and proposals;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of directors to alter our bylaws without stockholder approval.</w:t>
      </w:r>
    </w:p>
    <w:p>
      <w:pPr>
        <w:spacing w:after="0" w:line="114"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 addition, subject to applicable limitations, our board of directors has the authority to issue up to 10,000 shares of preferred stock and to determine the price, rights, preferences, privileges and restrictions, including voting rights, of those shares without any further vote or action by the stockholders. The issuance of preferred stock, while providing flexibility in connection with possible financings or acquisitions or other corporate purposes, could have the effect of making it more difficult for a third party to acquire a majority of our outstanding voting stock. These and other provisions contained in our certificate of incorporation and bylaws could have the effect of delaying or preventing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27" w:lineRule="exact"/>
        <w:rPr>
          <w:sz w:val="20"/>
          <w:szCs w:val="20"/>
          <w:color w:val="auto"/>
        </w:rPr>
      </w:pPr>
    </w:p>
    <w:p>
      <w:pPr>
        <w:ind w:left="1280" w:right="1379" w:firstLine="282"/>
        <w:spacing w:after="0" w:line="270" w:lineRule="auto"/>
        <w:rPr>
          <w:sz w:val="20"/>
          <w:szCs w:val="20"/>
          <w:color w:val="auto"/>
        </w:rPr>
      </w:pPr>
      <w:r>
        <w:rPr>
          <w:rFonts w:ascii="Times New Roman" w:cs="Times New Roman" w:eastAsia="Times New Roman" w:hAnsi="Times New Roman"/>
          <w:sz w:val="14"/>
          <w:szCs w:val="14"/>
          <w:color w:val="auto"/>
        </w:rPr>
        <w:t>We may offer depositary shares representing fractional shares of our preferred stock of any series. The following description sets forth certain general terms and provisions of the depositary shares that we may offer pursuant to this prospectus. The particular terms of the depositary shares, including the fraction of a preferred share that such depositary share will represent, and the extent, if any, to which the general terms and provisions may apply to the depositary shares so offered, will be described in the applicable prospectus supplement.</w:t>
      </w:r>
    </w:p>
    <w:p>
      <w:pPr>
        <w:spacing w:after="0" w:line="270"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shares of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 The deposit agreement will also contain provisions relating to the manner in which any subscription or similar rights we offer to holders of the preferred stock will be made available to the holders of depositary shares.</w:t>
      </w:r>
    </w:p>
    <w:p>
      <w:pPr>
        <w:spacing w:after="0" w:line="252" w:lineRule="exact"/>
        <w:rPr>
          <w:sz w:val="20"/>
          <w:szCs w:val="20"/>
          <w:color w:val="auto"/>
        </w:rPr>
      </w:pPr>
    </w:p>
    <w:p>
      <w:pPr>
        <w:ind w:left="1280" w:right="1339" w:firstLine="282"/>
        <w:spacing w:after="0" w:line="257" w:lineRule="auto"/>
        <w:rPr>
          <w:sz w:val="20"/>
          <w:szCs w:val="20"/>
          <w:color w:val="auto"/>
        </w:rPr>
      </w:pPr>
      <w:r>
        <w:rPr>
          <w:rFonts w:ascii="Times New Roman" w:cs="Times New Roman" w:eastAsia="Times New Roman" w:hAnsi="Times New Roman"/>
          <w:sz w:val="14"/>
          <w:szCs w:val="14"/>
          <w:color w:val="auto"/>
        </w:rPr>
        <w:t>The following description is a general summary of some common provisions of a depositary agreement and the related depositary receipts. The description below and in any prospectus supplement does not include all of the terms of the depositary agreement and the related depositary receipts. Copies of the form of depositary agreement and the depositary receipts relating to any particular issue of depositary shares will be filed with the SEC each time we issue depositary shares, and you should read those documents for provisions that may be important to you. For more information on how you can obtain copies of the forms of the depositary agreement and the related depositary receipts, see “Where You Can Find More Information.”</w:t>
      </w: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27" w:lineRule="exact"/>
        <w:rPr>
          <w:sz w:val="20"/>
          <w:szCs w:val="20"/>
          <w:color w:val="auto"/>
        </w:rPr>
      </w:pPr>
    </w:p>
    <w:p>
      <w:pPr>
        <w:ind w:left="1280" w:right="1299" w:firstLine="282"/>
        <w:spacing w:after="0" w:line="259" w:lineRule="auto"/>
        <w:rPr>
          <w:sz w:val="20"/>
          <w:szCs w:val="20"/>
          <w:color w:val="auto"/>
        </w:rPr>
      </w:pPr>
      <w:r>
        <w:rPr>
          <w:rFonts w:ascii="Times New Roman" w:cs="Times New Roman" w:eastAsia="Times New Roman" w:hAnsi="Times New Roman"/>
          <w:sz w:val="14"/>
          <w:szCs w:val="14"/>
          <w:color w:val="auto"/>
        </w:rPr>
        <w:t>If we pay a cash distribution or dividend on a series of preferred stock represented by depositary shares, the bank depositary will distribute these dividends to the record holders of these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this property and distribute the net proceeds from this sale to the record holders of the depositary shares.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127" w:lineRule="exact"/>
        <w:rPr>
          <w:sz w:val="20"/>
          <w:szCs w:val="20"/>
          <w:color w:val="auto"/>
        </w:rPr>
      </w:pPr>
    </w:p>
    <w:p>
      <w:pPr>
        <w:ind w:left="1280" w:right="1399" w:firstLine="282"/>
        <w:spacing w:after="0" w:line="261" w:lineRule="auto"/>
        <w:rPr>
          <w:sz w:val="20"/>
          <w:szCs w:val="20"/>
          <w:color w:val="auto"/>
        </w:rPr>
      </w:pPr>
      <w:r>
        <w:rPr>
          <w:rFonts w:ascii="Times New Roman" w:cs="Times New Roman" w:eastAsia="Times New Roman" w:hAnsi="Times New Roman"/>
          <w:sz w:val="14"/>
          <w:szCs w:val="14"/>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Voting the Preferred Stock</w:t>
      </w:r>
    </w:p>
    <w:p>
      <w:pPr>
        <w:spacing w:after="0" w:line="116"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represented by depositary shares are entitled to vote, the bank depositary will mail the notice to the record holders of the depositary shares relating to the preferred stock. Each record holder of these depositary shares on the record date (which will be the same date as the record date for the preferred stock) may instruct the bank depositary as to how to vote the preferred stock represented by this holder’s depositary shares. The bank depositary will endeavor, insofar as practicable, to vote the amount of the preferred stock represented by such depositary shares in accordance with these instructions, and we will take all action which the bank depositary deems necessary in order to enable the bank depositary to do so. The bank depositary will abstain from voting shares of the preferred stock to the extent it does not receive specific instructions from the holders of depositary shares representing this preferred stock.</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Depositary Agreement</w:t>
      </w:r>
    </w:p>
    <w:p>
      <w:pPr>
        <w:spacing w:after="0" w:line="127"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this amendment has been approved by the holders of at least a majority of the depositary shares then outstanding. The depositary agreement may be terminated by the bank depositary or us only if:</w:t>
      </w:r>
    </w:p>
    <w:p>
      <w:pPr>
        <w:spacing w:after="0" w:line="57" w:lineRule="exact"/>
        <w:rPr>
          <w:sz w:val="20"/>
          <w:szCs w:val="20"/>
          <w:color w:val="auto"/>
        </w:rPr>
      </w:pPr>
    </w:p>
    <w:p>
      <w:pPr>
        <w:ind w:left="1700" w:hanging="133"/>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have been redeemed; or</w:t>
      </w:r>
    </w:p>
    <w:p>
      <w:pPr>
        <w:spacing w:after="0" w:line="93" w:lineRule="exact"/>
        <w:rPr>
          <w:rFonts w:ascii="Times New Roman" w:cs="Times New Roman" w:eastAsia="Times New Roman" w:hAnsi="Times New Roman"/>
          <w:sz w:val="14"/>
          <w:szCs w:val="14"/>
          <w:color w:val="auto"/>
        </w:rPr>
      </w:pPr>
    </w:p>
    <w:p>
      <w:pPr>
        <w:ind w:left="1700" w:right="1299" w:hanging="133"/>
        <w:spacing w:after="0" w:line="269"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final distribution in respect of the preferred stock in connection with any liquidation, dissolution or winding up of the company and this distribution has been distributed to the holders of depositary receipts.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Charges of Bank Depositary</w:t>
      </w:r>
    </w:p>
    <w:p>
      <w:pPr>
        <w:spacing w:after="0" w:line="127" w:lineRule="exact"/>
        <w:rPr>
          <w:sz w:val="20"/>
          <w:szCs w:val="20"/>
          <w:color w:val="auto"/>
        </w:rPr>
      </w:pPr>
    </w:p>
    <w:p>
      <w:pPr>
        <w:ind w:left="1280" w:right="1359" w:firstLine="282"/>
        <w:spacing w:after="0" w:line="259"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and other taxes and governmental charges and any other charges, including a fee for the withdrawal of shares of preferred stock upon surrender of depositary receipts, as are expressly provided in the depositary agreement to be for their accounts.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127" w:lineRule="exact"/>
        <w:rPr>
          <w:sz w:val="20"/>
          <w:szCs w:val="20"/>
          <w:color w:val="auto"/>
        </w:rPr>
      </w:pPr>
    </w:p>
    <w:p>
      <w:pPr>
        <w:ind w:left="1280" w:right="1359" w:firstLine="282"/>
        <w:spacing w:after="0" w:line="256" w:lineRule="auto"/>
        <w:rPr>
          <w:sz w:val="20"/>
          <w:szCs w:val="20"/>
          <w:color w:val="auto"/>
        </w:rPr>
      </w:pPr>
      <w:r>
        <w:rPr>
          <w:rFonts w:ascii="Times New Roman" w:cs="Times New Roman" w:eastAsia="Times New Roman" w:hAnsi="Times New Roman"/>
          <w:sz w:val="14"/>
          <w:szCs w:val="14"/>
          <w:color w:val="auto"/>
        </w:rPr>
        <w:t>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Fractional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this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w:t>
      </w: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16" w:lineRule="exact"/>
        <w:rPr>
          <w:sz w:val="20"/>
          <w:szCs w:val="20"/>
          <w:color w:val="auto"/>
        </w:rPr>
      </w:pPr>
    </w:p>
    <w:p>
      <w:pPr>
        <w:ind w:left="1280" w:right="1319" w:firstLine="282"/>
        <w:spacing w:after="0" w:line="279" w:lineRule="auto"/>
        <w:rPr>
          <w:sz w:val="20"/>
          <w:szCs w:val="20"/>
          <w:color w:val="auto"/>
        </w:rPr>
      </w:pPr>
      <w:r>
        <w:rPr>
          <w:rFonts w:ascii="Times New Roman" w:cs="Times New Roman" w:eastAsia="Times New Roman" w:hAnsi="Times New Roman"/>
          <w:sz w:val="14"/>
          <w:szCs w:val="14"/>
          <w:color w:val="auto"/>
        </w:rPr>
        <w:t>The bank depositary will forward to holders of depositary receipts all reports and communications from us that are delivered to the bank depositary and that we are required to furnish to the holders of preferred stock.</w:t>
      </w:r>
    </w:p>
    <w:p>
      <w:pPr>
        <w:spacing w:after="0" w:line="251" w:lineRule="exact"/>
        <w:rPr>
          <w:sz w:val="20"/>
          <w:szCs w:val="20"/>
          <w:color w:val="auto"/>
        </w:rPr>
      </w:pPr>
    </w:p>
    <w:p>
      <w:pPr>
        <w:ind w:left="1280" w:right="1419" w:firstLine="282"/>
        <w:spacing w:after="0" w:line="257" w:lineRule="auto"/>
        <w:rPr>
          <w:sz w:val="20"/>
          <w:szCs w:val="20"/>
          <w:color w:val="auto"/>
        </w:rPr>
      </w:pPr>
      <w:r>
        <w:rPr>
          <w:rFonts w:ascii="Times New Roman" w:cs="Times New Roman" w:eastAsia="Times New Roman" w:hAnsi="Times New Roman"/>
          <w:sz w:val="14"/>
          <w:szCs w:val="14"/>
          <w:color w:val="auto"/>
        </w:rPr>
        <w:t>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shares of preferred stock unless satisfactory indemnity is furnished. We may rely upon written advice of counsel or accountants, or upon information provided by persons presenting shares of preferred stock for deposit, holders of depositary receipts or other persons believed to be competent and on documents believed to be genuine.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Resignation and Removal of Bank Depositary</w:t>
      </w:r>
    </w:p>
    <w:p>
      <w:pPr>
        <w:spacing w:after="0" w:line="127" w:lineRule="exact"/>
        <w:rPr>
          <w:sz w:val="20"/>
          <w:szCs w:val="20"/>
          <w:color w:val="auto"/>
        </w:rPr>
      </w:pPr>
    </w:p>
    <w:p>
      <w:pPr>
        <w:ind w:left="1280" w:right="1459" w:firstLine="282"/>
        <w:spacing w:after="0" w:line="261" w:lineRule="auto"/>
        <w:rPr>
          <w:sz w:val="20"/>
          <w:szCs w:val="20"/>
          <w:color w:val="auto"/>
        </w:rPr>
      </w:pPr>
      <w:r>
        <w:rPr>
          <w:rFonts w:ascii="Times New Roman" w:cs="Times New Roman" w:eastAsia="Times New Roman" w:hAnsi="Times New Roman"/>
          <w:sz w:val="14"/>
          <w:szCs w:val="14"/>
          <w:color w:val="auto"/>
        </w:rPr>
        <w:t>The bank depositary may resign at any time by delivering to us notice of its election to do so, and we may at any time remove the bank depositary. Any such resignation or removal will take effect upon the appointment of a successor bank depositary and the successor’s acceptance of this appointment. The successor bank depositary must be appointed within 60 days after delivery of the notice of resignation or removal and must be a bank or trust company meeting the requirements of the depositary agreement.</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7" w:lineRule="exact"/>
        <w:rPr>
          <w:sz w:val="20"/>
          <w:szCs w:val="20"/>
          <w:color w:val="auto"/>
        </w:rPr>
      </w:pPr>
    </w:p>
    <w:p>
      <w:pPr>
        <w:ind w:left="1280" w:right="1399" w:firstLine="282"/>
        <w:spacing w:after="0" w:line="261"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depositary shares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88" w:lineRule="exact"/>
        <w:rPr>
          <w:sz w:val="20"/>
          <w:szCs w:val="20"/>
          <w:color w:val="auto"/>
        </w:rPr>
      </w:pPr>
    </w:p>
    <w:p>
      <w:pPr>
        <w:ind w:left="1280" w:right="1399" w:firstLine="282"/>
        <w:spacing w:after="0" w:line="261" w:lineRule="auto"/>
        <w:rPr>
          <w:sz w:val="20"/>
          <w:szCs w:val="20"/>
          <w:color w:val="auto"/>
        </w:rPr>
      </w:pPr>
      <w:r>
        <w:rPr>
          <w:rFonts w:ascii="Times New Roman" w:cs="Times New Roman" w:eastAsia="Times New Roman" w:hAnsi="Times New Roman"/>
          <w:sz w:val="14"/>
          <w:szCs w:val="14"/>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78" w:lineRule="exact"/>
        <w:rPr>
          <w:sz w:val="20"/>
          <w:szCs w:val="20"/>
          <w:color w:val="auto"/>
        </w:rPr>
      </w:pPr>
    </w:p>
    <w:p>
      <w:pPr>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127" w:lineRule="exact"/>
        <w:rPr>
          <w:sz w:val="20"/>
          <w:szCs w:val="20"/>
          <w:color w:val="auto"/>
        </w:rPr>
      </w:pPr>
    </w:p>
    <w:p>
      <w:pPr>
        <w:ind w:left="1280" w:right="1799" w:firstLine="282"/>
        <w:spacing w:after="0" w:line="286"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to issue debt securities will describe the terms of those warrants, including the following:</w:t>
      </w:r>
    </w:p>
    <w:p>
      <w:pPr>
        <w:spacing w:after="0" w:line="40" w:lineRule="exact"/>
        <w:rPr>
          <w:sz w:val="20"/>
          <w:szCs w:val="20"/>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warrants, if any;</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the warrants;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debt securities purchasable upon exercise of the warrants;</w:t>
      </w:r>
    </w:p>
    <w:p>
      <w:pPr>
        <w:spacing w:after="0" w:line="103"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debt securities that the warrants are issued with and the number of warrants issued with each debt security;</w:t>
      </w:r>
    </w:p>
    <w:p>
      <w:pPr>
        <w:spacing w:after="0" w:line="39" w:lineRule="exact"/>
        <w:rPr>
          <w:rFonts w:ascii="Times New Roman" w:cs="Times New Roman" w:eastAsia="Times New Roman" w:hAnsi="Times New Roman"/>
          <w:sz w:val="14"/>
          <w:szCs w:val="14"/>
          <w:color w:val="auto"/>
        </w:rPr>
      </w:pPr>
    </w:p>
    <w:p>
      <w:pPr>
        <w:ind w:left="1700" w:right="155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any debt securities issued with them will be separately transferable;</w:t>
      </w:r>
    </w:p>
    <w:p>
      <w:pPr>
        <w:spacing w:after="0" w:line="50" w:lineRule="exact"/>
        <w:rPr>
          <w:rFonts w:ascii="Times New Roman" w:cs="Times New Roman" w:eastAsia="Times New Roman" w:hAnsi="Times New Roman"/>
          <w:sz w:val="14"/>
          <w:szCs w:val="14"/>
          <w:color w:val="auto"/>
        </w:rPr>
      </w:pPr>
    </w:p>
    <w:p>
      <w:pPr>
        <w:ind w:left="1700" w:right="159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that may be purchased upon exercise of a warrant and the price at which the debt securities may be purchased upon exercise;</w:t>
      </w:r>
    </w:p>
    <w:p>
      <w:pPr>
        <w:spacing w:after="0" w:line="50"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3" w:lineRule="exact"/>
        <w:rPr>
          <w:rFonts w:ascii="Times New Roman" w:cs="Times New Roman" w:eastAsia="Times New Roman" w:hAnsi="Times New Roman"/>
          <w:sz w:val="14"/>
          <w:szCs w:val="14"/>
          <w:color w:val="auto"/>
        </w:rPr>
      </w:pPr>
    </w:p>
    <w:p>
      <w:pPr>
        <w:ind w:left="1700" w:right="153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50" w:lineRule="exact"/>
        <w:rPr>
          <w:rFonts w:ascii="Times New Roman" w:cs="Times New Roman" w:eastAsia="Times New Roman" w:hAnsi="Times New Roman"/>
          <w:sz w:val="14"/>
          <w:szCs w:val="14"/>
          <w:color w:val="auto"/>
        </w:rPr>
      </w:pPr>
    </w:p>
    <w:p>
      <w:pPr>
        <w:ind w:left="1700" w:right="157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represented by the warrant certificates or debt securities that may be issued upon exercise of the warrants will be issued in registered or bearer form;</w:t>
      </w:r>
    </w:p>
    <w:p>
      <w:pPr>
        <w:spacing w:after="0" w:line="50"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relating to book-entry procedures, if any;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warrants, if any;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warrants;</w:t>
      </w:r>
    </w:p>
    <w:p>
      <w:pPr>
        <w:spacing w:after="0" w:line="103" w:lineRule="exact"/>
        <w:rPr>
          <w:rFonts w:ascii="Times New Roman" w:cs="Times New Roman" w:eastAsia="Times New Roman" w:hAnsi="Times New Roman"/>
          <w:sz w:val="14"/>
          <w:szCs w:val="14"/>
          <w:color w:val="auto"/>
        </w:rPr>
      </w:pPr>
    </w:p>
    <w:p>
      <w:pPr>
        <w:ind w:left="1700" w:right="165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and exercise of the warrants; and</w:t>
      </w:r>
    </w:p>
    <w:p>
      <w:pPr>
        <w:spacing w:after="0" w:line="50"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we think is important about the warrants.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Stock Warrants</w:t>
      </w:r>
    </w:p>
    <w:p>
      <w:pPr>
        <w:spacing w:after="0" w:line="127" w:lineRule="exact"/>
        <w:rPr>
          <w:sz w:val="20"/>
          <w:szCs w:val="20"/>
          <w:color w:val="auto"/>
        </w:rPr>
      </w:pPr>
    </w:p>
    <w:p>
      <w:pPr>
        <w:ind w:left="1280" w:right="1439" w:firstLine="282"/>
        <w:spacing w:after="0" w:line="269"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to issue common stock, preferred stock or depositary shares will describe the terms of the common stock warrants and preferred stock warrants, including the following:</w:t>
      </w:r>
    </w:p>
    <w:p>
      <w:pPr>
        <w:spacing w:after="0" w:line="52" w:lineRule="exact"/>
        <w:rPr>
          <w:sz w:val="20"/>
          <w:szCs w:val="20"/>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warrants, if any;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the warrants;</w:t>
      </w:r>
    </w:p>
    <w:p>
      <w:pPr>
        <w:spacing w:after="0" w:line="93" w:lineRule="exact"/>
        <w:rPr>
          <w:rFonts w:ascii="Times New Roman" w:cs="Times New Roman" w:eastAsia="Times New Roman" w:hAnsi="Times New Roman"/>
          <w:sz w:val="14"/>
          <w:szCs w:val="14"/>
          <w:color w:val="auto"/>
        </w:rPr>
      </w:pPr>
    </w:p>
    <w:p>
      <w:pPr>
        <w:ind w:left="1700" w:right="159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common stock, preferred stock or depositary shares that may be purchased upon exercise of the warrants;</w:t>
      </w:r>
    </w:p>
    <w:p>
      <w:pPr>
        <w:spacing w:after="0" w:line="39" w:lineRule="exact"/>
        <w:rPr>
          <w:rFonts w:ascii="Times New Roman" w:cs="Times New Roman" w:eastAsia="Times New Roman" w:hAnsi="Times New Roman"/>
          <w:sz w:val="14"/>
          <w:szCs w:val="14"/>
          <w:color w:val="auto"/>
        </w:rPr>
      </w:pPr>
    </w:p>
    <w:p>
      <w:pPr>
        <w:ind w:left="1700" w:right="157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that the warrants are issued with and the number of warrants issued with each security;</w:t>
      </w:r>
    </w:p>
    <w:p>
      <w:pPr>
        <w:spacing w:after="0" w:line="39" w:lineRule="exact"/>
        <w:rPr>
          <w:rFonts w:ascii="Times New Roman" w:cs="Times New Roman" w:eastAsia="Times New Roman" w:hAnsi="Times New Roman"/>
          <w:sz w:val="14"/>
          <w:szCs w:val="14"/>
          <w:color w:val="auto"/>
        </w:rPr>
      </w:pPr>
    </w:p>
    <w:p>
      <w:pPr>
        <w:ind w:left="1700" w:right="141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any securities issued with the warrants will be separately transferable;</w:t>
      </w:r>
    </w:p>
    <w:p>
      <w:pPr>
        <w:spacing w:after="0" w:line="39" w:lineRule="exact"/>
        <w:rPr>
          <w:rFonts w:ascii="Times New Roman" w:cs="Times New Roman" w:eastAsia="Times New Roman" w:hAnsi="Times New Roman"/>
          <w:sz w:val="14"/>
          <w:szCs w:val="14"/>
          <w:color w:val="auto"/>
        </w:rPr>
      </w:pPr>
    </w:p>
    <w:p>
      <w:pPr>
        <w:ind w:left="1700" w:right="133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or preferred stock or depositary shares that may be purchased upon exercise of a warrant and the price at which the shares may be purchased upon exercise;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commence and expire;</w:t>
      </w:r>
    </w:p>
    <w:p>
      <w:pPr>
        <w:spacing w:after="0" w:line="93" w:lineRule="exact"/>
        <w:rPr>
          <w:rFonts w:ascii="Times New Roman" w:cs="Times New Roman" w:eastAsia="Times New Roman" w:hAnsi="Times New Roman"/>
          <w:sz w:val="14"/>
          <w:szCs w:val="14"/>
          <w:color w:val="auto"/>
        </w:rPr>
      </w:pPr>
    </w:p>
    <w:p>
      <w:pPr>
        <w:ind w:left="1700" w:right="153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warrants, if any;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warrants;</w:t>
      </w:r>
    </w:p>
    <w:p>
      <w:pPr>
        <w:spacing w:after="0" w:line="93" w:lineRule="exact"/>
        <w:rPr>
          <w:rFonts w:ascii="Times New Roman" w:cs="Times New Roman" w:eastAsia="Times New Roman" w:hAnsi="Times New Roman"/>
          <w:sz w:val="14"/>
          <w:szCs w:val="14"/>
          <w:color w:val="auto"/>
        </w:rPr>
      </w:pPr>
    </w:p>
    <w:p>
      <w:pPr>
        <w:ind w:left="1700" w:right="165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and exercise of the warrants; and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we think is important about the warrants.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27" w:lineRule="exact"/>
        <w:rPr>
          <w:sz w:val="20"/>
          <w:szCs w:val="20"/>
          <w:color w:val="auto"/>
        </w:rPr>
      </w:pPr>
    </w:p>
    <w:p>
      <w:pPr>
        <w:ind w:left="1280" w:right="1299" w:firstLine="282"/>
        <w:spacing w:after="0" w:line="259" w:lineRule="auto"/>
        <w:rPr>
          <w:sz w:val="20"/>
          <w:szCs w:val="20"/>
          <w:color w:val="auto"/>
        </w:rPr>
      </w:pPr>
      <w:r>
        <w:rPr>
          <w:rFonts w:ascii="Times New Roman" w:cs="Times New Roman" w:eastAsia="Times New Roman" w:hAnsi="Times New Roman"/>
          <w:sz w:val="14"/>
          <w:szCs w:val="14"/>
          <w:color w:val="auto"/>
        </w:rPr>
        <w:t>Each warrant will entitle the holder of the warrant to purchase at the exercise price set forth in the applicable prospectus supplement the number of shares of common stock, preferred stock or depositary shares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80" w:lineRule="exact"/>
        <w:rPr>
          <w:sz w:val="20"/>
          <w:szCs w:val="20"/>
          <w:color w:val="auto"/>
        </w:rPr>
      </w:pPr>
    </w:p>
    <w:p>
      <w:pPr>
        <w:ind w:left="1280" w:right="1359" w:firstLine="282"/>
        <w:spacing w:after="0" w:line="269" w:lineRule="auto"/>
        <w:rPr>
          <w:sz w:val="20"/>
          <w:szCs w:val="20"/>
          <w:color w:val="auto"/>
        </w:rPr>
      </w:pPr>
      <w:r>
        <w:rPr>
          <w:rFonts w:ascii="Times New Roman" w:cs="Times New Roman" w:eastAsia="Times New Roman" w:hAnsi="Times New Roman"/>
          <w:sz w:val="14"/>
          <w:szCs w:val="14"/>
          <w:color w:val="auto"/>
        </w:rPr>
        <w:t>Until a holder exercises the warrants to purchase our common stock, preferred stock, depositary shares or debt securities, the holder will not have any rights as a holder of our common stock, preferred stock, depositary shares or debt securities, as the case may be, by virtue of ownership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27" w:lineRule="exact"/>
        <w:rPr>
          <w:sz w:val="20"/>
          <w:szCs w:val="20"/>
          <w:color w:val="auto"/>
        </w:rPr>
      </w:pPr>
    </w:p>
    <w:p>
      <w:pPr>
        <w:ind w:left="1280" w:right="1459" w:firstLine="282"/>
        <w:spacing w:after="0" w:line="261" w:lineRule="auto"/>
        <w:rPr>
          <w:sz w:val="20"/>
          <w:szCs w:val="20"/>
          <w:color w:val="auto"/>
        </w:rPr>
      </w:pPr>
      <w:r>
        <w:rPr>
          <w:rFonts w:ascii="Times New Roman" w:cs="Times New Roman" w:eastAsia="Times New Roman" w:hAnsi="Times New Roman"/>
          <w:sz w:val="14"/>
          <w:szCs w:val="14"/>
          <w:color w:val="auto"/>
        </w:rPr>
        <w:t>We may issue to our stockholders subscription rights to purchase our common stock, preferred stock, depositary shares or debt securities. The following description sets forth certain general terms and provisions of the subscription rights that we may offer pursuant to this prospectus. The particular terms of the subscription rights and the extent, if any, to which the general terms and provisions may apply to the subscription rights so offered will be described in the applicable prospectus supplement.</w:t>
      </w:r>
    </w:p>
    <w:p>
      <w:pPr>
        <w:spacing w:after="0" w:line="88" w:lineRule="exact"/>
        <w:rPr>
          <w:sz w:val="20"/>
          <w:szCs w:val="20"/>
          <w:color w:val="auto"/>
        </w:rPr>
      </w:pPr>
    </w:p>
    <w:p>
      <w:pPr>
        <w:ind w:left="1280" w:right="1359" w:firstLine="282"/>
        <w:spacing w:after="0" w:line="257" w:lineRule="auto"/>
        <w:rPr>
          <w:sz w:val="20"/>
          <w:szCs w:val="20"/>
          <w:color w:val="auto"/>
        </w:rPr>
      </w:pPr>
      <w:r>
        <w:rPr>
          <w:rFonts w:ascii="Times New Roman" w:cs="Times New Roman" w:eastAsia="Times New Roman" w:hAnsi="Times New Roman"/>
          <w:sz w:val="14"/>
          <w:szCs w:val="14"/>
          <w:color w:val="auto"/>
        </w:rPr>
        <w:t>Subscription rights may be issued independently or together with any other security offered by this prospectus and may or may not be transferable by the stockholder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or offer these securities to other parties who are not our stockholders. A copy of the form of subscription rights certificate will be filed with the SEC each time we issue subscription rights, and you should read that document for provisions that may be important to you. For more information on how you can obtain a copy of any subscription rights certificate, see “Where You Can Find More Information.”</w:t>
      </w:r>
    </w:p>
    <w:p>
      <w:pPr>
        <w:spacing w:after="0" w:line="252" w:lineRule="exact"/>
        <w:rPr>
          <w:sz w:val="20"/>
          <w:szCs w:val="20"/>
          <w:color w:val="auto"/>
        </w:rPr>
      </w:pPr>
    </w:p>
    <w:p>
      <w:pPr>
        <w:ind w:left="1280" w:right="1399" w:firstLine="282"/>
        <w:spacing w:after="0" w:line="286" w:lineRule="auto"/>
        <w:rPr>
          <w:sz w:val="20"/>
          <w:szCs w:val="20"/>
          <w:color w:val="auto"/>
        </w:rPr>
      </w:pPr>
      <w:r>
        <w:rPr>
          <w:rFonts w:ascii="Times New Roman" w:cs="Times New Roman" w:eastAsia="Times New Roman" w:hAnsi="Times New Roman"/>
          <w:sz w:val="14"/>
          <w:szCs w:val="14"/>
          <w:color w:val="auto"/>
        </w:rPr>
        <w:t>The applicable prospectus supplement relating to any subscription rights will describe the terms of the offered subscription rights, including, where applicable, the following:</w:t>
      </w:r>
    </w:p>
    <w:p>
      <w:pPr>
        <w:spacing w:after="0" w:line="40" w:lineRule="exact"/>
        <w:rPr>
          <w:sz w:val="20"/>
          <w:szCs w:val="20"/>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for the subscription rights;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issued to each stockholder;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93" w:lineRule="exact"/>
        <w:rPr>
          <w:rFonts w:ascii="Times New Roman" w:cs="Times New Roman" w:eastAsia="Times New Roman" w:hAnsi="Times New Roman"/>
          <w:sz w:val="14"/>
          <w:szCs w:val="14"/>
          <w:color w:val="auto"/>
        </w:rPr>
      </w:pPr>
    </w:p>
    <w:p>
      <w:pPr>
        <w:ind w:left="1700" w:right="135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terms, procedures and limitations relating to the exchange and exercise of the subscription rights;</w:t>
      </w:r>
    </w:p>
    <w:p>
      <w:pPr>
        <w:spacing w:after="0" w:line="39" w:lineRule="exact"/>
        <w:rPr>
          <w:rFonts w:ascii="Times New Roman" w:cs="Times New Roman" w:eastAsia="Times New Roman" w:hAnsi="Times New Roman"/>
          <w:sz w:val="14"/>
          <w:szCs w:val="14"/>
          <w:color w:val="auto"/>
        </w:rPr>
      </w:pPr>
    </w:p>
    <w:p>
      <w:pPr>
        <w:ind w:left="1700" w:right="141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will commence and the date on which the right will expire;</w:t>
      </w:r>
    </w:p>
    <w:p>
      <w:pPr>
        <w:spacing w:after="0" w:line="39" w:lineRule="exact"/>
        <w:rPr>
          <w:rFonts w:ascii="Times New Roman" w:cs="Times New Roman" w:eastAsia="Times New Roman" w:hAnsi="Times New Roman"/>
          <w:sz w:val="14"/>
          <w:szCs w:val="14"/>
          <w:color w:val="auto"/>
        </w:rPr>
      </w:pPr>
    </w:p>
    <w:p>
      <w:pPr>
        <w:ind w:left="1700" w:right="161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include an over-subscription privilege with respect to unsubscribed securities; and</w:t>
      </w:r>
    </w:p>
    <w:p>
      <w:pPr>
        <w:spacing w:after="0" w:line="39" w:lineRule="exact"/>
        <w:rPr>
          <w:rFonts w:ascii="Times New Roman" w:cs="Times New Roman" w:eastAsia="Times New Roman" w:hAnsi="Times New Roman"/>
          <w:sz w:val="14"/>
          <w:szCs w:val="14"/>
          <w:color w:val="auto"/>
        </w:rPr>
      </w:pPr>
    </w:p>
    <w:p>
      <w:pPr>
        <w:ind w:left="1700" w:right="129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terms of any standby underwriting arrangement entered into by us in connection with the subscription rights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7" w:lineRule="exact"/>
        <w:rPr>
          <w:sz w:val="20"/>
          <w:szCs w:val="20"/>
          <w:color w:val="auto"/>
        </w:rPr>
      </w:pPr>
    </w:p>
    <w:p>
      <w:pPr>
        <w:ind w:left="1280" w:right="1399" w:firstLine="282"/>
        <w:spacing w:after="0" w:line="253" w:lineRule="auto"/>
        <w:rPr>
          <w:sz w:val="20"/>
          <w:szCs w:val="20"/>
          <w:color w:val="auto"/>
        </w:rPr>
      </w:pPr>
      <w:r>
        <w:rPr>
          <w:rFonts w:ascii="Times New Roman" w:cs="Times New Roman" w:eastAsia="Times New Roman" w:hAnsi="Times New Roman"/>
          <w:sz w:val="14"/>
          <w:szCs w:val="14"/>
          <w:color w:val="auto"/>
        </w:rPr>
        <w:t>The following description sets forth certain general terms and provisions of the debt securities that we may issue, which may be issued as convertible or exchangeable debt securities. We will set forth the particular terms of the debt securities we offer in a prospectus supplement and the extent, if any, to which the following general terms and provisions will apply to particular debt securities.</w:t>
      </w:r>
    </w:p>
    <w:p>
      <w:pPr>
        <w:spacing w:after="0" w:line="84" w:lineRule="exact"/>
        <w:rPr>
          <w:sz w:val="20"/>
          <w:szCs w:val="20"/>
          <w:color w:val="auto"/>
        </w:rPr>
      </w:pPr>
    </w:p>
    <w:p>
      <w:pPr>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The debt securities will be issued under an indenture to be entered into between us and Wilmington Trust, National Association, as trustee. The indenture, and any supplemental indentures thereto, will be subject to, and governed by, the Trust Indenture Act of 1939, as amended. The following description of general terms and provisions relating to the debt securities and the indenture under which the debt securities may be issued is a summary only and therefore is not complete and is subject to, and qualified in its entirety by reference to, the terms and provisions of the indenture. The form of the indenture has been filed with the SEC as an exhibit to the registration statement, of which this prospectus forms a part, and you should read the indenture for provisions that may be important to you. For more information on how you can obtain a copy of the form of the indenture, see “Where You Can Find More Information.”</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jc w:val="both"/>
        <w:ind w:left="1280" w:right="1339" w:firstLine="282"/>
        <w:spacing w:after="0" w:line="253" w:lineRule="auto"/>
        <w:rPr>
          <w:sz w:val="20"/>
          <w:szCs w:val="20"/>
          <w:color w:val="auto"/>
        </w:rPr>
      </w:pPr>
      <w:r>
        <w:rPr>
          <w:rFonts w:ascii="Times New Roman" w:cs="Times New Roman" w:eastAsia="Times New Roman" w:hAnsi="Times New Roman"/>
          <w:sz w:val="14"/>
          <w:szCs w:val="14"/>
          <w:color w:val="auto"/>
        </w:rPr>
        <w:t>Unless otherwise specified in a prospectus supplement, the debt securities will be our direct, unsecured obligations and will rank equally with all of our existing and future senior unsecured indebtedness senior in right of payment to all of our subordinated indebtedness.</w:t>
      </w:r>
    </w:p>
    <w:p>
      <w:pPr>
        <w:spacing w:after="0" w:line="84"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debt securities that may be issued under it and provides that debt securities may be issued under it from time to time in one or more series. We may specify a maximum aggregate principal amount for the debt securities of any series.</w:t>
      </w:r>
    </w:p>
    <w:p>
      <w:pPr>
        <w:spacing w:after="0" w:line="78" w:lineRule="exact"/>
        <w:rPr>
          <w:sz w:val="20"/>
          <w:szCs w:val="20"/>
          <w:color w:val="auto"/>
        </w:rPr>
      </w:pPr>
    </w:p>
    <w:p>
      <w:pPr>
        <w:jc w:val="both"/>
        <w:ind w:left="1280" w:right="1399" w:firstLine="282"/>
        <w:spacing w:after="0" w:line="253"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indenture does not afford the holders of the debt securities the right to require us to repurchase or redeem the debt securities in the event of a highly-leveraged transaction.</w:t>
      </w:r>
    </w:p>
    <w:p>
      <w:pPr>
        <w:spacing w:after="0" w:line="84" w:lineRule="exact"/>
        <w:rPr>
          <w:sz w:val="20"/>
          <w:szCs w:val="20"/>
          <w:color w:val="auto"/>
        </w:rPr>
      </w:pPr>
    </w:p>
    <w:p>
      <w:pPr>
        <w:ind w:left="1280" w:right="1399" w:firstLine="282"/>
        <w:spacing w:after="0" w:line="246" w:lineRule="auto"/>
        <w:rPr>
          <w:sz w:val="20"/>
          <w:szCs w:val="20"/>
          <w:color w:val="auto"/>
        </w:rPr>
      </w:pPr>
      <w:r>
        <w:rPr>
          <w:rFonts w:ascii="Times New Roman" w:cs="Times New Roman" w:eastAsia="Times New Roman" w:hAnsi="Times New Roman"/>
          <w:sz w:val="14"/>
          <w:szCs w:val="14"/>
          <w:color w:val="auto"/>
        </w:rPr>
        <w:t xml:space="preserve">We are not obligated to issue all debt securities of one series at the same time and, unless otherwise provided in the applicable prospectus supplement,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such additional debt securities are not fungible with the outstanding debt securities of such series for U.S. federal income tax purposes, the additional debt securities will have a separate CUSIP number.</w:t>
      </w:r>
    </w:p>
    <w:p>
      <w:pPr>
        <w:spacing w:after="0" w:line="93" w:lineRule="exact"/>
        <w:rPr>
          <w:sz w:val="20"/>
          <w:szCs w:val="20"/>
          <w:color w:val="auto"/>
        </w:rPr>
      </w:pPr>
    </w:p>
    <w:p>
      <w:pPr>
        <w:ind w:left="1280" w:right="1339" w:firstLine="282"/>
        <w:spacing w:after="0" w:line="286" w:lineRule="auto"/>
        <w:rPr>
          <w:sz w:val="20"/>
          <w:szCs w:val="20"/>
          <w:color w:val="auto"/>
        </w:rPr>
      </w:pPr>
      <w:r>
        <w:rPr>
          <w:rFonts w:ascii="Times New Roman" w:cs="Times New Roman" w:eastAsia="Times New Roman" w:hAnsi="Times New Roman"/>
          <w:sz w:val="14"/>
          <w:szCs w:val="14"/>
          <w:color w:val="auto"/>
        </w:rPr>
        <w:t>We will set forth in a prospectus supplement relating to any debt securities being offered, the aggregate principal amount and the following terms of the debt securities, if applicable:</w:t>
      </w:r>
    </w:p>
    <w:p>
      <w:pPr>
        <w:spacing w:after="0" w:line="40" w:lineRule="exact"/>
        <w:rPr>
          <w:sz w:val="20"/>
          <w:szCs w:val="20"/>
          <w:color w:val="auto"/>
        </w:rPr>
      </w:pPr>
    </w:p>
    <w:p>
      <w:pPr>
        <w:ind w:left="1700" w:hanging="133"/>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debt securities;</w:t>
      </w:r>
    </w:p>
    <w:p>
      <w:pPr>
        <w:spacing w:after="0" w:line="93"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the debt securities will be issued;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series of debt securities;</w:t>
      </w:r>
    </w:p>
    <w:p>
      <w:pPr>
        <w:spacing w:after="0" w:line="93" w:lineRule="exact"/>
        <w:rPr>
          <w:rFonts w:ascii="Times New Roman" w:cs="Times New Roman" w:eastAsia="Times New Roman" w:hAnsi="Times New Roman"/>
          <w:sz w:val="14"/>
          <w:szCs w:val="14"/>
          <w:color w:val="auto"/>
        </w:rPr>
      </w:pPr>
    </w:p>
    <w:p>
      <w:pPr>
        <w:ind w:left="1700" w:right="141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debt securities or subordinated debt securities, and if they are subordinated debt securities, the terms of the subordination;</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on the series of debt securities is payable;</w:t>
      </w:r>
    </w:p>
    <w:p>
      <w:pPr>
        <w:spacing w:after="0" w:line="93" w:lineRule="exact"/>
        <w:rPr>
          <w:rFonts w:ascii="Times New Roman" w:cs="Times New Roman" w:eastAsia="Times New Roman" w:hAnsi="Times New Roman"/>
          <w:sz w:val="14"/>
          <w:szCs w:val="14"/>
          <w:color w:val="auto"/>
        </w:rPr>
      </w:pPr>
    </w:p>
    <w:p>
      <w:pPr>
        <w:ind w:left="1700" w:right="1419" w:hanging="133"/>
        <w:spacing w:after="0" w:line="261"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such rate or rates (including any commodity, commodity index, stock exchange index or financial index) at which the series of debt securities will bear interest, if any, the date or dates from which such interest, if any, will accrue, the date or dates on which such interest, if any, will commence and be payable and any regular record date for the interest payable on any interest payment date;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periods and the duration of that extension;</w:t>
      </w:r>
    </w:p>
    <w:p>
      <w:pPr>
        <w:spacing w:after="0" w:line="93"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premium and interest, if any, on, the debt securities will be payable;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upon which the debt securities may be redeemed;</w:t>
      </w:r>
    </w:p>
    <w:p>
      <w:pPr>
        <w:spacing w:after="0" w:line="93" w:lineRule="exact"/>
        <w:rPr>
          <w:rFonts w:ascii="Times New Roman" w:cs="Times New Roman" w:eastAsia="Times New Roman" w:hAnsi="Times New Roman"/>
          <w:sz w:val="14"/>
          <w:szCs w:val="14"/>
          <w:color w:val="auto"/>
        </w:rPr>
      </w:pPr>
    </w:p>
    <w:p>
      <w:pPr>
        <w:ind w:left="1700" w:right="145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may have to redeem or purchase the debt securities pursuant to any sinking fund or analogous provisions or at the option of a holder of the debt securities;</w:t>
      </w:r>
    </w:p>
    <w:p>
      <w:pPr>
        <w:spacing w:after="0" w:line="39" w:lineRule="exact"/>
        <w:rPr>
          <w:rFonts w:ascii="Times New Roman" w:cs="Times New Roman" w:eastAsia="Times New Roman" w:hAnsi="Times New Roman"/>
          <w:sz w:val="14"/>
          <w:szCs w:val="14"/>
          <w:color w:val="auto"/>
        </w:rPr>
      </w:pPr>
    </w:p>
    <w:p>
      <w:pPr>
        <w:ind w:left="1700" w:right="1679" w:hanging="133"/>
        <w:spacing w:after="0" w:line="269"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the debt securities at the option of the holders of the debt securities and other detailed terms and provisions of such repurchase obligations;</w:t>
      </w:r>
    </w:p>
    <w:p>
      <w:pPr>
        <w:spacing w:after="0" w:line="51" w:lineRule="exact"/>
        <w:rPr>
          <w:rFonts w:ascii="Times New Roman" w:cs="Times New Roman" w:eastAsia="Times New Roman" w:hAnsi="Times New Roman"/>
          <w:sz w:val="14"/>
          <w:szCs w:val="14"/>
          <w:color w:val="auto"/>
        </w:rPr>
      </w:pPr>
    </w:p>
    <w:p>
      <w:pPr>
        <w:ind w:left="1700" w:right="139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minimum denominations of $2,000 and integral multiples of $1,000 in excess thereof;</w:t>
      </w:r>
    </w:p>
    <w:p>
      <w:pPr>
        <w:spacing w:after="0" w:line="29" w:lineRule="exact"/>
        <w:rPr>
          <w:rFonts w:ascii="Times New Roman" w:cs="Times New Roman" w:eastAsia="Times New Roman" w:hAnsi="Times New Roman"/>
          <w:sz w:val="14"/>
          <w:szCs w:val="14"/>
          <w:color w:val="auto"/>
        </w:rPr>
      </w:pPr>
    </w:p>
    <w:p>
      <w:pPr>
        <w:ind w:left="1700" w:right="155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39"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39" w:lineRule="exact"/>
        <w:rPr>
          <w:rFonts w:ascii="Times New Roman" w:cs="Times New Roman" w:eastAsia="Times New Roman" w:hAnsi="Times New Roman"/>
          <w:sz w:val="14"/>
          <w:szCs w:val="14"/>
          <w:color w:val="auto"/>
        </w:rPr>
      </w:pPr>
    </w:p>
    <w:p>
      <w:pPr>
        <w:ind w:left="1700" w:right="173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if any, on the debt securities will be made if other than U.S. dollars;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93" w:lineRule="exact"/>
        <w:rPr>
          <w:rFonts w:ascii="Times New Roman" w:cs="Times New Roman" w:eastAsia="Times New Roman" w:hAnsi="Times New Roman"/>
          <w:sz w:val="14"/>
          <w:szCs w:val="14"/>
          <w:color w:val="auto"/>
        </w:rPr>
      </w:pPr>
    </w:p>
    <w:p>
      <w:pPr>
        <w:ind w:left="1700" w:right="1339" w:hanging="133"/>
        <w:spacing w:after="0" w:line="269"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described in this prospectus or in the indenture and any change in the acceleration provisions described in this prospectus or in the indenture with respect to the debt securities;</w:t>
      </w:r>
    </w:p>
    <w:p>
      <w:pPr>
        <w:spacing w:after="0" w:line="51" w:lineRule="exact"/>
        <w:rPr>
          <w:rFonts w:ascii="Times New Roman" w:cs="Times New Roman" w:eastAsia="Times New Roman" w:hAnsi="Times New Roman"/>
          <w:sz w:val="14"/>
          <w:szCs w:val="14"/>
          <w:color w:val="auto"/>
        </w:rPr>
      </w:pPr>
    </w:p>
    <w:p>
      <w:pPr>
        <w:ind w:left="1700" w:right="169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this prospectus or in the indenture with respect to the debt securities;</w:t>
      </w:r>
    </w:p>
    <w:p>
      <w:pPr>
        <w:spacing w:after="0" w:line="39"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such debt securities);</w:t>
      </w:r>
    </w:p>
    <w:p>
      <w:pPr>
        <w:spacing w:after="0" w:line="39" w:lineRule="exact"/>
        <w:rPr>
          <w:rFonts w:ascii="Times New Roman" w:cs="Times New Roman" w:eastAsia="Times New Roman" w:hAnsi="Times New Roman"/>
          <w:sz w:val="14"/>
          <w:szCs w:val="14"/>
          <w:color w:val="auto"/>
        </w:rPr>
      </w:pPr>
    </w:p>
    <w:p>
      <w:pPr>
        <w:ind w:left="1700" w:right="155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series of debt securities, if other than appointed in the indenture; and</w:t>
      </w:r>
    </w:p>
    <w:p>
      <w:pPr>
        <w:spacing w:after="0" w:line="2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conversion of the debt securities.</w:t>
      </w:r>
    </w:p>
    <w:p>
      <w:pPr>
        <w:spacing w:after="0" w:line="125" w:lineRule="exact"/>
        <w:rPr>
          <w:sz w:val="20"/>
          <w:szCs w:val="20"/>
          <w:color w:val="auto"/>
        </w:rPr>
      </w:pPr>
    </w:p>
    <w:p>
      <w:pPr>
        <w:ind w:left="1280" w:right="1399" w:firstLine="282"/>
        <w:spacing w:after="0" w:line="270" w:lineRule="auto"/>
        <w:rPr>
          <w:sz w:val="20"/>
          <w:szCs w:val="20"/>
          <w:color w:val="auto"/>
        </w:rPr>
      </w:pPr>
      <w:r>
        <w:rPr>
          <w:rFonts w:ascii="Times New Roman" w:cs="Times New Roman" w:eastAsia="Times New Roman" w:hAnsi="Times New Roman"/>
          <w:sz w:val="14"/>
          <w:szCs w:val="14"/>
          <w:color w:val="auto"/>
        </w:rPr>
        <w:t>The foregoing is not intended to be an exclusive list of the terms that may be applicable to any offered debt securities.</w:t>
      </w:r>
    </w:p>
    <w:p>
      <w:pPr>
        <w:spacing w:after="0" w:line="72" w:lineRule="exact"/>
        <w:rPr>
          <w:sz w:val="20"/>
          <w:szCs w:val="20"/>
          <w:color w:val="auto"/>
        </w:rPr>
      </w:pPr>
    </w:p>
    <w:p>
      <w:pPr>
        <w:ind w:left="1280" w:right="1299" w:firstLine="282"/>
        <w:spacing w:after="0" w:line="259" w:lineRule="auto"/>
        <w:rPr>
          <w:sz w:val="20"/>
          <w:szCs w:val="20"/>
          <w:color w:val="auto"/>
        </w:rPr>
      </w:pPr>
      <w:r>
        <w:rPr>
          <w:rFonts w:ascii="Times New Roman" w:cs="Times New Roman" w:eastAsia="Times New Roman" w:hAnsi="Times New Roman"/>
          <w:sz w:val="14"/>
          <w:szCs w:val="14"/>
          <w:color w:val="auto"/>
        </w:rPr>
        <w:t>In addition, the indenture does not limit our ability to issue convertible, exchangeable or subordinated debt securities. Any conversion, exchange or subordination provisions of debt securities will be described in the relevant prospectus supplement. Such terms may include provisions for conversion or exchange, either mandatory, at the option of the holder or at our option, in which case the number of shares of common stock or other securities to be received by the holders of debt securities would be calculated as of a time and in the manner stated in the prospectus supplement.</w:t>
      </w:r>
    </w:p>
    <w:p>
      <w:pPr>
        <w:spacing w:after="0" w:line="91" w:lineRule="exact"/>
        <w:rPr>
          <w:sz w:val="20"/>
          <w:szCs w:val="20"/>
          <w:color w:val="auto"/>
        </w:rPr>
      </w:pPr>
    </w:p>
    <w:p>
      <w:pPr>
        <w:ind w:left="1280" w:right="1499" w:firstLine="282"/>
        <w:spacing w:after="0" w:line="263"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w:t>
      </w:r>
    </w:p>
    <w:p>
      <w:pPr>
        <w:spacing w:after="0" w:line="89" w:lineRule="exact"/>
        <w:rPr>
          <w:sz w:val="20"/>
          <w:szCs w:val="20"/>
          <w:color w:val="auto"/>
        </w:rPr>
      </w:pPr>
    </w:p>
    <w:p>
      <w:pPr>
        <w:ind w:left="1280" w:right="1379" w:firstLine="282"/>
        <w:spacing w:after="0" w:line="259"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Exchange and Transfer</w:t>
      </w:r>
    </w:p>
    <w:p>
      <w:pPr>
        <w:spacing w:after="0" w:line="127" w:lineRule="exact"/>
        <w:rPr>
          <w:sz w:val="20"/>
          <w:szCs w:val="20"/>
          <w:color w:val="auto"/>
        </w:rPr>
      </w:pPr>
    </w:p>
    <w:p>
      <w:pPr>
        <w:ind w:left="1280" w:right="1379" w:firstLine="282"/>
        <w:spacing w:after="0" w:line="270" w:lineRule="auto"/>
        <w:rPr>
          <w:sz w:val="20"/>
          <w:szCs w:val="20"/>
          <w:color w:val="auto"/>
        </w:rPr>
      </w:pPr>
      <w:r>
        <w:rPr>
          <w:rFonts w:ascii="Times New Roman" w:cs="Times New Roman" w:eastAsia="Times New Roman" w:hAnsi="Times New Roman"/>
          <w:sz w:val="14"/>
          <w:szCs w:val="14"/>
          <w:color w:val="auto"/>
        </w:rPr>
        <w:t>Debt securities may be transferred or exchanged at the office of the registrar or co-registrar designated by us.</w:t>
      </w:r>
    </w:p>
    <w:p>
      <w:pPr>
        <w:spacing w:after="0" w:line="72" w:lineRule="exact"/>
        <w:rPr>
          <w:sz w:val="20"/>
          <w:szCs w:val="20"/>
          <w:color w:val="auto"/>
        </w:rPr>
      </w:pPr>
    </w:p>
    <w:p>
      <w:pPr>
        <w:ind w:left="1280" w:right="1519" w:firstLine="282"/>
        <w:spacing w:after="0" w:line="286" w:lineRule="auto"/>
        <w:rPr>
          <w:sz w:val="20"/>
          <w:szCs w:val="20"/>
          <w:color w:val="auto"/>
        </w:rPr>
      </w:pPr>
      <w:r>
        <w:rPr>
          <w:rFonts w:ascii="Times New Roman" w:cs="Times New Roman" w:eastAsia="Times New Roman" w:hAnsi="Times New Roman"/>
          <w:sz w:val="14"/>
          <w:szCs w:val="14"/>
          <w:color w:val="auto"/>
        </w:rPr>
        <w:t>We will not impose a service charge for any transfer or exchange, but we may require holders to pay any tax or other governmental charges associated with any transfer or exchange.</w:t>
      </w:r>
    </w:p>
    <w:p>
      <w:pPr>
        <w:spacing w:after="0" w:line="6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 the event of any redemption of debt securities of any series, we will not be required to:</w:t>
      </w:r>
    </w:p>
    <w:p>
      <w:pPr>
        <w:spacing w:after="0" w:line="83" w:lineRule="exact"/>
        <w:rPr>
          <w:sz w:val="20"/>
          <w:szCs w:val="20"/>
          <w:color w:val="auto"/>
        </w:rPr>
      </w:pPr>
    </w:p>
    <w:p>
      <w:pPr>
        <w:jc w:val="both"/>
        <w:ind w:left="1700" w:right="1359" w:hanging="133"/>
        <w:spacing w:after="0" w:line="269"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security of that series during a period beginning at the opening of 15 business days before the day of sending of a notice of redemption and ending at the close of business on the day such notice is sent; or</w:t>
      </w:r>
    </w:p>
    <w:p>
      <w:pPr>
        <w:spacing w:after="0" w:line="51" w:lineRule="exact"/>
        <w:rPr>
          <w:rFonts w:ascii="Times New Roman" w:cs="Times New Roman" w:eastAsia="Times New Roman" w:hAnsi="Times New Roman"/>
          <w:sz w:val="14"/>
          <w:szCs w:val="14"/>
          <w:color w:val="auto"/>
        </w:rPr>
      </w:pPr>
    </w:p>
    <w:p>
      <w:pPr>
        <w:jc w:val="both"/>
        <w:ind w:left="1700" w:right="1439" w:hanging="133"/>
        <w:spacing w:after="0" w:line="279"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security of that series selected, called or being called for redemption, in whole or in part, except the unredeemed portion of any series being redeemed in part.</w:t>
      </w:r>
    </w:p>
    <w:p>
      <w:pPr>
        <w:spacing w:after="0" w:line="240" w:lineRule="exact"/>
        <w:rPr>
          <w:sz w:val="20"/>
          <w:szCs w:val="20"/>
          <w:color w:val="auto"/>
        </w:rPr>
      </w:pPr>
    </w:p>
    <w:p>
      <w:pPr>
        <w:ind w:left="1280" w:right="1299" w:firstLine="282"/>
        <w:spacing w:after="0" w:line="253" w:lineRule="auto"/>
        <w:rPr>
          <w:sz w:val="20"/>
          <w:szCs w:val="20"/>
          <w:color w:val="auto"/>
        </w:rPr>
      </w:pPr>
      <w:r>
        <w:rPr>
          <w:rFonts w:ascii="Times New Roman" w:cs="Times New Roman" w:eastAsia="Times New Roman" w:hAnsi="Times New Roman"/>
          <w:sz w:val="14"/>
          <w:szCs w:val="14"/>
          <w:color w:val="auto"/>
        </w:rPr>
        <w:t>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16" w:lineRule="exact"/>
        <w:rPr>
          <w:sz w:val="20"/>
          <w:szCs w:val="20"/>
          <w:color w:val="auto"/>
        </w:rPr>
      </w:pPr>
    </w:p>
    <w:p>
      <w:pPr>
        <w:ind w:left="1280" w:right="1799" w:firstLine="282"/>
        <w:spacing w:after="0" w:line="286" w:lineRule="auto"/>
        <w:rPr>
          <w:sz w:val="20"/>
          <w:szCs w:val="20"/>
          <w:color w:val="auto"/>
        </w:rPr>
      </w:pPr>
      <w:r>
        <w:rPr>
          <w:rFonts w:ascii="Times New Roman" w:cs="Times New Roman" w:eastAsia="Times New Roman" w:hAnsi="Times New Roman"/>
          <w:sz w:val="14"/>
          <w:szCs w:val="14"/>
          <w:color w:val="auto"/>
        </w:rPr>
        <w:t>The debt securities of any series may be represented, in whole or in part, by one or more global securities. Each global security will:</w:t>
      </w:r>
    </w:p>
    <w:p>
      <w:pPr>
        <w:spacing w:after="0" w:line="29" w:lineRule="exact"/>
        <w:rPr>
          <w:sz w:val="20"/>
          <w:szCs w:val="20"/>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registered in the name of a depositary that we will identify in a prospectus supplement;</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deposited with the trustee as custodian for the depositary or its nominee; and</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bear any required legends.</w:t>
      </w:r>
    </w:p>
    <w:p>
      <w:pPr>
        <w:spacing w:after="0" w:line="125" w:lineRule="exact"/>
        <w:rPr>
          <w:sz w:val="20"/>
          <w:szCs w:val="20"/>
          <w:color w:val="auto"/>
        </w:rPr>
      </w:pPr>
    </w:p>
    <w:p>
      <w:pPr>
        <w:ind w:left="1280" w:right="1479" w:firstLine="282"/>
        <w:spacing w:after="0" w:line="270" w:lineRule="auto"/>
        <w:rPr>
          <w:sz w:val="20"/>
          <w:szCs w:val="20"/>
          <w:color w:val="auto"/>
        </w:rPr>
      </w:pPr>
      <w:r>
        <w:rPr>
          <w:rFonts w:ascii="Times New Roman" w:cs="Times New Roman" w:eastAsia="Times New Roman" w:hAnsi="Times New Roman"/>
          <w:sz w:val="14"/>
          <w:szCs w:val="14"/>
          <w:color w:val="auto"/>
        </w:rPr>
        <w:t>No global security may be exchanged in whole or in part for debt securities registered in the name of any person other than the depositary or any nominee unless:</w:t>
      </w:r>
    </w:p>
    <w:p>
      <w:pPr>
        <w:spacing w:after="0" w:line="40" w:lineRule="exact"/>
        <w:rPr>
          <w:sz w:val="20"/>
          <w:szCs w:val="20"/>
          <w:color w:val="auto"/>
        </w:rPr>
      </w:pPr>
    </w:p>
    <w:p>
      <w:pPr>
        <w:ind w:left="1700" w:right="1359" w:hanging="133"/>
        <w:spacing w:after="0" w:line="269"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w:t>
      </w:r>
    </w:p>
    <w:p>
      <w:pPr>
        <w:spacing w:after="0" w:line="41"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execute and deliver to the trustee an officer’s certificate to the effect that such global securities shall be so exchangeable; or</w:t>
      </w:r>
    </w:p>
    <w:p>
      <w:pPr>
        <w:spacing w:after="0" w:line="29"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with respect to the debt securities represented by such global securities shall have occurred and be continuing.</w:t>
      </w:r>
    </w:p>
    <w:p>
      <w:pPr>
        <w:spacing w:after="0" w:line="72" w:lineRule="exact"/>
        <w:rPr>
          <w:sz w:val="20"/>
          <w:szCs w:val="20"/>
          <w:color w:val="auto"/>
        </w:rPr>
      </w:pPr>
    </w:p>
    <w:p>
      <w:pPr>
        <w:ind w:left="1280" w:right="1379" w:firstLine="282"/>
        <w:spacing w:after="0" w:line="253" w:lineRule="auto"/>
        <w:rPr>
          <w:sz w:val="20"/>
          <w:szCs w:val="20"/>
          <w:color w:val="auto"/>
        </w:rPr>
      </w:pPr>
      <w:r>
        <w:rPr>
          <w:rFonts w:ascii="Times New Roman" w:cs="Times New Roman" w:eastAsia="Times New Roman" w:hAnsi="Times New Roman"/>
          <w:sz w:val="14"/>
          <w:szCs w:val="14"/>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52" w:lineRule="exact"/>
        <w:rPr>
          <w:sz w:val="20"/>
          <w:szCs w:val="20"/>
          <w:color w:val="auto"/>
        </w:rPr>
      </w:pPr>
    </w:p>
    <w:p>
      <w:pPr>
        <w:ind w:left="1700" w:hanging="133"/>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the debt securities registered in their names;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physical delivery of certificated debt securities;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to be holders of those debt securities under the indenture.</w:t>
      </w:r>
    </w:p>
    <w:p>
      <w:pPr>
        <w:spacing w:after="0" w:line="114" w:lineRule="exact"/>
        <w:rPr>
          <w:sz w:val="20"/>
          <w:szCs w:val="20"/>
          <w:color w:val="auto"/>
        </w:rPr>
      </w:pPr>
    </w:p>
    <w:p>
      <w:pPr>
        <w:ind w:left="1280" w:right="1379" w:firstLine="282"/>
        <w:spacing w:after="0" w:line="253" w:lineRule="auto"/>
        <w:rPr>
          <w:sz w:val="20"/>
          <w:szCs w:val="20"/>
          <w:color w:val="auto"/>
        </w:rPr>
      </w:pPr>
      <w:r>
        <w:rPr>
          <w:rFonts w:ascii="Times New Roman" w:cs="Times New Roman" w:eastAsia="Times New Roman" w:hAnsi="Times New Roman"/>
          <w:sz w:val="14"/>
          <w:szCs w:val="14"/>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Institutions that have accounts with the depositary or its nominee are referred to as “participants.”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participants and to persons that may</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79"/>
        <w:spacing w:after="0" w:line="261" w:lineRule="auto"/>
        <w:rPr>
          <w:sz w:val="20"/>
          <w:szCs w:val="20"/>
          <w:color w:val="auto"/>
        </w:rPr>
      </w:pPr>
      <w:r>
        <w:rPr>
          <w:rFonts w:ascii="Times New Roman" w:cs="Times New Roman" w:eastAsia="Times New Roman" w:hAnsi="Times New Roman"/>
          <w:sz w:val="14"/>
          <w:szCs w:val="14"/>
          <w:color w:val="auto"/>
        </w:rPr>
        <w:t>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w:t>
      </w:r>
    </w:p>
    <w:p>
      <w:pPr>
        <w:spacing w:after="0" w:line="88" w:lineRule="exact"/>
        <w:rPr>
          <w:sz w:val="20"/>
          <w:szCs w:val="20"/>
          <w:color w:val="auto"/>
        </w:rPr>
      </w:pPr>
    </w:p>
    <w:p>
      <w:pPr>
        <w:ind w:left="1280" w:right="1419" w:firstLine="282"/>
        <w:spacing w:after="0" w:line="258" w:lineRule="auto"/>
        <w:rPr>
          <w:sz w:val="20"/>
          <w:szCs w:val="20"/>
          <w:color w:val="auto"/>
        </w:rPr>
      </w:pPr>
      <w:r>
        <w:rPr>
          <w:rFonts w:ascii="Times New Roman" w:cs="Times New Roman" w:eastAsia="Times New Roman" w:hAnsi="Times New Roman"/>
          <w:sz w:val="14"/>
          <w:szCs w:val="14"/>
          <w:color w:val="auto"/>
        </w:rPr>
        <w:t>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 policies and procedures may change from time to time. Neither we nor the trustee will have any responsibility or liability for the depositary’s acts or omissions or any participant’s records with respect to beneficial interests in a global security.</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Payment and Paying Agent</w:t>
      </w:r>
    </w:p>
    <w:p>
      <w:pPr>
        <w:spacing w:after="0" w:line="127" w:lineRule="exact"/>
        <w:rPr>
          <w:sz w:val="20"/>
          <w:szCs w:val="20"/>
          <w:color w:val="auto"/>
        </w:rPr>
      </w:pPr>
    </w:p>
    <w:p>
      <w:pPr>
        <w:ind w:left="1280" w:right="1379" w:firstLine="282"/>
        <w:spacing w:after="0" w:line="260" w:lineRule="auto"/>
        <w:rPr>
          <w:sz w:val="20"/>
          <w:szCs w:val="20"/>
          <w:color w:val="auto"/>
        </w:rPr>
      </w:pPr>
      <w:r>
        <w:rPr>
          <w:rFonts w:ascii="Times New Roman" w:cs="Times New Roman" w:eastAsia="Times New Roman" w:hAnsi="Times New Roman"/>
          <w:sz w:val="14"/>
          <w:szCs w:val="14"/>
          <w:color w:val="auto"/>
        </w:rPr>
        <w:t>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w:t>
      </w:r>
    </w:p>
    <w:p>
      <w:pPr>
        <w:spacing w:after="0" w:line="251" w:lineRule="exact"/>
        <w:rPr>
          <w:sz w:val="20"/>
          <w:szCs w:val="20"/>
          <w:color w:val="auto"/>
        </w:rPr>
      </w:pPr>
    </w:p>
    <w:p>
      <w:pPr>
        <w:jc w:val="both"/>
        <w:ind w:left="1280" w:right="1319" w:firstLine="282"/>
        <w:spacing w:after="0" w:line="269" w:lineRule="auto"/>
        <w:rPr>
          <w:sz w:val="20"/>
          <w:szCs w:val="20"/>
          <w:color w:val="auto"/>
        </w:rPr>
      </w:pPr>
      <w:r>
        <w:rPr>
          <w:rFonts w:ascii="Times New Roman" w:cs="Times New Roman" w:eastAsia="Times New Roman" w:hAnsi="Times New Roman"/>
          <w:sz w:val="14"/>
          <w:szCs w:val="14"/>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84" w:lineRule="exact"/>
        <w:rPr>
          <w:sz w:val="20"/>
          <w:szCs w:val="20"/>
          <w:color w:val="auto"/>
        </w:rPr>
      </w:pPr>
    </w:p>
    <w:p>
      <w:pPr>
        <w:ind w:left="1280" w:right="1339" w:firstLine="282"/>
        <w:spacing w:after="0" w:line="269" w:lineRule="auto"/>
        <w:rPr>
          <w:sz w:val="20"/>
          <w:szCs w:val="20"/>
          <w:color w:val="auto"/>
        </w:rPr>
      </w:pPr>
      <w:r>
        <w:rPr>
          <w:rFonts w:ascii="Times New Roman" w:cs="Times New Roman" w:eastAsia="Times New Roman" w:hAnsi="Times New Roman"/>
          <w:sz w:val="14"/>
          <w:szCs w:val="14"/>
          <w:color w:val="auto"/>
        </w:rPr>
        <w:t>Subject to any applicable abandoned property law, all moneys paid by us to a paying agent for payment on any debt security that remain unclaimed at the end of two years after such payment was due will be repaid to us. Thereafter, the holder may look only to us for such payment.</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27" w:lineRule="exact"/>
        <w:rPr>
          <w:sz w:val="20"/>
          <w:szCs w:val="20"/>
          <w:color w:val="auto"/>
        </w:rPr>
      </w:pPr>
    </w:p>
    <w:p>
      <w:pPr>
        <w:ind w:left="1280" w:right="1379" w:firstLine="282"/>
        <w:spacing w:after="0" w:line="263" w:lineRule="auto"/>
        <w:rPr>
          <w:sz w:val="20"/>
          <w:szCs w:val="20"/>
          <w:color w:val="auto"/>
        </w:rPr>
      </w:pPr>
      <w:r>
        <w:rPr>
          <w:rFonts w:ascii="Times New Roman" w:cs="Times New Roman" w:eastAsia="Times New Roman" w:hAnsi="Times New Roman"/>
          <w:sz w:val="14"/>
          <w:szCs w:val="14"/>
          <w:color w:val="auto"/>
        </w:rPr>
        <w:t>Except as otherwise set forth in the applicable prospectus supplement, we may not merge or consolidate with or into any other person, in a transaction in which we are not the surviving corporation, or sell, convey, transfer, lease or otherwise dispose of all or substantially all of the properties and assets of us and our subsidiaries, taken as a whole, to any person, unless:</w:t>
      </w:r>
    </w:p>
    <w:p>
      <w:pPr>
        <w:spacing w:after="0" w:line="57" w:lineRule="exact"/>
        <w:rPr>
          <w:sz w:val="20"/>
          <w:szCs w:val="20"/>
          <w:color w:val="auto"/>
        </w:rPr>
      </w:pPr>
    </w:p>
    <w:p>
      <w:pPr>
        <w:ind w:left="1700" w:right="1339" w:hanging="133"/>
        <w:spacing w:after="0" w:line="286"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or transferee is a U.S. corporation, limited liability company, partnership, trust or other entity;</w:t>
      </w:r>
    </w:p>
    <w:p>
      <w:pPr>
        <w:spacing w:after="0" w:line="39" w:lineRule="exact"/>
        <w:rPr>
          <w:rFonts w:ascii="Times New Roman" w:cs="Times New Roman" w:eastAsia="Times New Roman" w:hAnsi="Times New Roman"/>
          <w:sz w:val="14"/>
          <w:szCs w:val="14"/>
          <w:color w:val="auto"/>
        </w:rPr>
      </w:pPr>
    </w:p>
    <w:p>
      <w:pPr>
        <w:ind w:left="1700" w:right="1559" w:hanging="133"/>
        <w:spacing w:after="0" w:line="286"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or transferee assumes our obligations on the debt securities and under the indenture pursuant to a supplemental indenture in form reasonably satisfactory to the trustee;</w:t>
      </w:r>
    </w:p>
    <w:p>
      <w:pPr>
        <w:spacing w:after="0" w:line="39" w:lineRule="exact"/>
        <w:rPr>
          <w:rFonts w:ascii="Times New Roman" w:cs="Times New Roman" w:eastAsia="Times New Roman" w:hAnsi="Times New Roman"/>
          <w:sz w:val="14"/>
          <w:szCs w:val="14"/>
          <w:color w:val="auto"/>
        </w:rPr>
      </w:pPr>
    </w:p>
    <w:p>
      <w:pPr>
        <w:jc w:val="both"/>
        <w:ind w:left="1700" w:right="1439" w:hanging="133"/>
        <w:spacing w:after="0" w:line="269"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and treating our obligations in connection with or as a result of such transaction as having been incurred as of the time of such transaction, no default or event of default under the indenture shall have occurred and be continuing; and</w:t>
      </w:r>
    </w:p>
    <w:p>
      <w:pPr>
        <w:spacing w:after="0" w:line="51" w:lineRule="exact"/>
        <w:rPr>
          <w:rFonts w:ascii="Times New Roman" w:cs="Times New Roman" w:eastAsia="Times New Roman" w:hAnsi="Times New Roman"/>
          <w:sz w:val="14"/>
          <w:szCs w:val="14"/>
          <w:color w:val="auto"/>
        </w:rPr>
      </w:pPr>
    </w:p>
    <w:p>
      <w:pPr>
        <w:ind w:left="1700" w:right="1579" w:hanging="133"/>
        <w:spacing w:after="0" w:line="286"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an opinion of counsel have been delivered to the trustee in connection with the foregoing.</w:t>
      </w:r>
    </w:p>
    <w:p>
      <w:pPr>
        <w:spacing w:after="0" w:line="61" w:lineRule="exact"/>
        <w:rPr>
          <w:sz w:val="20"/>
          <w:szCs w:val="20"/>
          <w:color w:val="auto"/>
        </w:rPr>
      </w:pPr>
    </w:p>
    <w:p>
      <w:pPr>
        <w:ind w:left="1280" w:right="1339" w:firstLine="282"/>
        <w:spacing w:after="0" w:line="258" w:lineRule="auto"/>
        <w:rPr>
          <w:sz w:val="20"/>
          <w:szCs w:val="20"/>
          <w:color w:val="auto"/>
        </w:rPr>
      </w:pPr>
      <w:r>
        <w:rPr>
          <w:rFonts w:ascii="Times New Roman" w:cs="Times New Roman" w:eastAsia="Times New Roman" w:hAnsi="Times New Roman"/>
          <w:sz w:val="14"/>
          <w:szCs w:val="14"/>
          <w:color w:val="auto"/>
        </w:rPr>
        <w:t>In the event of the above transaction, if there is a successor or transferee, then the successor or transferee will expressly assume all of our obligations under the indenture and automatically be substituted for us in the indenture and as issuer of the debt securities and may exercise every right and power of ours under the indenture with the same effect as if such successor or transferee had been named in our place in the indenture; provided, however, that the predecessor company will not be relieved of the obligation to pay principal and interest on the debt securities except in the case of a sale of all of the assets of us and our subsidiaries.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93" w:lineRule="exact"/>
        <w:rPr>
          <w:sz w:val="20"/>
          <w:szCs w:val="20"/>
          <w:color w:val="auto"/>
        </w:rPr>
      </w:pPr>
    </w:p>
    <w:p>
      <w:pPr>
        <w:ind w:left="1700" w:right="1539" w:hanging="133"/>
        <w:spacing w:after="0" w:line="286"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any debt security of that series when it becomes due and payable, and continuance of that default for a period of 30 days;</w:t>
      </w:r>
    </w:p>
    <w:p>
      <w:pPr>
        <w:spacing w:after="0" w:line="50" w:lineRule="exact"/>
        <w:rPr>
          <w:rFonts w:ascii="Times New Roman" w:cs="Times New Roman" w:eastAsia="Times New Roman" w:hAnsi="Times New Roman"/>
          <w:sz w:val="14"/>
          <w:szCs w:val="14"/>
          <w:color w:val="auto"/>
        </w:rPr>
      </w:pPr>
    </w:p>
    <w:p>
      <w:pPr>
        <w:ind w:left="1700" w:right="1399" w:hanging="133"/>
        <w:spacing w:after="0" w:line="286"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premium on, any debt security of that series when due and payable;</w:t>
      </w:r>
    </w:p>
    <w:p>
      <w:pPr>
        <w:spacing w:after="0" w:line="39"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our part to comply with the covenant described under “— Consolidation, Merger and Sale of Assets”;</w:t>
      </w:r>
    </w:p>
    <w:p>
      <w:pPr>
        <w:spacing w:after="0" w:line="39" w:lineRule="exact"/>
        <w:rPr>
          <w:rFonts w:ascii="Times New Roman" w:cs="Times New Roman" w:eastAsia="Times New Roman" w:hAnsi="Times New Roman"/>
          <w:sz w:val="14"/>
          <w:szCs w:val="14"/>
          <w:color w:val="auto"/>
        </w:rPr>
      </w:pPr>
    </w:p>
    <w:p>
      <w:pPr>
        <w:ind w:left="1700" w:right="1319" w:hanging="133"/>
        <w:spacing w:after="0" w:line="258"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or any supplemental indenture with respect to such series (other than a covenant or warranty that has been included in the indenture or supplemental indenture solely for the benefit of a series of debt securities other than that series), which default continues uncured for a period of 60 days after (1) we receive written notice from the trustee or (2) we and the trustee receive written notice from the holders of not less than 25% in aggregate principal amount of the outstanding debt securities of that series as provided in the indenture;</w:t>
      </w:r>
    </w:p>
    <w:p>
      <w:pPr>
        <w:spacing w:after="0" w:line="59" w:lineRule="exact"/>
        <w:rPr>
          <w:rFonts w:ascii="Times New Roman" w:cs="Times New Roman" w:eastAsia="Times New Roman" w:hAnsi="Times New Roman"/>
          <w:sz w:val="14"/>
          <w:szCs w:val="14"/>
          <w:color w:val="auto"/>
        </w:rPr>
      </w:pPr>
    </w:p>
    <w:p>
      <w:pPr>
        <w:ind w:left="1700" w:right="1839" w:hanging="133"/>
        <w:spacing w:after="0" w:line="286"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our company or our significant subsidiaries; and</w:t>
      </w:r>
    </w:p>
    <w:p>
      <w:pPr>
        <w:spacing w:after="0" w:line="50" w:lineRule="exact"/>
        <w:rPr>
          <w:rFonts w:ascii="Times New Roman" w:cs="Times New Roman" w:eastAsia="Times New Roman" w:hAnsi="Times New Roman"/>
          <w:sz w:val="14"/>
          <w:szCs w:val="14"/>
          <w:color w:val="auto"/>
        </w:rPr>
      </w:pPr>
    </w:p>
    <w:p>
      <w:pPr>
        <w:ind w:left="1700" w:right="1459" w:hanging="133"/>
        <w:spacing w:after="0" w:line="286"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61" w:lineRule="exact"/>
        <w:rPr>
          <w:sz w:val="20"/>
          <w:szCs w:val="20"/>
          <w:color w:val="auto"/>
        </w:rPr>
      </w:pPr>
    </w:p>
    <w:p>
      <w:pPr>
        <w:ind w:left="1280" w:right="1359" w:firstLine="282"/>
        <w:spacing w:after="0" w:line="262" w:lineRule="auto"/>
        <w:rPr>
          <w:sz w:val="20"/>
          <w:szCs w:val="20"/>
          <w:color w:val="auto"/>
        </w:rPr>
      </w:pPr>
      <w:r>
        <w:rPr>
          <w:rFonts w:ascii="Times New Roman" w:cs="Times New Roman" w:eastAsia="Times New Roman" w:hAnsi="Times New Roman"/>
          <w:sz w:val="14"/>
          <w:szCs w:val="14"/>
          <w:color w:val="auto"/>
        </w:rPr>
        <w:t>We will promptly deliver to the trustee written notice of any event which with the giving of notice and the lapse of time would become a covenant event of default, or any other event of default provided with respect to debt securities of that series that is described in the applicable prospectus supplement, along with a description of the status and what action we are taking or propose to take with respect to such event of default.</w:t>
      </w:r>
    </w:p>
    <w:p>
      <w:pPr>
        <w:spacing w:after="0" w:line="261" w:lineRule="exact"/>
        <w:rPr>
          <w:sz w:val="20"/>
          <w:szCs w:val="20"/>
          <w:color w:val="auto"/>
        </w:rPr>
      </w:pPr>
    </w:p>
    <w:p>
      <w:pPr>
        <w:ind w:left="1280" w:right="1439" w:firstLine="282"/>
        <w:spacing w:after="0" w:line="259"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91" w:lineRule="exact"/>
        <w:rPr>
          <w:sz w:val="20"/>
          <w:szCs w:val="20"/>
          <w:color w:val="auto"/>
        </w:rPr>
      </w:pPr>
    </w:p>
    <w:p>
      <w:pPr>
        <w:ind w:left="1280" w:right="1299" w:firstLine="282"/>
        <w:spacing w:after="0" w:line="254" w:lineRule="auto"/>
        <w:rPr>
          <w:sz w:val="20"/>
          <w:szCs w:val="20"/>
          <w:color w:val="auto"/>
        </w:rPr>
      </w:pPr>
      <w:r>
        <w:rPr>
          <w:rFonts w:ascii="Times New Roman" w:cs="Times New Roman" w:eastAsia="Times New Roman" w:hAnsi="Times New Roman"/>
          <w:sz w:val="14"/>
          <w:szCs w:val="14"/>
          <w:color w:val="auto"/>
        </w:rPr>
        <w:t>If an event of default (other than an event of default resulting from certain events of bankruptcy, insolvency or reorganization of our company)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of our company,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the holders of a majority in aggregate principal amount of the outstanding debt securities of that series may rescind and annul the acceleration if the rescission and annulment would not conflict with any judgment or decree already rendered and if all events of default with respect to that series, other than the non-payment of principal and interest, if any, with respect to debt securities of that series that has become due and payable solely because of the acceleration, have been cured or waived and all sums paid or advanced by the trustee and the reasonable compensation expenses and disbursements of the trustee and its agents and counsel have been paid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79" w:firstLine="282"/>
        <w:spacing w:after="0" w:line="247" w:lineRule="auto"/>
        <w:rPr>
          <w:sz w:val="20"/>
          <w:szCs w:val="20"/>
          <w:color w:val="auto"/>
        </w:rPr>
      </w:pPr>
      <w:r>
        <w:rPr>
          <w:rFonts w:ascii="Times New Roman" w:cs="Times New Roman" w:eastAsia="Times New Roman" w:hAnsi="Times New Roman"/>
          <w:sz w:val="14"/>
          <w:szCs w:val="14"/>
          <w:color w:val="auto"/>
        </w:rPr>
        <w:t>The indenture provides that the trustee will be under no obligation to exercise any of its rights or powers under the indenture at the request of any holder of outstanding debt securities,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256" w:lineRule="exact"/>
        <w:rPr>
          <w:sz w:val="20"/>
          <w:szCs w:val="20"/>
          <w:color w:val="auto"/>
        </w:rPr>
      </w:pPr>
    </w:p>
    <w:p>
      <w:pPr>
        <w:ind w:left="1280" w:right="1399" w:firstLine="282"/>
        <w:spacing w:after="0" w:line="261"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47" w:lineRule="exact"/>
        <w:rPr>
          <w:sz w:val="20"/>
          <w:szCs w:val="20"/>
          <w:color w:val="auto"/>
        </w:rPr>
      </w:pPr>
    </w:p>
    <w:p>
      <w:pPr>
        <w:ind w:left="1700" w:right="1539" w:hanging="133"/>
        <w:spacing w:after="0" w:line="286"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39" w:lineRule="exact"/>
        <w:rPr>
          <w:rFonts w:ascii="Times New Roman" w:cs="Times New Roman" w:eastAsia="Times New Roman" w:hAnsi="Times New Roman"/>
          <w:sz w:val="14"/>
          <w:szCs w:val="14"/>
          <w:color w:val="auto"/>
        </w:rPr>
      </w:pPr>
    </w:p>
    <w:p>
      <w:pPr>
        <w:ind w:left="1700" w:right="1419" w:hanging="133"/>
        <w:spacing w:after="0" w:line="261"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 and offered security or indemnity satisfactory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w:t>
      </w:r>
    </w:p>
    <w:p>
      <w:pPr>
        <w:spacing w:after="0" w:line="78" w:lineRule="exact"/>
        <w:rPr>
          <w:sz w:val="20"/>
          <w:szCs w:val="20"/>
          <w:color w:val="auto"/>
        </w:rPr>
      </w:pPr>
    </w:p>
    <w:p>
      <w:pPr>
        <w:jc w:val="both"/>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w:t>
      </w:r>
    </w:p>
    <w:p>
      <w:pPr>
        <w:spacing w:after="0" w:line="78" w:lineRule="exact"/>
        <w:rPr>
          <w:sz w:val="20"/>
          <w:szCs w:val="20"/>
          <w:color w:val="auto"/>
        </w:rPr>
      </w:pPr>
    </w:p>
    <w:p>
      <w:pPr>
        <w:ind w:left="1280" w:right="1419" w:firstLine="282"/>
        <w:spacing w:after="0" w:line="249"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16" w:lineRule="exact"/>
        <w:rPr>
          <w:sz w:val="20"/>
          <w:szCs w:val="20"/>
          <w:color w:val="auto"/>
        </w:rPr>
      </w:pPr>
    </w:p>
    <w:p>
      <w:pPr>
        <w:ind w:left="1280" w:right="1639" w:firstLine="282"/>
        <w:spacing w:after="0" w:line="286" w:lineRule="auto"/>
        <w:rPr>
          <w:sz w:val="20"/>
          <w:szCs w:val="20"/>
          <w:color w:val="auto"/>
        </w:rPr>
      </w:pPr>
      <w:r>
        <w:rPr>
          <w:rFonts w:ascii="Times New Roman" w:cs="Times New Roman" w:eastAsia="Times New Roman" w:hAnsi="Times New Roman"/>
          <w:sz w:val="14"/>
          <w:szCs w:val="14"/>
          <w:color w:val="auto"/>
        </w:rPr>
        <w:t>We may amend or modify the indenture without the consent of any holder of debt securities of the series affected by the modifications or amendments in order to:</w:t>
      </w:r>
    </w:p>
    <w:p>
      <w:pPr>
        <w:spacing w:after="0" w:line="29" w:lineRule="exact"/>
        <w:rPr>
          <w:sz w:val="20"/>
          <w:szCs w:val="20"/>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defect or inconsistency;</w:t>
      </w:r>
    </w:p>
    <w:p>
      <w:pPr>
        <w:spacing w:after="0" w:line="82" w:lineRule="exact"/>
        <w:rPr>
          <w:rFonts w:ascii="Times New Roman" w:cs="Times New Roman" w:eastAsia="Times New Roman" w:hAnsi="Times New Roman"/>
          <w:sz w:val="14"/>
          <w:szCs w:val="14"/>
          <w:color w:val="auto"/>
        </w:rPr>
      </w:pPr>
    </w:p>
    <w:p>
      <w:pPr>
        <w:jc w:val="both"/>
        <w:ind w:left="1700" w:right="1339" w:hanging="133"/>
        <w:spacing w:after="0" w:line="269"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text of the indenture, including any supplemental indenture, or the debt securities to any corresponding provision of this “Description of Debt Securities” or description of the debt securities found in the prospectus supplement as evidenced by an officer’s certificate;</w:t>
      </w:r>
    </w:p>
    <w:p>
      <w:pPr>
        <w:spacing w:after="0" w:line="51"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debt securities;</w:t>
      </w:r>
    </w:p>
    <w:p>
      <w:pPr>
        <w:spacing w:after="0" w:line="93" w:lineRule="exact"/>
        <w:rPr>
          <w:rFonts w:ascii="Times New Roman" w:cs="Times New Roman" w:eastAsia="Times New Roman" w:hAnsi="Times New Roman"/>
          <w:sz w:val="14"/>
          <w:szCs w:val="14"/>
          <w:color w:val="auto"/>
        </w:rPr>
      </w:pPr>
    </w:p>
    <w:p>
      <w:pPr>
        <w:ind w:left="1700" w:right="1399" w:hanging="133"/>
        <w:spacing w:after="0" w:line="269"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assumption of our obligations in the case of a merger or consolidation and our discharge upon such assumption provided that the provision under “Consolidation, Merger and Sale of Assets” of the indenture is complied with;</w:t>
      </w:r>
    </w:p>
    <w:p>
      <w:pPr>
        <w:spacing w:after="0" w:line="51"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or make any change that would provide any additional rights or benefits to the holders of the debt securities;</w:t>
      </w:r>
    </w:p>
    <w:p>
      <w:pPr>
        <w:spacing w:after="0" w:line="2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guarantees with respect to the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debt securities in addition to or in place of certificated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debt securities;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or appoint a successor or separate trustee;</w:t>
      </w:r>
    </w:p>
    <w:p>
      <w:pPr>
        <w:spacing w:after="0" w:line="93" w:lineRule="exact"/>
        <w:rPr>
          <w:rFonts w:ascii="Times New Roman" w:cs="Times New Roman" w:eastAsia="Times New Roman" w:hAnsi="Times New Roman"/>
          <w:sz w:val="14"/>
          <w:szCs w:val="14"/>
          <w:color w:val="auto"/>
        </w:rPr>
      </w:pPr>
    </w:p>
    <w:p>
      <w:pPr>
        <w:ind w:left="1700" w:right="1639" w:hanging="133"/>
        <w:spacing w:after="0" w:line="286"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the rights of any holder of debt securities in any material respect, as evidenced by an officer’s certificate; or</w:t>
      </w:r>
    </w:p>
    <w:p>
      <w:pPr>
        <w:spacing w:after="0" w:line="39" w:lineRule="exact"/>
        <w:rPr>
          <w:rFonts w:ascii="Times New Roman" w:cs="Times New Roman" w:eastAsia="Times New Roman" w:hAnsi="Times New Roman"/>
          <w:sz w:val="14"/>
          <w:szCs w:val="14"/>
          <w:color w:val="auto"/>
        </w:rPr>
      </w:pPr>
    </w:p>
    <w:p>
      <w:pPr>
        <w:ind w:left="1700" w:right="1759" w:hanging="133"/>
        <w:spacing w:after="0" w:line="286"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or maintain the qualification of the indenture under the Trust Indenture Act of 1939, as amended.</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19" w:firstLine="282"/>
        <w:spacing w:after="0" w:line="249" w:lineRule="auto"/>
        <w:rPr>
          <w:sz w:val="20"/>
          <w:szCs w:val="20"/>
          <w:color w:val="auto"/>
        </w:rPr>
      </w:pPr>
      <w:r>
        <w:rPr>
          <w:rFonts w:ascii="Times New Roman" w:cs="Times New Roman" w:eastAsia="Times New Roman" w:hAnsi="Times New Roman"/>
          <w:sz w:val="14"/>
          <w:szCs w:val="14"/>
          <w:color w:val="auto"/>
        </w:rPr>
        <w:t>Other amendments and modifications of the indenture or the debt securities issued may be made with the consent of the holders of at least a majority of the aggregate principal amount of the outstanding debt securities of the affected series, and our compliance with any provision of the indenture with respect to the debt securities may be waived by written notice to the trustee by the holders of a majority of the aggregate principal amount of the outstanding debt securities of the affected series. However, no modification or amendment may, without the consent of the holder of each outstanding debt security of the affected series:</w:t>
      </w:r>
    </w:p>
    <w:p>
      <w:pPr>
        <w:spacing w:after="0" w:line="57" w:lineRule="exact"/>
        <w:rPr>
          <w:sz w:val="20"/>
          <w:szCs w:val="20"/>
          <w:color w:val="auto"/>
        </w:rPr>
      </w:pPr>
    </w:p>
    <w:p>
      <w:pPr>
        <w:ind w:left="1700" w:right="1359" w:hanging="133"/>
        <w:spacing w:after="0" w:line="286"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any premium or change the stated maturity of any debt security or alter or waive any of the provisions with respect to the redemption or repurchase of the debt securities;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of payment or currency in which principal, any premium or interest is paid;</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the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payment default with respect to the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interest rate or extend the time for payment of interest on the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the amendment and modification provisions in the indenture; or</w:t>
      </w:r>
    </w:p>
    <w:p>
      <w:pPr>
        <w:spacing w:after="0" w:line="82" w:lineRule="exact"/>
        <w:rPr>
          <w:rFonts w:ascii="Times New Roman" w:cs="Times New Roman" w:eastAsia="Times New Roman" w:hAnsi="Times New Roman"/>
          <w:sz w:val="14"/>
          <w:szCs w:val="14"/>
          <w:color w:val="auto"/>
        </w:rPr>
      </w:pPr>
    </w:p>
    <w:p>
      <w:pPr>
        <w:ind w:left="1700" w:right="1439" w:hanging="133"/>
        <w:spacing w:after="0" w:line="269"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outstanding of debt securities, the consent of the holders of which is required for any of the foregoing modifications or otherwise necessary to modify, supplement or amend the indenture or to waive any past default.</w:t>
      </w:r>
    </w:p>
    <w:p>
      <w:pPr>
        <w:spacing w:after="0" w:line="84" w:lineRule="exact"/>
        <w:rPr>
          <w:sz w:val="20"/>
          <w:szCs w:val="20"/>
          <w:color w:val="auto"/>
        </w:rPr>
      </w:pPr>
    </w:p>
    <w:p>
      <w:pPr>
        <w:ind w:left="1280" w:right="1299" w:firstLine="282"/>
        <w:spacing w:after="0" w:line="245"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 affected series may, on behalf of the holders of all debt securities of such series, waive our compliance with provisions of the indenture. Prior to the acceleration of the maturity of the debt securities of any series pursuant to the terms of the indenture, the holders of a majority in aggregate principal amount of the outstanding debt securities of such series may, on behalf of the holders of all the debt securities of such series, waive any past default under the indenture with respect to such debt securities and its consequences, except (i) a default with respect to such series in the payment of the principal of, or premium or any interest on, the debt securities of such series or (ii) a default or event of default in respect of a covenant or provision that cannot be modified or amended without the consent of all of the holders of the outstanding debt securities of the affected series.</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125" w:lineRule="exact"/>
        <w:rPr>
          <w:sz w:val="20"/>
          <w:szCs w:val="20"/>
          <w:color w:val="auto"/>
        </w:rPr>
      </w:pPr>
    </w:p>
    <w:p>
      <w:pPr>
        <w:ind w:left="1280" w:right="1339" w:firstLine="282"/>
        <w:spacing w:after="0" w:line="246"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in certain circumstances, we may be discharged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and all obligations in respect of the debt securities of any series (except for certain obligations to register the transfer or exchange of debt securities, to replace stolen, lost or mutilated debt securities,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premium and interest in accordance with the terms of the indenture and the debt securities of that series.</w:t>
      </w:r>
    </w:p>
    <w:p>
      <w:pPr>
        <w:spacing w:after="0" w:line="254" w:lineRule="exact"/>
        <w:rPr>
          <w:sz w:val="20"/>
          <w:szCs w:val="20"/>
          <w:color w:val="auto"/>
        </w:rPr>
      </w:pPr>
    </w:p>
    <w:p>
      <w:pPr>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the applicable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86" w:lineRule="exact"/>
        <w:rPr>
          <w:sz w:val="20"/>
          <w:szCs w:val="20"/>
          <w:color w:val="auto"/>
        </w:rPr>
      </w:pPr>
    </w:p>
    <w:p>
      <w:pPr>
        <w:ind w:left="1280" w:right="1779" w:firstLine="282"/>
        <w:spacing w:after="0" w:line="254"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upon compliance with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conditions, we may be released from our obligation to comply with certain covenants set forth in the indenture and any supplemental indenture, and any failure to comply with those covenants will not constitute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619"/>
        <w:spacing w:after="0" w:line="263" w:lineRule="auto"/>
        <w:rPr>
          <w:sz w:val="20"/>
          <w:szCs w:val="20"/>
          <w:color w:val="auto"/>
        </w:rPr>
      </w:pPr>
      <w:r>
        <w:rPr>
          <w:rFonts w:ascii="Times New Roman" w:cs="Times New Roman" w:eastAsia="Times New Roman" w:hAnsi="Times New Roman"/>
          <w:sz w:val="14"/>
          <w:szCs w:val="14"/>
          <w:color w:val="auto"/>
        </w:rPr>
        <w:t>a default or an event of default with respect to the debt securities of the applicable series, or covenant defeasance. If we exercise our covenant defeasance option with respect to a series of debt securities, payment of such debt securities may not be accelerated because of an event of default related to certain events of bankruptcy, insolvency or reorganization of our significant subsidiaries.</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93" w:lineRule="exact"/>
        <w:rPr>
          <w:sz w:val="20"/>
          <w:szCs w:val="20"/>
          <w:color w:val="auto"/>
        </w:rPr>
      </w:pPr>
    </w:p>
    <w:p>
      <w:pPr>
        <w:ind w:left="1700" w:right="1439" w:hanging="133"/>
        <w:spacing w:after="0" w:line="259"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of, premium and interest in accordance with the terms of the indenture and the debt securities of the applicable series; and</w:t>
      </w:r>
    </w:p>
    <w:p>
      <w:pPr>
        <w:spacing w:after="0" w:line="58" w:lineRule="exact"/>
        <w:rPr>
          <w:rFonts w:ascii="Times New Roman" w:cs="Times New Roman" w:eastAsia="Times New Roman" w:hAnsi="Times New Roman"/>
          <w:sz w:val="14"/>
          <w:szCs w:val="14"/>
          <w:color w:val="auto"/>
        </w:rPr>
      </w:pPr>
    </w:p>
    <w:p>
      <w:pPr>
        <w:ind w:left="1700" w:right="1299" w:hanging="133"/>
        <w:spacing w:after="0" w:line="261"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beneficial owners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7" w:lineRule="exact"/>
        <w:rPr>
          <w:sz w:val="20"/>
          <w:szCs w:val="20"/>
          <w:color w:val="auto"/>
        </w:rPr>
      </w:pPr>
    </w:p>
    <w:p>
      <w:pPr>
        <w:ind w:left="1280" w:right="1739" w:firstLine="282"/>
        <w:spacing w:after="0" w:line="286"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27"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obligating us to sell to the holders, a specified number of common shares or other securities at a future date or dates. The price per security of the securities and the number of securities may be fixed at the time the purchase contracts are issued or may be determined by reference to a specific formula set forth in the purchase contracts. The purchase contracts also may require us to make periodic payments to the holders of the purchase contracts, or vice versa, and those payments may be unsecured or refunded on some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w:t>
      </w:r>
    </w:p>
    <w:p>
      <w:pPr>
        <w:spacing w:after="0" w:line="96" w:lineRule="exact"/>
        <w:rPr>
          <w:sz w:val="20"/>
          <w:szCs w:val="20"/>
          <w:color w:val="auto"/>
        </w:rPr>
      </w:pPr>
    </w:p>
    <w:p>
      <w:pPr>
        <w:ind w:left="1280" w:right="1539" w:firstLine="282"/>
        <w:spacing w:after="0" w:line="259" w:lineRule="auto"/>
        <w:rPr>
          <w:sz w:val="20"/>
          <w:szCs w:val="20"/>
          <w:color w:val="auto"/>
        </w:rPr>
      </w:pPr>
      <w:r>
        <w:rPr>
          <w:rFonts w:ascii="Times New Roman" w:cs="Times New Roman" w:eastAsia="Times New Roman" w:hAnsi="Times New Roman"/>
          <w:sz w:val="14"/>
          <w:szCs w:val="14"/>
          <w:color w:val="auto"/>
        </w:rPr>
        <w:t>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w:t>
      </w:r>
    </w:p>
    <w:p>
      <w:pPr>
        <w:spacing w:after="0" w:line="80" w:lineRule="exact"/>
        <w:rPr>
          <w:sz w:val="20"/>
          <w:szCs w:val="20"/>
          <w:color w:val="auto"/>
        </w:rPr>
      </w:pPr>
    </w:p>
    <w:p>
      <w:pPr>
        <w:ind w:left="1280" w:right="1399" w:firstLine="282"/>
        <w:spacing w:after="0" w:line="259" w:lineRule="auto"/>
        <w:rPr>
          <w:sz w:val="20"/>
          <w:szCs w:val="20"/>
          <w:color w:val="auto"/>
        </w:rPr>
      </w:pPr>
      <w:r>
        <w:rPr>
          <w:rFonts w:ascii="Times New Roman" w:cs="Times New Roman" w:eastAsia="Times New Roman" w:hAnsi="Times New Roman"/>
          <w:sz w:val="14"/>
          <w:szCs w:val="14"/>
          <w:color w:val="auto"/>
        </w:rPr>
        <w:t>The prospectus supplement relating to any particular issuance of purchase contracts will describe the terms of the purchase contracts. The description in the prospectus supplement will not necessarily be complete, and reference will be made to the purchase contracts, and, if applicable, collateral or depositary arrangements, relating to the purchase contracts, which will be filed with the SEC each time we issue purchase contracts. U.S. federal income tax considerations applicable to the purchase contracts will also be discussed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7" w:lineRule="exact"/>
        <w:rPr>
          <w:sz w:val="20"/>
          <w:szCs w:val="20"/>
          <w:color w:val="auto"/>
        </w:rPr>
      </w:pPr>
    </w:p>
    <w:p>
      <w:pPr>
        <w:ind w:left="1280" w:right="1359" w:firstLine="282"/>
        <w:spacing w:after="0" w:line="262" w:lineRule="auto"/>
        <w:rPr>
          <w:sz w:val="20"/>
          <w:szCs w:val="20"/>
          <w:color w:val="auto"/>
        </w:rPr>
      </w:pPr>
      <w:r>
        <w:rPr>
          <w:rFonts w:ascii="Times New Roman" w:cs="Times New Roman" w:eastAsia="Times New Roman" w:hAnsi="Times New Roman"/>
          <w:sz w:val="14"/>
          <w:szCs w:val="14"/>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261" w:lineRule="exact"/>
        <w:rPr>
          <w:sz w:val="20"/>
          <w:szCs w:val="20"/>
          <w:color w:val="auto"/>
        </w:rPr>
      </w:pPr>
    </w:p>
    <w:p>
      <w:pPr>
        <w:ind w:left="1280" w:right="1339" w:firstLine="282"/>
        <w:spacing w:after="0" w:line="257" w:lineRule="auto"/>
        <w:rPr>
          <w:sz w:val="20"/>
          <w:szCs w:val="20"/>
          <w:color w:val="auto"/>
        </w:rPr>
      </w:pPr>
      <w:r>
        <w:rPr>
          <w:rFonts w:ascii="Times New Roman" w:cs="Times New Roman" w:eastAsia="Times New Roman" w:hAnsi="Times New Roman"/>
          <w:sz w:val="14"/>
          <w:szCs w:val="14"/>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82" w:lineRule="exact"/>
        <w:rPr>
          <w:sz w:val="20"/>
          <w:szCs w:val="20"/>
          <w:color w:val="auto"/>
        </w:rPr>
      </w:pPr>
    </w:p>
    <w:p>
      <w:pPr>
        <w:ind w:left="1280" w:right="1759" w:firstLine="282"/>
        <w:spacing w:after="0" w:line="286" w:lineRule="auto"/>
        <w:rPr>
          <w:sz w:val="20"/>
          <w:szCs w:val="20"/>
          <w:color w:val="auto"/>
        </w:rPr>
      </w:pPr>
      <w:r>
        <w:rPr>
          <w:rFonts w:ascii="Times New Roman" w:cs="Times New Roman" w:eastAsia="Times New Roman" w:hAnsi="Times New Roman"/>
          <w:sz w:val="14"/>
          <w:szCs w:val="14"/>
          <w:color w:val="auto"/>
        </w:rPr>
        <w:t>The prospectus supplement relating to any particular issuance of units will describe the terms of those units, including, to the extent applicable, the following:</w:t>
      </w:r>
    </w:p>
    <w:p>
      <w:pPr>
        <w:spacing w:after="0" w:line="40" w:lineRule="exact"/>
        <w:rPr>
          <w:sz w:val="20"/>
          <w:szCs w:val="20"/>
          <w:color w:val="auto"/>
        </w:rPr>
      </w:pPr>
    </w:p>
    <w:p>
      <w:pPr>
        <w:ind w:left="1700" w:right="1379" w:hanging="133"/>
        <w:spacing w:after="0" w:line="286" w:lineRule="auto"/>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the securities comprising the units, including whether and under what circumstances those securities may be held or transferred separately;</w:t>
      </w:r>
    </w:p>
    <w:p>
      <w:pPr>
        <w:spacing w:after="0" w:line="39" w:lineRule="exact"/>
        <w:rPr>
          <w:rFonts w:ascii="Times New Roman" w:cs="Times New Roman" w:eastAsia="Times New Roman" w:hAnsi="Times New Roman"/>
          <w:sz w:val="14"/>
          <w:szCs w:val="14"/>
          <w:color w:val="auto"/>
        </w:rPr>
      </w:pPr>
    </w:p>
    <w:p>
      <w:pPr>
        <w:ind w:left="1700" w:right="1739" w:hanging="133"/>
        <w:spacing w:after="0" w:line="286" w:lineRule="auto"/>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for the issuance, payment, settlement, transfer or exchange of the units or of the securities comprising the units; and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27" w:lineRule="exact"/>
        <w:rPr>
          <w:sz w:val="20"/>
          <w:szCs w:val="20"/>
          <w:color w:val="auto"/>
        </w:rPr>
      </w:pPr>
    </w:p>
    <w:p>
      <w:pPr>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We may register shares of common stock covered by this prospectus for re-offers and resales by any selling stockholders to be named in a prospectus supplement. Because we are a well-known seasoned issuer, we may add secondary sales of shares of our common stock by any selling stockholders by filing a prospectus supplement with the SEC. We may register these shares to permit selling stockholders to resell their shares when they deem appropriate. A selling stockholder may resell all, a portion or none of such stockholder’s shares at any time and from time to time. Selling stockholders may also sell, transfer or otherwise dispose of some or all of their shares of our common stock in transactions exempt from the registration requirements of the Securities Act. We do not know when or in what amounts the selling stockholders may offer shares for sale under this prospectus and any prospectus supplement. We will not receive any proceeds from any sale of shares by a selling stockholder under this prospectus and any prospectus supplement. We may pay all expenses incurred with respect to the registration of the shares of common stock owned by the selling stockholders, other than underwriting fees, discounts or commissions which will be borne by the selling stockholders. We will provide you with a prospectus supplement naming the selling stockholders, the amount of shares to be registered and sold and any other terms of the shares of common stock being sold by each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7" w:lineRule="exact"/>
        <w:rPr>
          <w:sz w:val="20"/>
          <w:szCs w:val="20"/>
          <w:color w:val="auto"/>
        </w:rPr>
      </w:pPr>
    </w:p>
    <w:p>
      <w:pPr>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We may sell the offered securities, and any selling stockholder may sell shares of our common stock, in and outside the United States, in any one or more of the following ways from time to time:</w:t>
      </w:r>
    </w:p>
    <w:p>
      <w:pPr>
        <w:spacing w:after="0" w:line="40" w:lineRule="exact"/>
        <w:rPr>
          <w:sz w:val="20"/>
          <w:szCs w:val="20"/>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rights offering;</w:t>
      </w:r>
    </w:p>
    <w:p>
      <w:pPr>
        <w:spacing w:after="0" w:line="93" w:lineRule="exact"/>
        <w:rPr>
          <w:rFonts w:ascii="Times New Roman" w:cs="Times New Roman" w:eastAsia="Times New Roman" w:hAnsi="Times New Roman"/>
          <w:sz w:val="14"/>
          <w:szCs w:val="14"/>
          <w:color w:val="auto"/>
        </w:rPr>
      </w:pPr>
    </w:p>
    <w:p>
      <w:pPr>
        <w:ind w:left="1700" w:right="1779" w:hanging="133"/>
        <w:spacing w:after="0" w:line="286"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 of Rule 415(a)(4) of the Securities Act, to or through a market maker or into an existing trading market on an exchange or otherwise;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2"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dealers will attempt to sell as agent, but may position and resell a portion of the block as principal to facilitate the transaction;</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dealer as principal and resales by the dealer for its account;</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 or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applicable prospectus supplement will include the following information:</w:t>
      </w:r>
    </w:p>
    <w:p>
      <w:pPr>
        <w:spacing w:after="0" w:line="83" w:lineRule="exact"/>
        <w:rPr>
          <w:sz w:val="20"/>
          <w:szCs w:val="20"/>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or initial public offering price of the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27" w:lineRule="exact"/>
        <w:rPr>
          <w:sz w:val="20"/>
          <w:szCs w:val="20"/>
          <w:color w:val="auto"/>
        </w:rPr>
      </w:pPr>
    </w:p>
    <w:p>
      <w:pPr>
        <w:ind w:left="1280" w:right="1299" w:firstLine="282"/>
        <w:spacing w:after="0" w:line="245" w:lineRule="auto"/>
        <w:rPr>
          <w:sz w:val="20"/>
          <w:szCs w:val="20"/>
          <w:color w:val="auto"/>
        </w:rPr>
      </w:pPr>
      <w:r>
        <w:rPr>
          <w:rFonts w:ascii="Times New Roman" w:cs="Times New Roman" w:eastAsia="Times New Roman" w:hAnsi="Times New Roman"/>
          <w:sz w:val="14"/>
          <w:szCs w:val="14"/>
          <w:color w:val="auto"/>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88" w:lineRule="exact"/>
        <w:rPr>
          <w:sz w:val="20"/>
          <w:szCs w:val="20"/>
          <w:color w:val="auto"/>
        </w:rPr>
      </w:pPr>
    </w:p>
    <w:p>
      <w:pPr>
        <w:ind w:left="1280" w:right="1299" w:firstLine="282"/>
        <w:spacing w:after="0" w:line="253" w:lineRule="auto"/>
        <w:rPr>
          <w:sz w:val="20"/>
          <w:szCs w:val="20"/>
          <w:color w:val="auto"/>
        </w:rPr>
      </w:pPr>
      <w:r>
        <w:rPr>
          <w:rFonts w:ascii="Times New Roman" w:cs="Times New Roman" w:eastAsia="Times New Roman" w:hAnsi="Times New Roman"/>
          <w:sz w:val="14"/>
          <w:szCs w:val="14"/>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agreement, we may retain a dealer-manager to manage a subscription rights offering for us.</w:t>
      </w:r>
    </w:p>
    <w:p>
      <w:pPr>
        <w:spacing w:after="0" w:line="83" w:lineRule="exact"/>
        <w:rPr>
          <w:sz w:val="20"/>
          <w:szCs w:val="20"/>
          <w:color w:val="auto"/>
        </w:rPr>
      </w:pPr>
    </w:p>
    <w:p>
      <w:pPr>
        <w:ind w:left="1280" w:right="1339" w:firstLine="282"/>
        <w:spacing w:after="0" w:line="253" w:lineRule="auto"/>
        <w:rPr>
          <w:sz w:val="20"/>
          <w:szCs w:val="20"/>
          <w:color w:val="auto"/>
        </w:rPr>
      </w:pPr>
      <w:r>
        <w:rPr>
          <w:rFonts w:ascii="Times New Roman" w:cs="Times New Roman" w:eastAsia="Times New Roman" w:hAnsi="Times New Roman"/>
          <w:sz w:val="14"/>
          <w:szCs w:val="14"/>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59"/>
        <w:spacing w:after="0" w:line="261" w:lineRule="auto"/>
        <w:rPr>
          <w:sz w:val="20"/>
          <w:szCs w:val="20"/>
          <w:color w:val="auto"/>
        </w:rPr>
      </w:pPr>
      <w:r>
        <w:rPr>
          <w:rFonts w:ascii="Times New Roman" w:cs="Times New Roman" w:eastAsia="Times New Roman" w:hAnsi="Times New Roman"/>
          <w:sz w:val="14"/>
          <w:szCs w:val="14"/>
          <w:color w:val="auto"/>
        </w:rPr>
        <w:t>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88"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88" w:lineRule="exact"/>
        <w:rPr>
          <w:sz w:val="20"/>
          <w:szCs w:val="20"/>
          <w:color w:val="auto"/>
        </w:rPr>
      </w:pPr>
    </w:p>
    <w:p>
      <w:pPr>
        <w:ind w:left="1280" w:right="1319" w:firstLine="282"/>
        <w:spacing w:after="0" w:line="269" w:lineRule="auto"/>
        <w:rPr>
          <w:sz w:val="20"/>
          <w:szCs w:val="20"/>
          <w:color w:val="auto"/>
        </w:rPr>
      </w:pPr>
      <w:r>
        <w:rPr>
          <w:rFonts w:ascii="Times New Roman" w:cs="Times New Roman" w:eastAsia="Times New Roman" w:hAnsi="Times New Roman"/>
          <w:sz w:val="14"/>
          <w:szCs w:val="14"/>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the names of the dealers and the terms of the transaction.</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16" w:lineRule="exact"/>
        <w:rPr>
          <w:sz w:val="20"/>
          <w:szCs w:val="20"/>
          <w:color w:val="auto"/>
        </w:rPr>
      </w:pPr>
    </w:p>
    <w:p>
      <w:pPr>
        <w:ind w:left="1280" w:right="1379" w:firstLine="282"/>
        <w:spacing w:after="0" w:line="259" w:lineRule="auto"/>
        <w:rPr>
          <w:sz w:val="20"/>
          <w:szCs w:val="20"/>
          <w:color w:val="auto"/>
        </w:rPr>
      </w:pPr>
      <w:r>
        <w:rPr>
          <w:rFonts w:ascii="Times New Roman" w:cs="Times New Roman" w:eastAsia="Times New Roman" w:hAnsi="Times New Roman"/>
          <w:sz w:val="14"/>
          <w:szCs w:val="14"/>
          <w:color w:val="auto"/>
        </w:rPr>
        <w:t>We and any Selling Stockholder may sell the securities directly. In this case, no underwriters or agents would be involved. We may also sell the securities through agents designated from time to time at fixed prices or at varying prices determined at the time of sale.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91" w:lineRule="exact"/>
        <w:rPr>
          <w:sz w:val="20"/>
          <w:szCs w:val="20"/>
          <w:color w:val="auto"/>
        </w:rPr>
      </w:pPr>
    </w:p>
    <w:p>
      <w:pPr>
        <w:ind w:left="1280" w:right="1479" w:firstLine="282"/>
        <w:spacing w:after="0" w:line="269"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Remarketing Arrangements</w:t>
      </w:r>
    </w:p>
    <w:p>
      <w:pPr>
        <w:spacing w:after="0" w:line="127"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16" w:lineRule="exact"/>
        <w:rPr>
          <w:sz w:val="20"/>
          <w:szCs w:val="20"/>
          <w:color w:val="auto"/>
        </w:rPr>
      </w:pPr>
    </w:p>
    <w:p>
      <w:pPr>
        <w:ind w:left="1280" w:right="1519" w:firstLine="282"/>
        <w:spacing w:after="0" w:line="260" w:lineRule="auto"/>
        <w:rPr>
          <w:sz w:val="20"/>
          <w:szCs w:val="20"/>
          <w:color w:val="auto"/>
        </w:rPr>
      </w:pPr>
      <w:r>
        <w:rPr>
          <w:rFonts w:ascii="Times New Roman" w:cs="Times New Roman" w:eastAsia="Times New Roman" w:hAnsi="Times New Roman"/>
          <w:sz w:val="14"/>
          <w:szCs w:val="14"/>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27" w:lineRule="exact"/>
        <w:rPr>
          <w:sz w:val="20"/>
          <w:szCs w:val="20"/>
          <w:color w:val="auto"/>
        </w:rPr>
      </w:pPr>
    </w:p>
    <w:p>
      <w:pPr>
        <w:ind w:left="1280" w:right="1539" w:firstLine="282"/>
        <w:spacing w:after="0" w:line="261" w:lineRule="auto"/>
        <w:rPr>
          <w:sz w:val="20"/>
          <w:szCs w:val="20"/>
          <w:color w:val="auto"/>
        </w:rPr>
      </w:pPr>
      <w:r>
        <w:rPr>
          <w:rFonts w:ascii="Times New Roman" w:cs="Times New Roman" w:eastAsia="Times New Roman" w:hAnsi="Times New Roman"/>
          <w:sz w:val="14"/>
          <w:szCs w:val="14"/>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7" w:lineRule="exact"/>
        <w:rPr>
          <w:sz w:val="20"/>
          <w:szCs w:val="20"/>
          <w:color w:val="auto"/>
        </w:rPr>
      </w:pPr>
    </w:p>
    <w:p>
      <w:pPr>
        <w:ind w:left="1280" w:right="1299" w:firstLine="282"/>
        <w:spacing w:after="0" w:line="258" w:lineRule="auto"/>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us by Foley &amp; Lardner LLP. The validity of the securities offered by this prospectus will be passed upon for any underwriters or agents by counsel named in the applicable prospectus supplement. The opinions of Foley &amp; Lardner LLP and counsel for any underwriters or agents may be conditioned upon and may be subject to assumptions regarding future action required to be taken by us and any underwriters, dealers or agents in connection with the issuance of any securities. The opinions of Foley &amp; Lardner LLP and counsel for any underwriters or agents may be subject to other conditions and assumptions, as indicated in the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7" w:lineRule="exact"/>
        <w:rPr>
          <w:sz w:val="20"/>
          <w:szCs w:val="20"/>
          <w:color w:val="auto"/>
        </w:rPr>
      </w:pPr>
    </w:p>
    <w:p>
      <w:pPr>
        <w:ind w:left="1280" w:right="1379" w:firstLine="282"/>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CECO Environmental Corp. as of December 31, 2024 and 2023 and for each of the three years in the period ended December 31, 2024 and management’s assessment of the effectiveness of internal control over financial reporting as of December 31, 2024 incorporated by reference in this Prospectus and in the Registration Statement have been so incorporated in reliance on the reports of BDO USA, P.C.,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7" w:lineRule="exact"/>
        <w:rPr>
          <w:sz w:val="20"/>
          <w:szCs w:val="20"/>
          <w:color w:val="auto"/>
        </w:rPr>
      </w:pPr>
    </w:p>
    <w:p>
      <w:pPr>
        <w:ind w:left="1280" w:right="1359" w:firstLine="282"/>
        <w:spacing w:after="0" w:line="257" w:lineRule="auto"/>
        <w:rPr>
          <w:sz w:val="20"/>
          <w:szCs w:val="20"/>
          <w:color w:val="auto"/>
        </w:rPr>
      </w:pPr>
      <w:r>
        <w:rPr>
          <w:rFonts w:ascii="Times New Roman" w:cs="Times New Roman" w:eastAsia="Times New Roman" w:hAnsi="Times New Roman"/>
          <w:sz w:val="14"/>
          <w:szCs w:val="14"/>
          <w:color w:val="auto"/>
        </w:rPr>
        <w:t>The aggregate estimated expenses, other than underwriting discounts and commissions, in connection with the sale of the securities being registered hereby are currently anticipated to be as follows (all amounts are estimated). All expenses of the offering will be paid by CECO Environmental Corp. (“CECO” or the “Company”).</w:t>
      </w:r>
    </w:p>
    <w:tbl>
      <w:tblPr>
        <w:tblLayout w:type="fixed"/>
        <w:tblInd w:w="1560" w:type="dxa"/>
        <w:tblCellMar>
          <w:top w:w="0" w:type="dxa"/>
          <w:left w:w="0" w:type="dxa"/>
          <w:bottom w:w="0" w:type="dxa"/>
          <w:right w:w="0" w:type="dxa"/>
        </w:tblCellMar>
      </w:tblPr>
      <w:tr>
        <w:trPr>
          <w:trHeight w:val="141"/>
        </w:trPr>
        <w:tc>
          <w:tcPr>
            <w:tcW w:w="3660" w:type="dxa"/>
            <w:vAlign w:val="bottom"/>
            <w:gridSpan w:val="2"/>
          </w:tcPr>
          <w:p>
            <w:pPr>
              <w:spacing w:after="0"/>
              <w:rPr>
                <w:sz w:val="12"/>
                <w:szCs w:val="12"/>
                <w:color w:val="auto"/>
              </w:rPr>
            </w:pPr>
          </w:p>
        </w:tc>
        <w:tc>
          <w:tcPr>
            <w:tcW w:w="2220" w:type="dxa"/>
            <w:vAlign w:val="bottom"/>
            <w:gridSpan w:val="2"/>
          </w:tcPr>
          <w:p>
            <w:pPr>
              <w:spacing w:after="0"/>
              <w:rPr>
                <w:sz w:val="12"/>
                <w:szCs w:val="12"/>
                <w:color w:val="auto"/>
              </w:rPr>
            </w:pPr>
          </w:p>
        </w:tc>
        <w:tc>
          <w:tcPr>
            <w:tcW w:w="100" w:type="dxa"/>
            <w:vAlign w:val="bottom"/>
            <w:vMerge w:val="restart"/>
          </w:tcPr>
          <w:p>
            <w:pPr>
              <w:spacing w:after="0" w:line="289" w:lineRule="exact"/>
              <w:rPr>
                <w:sz w:val="20"/>
                <w:szCs w:val="20"/>
                <w:color w:val="auto"/>
              </w:rPr>
            </w:pPr>
            <w:r>
              <w:rPr>
                <w:rFonts w:ascii="Times New Roman" w:cs="Times New Roman" w:eastAsia="Times New Roman" w:hAnsi="Times New Roman"/>
                <w:sz w:val="28"/>
                <w:szCs w:val="28"/>
                <w:color w:val="auto"/>
                <w:w w:val="75"/>
                <w:vertAlign w:val="subscript"/>
              </w:rPr>
              <w:t>​</w:t>
            </w:r>
            <w:r>
              <w:rPr>
                <w:rFonts w:ascii="Times New Roman" w:cs="Times New Roman" w:eastAsia="Times New Roman" w:hAnsi="Times New Roman"/>
                <w:sz w:val="9"/>
                <w:szCs w:val="9"/>
                <w:color w:val="auto"/>
                <w:w w:val="75"/>
              </w:rPr>
              <w:t>(1)</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 registration fee</w:t>
            </w:r>
          </w:p>
        </w:tc>
        <w:tc>
          <w:tcPr>
            <w:tcW w:w="2220" w:type="dxa"/>
            <w:vAlign w:val="bottom"/>
            <w:gridSpan w:val="2"/>
            <w:shd w:val="clear" w:color="auto" w:fill="CCEEFF"/>
          </w:tcPr>
          <w:p>
            <w:pPr>
              <w:ind w:left="1720"/>
              <w:spacing w:after="0" w:line="149" w:lineRule="exact"/>
              <w:rPr>
                <w:sz w:val="20"/>
                <w:szCs w:val="20"/>
                <w:color w:val="auto"/>
              </w:rPr>
            </w:pPr>
            <w:r>
              <w:rPr>
                <w:rFonts w:ascii="Times New Roman" w:cs="Times New Roman" w:eastAsia="Times New Roman" w:hAnsi="Times New Roman"/>
                <w:sz w:val="14"/>
                <w:szCs w:val="14"/>
                <w:color w:val="auto"/>
              </w:rPr>
              <w:t xml:space="preserve">​ ​​$       </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660" w:type="dxa"/>
            <w:vAlign w:val="bottom"/>
            <w:gridSpan w:val="2"/>
            <w:vMerge w:val="restart"/>
          </w:tcPr>
          <w:p>
            <w:pPr>
              <w:spacing w:after="0" w:line="117" w:lineRule="exact"/>
              <w:rPr>
                <w:sz w:val="20"/>
                <w:szCs w:val="20"/>
                <w:color w:val="auto"/>
              </w:rPr>
            </w:pPr>
            <w:r>
              <w:rPr>
                <w:rFonts w:ascii="Times New Roman" w:cs="Times New Roman" w:eastAsia="Times New Roman" w:hAnsi="Times New Roman"/>
                <w:sz w:val="13"/>
                <w:szCs w:val="13"/>
                <w:color w:val="auto"/>
              </w:rPr>
              <w:t>Trustee’s fees and expenses</w:t>
            </w:r>
          </w:p>
        </w:tc>
        <w:tc>
          <w:tcPr>
            <w:tcW w:w="1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2"/>
        </w:trPr>
        <w:tc>
          <w:tcPr>
            <w:tcW w:w="3660" w:type="dxa"/>
            <w:vAlign w:val="bottom"/>
            <w:gridSpan w:val="2"/>
            <w:vMerge w:val="continue"/>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vMerge w:val="restart"/>
          </w:tcPr>
          <w:p>
            <w:pPr>
              <w:ind w:left="20"/>
              <w:spacing w:after="0" w:line="9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64"/>
        </w:trPr>
        <w:tc>
          <w:tcPr>
            <w:tcW w:w="100" w:type="dxa"/>
            <w:vAlign w:val="bottom"/>
            <w:vMerge w:val="restart"/>
          </w:tcPr>
          <w:p>
            <w:pPr>
              <w:spacing w:after="0" w:line="85" w:lineRule="exact"/>
              <w:rPr>
                <w:sz w:val="20"/>
                <w:szCs w:val="20"/>
                <w:color w:val="auto"/>
              </w:rPr>
            </w:pPr>
            <w:r>
              <w:rPr>
                <w:rFonts w:ascii="Times New Roman" w:cs="Times New Roman" w:eastAsia="Times New Roman" w:hAnsi="Times New Roman"/>
                <w:sz w:val="9"/>
                <w:szCs w:val="9"/>
                <w:color w:val="auto"/>
              </w:rPr>
              <w:t>​</w:t>
            </w:r>
          </w:p>
        </w:tc>
        <w:tc>
          <w:tcPr>
            <w:tcW w:w="3560" w:type="dxa"/>
            <w:vAlign w:val="bottom"/>
          </w:tcPr>
          <w:p>
            <w:pPr>
              <w:spacing w:after="0"/>
              <w:rPr>
                <w:sz w:val="5"/>
                <w:szCs w:val="5"/>
                <w:color w:val="auto"/>
              </w:rPr>
            </w:pPr>
          </w:p>
        </w:tc>
        <w:tc>
          <w:tcPr>
            <w:tcW w:w="1900" w:type="dxa"/>
            <w:vAlign w:val="bottom"/>
            <w:vMerge w:val="restart"/>
          </w:tcPr>
          <w:p>
            <w:pPr>
              <w:ind w:left="1720"/>
              <w:spacing w:after="0" w:line="85" w:lineRule="exact"/>
              <w:rPr>
                <w:sz w:val="20"/>
                <w:szCs w:val="20"/>
                <w:color w:val="auto"/>
              </w:rPr>
            </w:pPr>
            <w:r>
              <w:rPr>
                <w:rFonts w:ascii="Times New Roman" w:cs="Times New Roman" w:eastAsia="Times New Roman" w:hAnsi="Times New Roman"/>
                <w:sz w:val="9"/>
                <w:szCs w:val="9"/>
                <w:color w:val="auto"/>
              </w:rPr>
              <w:t>​ ​​</w:t>
            </w:r>
          </w:p>
        </w:tc>
        <w:tc>
          <w:tcPr>
            <w:tcW w:w="3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00" w:type="dxa"/>
            <w:vAlign w:val="bottom"/>
            <w:vMerge w:val="continu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gridSpan w:val="2"/>
            <w:vMerge w:val="restart"/>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Transfer agent and registrar fees</w:t>
            </w:r>
          </w:p>
        </w:tc>
        <w:tc>
          <w:tcPr>
            <w:tcW w:w="19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tcPr>
          <w:p>
            <w:pPr>
              <w:spacing w:after="0" w:line="96"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2"/>
        </w:trPr>
        <w:tc>
          <w:tcPr>
            <w:tcW w:w="3660" w:type="dxa"/>
            <w:vAlign w:val="bottom"/>
            <w:gridSpan w:val="2"/>
            <w:vMerge w:val="continue"/>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vMerge w:val="restart"/>
            <w:shd w:val="clear" w:color="auto" w:fill="CCEEFF"/>
          </w:tcPr>
          <w:p>
            <w:pPr>
              <w:ind w:left="20"/>
              <w:spacing w:after="0" w:line="9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line="20" w:lineRule="exact"/>
              <w:rPr>
                <w:sz w:val="1"/>
                <w:szCs w:val="1"/>
                <w:color w:val="auto"/>
              </w:rPr>
            </w:pPr>
          </w:p>
        </w:tc>
      </w:tr>
      <w:tr>
        <w:trPr>
          <w:trHeight w:val="65"/>
        </w:trPr>
        <w:tc>
          <w:tcPr>
            <w:tcW w:w="100" w:type="dxa"/>
            <w:vAlign w:val="bottom"/>
            <w:tcBorders>
              <w:bottom w:val="single" w:sz="8" w:color="CCEEFF"/>
            </w:tcBorders>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w:t>
            </w:r>
          </w:p>
        </w:tc>
        <w:tc>
          <w:tcPr>
            <w:tcW w:w="356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CCEEFF"/>
            </w:tcBorders>
            <w:shd w:val="clear" w:color="auto" w:fill="CCEEFF"/>
          </w:tcPr>
          <w:p>
            <w:pPr>
              <w:ind w:left="1720"/>
              <w:spacing w:after="0" w:line="65"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6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color w:val="auto"/>
              </w:rPr>
              <w:t>Printing expenses</w:t>
            </w: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line="96"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2"/>
        </w:trPr>
        <w:tc>
          <w:tcPr>
            <w:tcW w:w="3660" w:type="dxa"/>
            <w:vAlign w:val="bottom"/>
            <w:gridSpan w:val="2"/>
            <w:vMerge w:val="continue"/>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vMerge w:val="restart"/>
          </w:tcPr>
          <w:p>
            <w:pPr>
              <w:ind w:left="20"/>
              <w:spacing w:after="0" w:line="9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64"/>
        </w:trPr>
        <w:tc>
          <w:tcPr>
            <w:tcW w:w="100" w:type="dxa"/>
            <w:vAlign w:val="bottom"/>
            <w:vMerge w:val="restart"/>
          </w:tcPr>
          <w:p>
            <w:pPr>
              <w:spacing w:after="0" w:line="85" w:lineRule="exact"/>
              <w:rPr>
                <w:sz w:val="20"/>
                <w:szCs w:val="20"/>
                <w:color w:val="auto"/>
              </w:rPr>
            </w:pPr>
            <w:r>
              <w:rPr>
                <w:rFonts w:ascii="Times New Roman" w:cs="Times New Roman" w:eastAsia="Times New Roman" w:hAnsi="Times New Roman"/>
                <w:sz w:val="9"/>
                <w:szCs w:val="9"/>
                <w:color w:val="auto"/>
              </w:rPr>
              <w:t>​</w:t>
            </w:r>
          </w:p>
        </w:tc>
        <w:tc>
          <w:tcPr>
            <w:tcW w:w="3560" w:type="dxa"/>
            <w:vAlign w:val="bottom"/>
          </w:tcPr>
          <w:p>
            <w:pPr>
              <w:spacing w:after="0"/>
              <w:rPr>
                <w:sz w:val="5"/>
                <w:szCs w:val="5"/>
                <w:color w:val="auto"/>
              </w:rPr>
            </w:pPr>
          </w:p>
        </w:tc>
        <w:tc>
          <w:tcPr>
            <w:tcW w:w="1900" w:type="dxa"/>
            <w:vAlign w:val="bottom"/>
            <w:vMerge w:val="restart"/>
          </w:tcPr>
          <w:p>
            <w:pPr>
              <w:ind w:left="1720"/>
              <w:spacing w:after="0" w:line="85" w:lineRule="exact"/>
              <w:rPr>
                <w:sz w:val="20"/>
                <w:szCs w:val="20"/>
                <w:color w:val="auto"/>
              </w:rPr>
            </w:pPr>
            <w:r>
              <w:rPr>
                <w:rFonts w:ascii="Times New Roman" w:cs="Times New Roman" w:eastAsia="Times New Roman" w:hAnsi="Times New Roman"/>
                <w:sz w:val="9"/>
                <w:szCs w:val="9"/>
                <w:color w:val="auto"/>
              </w:rPr>
              <w:t>​ ​​</w:t>
            </w:r>
          </w:p>
        </w:tc>
        <w:tc>
          <w:tcPr>
            <w:tcW w:w="3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00" w:type="dxa"/>
            <w:vAlign w:val="bottom"/>
            <w:vMerge w:val="continu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gridSpan w:val="2"/>
            <w:vMerge w:val="restart"/>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Accountant’s fees and expenses</w:t>
            </w:r>
          </w:p>
        </w:tc>
        <w:tc>
          <w:tcPr>
            <w:tcW w:w="19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tcPr>
          <w:p>
            <w:pPr>
              <w:spacing w:after="0" w:line="96"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2"/>
        </w:trPr>
        <w:tc>
          <w:tcPr>
            <w:tcW w:w="3660" w:type="dxa"/>
            <w:vAlign w:val="bottom"/>
            <w:gridSpan w:val="2"/>
            <w:vMerge w:val="continue"/>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vMerge w:val="restart"/>
            <w:shd w:val="clear" w:color="auto" w:fill="CCEEFF"/>
          </w:tcPr>
          <w:p>
            <w:pPr>
              <w:ind w:left="20"/>
              <w:spacing w:after="0" w:line="9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line="20" w:lineRule="exact"/>
              <w:rPr>
                <w:sz w:val="1"/>
                <w:szCs w:val="1"/>
                <w:color w:val="auto"/>
              </w:rPr>
            </w:pPr>
          </w:p>
        </w:tc>
      </w:tr>
      <w:tr>
        <w:trPr>
          <w:trHeight w:val="65"/>
        </w:trPr>
        <w:tc>
          <w:tcPr>
            <w:tcW w:w="100" w:type="dxa"/>
            <w:vAlign w:val="bottom"/>
            <w:tcBorders>
              <w:bottom w:val="single" w:sz="8" w:color="CCEEFF"/>
            </w:tcBorders>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w:t>
            </w:r>
          </w:p>
        </w:tc>
        <w:tc>
          <w:tcPr>
            <w:tcW w:w="356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CCEEFF"/>
            </w:tcBorders>
            <w:shd w:val="clear" w:color="auto" w:fill="CCEEFF"/>
          </w:tcPr>
          <w:p>
            <w:pPr>
              <w:ind w:left="1720"/>
              <w:spacing w:after="0" w:line="65"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6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color w:val="auto"/>
              </w:rPr>
              <w:t>Legal fees and expenses</w:t>
            </w: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line="96"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2"/>
        </w:trPr>
        <w:tc>
          <w:tcPr>
            <w:tcW w:w="3660" w:type="dxa"/>
            <w:vAlign w:val="bottom"/>
            <w:gridSpan w:val="2"/>
            <w:vMerge w:val="continue"/>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vMerge w:val="restart"/>
          </w:tcPr>
          <w:p>
            <w:pPr>
              <w:ind w:left="20"/>
              <w:spacing w:after="0" w:line="9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64"/>
        </w:trPr>
        <w:tc>
          <w:tcPr>
            <w:tcW w:w="100" w:type="dxa"/>
            <w:vAlign w:val="bottom"/>
            <w:vMerge w:val="restart"/>
          </w:tcPr>
          <w:p>
            <w:pPr>
              <w:spacing w:after="0" w:line="85" w:lineRule="exact"/>
              <w:rPr>
                <w:sz w:val="20"/>
                <w:szCs w:val="20"/>
                <w:color w:val="auto"/>
              </w:rPr>
            </w:pPr>
            <w:r>
              <w:rPr>
                <w:rFonts w:ascii="Times New Roman" w:cs="Times New Roman" w:eastAsia="Times New Roman" w:hAnsi="Times New Roman"/>
                <w:sz w:val="9"/>
                <w:szCs w:val="9"/>
                <w:color w:val="auto"/>
              </w:rPr>
              <w:t>​</w:t>
            </w:r>
          </w:p>
        </w:tc>
        <w:tc>
          <w:tcPr>
            <w:tcW w:w="3560" w:type="dxa"/>
            <w:vAlign w:val="bottom"/>
          </w:tcPr>
          <w:p>
            <w:pPr>
              <w:spacing w:after="0"/>
              <w:rPr>
                <w:sz w:val="5"/>
                <w:szCs w:val="5"/>
                <w:color w:val="auto"/>
              </w:rPr>
            </w:pPr>
          </w:p>
        </w:tc>
        <w:tc>
          <w:tcPr>
            <w:tcW w:w="1900" w:type="dxa"/>
            <w:vAlign w:val="bottom"/>
            <w:vMerge w:val="restart"/>
          </w:tcPr>
          <w:p>
            <w:pPr>
              <w:ind w:left="1720"/>
              <w:spacing w:after="0" w:line="85" w:lineRule="exact"/>
              <w:rPr>
                <w:sz w:val="20"/>
                <w:szCs w:val="20"/>
                <w:color w:val="auto"/>
              </w:rPr>
            </w:pPr>
            <w:r>
              <w:rPr>
                <w:rFonts w:ascii="Times New Roman" w:cs="Times New Roman" w:eastAsia="Times New Roman" w:hAnsi="Times New Roman"/>
                <w:sz w:val="9"/>
                <w:szCs w:val="9"/>
                <w:color w:val="auto"/>
              </w:rPr>
              <w:t>​ ​​</w:t>
            </w:r>
          </w:p>
        </w:tc>
        <w:tc>
          <w:tcPr>
            <w:tcW w:w="3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00" w:type="dxa"/>
            <w:vAlign w:val="bottom"/>
            <w:vMerge w:val="continu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gridSpan w:val="2"/>
            <w:vMerge w:val="restart"/>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Miscellaneous</w:t>
            </w:r>
          </w:p>
        </w:tc>
        <w:tc>
          <w:tcPr>
            <w:tcW w:w="19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tcPr>
          <w:p>
            <w:pPr>
              <w:spacing w:after="0" w:line="96" w:lineRule="exact"/>
              <w:rPr>
                <w:sz w:val="20"/>
                <w:szCs w:val="20"/>
                <w:color w:val="auto"/>
              </w:rPr>
            </w:pPr>
            <w:r>
              <w:rPr>
                <w:rFonts w:ascii="Times New Roman" w:cs="Times New Roman" w:eastAsia="Times New Roman" w:hAnsi="Times New Roman"/>
                <w:sz w:val="9"/>
                <w:szCs w:val="9"/>
                <w:color w:val="auto"/>
                <w:w w:val="75"/>
              </w:rPr>
              <w:t>(2)</w:t>
            </w:r>
          </w:p>
        </w:tc>
        <w:tc>
          <w:tcPr>
            <w:tcW w:w="0" w:type="dxa"/>
            <w:vAlign w:val="bottom"/>
          </w:tcPr>
          <w:p>
            <w:pPr>
              <w:spacing w:after="0"/>
              <w:rPr>
                <w:sz w:val="1"/>
                <w:szCs w:val="1"/>
                <w:color w:val="auto"/>
              </w:rPr>
            </w:pPr>
          </w:p>
        </w:tc>
      </w:tr>
      <w:tr>
        <w:trPr>
          <w:trHeight w:val="32"/>
        </w:trPr>
        <w:tc>
          <w:tcPr>
            <w:tcW w:w="3660" w:type="dxa"/>
            <w:vAlign w:val="bottom"/>
            <w:gridSpan w:val="2"/>
            <w:vMerge w:val="continue"/>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vMerge w:val="restart"/>
            <w:shd w:val="clear" w:color="auto" w:fill="CCEEFF"/>
          </w:tcPr>
          <w:p>
            <w:pPr>
              <w:ind w:left="20"/>
              <w:spacing w:after="0" w:line="9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line="20" w:lineRule="exact"/>
              <w:rPr>
                <w:sz w:val="1"/>
                <w:szCs w:val="1"/>
                <w:color w:val="auto"/>
              </w:rPr>
            </w:pPr>
          </w:p>
        </w:tc>
      </w:tr>
      <w:tr>
        <w:trPr>
          <w:trHeight w:val="65"/>
        </w:trPr>
        <w:tc>
          <w:tcPr>
            <w:tcW w:w="100" w:type="dxa"/>
            <w:vAlign w:val="bottom"/>
            <w:tcBorders>
              <w:bottom w:val="single" w:sz="8" w:color="CCEEFF"/>
            </w:tcBorders>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w:t>
            </w:r>
          </w:p>
        </w:tc>
        <w:tc>
          <w:tcPr>
            <w:tcW w:w="356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CCEEFF"/>
            </w:tcBorders>
            <w:shd w:val="clear" w:color="auto" w:fill="CCEEFF"/>
          </w:tcPr>
          <w:p>
            <w:pPr>
              <w:ind w:left="1720"/>
              <w:spacing w:after="0" w:line="65"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320" w:type="dxa"/>
            <w:vAlign w:val="bottom"/>
            <w:gridSpan w:val="3"/>
          </w:tcPr>
          <w:p>
            <w:pPr>
              <w:ind w:left="1860"/>
              <w:spacing w:after="0" w:line="170" w:lineRule="exact"/>
              <w:rPr>
                <w:sz w:val="20"/>
                <w:szCs w:val="20"/>
                <w:color w:val="auto"/>
              </w:rPr>
            </w:pPr>
            <w:r>
              <w:rPr>
                <w:rFonts w:ascii="Times New Roman" w:cs="Times New Roman" w:eastAsia="Times New Roman" w:hAnsi="Times New Roman"/>
                <w:sz w:val="14"/>
                <w:szCs w:val="14"/>
                <w:color w:val="auto"/>
                <w:w w:val="89"/>
              </w:rPr>
              <w:t xml:space="preserve">$        </w:t>
            </w:r>
            <w:r>
              <w:rPr>
                <w:rFonts w:ascii="Times New Roman" w:cs="Times New Roman" w:eastAsia="Times New Roman" w:hAnsi="Times New Roman"/>
                <w:sz w:val="18"/>
                <w:szCs w:val="18"/>
                <w:color w:val="auto"/>
                <w:w w:val="89"/>
                <w:vertAlign w:val="superscript"/>
              </w:rPr>
              <w:t>(2)</w:t>
            </w:r>
          </w:p>
        </w:tc>
        <w:tc>
          <w:tcPr>
            <w:tcW w:w="0" w:type="dxa"/>
            <w:vAlign w:val="bottom"/>
          </w:tcPr>
          <w:p>
            <w:pPr>
              <w:spacing w:after="0"/>
              <w:rPr>
                <w:sz w:val="1"/>
                <w:szCs w:val="1"/>
                <w:color w:val="auto"/>
              </w:rPr>
            </w:pPr>
          </w:p>
        </w:tc>
      </w:tr>
      <w:tr>
        <w:trPr>
          <w:trHeight w:val="184"/>
        </w:trPr>
        <w:tc>
          <w:tcPr>
            <w:tcW w:w="10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24765</wp:posOffset>
            </wp:positionV>
            <wp:extent cx="9683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31" w:lineRule="exact"/>
        <w:rPr>
          <w:sz w:val="20"/>
          <w:szCs w:val="20"/>
          <w:color w:val="auto"/>
        </w:rPr>
      </w:pPr>
    </w:p>
    <w:p>
      <w:pPr>
        <w:ind w:left="1560" w:right="1319" w:hanging="275"/>
        <w:spacing w:after="0" w:line="286" w:lineRule="auto"/>
        <w:tabs>
          <w:tab w:leader="none" w:pos="15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accordance with Rules 456(b) and 457(r) under the Securities Act of 1933, as amended (the “Securities Act”).</w:t>
      </w:r>
    </w:p>
    <w:p>
      <w:pPr>
        <w:spacing w:after="0" w:line="8" w:lineRule="exact"/>
        <w:rPr>
          <w:rFonts w:ascii="Times New Roman" w:cs="Times New Roman" w:eastAsia="Times New Roman" w:hAnsi="Times New Roman"/>
          <w:sz w:val="14"/>
          <w:szCs w:val="14"/>
          <w:color w:val="auto"/>
        </w:rPr>
      </w:pPr>
    </w:p>
    <w:p>
      <w:pPr>
        <w:ind w:left="1560" w:right="1379" w:hanging="275"/>
        <w:spacing w:after="0" w:line="269" w:lineRule="auto"/>
        <w:tabs>
          <w:tab w:leader="none" w:pos="15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securities and number of offerings are indeterminable, and the expenses cannot be estimated at this time. An estimate of the various expenses in connection with the sale and distribution of the securities being offered will be included in the applicable prospectus supplement.</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27"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Pursuant to the provisions of the General Corporation Law of the State of Delaware (“DGCL”), CECO has adopted provisions in its certificate of incorporation and bylaws that require CECO to indemnify its officers and directors to the fullest extent permitted by law, and eliminate the personal liability of its directors to CECO or CECO’s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in the case of directors only, for acts relating to unlawful payment of a dividend or an unlawful stock purchase or redemption, (d) for any transaction from which the director or officer derived an improper personal benefit, or (e) in the case of officers only, for any action by or in the right of CECO. These provisions do not eliminate a director’s duty of care. Moreover, the provisions do not apply to claims against a director for violation of certain laws, including federal securities laws.</w:t>
      </w:r>
    </w:p>
    <w:p>
      <w:pPr>
        <w:spacing w:after="0" w:line="263"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CECO’s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CECO may also, at its discretion, provide the same benefits of indemnification to any employee or agent of the corporation. Also, CECO is authorized to purchase insurance on behalf of an individual for liabilities incurred whether or not CECO would have the power or obligation to indemnify him or her under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0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57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86"/>
        </w:trPr>
        <w:tc>
          <w:tcPr>
            <w:tcW w:w="80" w:type="dxa"/>
            <w:vAlign w:val="bottom"/>
          </w:tcPr>
          <w:p>
            <w:pPr>
              <w:spacing w:after="0"/>
              <w:rPr>
                <w:sz w:val="24"/>
                <w:szCs w:val="24"/>
                <w:color w:val="auto"/>
              </w:rPr>
            </w:pPr>
          </w:p>
        </w:tc>
        <w:tc>
          <w:tcPr>
            <w:tcW w:w="624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The following documents are exhibits to the registration statement:</w:t>
            </w:r>
          </w:p>
        </w:tc>
      </w:tr>
      <w:tr>
        <w:trPr>
          <w:trHeight w:val="246"/>
        </w:trPr>
        <w:tc>
          <w:tcPr>
            <w:tcW w:w="8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68"/>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920" w:type="dxa"/>
            <w:vAlign w:val="bottom"/>
          </w:tcPr>
          <w:p>
            <w:pPr>
              <w:spacing w:after="0"/>
              <w:rPr>
                <w:sz w:val="14"/>
                <w:szCs w:val="14"/>
                <w:color w:val="auto"/>
              </w:rPr>
            </w:pPr>
          </w:p>
        </w:tc>
        <w:tc>
          <w:tcPr>
            <w:tcW w:w="36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77"/>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5720" w:type="dxa"/>
            <w:vAlign w:val="bottom"/>
            <w:gridSpan w:val="7"/>
          </w:tcPr>
          <w:p>
            <w:pPr>
              <w:spacing w:after="0" w:line="177"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1"/>
                <w:szCs w:val="11"/>
                <w:color w:val="auto"/>
              </w:rPr>
              <w:t xml:space="preserve"> Form of Underwriting Agreement.</w:t>
            </w:r>
          </w:p>
        </w:tc>
      </w:tr>
      <w:tr>
        <w:trPr>
          <w:trHeight w:val="174"/>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5780" w:type="dxa"/>
            <w:vAlign w:val="bottom"/>
            <w:gridSpan w:val="8"/>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8">
              <w:r>
                <w:rPr>
                  <w:rFonts w:ascii="Times New Roman" w:cs="Times New Roman" w:eastAsia="Times New Roman" w:hAnsi="Times New Roman"/>
                  <w:sz w:val="14"/>
                  <w:szCs w:val="14"/>
                  <w:color w:val="0000EE"/>
                </w:rPr>
                <w:t>Certificate of Incorporation (Incorporated by reference to Exhibit 3(i) to CECO’s Annual</w:t>
              </w:r>
            </w:hyperlink>
          </w:p>
        </w:tc>
      </w:tr>
      <w:tr>
        <w:trPr>
          <w:trHeight w:val="149"/>
        </w:trPr>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80" w:type="dxa"/>
            <w:vAlign w:val="bottom"/>
            <w:tcBorders>
              <w:top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Report on Form 10-K for the fiscal year ended December 31, 2001).</w:t>
              </w:r>
            </w:hyperlink>
          </w:p>
        </w:tc>
        <w:tc>
          <w:tcPr>
            <w:tcW w:w="280" w:type="dxa"/>
            <w:vAlign w:val="bottom"/>
            <w:gridSpan w:val="3"/>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4.2</w:t>
            </w:r>
          </w:p>
        </w:tc>
        <w:tc>
          <w:tcPr>
            <w:tcW w:w="5780" w:type="dxa"/>
            <w:vAlign w:val="bottom"/>
            <w:gridSpan w:val="8"/>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9">
              <w:r>
                <w:rPr>
                  <w:rFonts w:ascii="Times New Roman" w:cs="Times New Roman" w:eastAsia="Times New Roman" w:hAnsi="Times New Roman"/>
                  <w:sz w:val="14"/>
                  <w:szCs w:val="14"/>
                  <w:color w:val="0000EE"/>
                </w:rPr>
                <w:t>Certificate of Amendment to the Certificate of Incorporation of CECO Environmental Corp.</w:t>
              </w:r>
            </w:hyperlink>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60" w:type="dxa"/>
            <w:vAlign w:val="bottom"/>
            <w:tcBorders>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(incorporated by reference to Exhibit 3.1 to the Company’s Current Report on Form 8-K filed</w:t>
              </w:r>
            </w:hyperlink>
          </w:p>
        </w:tc>
      </w:tr>
      <w:tr>
        <w:trPr>
          <w:trHeight w:val="149"/>
        </w:trPr>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60" w:type="dxa"/>
            <w:vAlign w:val="bottom"/>
            <w:gridSpan w:val="6"/>
          </w:tcPr>
          <w:p>
            <w:pPr>
              <w:spacing w:after="0" w:line="149"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with the SEC on May 22, 2024).</w:t>
              </w:r>
            </w:hyperlink>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4.3</w:t>
            </w:r>
          </w:p>
        </w:tc>
        <w:tc>
          <w:tcPr>
            <w:tcW w:w="5780" w:type="dxa"/>
            <w:vAlign w:val="bottom"/>
            <w:gridSpan w:val="8"/>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0">
              <w:r>
                <w:rPr>
                  <w:rFonts w:ascii="Times New Roman" w:cs="Times New Roman" w:eastAsia="Times New Roman" w:hAnsi="Times New Roman"/>
                  <w:sz w:val="14"/>
                  <w:szCs w:val="14"/>
                  <w:color w:val="0000EE"/>
                </w:rPr>
                <w:t>Amended and Restated Bylaws (incorporated by reference to Exhibit 3.1 to the Company’s</w:t>
              </w:r>
            </w:hyperlink>
          </w:p>
        </w:tc>
      </w:tr>
      <w:tr>
        <w:trPr>
          <w:trHeight w:val="149"/>
        </w:trPr>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2"/>
          </w:tcPr>
          <w:p>
            <w:pPr>
              <w:spacing w:after="0" w:line="149"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Current Report on Form 8-K filed with the SEC on March 9, 2023).</w:t>
              </w:r>
            </w:hyperlink>
          </w:p>
        </w:tc>
        <w:tc>
          <w:tcPr>
            <w:tcW w:w="1340" w:type="dxa"/>
            <w:vAlign w:val="bottom"/>
            <w:tcBorders>
              <w:top w:val="single" w:sz="8" w:color="0000EE"/>
            </w:tcBorders>
            <w:gridSpan w:val="2"/>
          </w:tcPr>
          <w:p>
            <w:pPr>
              <w:spacing w:after="0"/>
              <w:rPr>
                <w:sz w:val="12"/>
                <w:szCs w:val="12"/>
                <w:color w:val="auto"/>
              </w:rPr>
            </w:pPr>
          </w:p>
        </w:tc>
        <w:tc>
          <w:tcPr>
            <w:tcW w:w="180" w:type="dxa"/>
            <w:vAlign w:val="bottom"/>
            <w:gridSpan w:val="2"/>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-927100</wp:posOffset>
            </wp:positionV>
            <wp:extent cx="36042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6042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0" w:lineRule="exact"/>
        <w:rPr>
          <w:sz w:val="20"/>
          <w:szCs w:val="20"/>
          <w:color w:val="auto"/>
        </w:rPr>
      </w:pPr>
    </w:p>
    <w:p>
      <w:pPr>
        <w:sectPr>
          <w:pgSz w:w="11900" w:h="16838" w:orient="portrait"/>
          <w:cols w:equalWidth="0" w:num="2">
            <w:col w:w="7600" w:space="120"/>
            <w:col w:w="1299"/>
          </w:cols>
          <w:pgMar w:left="1440" w:top="107" w:right="1440" w:bottom="1440" w:gutter="0" w:footer="0" w:header="0"/>
          <w:type w:val="continuous"/>
        </w:sectPr>
      </w:pPr>
    </w:p>
    <w:p>
      <w:pPr>
        <w:spacing w:after="0" w:line="21" w:lineRule="exact"/>
        <w:rPr>
          <w:sz w:val="20"/>
          <w:szCs w:val="20"/>
          <w:color w:val="auto"/>
        </w:rPr>
      </w:pPr>
    </w:p>
    <w:p>
      <w:pPr>
        <w:ind w:left="1420" w:hanging="135"/>
        <w:spacing w:after="0"/>
        <w:tabs>
          <w:tab w:leader="none" w:pos="1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92" w:lineRule="exact"/>
        <w:rPr>
          <w:rFonts w:ascii="Times New Roman" w:cs="Times New Roman" w:eastAsia="Times New Roman" w:hAnsi="Times New Roman"/>
          <w:sz w:val="14"/>
          <w:szCs w:val="14"/>
          <w:color w:val="auto"/>
        </w:rPr>
      </w:pPr>
    </w:p>
    <w:p>
      <w:pPr>
        <w:ind w:left="1420" w:hanging="135"/>
        <w:spacing w:after="0"/>
        <w:tabs>
          <w:tab w:leader="none" w:pos="142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4.5*</w:t>
      </w:r>
    </w:p>
    <w:p>
      <w:pPr>
        <w:spacing w:after="0" w:line="44" w:lineRule="exact"/>
        <w:rPr>
          <w:rFonts w:ascii="Times New Roman" w:cs="Times New Roman" w:eastAsia="Times New Roman" w:hAnsi="Times New Roman"/>
          <w:sz w:val="28"/>
          <w:szCs w:val="28"/>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4.6*</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4.7*</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4.8*</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4.9*</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4.10*</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4.11*</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4.12*</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4.13*</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4.14*</w:t>
      </w:r>
    </w:p>
    <w:p>
      <w:pPr>
        <w:spacing w:after="0" w:line="44" w:lineRule="exact"/>
        <w:rPr>
          <w:rFonts w:ascii="Times New Roman" w:cs="Times New Roman" w:eastAsia="Times New Roman" w:hAnsi="Times New Roman"/>
          <w:sz w:val="19"/>
          <w:szCs w:val="19"/>
          <w:color w:val="auto"/>
          <w:vertAlign w:val="superscript"/>
        </w:rPr>
      </w:pPr>
    </w:p>
    <w:p>
      <w:pPr>
        <w:ind w:left="1420" w:hanging="135"/>
        <w:spacing w:after="0" w:line="184" w:lineRule="auto"/>
        <w:tabs>
          <w:tab w:leader="none" w:pos="14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5.1</w:t>
      </w:r>
    </w:p>
    <w:p>
      <w:pPr>
        <w:spacing w:after="0" w:line="44" w:lineRule="exact"/>
        <w:rPr>
          <w:rFonts w:ascii="Times New Roman" w:cs="Times New Roman" w:eastAsia="Times New Roman" w:hAnsi="Times New Roman"/>
          <w:sz w:val="19"/>
          <w:szCs w:val="19"/>
          <w:color w:val="auto"/>
          <w:vertAlign w:val="superscript"/>
        </w:rPr>
      </w:pPr>
    </w:p>
    <w:p>
      <w:pPr>
        <w:ind w:left="1360" w:hanging="75"/>
        <w:spacing w:after="0" w:line="184" w:lineRule="auto"/>
        <w:tabs>
          <w:tab w:leader="none" w:pos="13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23.1</w:t>
      </w:r>
    </w:p>
    <w:p>
      <w:pPr>
        <w:spacing w:after="0" w:line="44" w:lineRule="exact"/>
        <w:rPr>
          <w:rFonts w:ascii="Times New Roman" w:cs="Times New Roman" w:eastAsia="Times New Roman" w:hAnsi="Times New Roman"/>
          <w:sz w:val="19"/>
          <w:szCs w:val="19"/>
          <w:color w:val="auto"/>
          <w:vertAlign w:val="superscript"/>
        </w:rPr>
      </w:pPr>
    </w:p>
    <w:p>
      <w:pPr>
        <w:ind w:left="1360" w:hanging="75"/>
        <w:spacing w:after="0" w:line="184" w:lineRule="auto"/>
        <w:tabs>
          <w:tab w:leader="none" w:pos="13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23.2</w:t>
      </w:r>
    </w:p>
    <w:p>
      <w:pPr>
        <w:spacing w:after="0" w:line="44" w:lineRule="exact"/>
        <w:rPr>
          <w:rFonts w:ascii="Times New Roman" w:cs="Times New Roman" w:eastAsia="Times New Roman" w:hAnsi="Times New Roman"/>
          <w:sz w:val="19"/>
          <w:szCs w:val="19"/>
          <w:color w:val="auto"/>
          <w:vertAlign w:val="superscript"/>
        </w:rPr>
      </w:pPr>
    </w:p>
    <w:p>
      <w:pPr>
        <w:ind w:left="1360" w:hanging="75"/>
        <w:spacing w:after="0" w:line="184" w:lineRule="auto"/>
        <w:tabs>
          <w:tab w:leader="none" w:pos="13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24.1</w:t>
      </w:r>
    </w:p>
    <w:p>
      <w:pPr>
        <w:spacing w:after="0" w:line="33" w:lineRule="exact"/>
        <w:rPr>
          <w:rFonts w:ascii="Times New Roman" w:cs="Times New Roman" w:eastAsia="Times New Roman" w:hAnsi="Times New Roman"/>
          <w:sz w:val="19"/>
          <w:szCs w:val="19"/>
          <w:color w:val="auto"/>
          <w:vertAlign w:val="superscript"/>
        </w:rPr>
      </w:pPr>
    </w:p>
    <w:p>
      <w:pPr>
        <w:ind w:left="1360" w:hanging="75"/>
        <w:spacing w:after="0"/>
        <w:tabs>
          <w:tab w:leader="none" w:pos="1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w:t>
      </w:r>
    </w:p>
    <w:p>
      <w:pPr>
        <w:spacing w:after="0" w:line="3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br w:type="column"/>
      </w:r>
    </w:p>
    <w:p>
      <w:pPr>
        <w:ind w:left="160" w:right="1259" w:hanging="168"/>
        <w:spacing w:after="0" w:line="279"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2">
        <w:r>
          <w:rPr>
            <w:rFonts w:ascii="Times New Roman" w:cs="Times New Roman" w:eastAsia="Times New Roman" w:hAnsi="Times New Roman"/>
            <w:sz w:val="14"/>
            <w:szCs w:val="14"/>
            <w:u w:val="single" w:color="auto"/>
            <w:color w:val="0000EE"/>
          </w:rPr>
          <w:t>Form of Debt Securities Indenture (Incorporated by reference to Exhibit 4.3 of the Registrant’s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72">
        <w:r>
          <w:rPr>
            <w:rFonts w:ascii="Times New Roman" w:cs="Times New Roman" w:eastAsia="Times New Roman" w:hAnsi="Times New Roman"/>
            <w:sz w:val="14"/>
            <w:szCs w:val="14"/>
            <w:u w:val="single" w:color="auto"/>
            <w:color w:val="0000EE"/>
          </w:rPr>
          <w:t>Form S-3 filed with the SEC on April 24, 2019 (File No. 333-231001)).</w:t>
        </w:r>
      </w:hyperlink>
    </w:p>
    <w:tbl>
      <w:tblPr>
        <w:tblLayout w:type="fixed"/>
        <w:tblInd w:w="0" w:type="dxa"/>
        <w:tblCellMar>
          <w:top w:w="0" w:type="dxa"/>
          <w:left w:w="0" w:type="dxa"/>
          <w:bottom w:w="0" w:type="dxa"/>
          <w:right w:w="0" w:type="dxa"/>
        </w:tblCellMar>
      </w:tblPr>
      <w:tr>
        <w:trPr>
          <w:trHeight w:val="208"/>
        </w:trPr>
        <w:tc>
          <w:tcPr>
            <w:tcW w:w="5640" w:type="dxa"/>
            <w:vAlign w:val="bottom"/>
            <w:gridSpan w:val="8"/>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Debt Securities.</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Preferred Stock Certificate of Amendment.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Warrant Agreement.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Warrant Certificate.</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Depositary Agreement.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Depositary Receipt.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Subscription Rights Certificate.</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Purchase Contract.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Unit Agreement.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640" w:type="dxa"/>
            <w:vAlign w:val="bottom"/>
            <w:gridSpan w:val="8"/>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Unit Certificate.</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640" w:type="dxa"/>
            <w:vAlign w:val="bottom"/>
            <w:gridSpan w:val="8"/>
          </w:tcPr>
          <w:p>
            <w:pPr>
              <w:spacing w:after="0" w:line="194"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Foley &amp; Lardner LLP.</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2"/>
        </w:trPr>
        <w:tc>
          <w:tcPr>
            <w:tcW w:w="5640" w:type="dxa"/>
            <w:vAlign w:val="bottom"/>
            <w:gridSpan w:val="8"/>
          </w:tcPr>
          <w:p>
            <w:pPr>
              <w:spacing w:after="0" w:line="191"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BDO USA, P.C.</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2"/>
        </w:trPr>
        <w:tc>
          <w:tcPr>
            <w:tcW w:w="5640" w:type="dxa"/>
            <w:vAlign w:val="bottom"/>
            <w:gridSpan w:val="8"/>
          </w:tcPr>
          <w:p>
            <w:pPr>
              <w:spacing w:after="0" w:line="191"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Foley &amp; Lardner LLP (Included in Exhibit 5.1 to this Registration Statement).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2"/>
        </w:trPr>
        <w:tc>
          <w:tcPr>
            <w:tcW w:w="5640" w:type="dxa"/>
            <w:vAlign w:val="bottom"/>
            <w:gridSpan w:val="8"/>
          </w:tcPr>
          <w:p>
            <w:pPr>
              <w:spacing w:after="0" w:line="191"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Power of Attorney (Included as part of the signature page to this Registration Statement).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1"/>
        </w:trPr>
        <w:tc>
          <w:tcPr>
            <w:tcW w:w="5640" w:type="dxa"/>
            <w:vAlign w:val="bottom"/>
            <w:gridSpan w:val="8"/>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3">
              <w:r>
                <w:rPr>
                  <w:rFonts w:ascii="Times New Roman" w:cs="Times New Roman" w:eastAsia="Times New Roman" w:hAnsi="Times New Roman"/>
                  <w:sz w:val="14"/>
                  <w:szCs w:val="14"/>
                  <w:color w:val="0000EE"/>
                </w:rPr>
                <w:t>Form T-1 Statement of Eligibility under Trust Indenture Act of 1939 of Trustee under Debt</w:t>
              </w:r>
            </w:hyperlink>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548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Securities Indenture (Incorporated by reference to Exhibit of the Registrant’s Form S-3 filed</w:t>
              </w:r>
            </w:hyperlink>
          </w:p>
        </w:tc>
        <w:tc>
          <w:tcPr>
            <w:tcW w:w="2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5480" w:type="dxa"/>
            <w:vAlign w:val="bottom"/>
            <w:gridSpan w:val="7"/>
          </w:tcPr>
          <w:p>
            <w:pPr>
              <w:spacing w:after="0" w:line="149"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with the SEC on April 24, 2019 (File No. 333-231001)).</w:t>
              </w:r>
            </w:hyperlink>
          </w:p>
        </w:tc>
        <w:tc>
          <w:tcPr>
            <w:tcW w:w="24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2"/>
        </w:trPr>
        <w:tc>
          <w:tcPr>
            <w:tcW w:w="5640" w:type="dxa"/>
            <w:vAlign w:val="bottom"/>
            <w:gridSpan w:val="8"/>
          </w:tcPr>
          <w:p>
            <w:pPr>
              <w:spacing w:after="0" w:line="202"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Filing Fee Table.</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9683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1760" w:space="120"/>
            <w:col w:w="7139"/>
          </w:cols>
          <w:pgMar w:left="1440" w:top="107" w:right="1440" w:bottom="1440" w:gutter="0" w:footer="0" w:header="0"/>
          <w:type w:val="continuous"/>
        </w:sectPr>
      </w:pPr>
    </w:p>
    <w:p>
      <w:pPr>
        <w:ind w:left="1560" w:right="1879" w:hanging="275"/>
        <w:spacing w:after="0" w:line="289" w:lineRule="auto"/>
        <w:tabs>
          <w:tab w:leader="none" w:pos="15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To be filed either by amendment or as an exhibit to a report filed under the Exchange Act, and incorporated herein by reference.</w:t>
      </w: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25" w:lineRule="exact"/>
        <w:rPr>
          <w:sz w:val="20"/>
          <w:szCs w:val="20"/>
          <w:color w:val="auto"/>
        </w:rPr>
      </w:pPr>
    </w:p>
    <w:p>
      <w:pPr>
        <w:ind w:left="1840" w:right="1419" w:hanging="273"/>
        <w:spacing w:after="0" w:line="286" w:lineRule="auto"/>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1" w:lineRule="exact"/>
        <w:rPr>
          <w:rFonts w:ascii="Times New Roman" w:cs="Times New Roman" w:eastAsia="Times New Roman" w:hAnsi="Times New Roman"/>
          <w:sz w:val="14"/>
          <w:szCs w:val="14"/>
          <w:color w:val="auto"/>
        </w:rPr>
      </w:pPr>
    </w:p>
    <w:p>
      <w:pPr>
        <w:ind w:left="2140" w:hanging="290"/>
        <w:spacing w:after="0"/>
        <w:tabs>
          <w:tab w:leader="none" w:pos="2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14" w:lineRule="exact"/>
        <w:rPr>
          <w:rFonts w:ascii="Times New Roman" w:cs="Times New Roman" w:eastAsia="Times New Roman" w:hAnsi="Times New Roman"/>
          <w:sz w:val="14"/>
          <w:szCs w:val="14"/>
          <w:color w:val="auto"/>
        </w:rPr>
      </w:pPr>
    </w:p>
    <w:p>
      <w:pPr>
        <w:ind w:left="2140" w:right="1439" w:hanging="290"/>
        <w:spacing w:after="0" w:line="260" w:lineRule="auto"/>
        <w:tabs>
          <w:tab w:leader="none" w:pos="2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1" w:name="page32"/>
    <w:bookmarkEnd w:id="3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registered) and any deviation from the low or high end of the estimated maximum offering</w:t>
      </w:r>
    </w:p>
    <w:p>
      <w:pPr>
        <w:spacing w:after="0" w:line="2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range may be reflected in the form of prospectus filed with the Commission pursuant to</w:t>
      </w:r>
    </w:p>
    <w:p>
      <w:pPr>
        <w:ind w:left="2140"/>
        <w:spacing w:after="0" w:line="236" w:lineRule="auto"/>
        <w:rPr>
          <w:sz w:val="20"/>
          <w:szCs w:val="20"/>
          <w:color w:val="auto"/>
        </w:rPr>
      </w:pPr>
      <w:r>
        <w:rPr>
          <w:rFonts w:ascii="Times New Roman" w:cs="Times New Roman" w:eastAsia="Times New Roman" w:hAnsi="Times New Roman"/>
          <w:sz w:val="14"/>
          <w:szCs w:val="14"/>
          <w:color w:val="auto"/>
        </w:rPr>
        <w:t>Rule 424(b) if, in the aggregate, the changes in volume and price represent no more than 20%</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change in the maximum aggregate offering price set forth in the “Calculation of Registration</w:t>
      </w:r>
    </w:p>
    <w:p>
      <w:pPr>
        <w:spacing w:after="0" w:line="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Fee” table in the effective registration statement;</w:t>
      </w:r>
    </w:p>
    <w:p>
      <w:pPr>
        <w:spacing w:after="0" w:line="89" w:lineRule="exact"/>
        <w:rPr>
          <w:sz w:val="20"/>
          <w:szCs w:val="20"/>
          <w:color w:val="auto"/>
        </w:rPr>
      </w:pPr>
    </w:p>
    <w:p>
      <w:pPr>
        <w:ind w:left="2140" w:right="1559" w:hanging="290"/>
        <w:spacing w:after="0" w:line="269" w:lineRule="auto"/>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1" w:lineRule="exact"/>
        <w:rPr>
          <w:sz w:val="20"/>
          <w:szCs w:val="20"/>
          <w:color w:val="auto"/>
        </w:rPr>
      </w:pPr>
    </w:p>
    <w:p>
      <w:pPr>
        <w:ind w:left="1560" w:right="1359"/>
        <w:spacing w:after="0" w:line="250"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(1)(i), (1)(ii), and (1)(iii) of this Item 17 do not apply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required to be included in a post -effective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under the Exchange Act that is part of the registration statement.</w:t>
      </w:r>
    </w:p>
    <w:p>
      <w:pPr>
        <w:spacing w:after="0" w:line="244" w:lineRule="exact"/>
        <w:rPr>
          <w:sz w:val="20"/>
          <w:szCs w:val="20"/>
          <w:color w:val="auto"/>
        </w:rPr>
      </w:pPr>
    </w:p>
    <w:p>
      <w:pPr>
        <w:ind w:left="1840" w:right="1439" w:hanging="273"/>
        <w:spacing w:after="0" w:line="263" w:lineRule="auto"/>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Times New Roman" w:cs="Times New Roman" w:eastAsia="Times New Roman" w:hAnsi="Times New Roman"/>
          <w:sz w:val="14"/>
          <w:szCs w:val="14"/>
          <w:color w:val="auto"/>
        </w:rPr>
      </w:pPr>
    </w:p>
    <w:p>
      <w:pPr>
        <w:ind w:left="1840" w:right="1479" w:hanging="273"/>
        <w:spacing w:after="0" w:line="286" w:lineRule="auto"/>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0" w:lineRule="exact"/>
        <w:rPr>
          <w:rFonts w:ascii="Times New Roman" w:cs="Times New Roman" w:eastAsia="Times New Roman" w:hAnsi="Times New Roman"/>
          <w:sz w:val="14"/>
          <w:szCs w:val="14"/>
          <w:color w:val="auto"/>
        </w:rPr>
      </w:pPr>
    </w:p>
    <w:p>
      <w:pPr>
        <w:ind w:left="1840" w:hanging="273"/>
        <w:spacing w:after="0"/>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4" w:lineRule="exact"/>
        <w:rPr>
          <w:rFonts w:ascii="Times New Roman" w:cs="Times New Roman" w:eastAsia="Times New Roman" w:hAnsi="Times New Roman"/>
          <w:sz w:val="14"/>
          <w:szCs w:val="14"/>
          <w:color w:val="auto"/>
        </w:rPr>
      </w:pPr>
    </w:p>
    <w:p>
      <w:pPr>
        <w:ind w:left="2140" w:right="1399" w:hanging="290"/>
        <w:spacing w:after="0" w:line="269" w:lineRule="auto"/>
        <w:tabs>
          <w:tab w:leader="none" w:pos="21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2" w:lineRule="exact"/>
        <w:rPr>
          <w:rFonts w:ascii="Times New Roman" w:cs="Times New Roman" w:eastAsia="Times New Roman" w:hAnsi="Times New Roman"/>
          <w:sz w:val="14"/>
          <w:szCs w:val="14"/>
          <w:color w:val="auto"/>
        </w:rPr>
      </w:pPr>
    </w:p>
    <w:p>
      <w:pPr>
        <w:ind w:left="2140" w:right="1339" w:hanging="290"/>
        <w:spacing w:after="0" w:line="254" w:lineRule="auto"/>
        <w:tabs>
          <w:tab w:leader="none" w:pos="21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60" w:lineRule="exact"/>
        <w:rPr>
          <w:rFonts w:ascii="Times New Roman" w:cs="Times New Roman" w:eastAsia="Times New Roman" w:hAnsi="Times New Roman"/>
          <w:sz w:val="14"/>
          <w:szCs w:val="14"/>
          <w:color w:val="auto"/>
        </w:rPr>
      </w:pPr>
    </w:p>
    <w:p>
      <w:pPr>
        <w:ind w:left="1840" w:right="1659" w:hanging="273"/>
        <w:spacing w:after="0" w:line="286" w:lineRule="auto"/>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61" w:lineRule="exact"/>
        <w:rPr>
          <w:rFonts w:ascii="Times New Roman" w:cs="Times New Roman" w:eastAsia="Times New Roman" w:hAnsi="Times New Roman"/>
          <w:sz w:val="14"/>
          <w:szCs w:val="14"/>
          <w:color w:val="auto"/>
        </w:rPr>
      </w:pPr>
    </w:p>
    <w:p>
      <w:pPr>
        <w:ind w:left="1840" w:right="13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2" w:lineRule="exact"/>
        <w:rPr>
          <w:rFonts w:ascii="Times New Roman" w:cs="Times New Roman" w:eastAsia="Times New Roman" w:hAnsi="Times New Roman"/>
          <w:sz w:val="14"/>
          <w:szCs w:val="14"/>
          <w:color w:val="auto"/>
        </w:rPr>
      </w:pPr>
    </w:p>
    <w:p>
      <w:pPr>
        <w:ind w:left="2140" w:right="1799" w:hanging="290"/>
        <w:spacing w:after="0" w:line="286" w:lineRule="auto"/>
        <w:tabs>
          <w:tab w:leader="none" w:pos="21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right="1979" w:hanging="290"/>
        <w:spacing w:after="0" w:line="286" w:lineRule="auto"/>
        <w:tabs>
          <w:tab w:leader="none" w:pos="21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1" w:lineRule="exact"/>
        <w:rPr>
          <w:rFonts w:ascii="Times New Roman" w:cs="Times New Roman" w:eastAsia="Times New Roman" w:hAnsi="Times New Roman"/>
          <w:sz w:val="14"/>
          <w:szCs w:val="14"/>
          <w:color w:val="auto"/>
        </w:rPr>
      </w:pPr>
    </w:p>
    <w:p>
      <w:pPr>
        <w:jc w:val="both"/>
        <w:ind w:left="2140" w:right="1419" w:hanging="290"/>
        <w:spacing w:after="0" w:line="269" w:lineRule="auto"/>
        <w:tabs>
          <w:tab w:leader="none" w:pos="21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4"/>
          <w:szCs w:val="14"/>
          <w:color w:val="auto"/>
        </w:rPr>
      </w:pPr>
    </w:p>
    <w:p>
      <w:pPr>
        <w:ind w:left="2140" w:right="1439" w:hanging="290"/>
        <w:spacing w:after="0" w:line="286" w:lineRule="auto"/>
        <w:tabs>
          <w:tab w:leader="none" w:pos="21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1" w:lineRule="exact"/>
        <w:rPr>
          <w:rFonts w:ascii="Times New Roman" w:cs="Times New Roman" w:eastAsia="Times New Roman" w:hAnsi="Times New Roman"/>
          <w:sz w:val="14"/>
          <w:szCs w:val="14"/>
          <w:color w:val="auto"/>
        </w:rPr>
      </w:pPr>
    </w:p>
    <w:p>
      <w:pPr>
        <w:ind w:left="1840" w:right="1339" w:hanging="273"/>
        <w:spacing w:after="0" w:line="259" w:lineRule="auto"/>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0" w:lineRule="exact"/>
        <w:rPr>
          <w:rFonts w:ascii="Times New Roman" w:cs="Times New Roman" w:eastAsia="Times New Roman" w:hAnsi="Times New Roman"/>
          <w:sz w:val="14"/>
          <w:szCs w:val="14"/>
          <w:color w:val="auto"/>
        </w:rPr>
      </w:pPr>
    </w:p>
    <w:p>
      <w:pPr>
        <w:ind w:left="1840" w:right="1459" w:hanging="273"/>
        <w:spacing w:after="0" w:line="259" w:lineRule="auto"/>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90" w:lineRule="exact"/>
        <w:rPr>
          <w:rFonts w:ascii="Times New Roman" w:cs="Times New Roman" w:eastAsia="Times New Roman" w:hAnsi="Times New Roman"/>
          <w:sz w:val="14"/>
          <w:szCs w:val="14"/>
          <w:color w:val="auto"/>
        </w:rPr>
      </w:pPr>
    </w:p>
    <w:p>
      <w:pPr>
        <w:ind w:left="1840" w:right="1339" w:hanging="273"/>
        <w:spacing w:after="0" w:line="255" w:lineRule="auto"/>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57" w:lineRule="exact"/>
        <w:rPr>
          <w:rFonts w:ascii="Times New Roman" w:cs="Times New Roman" w:eastAsia="Times New Roman" w:hAnsi="Times New Roman"/>
          <w:sz w:val="14"/>
          <w:szCs w:val="14"/>
          <w:color w:val="auto"/>
        </w:rPr>
      </w:pPr>
    </w:p>
    <w:p>
      <w:pPr>
        <w:ind w:left="1840" w:hanging="273"/>
        <w:spacing w:after="0"/>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w:t>
      </w:r>
    </w:p>
    <w:p>
      <w:pPr>
        <w:spacing w:after="0" w:line="124" w:lineRule="exact"/>
        <w:rPr>
          <w:rFonts w:ascii="Times New Roman" w:cs="Times New Roman" w:eastAsia="Times New Roman" w:hAnsi="Times New Roman"/>
          <w:sz w:val="14"/>
          <w:szCs w:val="14"/>
          <w:color w:val="auto"/>
        </w:rPr>
      </w:pPr>
    </w:p>
    <w:p>
      <w:pPr>
        <w:ind w:left="2140" w:right="1479" w:hanging="290"/>
        <w:spacing w:after="0" w:line="263" w:lineRule="auto"/>
        <w:tabs>
          <w:tab w:leader="none" w:pos="21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 and</w:t>
      </w:r>
    </w:p>
    <w:p>
      <w:pPr>
        <w:spacing w:after="0" w:line="88" w:lineRule="exact"/>
        <w:rPr>
          <w:rFonts w:ascii="Times New Roman" w:cs="Times New Roman" w:eastAsia="Times New Roman" w:hAnsi="Times New Roman"/>
          <w:sz w:val="14"/>
          <w:szCs w:val="14"/>
          <w:color w:val="auto"/>
        </w:rPr>
      </w:pPr>
    </w:p>
    <w:p>
      <w:pPr>
        <w:ind w:left="2140" w:right="1459" w:hanging="290"/>
        <w:spacing w:after="0" w:line="269" w:lineRule="auto"/>
        <w:tabs>
          <w:tab w:leader="none" w:pos="21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2" w:lineRule="exact"/>
        <w:rPr>
          <w:rFonts w:ascii="Times New Roman" w:cs="Times New Roman" w:eastAsia="Times New Roman" w:hAnsi="Times New Roman"/>
          <w:sz w:val="14"/>
          <w:szCs w:val="14"/>
          <w:color w:val="auto"/>
        </w:rPr>
      </w:pPr>
    </w:p>
    <w:p>
      <w:pPr>
        <w:ind w:left="1840" w:right="1679" w:hanging="273"/>
        <w:spacing w:after="0" w:line="269" w:lineRule="auto"/>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left="1280" w:right="1299" w:firstLine="282"/>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Addison, State of Texas, on October 28, 2025.</w:t>
      </w:r>
    </w:p>
    <w:p>
      <w:pPr>
        <w:spacing w:after="0" w:line="14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41910</wp:posOffset>
            </wp:positionV>
            <wp:extent cx="193675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936750" cy="6985"/>
                    </a:xfrm>
                    <a:prstGeom prst="rect">
                      <a:avLst/>
                    </a:prstGeom>
                    <a:noFill/>
                  </pic:spPr>
                </pic:pic>
              </a:graphicData>
            </a:graphic>
          </wp:anchor>
        </w:drawing>
      </w:r>
    </w:p>
    <w:p>
      <w:pPr>
        <w:spacing w:after="0" w:line="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Peter Johansson</w:t>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25"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KNOW ALL MEN BY THESE PRESENTS, that each individual whose signature appears below constitutes and appoints Todd Gleason, Peter Johansson, Kiril Kovachev, and Alyson Richter,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U.S.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her or their substitutes, may lawfully do or cause to be done by virtue hereof.</w:t>
      </w:r>
    </w:p>
    <w:p>
      <w:pPr>
        <w:spacing w:after="0" w:line="94" w:lineRule="exact"/>
        <w:rPr>
          <w:sz w:val="20"/>
          <w:szCs w:val="20"/>
          <w:color w:val="auto"/>
        </w:rPr>
      </w:pPr>
    </w:p>
    <w:p>
      <w:pPr>
        <w:ind w:left="1280" w:right="1379" w:firstLine="282"/>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below by the following persons in the capacities indicated as of the dates indicated below:</w:t>
      </w:r>
    </w:p>
    <w:p>
      <w:pPr>
        <w:sectPr>
          <w:pgSz w:w="11900" w:h="16838" w:orient="portrait"/>
          <w:cols w:equalWidth="0" w:num="1">
            <w:col w:w="9019"/>
          </w:cols>
          <w:pgMar w:left="1440" w:top="107" w:right="1440" w:bottom="1440" w:gutter="0" w:footer="0" w:header="0"/>
        </w:sectPr>
      </w:pPr>
    </w:p>
    <w:p>
      <w:pPr>
        <w:ind w:left="2300" w:hanging="1015"/>
        <w:spacing w:after="0" w:line="233" w:lineRule="auto"/>
        <w:tabs>
          <w:tab w:leader="none" w:pos="2300" w:val="left"/>
        </w:tabs>
        <w:numPr>
          <w:ilvl w:val="0"/>
          <w:numId w:val="36"/>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90" w:lineRule="exact"/>
        <w:rPr>
          <w:rFonts w:ascii="Times New Roman" w:cs="Times New Roman" w:eastAsia="Times New Roman" w:hAnsi="Times New Roman"/>
          <w:sz w:val="23"/>
          <w:szCs w:val="23"/>
          <w:b w:val="1"/>
          <w:bCs w:val="1"/>
          <w:color w:val="auto"/>
          <w:vertAlign w:val="subscript"/>
        </w:rPr>
      </w:pPr>
    </w:p>
    <w:p>
      <w:pPr>
        <w:ind w:left="2020" w:hanging="735"/>
        <w:spacing w:after="0"/>
        <w:tabs>
          <w:tab w:leader="none" w:pos="202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27305</wp:posOffset>
            </wp:positionV>
            <wp:extent cx="15601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560195" cy="698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-368935</wp:posOffset>
            </wp:positionV>
            <wp:extent cx="157353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573530" cy="6985"/>
                    </a:xfrm>
                    <a:prstGeom prst="rect">
                      <a:avLst/>
                    </a:prstGeom>
                    <a:noFill/>
                  </pic:spPr>
                </pic:pic>
              </a:graphicData>
            </a:graphic>
          </wp:anchor>
        </w:drawing>
      </w:r>
    </w:p>
    <w:p>
      <w:pPr>
        <w:spacing w:after="0" w:line="56"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Todd Gleason</w:t>
      </w:r>
    </w:p>
    <w:p>
      <w:pPr>
        <w:spacing w:after="0" w:line="1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 Peter Johansson</w:t>
      </w:r>
    </w:p>
    <w:p>
      <w:pPr>
        <w:ind w:left="1280"/>
        <w:spacing w:after="0" w:line="187"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-20320</wp:posOffset>
            </wp:positionV>
            <wp:extent cx="15601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ind w:left="2040"/>
        <w:spacing w:after="0"/>
        <w:rPr>
          <w:sz w:val="20"/>
          <w:szCs w:val="20"/>
          <w:color w:val="auto"/>
        </w:rPr>
      </w:pPr>
      <w:r>
        <w:rPr>
          <w:rFonts w:ascii="Times New Roman" w:cs="Times New Roman" w:eastAsia="Times New Roman" w:hAnsi="Times New Roman"/>
          <w:sz w:val="14"/>
          <w:szCs w:val="14"/>
          <w:color w:val="auto"/>
        </w:rPr>
        <w:t>Peter Johansson</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Kiril Kovachev</w:t>
      </w:r>
    </w:p>
    <w:p>
      <w:pPr>
        <w:ind w:left="1280"/>
        <w:spacing w:after="0" w:line="187"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-20320</wp:posOffset>
            </wp:positionV>
            <wp:extent cx="15601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4"/>
          <w:szCs w:val="14"/>
          <w:color w:val="auto"/>
        </w:rPr>
        <w:t>Kiril Kovachev</w:t>
      </w:r>
    </w:p>
    <w:p>
      <w:pPr>
        <w:spacing w:after="0" w:line="19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 Jason DeZwirek</w:t>
      </w:r>
    </w:p>
    <w:p>
      <w:pPr>
        <w:ind w:left="1280"/>
        <w:spacing w:after="0" w:line="187"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-20320</wp:posOffset>
            </wp:positionV>
            <wp:extent cx="15601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ind w:left="2040"/>
        <w:spacing w:after="0"/>
        <w:rPr>
          <w:sz w:val="20"/>
          <w:szCs w:val="20"/>
          <w:color w:val="auto"/>
        </w:rPr>
      </w:pPr>
      <w:r>
        <w:rPr>
          <w:rFonts w:ascii="Times New Roman" w:cs="Times New Roman" w:eastAsia="Times New Roman" w:hAnsi="Times New Roman"/>
          <w:sz w:val="14"/>
          <w:szCs w:val="14"/>
          <w:color w:val="auto"/>
        </w:rPr>
        <w:t>Jason DeZwirek</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 Robert E. Knowling Jr.</w:t>
      </w:r>
    </w:p>
    <w:p>
      <w:pPr>
        <w:ind w:left="1280"/>
        <w:spacing w:after="0" w:line="187"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-20320</wp:posOffset>
            </wp:positionV>
            <wp:extent cx="15601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4"/>
          <w:szCs w:val="14"/>
          <w:color w:val="auto"/>
        </w:rPr>
        <w:t>Robert E. Knowling Jr.</w:t>
      </w:r>
    </w:p>
    <w:p>
      <w:pPr>
        <w:spacing w:after="0" w:line="19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/s/ Claudio A. Mannarino</w:t>
      </w:r>
    </w:p>
    <w:p>
      <w:pPr>
        <w:ind w:left="1280"/>
        <w:spacing w:after="0" w:line="187"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-20320</wp:posOffset>
            </wp:positionV>
            <wp:extent cx="15601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jc w:val="center"/>
        <w:ind w:left="1760"/>
        <w:spacing w:after="0"/>
        <w:rPr>
          <w:sz w:val="20"/>
          <w:szCs w:val="20"/>
          <w:color w:val="auto"/>
        </w:rPr>
      </w:pPr>
      <w:r>
        <w:rPr>
          <w:rFonts w:ascii="Times New Roman" w:cs="Times New Roman" w:eastAsia="Times New Roman" w:hAnsi="Times New Roman"/>
          <w:sz w:val="14"/>
          <w:szCs w:val="14"/>
          <w:color w:val="auto"/>
        </w:rPr>
        <w:t>Claudio A. Mannarino</w:t>
      </w:r>
    </w:p>
    <w:p>
      <w:pPr>
        <w:spacing w:after="0" w:line="16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/s/ Munish Nanda</w:t>
      </w:r>
    </w:p>
    <w:p>
      <w:pPr>
        <w:ind w:left="1280"/>
        <w:spacing w:after="0" w:line="189"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-20320</wp:posOffset>
            </wp:positionV>
            <wp:extent cx="1560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4"/>
          <w:szCs w:val="14"/>
          <w:color w:val="auto"/>
        </w:rPr>
        <w:t>Munish Nanda</w:t>
      </w:r>
    </w:p>
    <w:p>
      <w:pPr>
        <w:spacing w:after="0" w:line="20" w:lineRule="exact"/>
        <w:rPr>
          <w:sz w:val="20"/>
          <w:szCs w:val="20"/>
          <w:color w:val="auto"/>
        </w:rPr>
      </w:pPr>
      <w:r>
        <w:rPr>
          <w:sz w:val="20"/>
          <w:szCs w:val="20"/>
          <w:color w:val="auto"/>
        </w:rPr>
        <w:br w:type="column"/>
      </w:r>
    </w:p>
    <w:p>
      <w:pPr>
        <w:spacing w:after="0"/>
        <w:tabs>
          <w:tab w:leader="none" w:pos="1200" w:val="left"/>
          <w:tab w:leader="none" w:pos="2580" w:val="left"/>
          <w:tab w:leader="none" w:pos="3200" w:val="left"/>
          <w:tab w:leader="none" w:pos="390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13970</wp:posOffset>
            </wp:positionV>
            <wp:extent cx="242760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Chief Executive Officer and Director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9"/>
        </w:trPr>
        <w:tc>
          <w:tcPr>
            <w:tcW w:w="24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4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4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(Principal Financial Officer)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8"/>
        </w:trPr>
        <w:tc>
          <w:tcPr>
            <w:tcW w:w="2440" w:type="dxa"/>
            <w:vAlign w:val="bottom"/>
          </w:tcPr>
          <w:p>
            <w:pPr>
              <w:spacing w:after="0"/>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Chief Accounting Officer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4"/>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 ​Chairman of the Board and Director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5"/>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 ​Director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5"/>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 ​Director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04"/>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 ​Director</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sectPr>
          <w:pgSz w:w="11900" w:h="16838" w:orient="portrait"/>
          <w:cols w:equalWidth="0" w:num="2">
            <w:col w:w="3300" w:space="500"/>
            <w:col w:w="5219"/>
          </w:cols>
          <w:pgMar w:left="1440" w:top="107" w:right="1440" w:bottom="1440" w:gutter="0" w:footer="0" w:header="0"/>
          <w:type w:val="continuous"/>
        </w:sectPr>
      </w:pP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4" w:name="page35"/>
    <w:bookmarkEnd w:id="3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2300" w:hanging="1015"/>
        <w:spacing w:after="0"/>
        <w:tabs>
          <w:tab w:leader="none" w:pos="2300" w:val="left"/>
        </w:tabs>
        <w:numPr>
          <w:ilvl w:val="0"/>
          <w:numId w:val="37"/>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89" w:lineRule="exact"/>
        <w:rPr>
          <w:rFonts w:ascii="Times New Roman" w:cs="Times New Roman" w:eastAsia="Times New Roman" w:hAnsi="Times New Roman"/>
          <w:sz w:val="23"/>
          <w:szCs w:val="23"/>
          <w:b w:val="1"/>
          <w:bCs w:val="1"/>
          <w:color w:val="auto"/>
          <w:vertAlign w:val="subscript"/>
        </w:rPr>
      </w:pPr>
    </w:p>
    <w:p>
      <w:pPr>
        <w:ind w:left="1800" w:hanging="515"/>
        <w:spacing w:after="0"/>
        <w:tabs>
          <w:tab w:leader="none" w:pos="1800" w:val="left"/>
        </w:tabs>
        <w:numPr>
          <w:ilvl w:val="0"/>
          <w:numId w:val="3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/s/ Valerie Gentile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27305</wp:posOffset>
            </wp:positionV>
            <wp:extent cx="15601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560195" cy="698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-368935</wp:posOffset>
            </wp:positionV>
            <wp:extent cx="1573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573530" cy="6985"/>
                    </a:xfrm>
                    <a:prstGeom prst="rect">
                      <a:avLst/>
                    </a:prstGeom>
                    <a:noFill/>
                  </pic:spPr>
                </pic:pic>
              </a:graphicData>
            </a:graphic>
          </wp:anchor>
        </w:drawing>
      </w:r>
    </w:p>
    <w:p>
      <w:pPr>
        <w:spacing w:after="0" w:line="6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4"/>
          <w:szCs w:val="14"/>
          <w:color w:val="auto"/>
        </w:rPr>
        <w:t>Valerie Gentile Sachs</w:t>
      </w:r>
    </w:p>
    <w:p>
      <w:pPr>
        <w:spacing w:after="0" w:line="11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4"/>
          <w:szCs w:val="14"/>
          <w:color w:val="auto"/>
        </w:rPr>
        <w:t>/s/ Laurie A. Siegel</w:t>
      </w:r>
    </w:p>
    <w:p>
      <w:pPr>
        <w:ind w:left="1280"/>
        <w:spacing w:after="0" w:line="189"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-26670</wp:posOffset>
            </wp:positionV>
            <wp:extent cx="15601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jc w:val="center"/>
        <w:ind w:left="1800"/>
        <w:spacing w:after="0"/>
        <w:rPr>
          <w:sz w:val="20"/>
          <w:szCs w:val="20"/>
          <w:color w:val="auto"/>
        </w:rPr>
      </w:pPr>
      <w:r>
        <w:rPr>
          <w:rFonts w:ascii="Times New Roman" w:cs="Times New Roman" w:eastAsia="Times New Roman" w:hAnsi="Times New Roman"/>
          <w:sz w:val="14"/>
          <w:szCs w:val="14"/>
          <w:color w:val="auto"/>
        </w:rPr>
        <w:t>Laurie A. Siegel</w:t>
      </w:r>
    </w:p>
    <w:p>
      <w:pPr>
        <w:spacing w:after="0" w:line="15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/s/ Richard F. Wallman</w:t>
      </w:r>
    </w:p>
    <w:p>
      <w:pPr>
        <w:ind w:left="1280"/>
        <w:spacing w:after="0" w:line="205"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-26670</wp:posOffset>
            </wp:positionV>
            <wp:extent cx="15601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4"/>
          <w:szCs w:val="14"/>
          <w:color w:val="auto"/>
        </w:rPr>
        <w:t>Richard F. Wallman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200" w:val="left"/>
          <w:tab w:leader="none" w:pos="2560" w:val="left"/>
          <w:tab w:leader="none" w:pos="3200" w:val="left"/>
          <w:tab w:leader="none" w:pos="390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20955</wp:posOffset>
            </wp:positionV>
            <wp:extent cx="241427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2414270" cy="698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116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October 26, 2025</w:t>
            </w:r>
          </w:p>
        </w:tc>
        <w:tc>
          <w:tcPr>
            <w:tcW w:w="80" w:type="dxa"/>
            <w:vAlign w:val="bottom"/>
          </w:tcPr>
          <w:p>
            <w:pPr>
              <w:spacing w:after="0"/>
              <w:rPr>
                <w:sz w:val="15"/>
                <w:szCs w:val="15"/>
                <w:color w:val="auto"/>
              </w:rPr>
            </w:pPr>
          </w:p>
        </w:tc>
      </w:tr>
      <w:tr>
        <w:trPr>
          <w:trHeight w:val="57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 ​Director</w:t>
            </w:r>
          </w:p>
        </w:tc>
        <w:tc>
          <w:tcPr>
            <w:tcW w:w="11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60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 ​Director</w:t>
            </w:r>
          </w:p>
        </w:tc>
        <w:tc>
          <w:tcPr>
            <w:tcW w:w="11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196850</wp:posOffset>
            </wp:positionV>
            <wp:extent cx="53581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2">
            <w:col w:w="3240" w:space="560"/>
            <w:col w:w="5219"/>
          </w:cols>
          <w:pgMar w:left="1440" w:top="107"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777 EAST WISCONSIN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015365" cy="423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MILWAUKEE, WI 53202-5306</w:t>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414.271.2400 TEL</w:t>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414.297.4900 FAX</w:t>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FOLEY.COM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5080 Spectrum Drive, Suite 800E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Addison, Texas 75001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8" w:lineRule="exact"/>
        <w:rPr>
          <w:sz w:val="20"/>
          <w:szCs w:val="20"/>
          <w:color w:val="auto"/>
        </w:rPr>
      </w:pPr>
    </w:p>
    <w:p>
      <w:pPr>
        <w:jc w:val="both"/>
        <w:ind w:firstLine="1017"/>
        <w:spacing w:after="0" w:line="256" w:lineRule="auto"/>
        <w:rPr>
          <w:sz w:val="20"/>
          <w:szCs w:val="20"/>
          <w:color w:val="auto"/>
        </w:rPr>
      </w:pPr>
      <w:r>
        <w:rPr>
          <w:rFonts w:ascii="Times New Roman" w:cs="Times New Roman" w:eastAsia="Times New Roman" w:hAnsi="Times New Roman"/>
          <w:sz w:val="14"/>
          <w:szCs w:val="14"/>
          <w:color w:val="auto"/>
        </w:rPr>
        <w:t>We have acted as counsel for CECO Environmental Corp., a Delaware corporation (the “Company”), in connection with the preparation of a Registration Statement on Form S-3 (the “Registration Statement”), including the prospectus constituting a part thereof (the “Prospectus”), to be filed with the Securities and Exchange Commission (the “SEC”) under the Securities Act of 1933, as amended (the “Securities Act”), relating to (1) the issuance and sale by the Company from time to time of an indeterminate amount of: (i) shares of the Company’s common stock, $0.01 par value per share (the “Common Stock”); (ii) shares of the Company’s preferred stock, $0.01 par value per share (the “Preferred Stock”); (iii) debt securities of the Company (the “Debt Securities”), in one or more series, certain of which may be convertible into or exchangeable for shares of Common Stock; (iv) depositary shares representing fractional interests in shares of Preferred Stock (the “Depositary Shares”); (v) warrants to purchase shares of Common Stock, shares of Preferred Stock, Depositary Shares or Debt Securities or any combination thereof (the “Warrants”);</w:t>
      </w:r>
    </w:p>
    <w:p>
      <w:pPr>
        <w:spacing w:after="0" w:line="1" w:lineRule="exact"/>
        <w:rPr>
          <w:sz w:val="20"/>
          <w:szCs w:val="20"/>
          <w:color w:val="auto"/>
        </w:rPr>
      </w:pPr>
    </w:p>
    <w:p>
      <w:pPr>
        <w:jc w:val="both"/>
        <w:ind w:firstLine="5"/>
        <w:spacing w:after="0" w:line="255" w:lineRule="auto"/>
        <w:tabs>
          <w:tab w:leader="none" w:pos="24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shares of Common Stock, shares of Preferred Stock, Depositary Shares or Debt Securities or any combination thereof (the “Subscription Rights”); (vii) purchase contracts (the “Purchase Contracts”) to purchase securities at a future date or dates; and (viii) units consisting of one or more of the securities described in clauses (i) through (vii) above (the “Units”); and (2) the issuance and sale by certain selling stockholders (the “Selling Stockholders”) from time to time of an indeterminate amount of the Company’s Common Stock (the “Secondary Shares”). The Common Stock, the Preferred Stock, the Debt Securities, the Depositary Shares, the Warrants, the Subscription Rights, the Purchase Contracts, the Units and the Secondary Shares are referred to herein collectively as the “Securities.”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Prospectus provides that it will be supplemented in the future by one or more supplements to such Prospectus and/or other offering material (each, a “Prospectus Supplement”).</w:t>
      </w:r>
    </w:p>
    <w:p>
      <w:pPr>
        <w:spacing w:after="0" w:line="178" w:lineRule="exact"/>
        <w:rPr>
          <w:sz w:val="20"/>
          <w:szCs w:val="20"/>
          <w:color w:val="auto"/>
        </w:rPr>
      </w:pPr>
    </w:p>
    <w:p>
      <w:pPr>
        <w:jc w:val="both"/>
        <w:ind w:firstLine="1017"/>
        <w:spacing w:after="0" w:line="261" w:lineRule="auto"/>
        <w:rPr>
          <w:sz w:val="20"/>
          <w:szCs w:val="20"/>
          <w:color w:val="auto"/>
        </w:rPr>
      </w:pPr>
      <w:r>
        <w:rPr>
          <w:rFonts w:ascii="Times New Roman" w:cs="Times New Roman" w:eastAsia="Times New Roman" w:hAnsi="Times New Roman"/>
          <w:sz w:val="14"/>
          <w:szCs w:val="14"/>
          <w:color w:val="auto"/>
        </w:rPr>
        <w:t>As counsel to the Company in connection with the proposed issuance and sale of the Securities, we have examined: (i) the Registration Statement, including the Prospectus, and the exhibits (including those incorporated by reference) constituting a part of the Registration Statement; (ii) the Company’s Certificate of Incorporation and Amended and Restated Bylaws, each as amended to date; (iii) the Form of Indenture filed as an exhibit to the Registration Statement, among the Company and Wilmington Trust, National Association, as trustee, for the issuance of Debt Securities (the “Indenture”); (iv) certain resolutions of the Board of Directors of the Company relating to the registration of the Securities; and (v) such other proceedings, documents and records as we have deemed necessary to enable us to render this opinion.</w:t>
      </w:r>
    </w:p>
    <w:p>
      <w:pPr>
        <w:spacing w:after="0" w:line="3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AUSTIN | BOSTON | BRUSSELS | CHICAGO | DALLAS | DENVER | DETROIT | HOUSTON | JACKSONVILLE | LOS ANGELES | MADISON | MEXICO CITY | MIAMI | MILWAUKEE | NASHVILLE | NEW YORK | ORLANDO | RALEIGH | SACRAMENTO | SALT LAKE CITY | SAN DIEGO | SAN FRANCISCO | SILICON VALLEY | TALLAHASSEE | TAMPA | TOKYO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36" w:name="page37"/>
    <w:bookmarkEnd w:id="36"/>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64" w:lineRule="exact"/>
        <w:rPr>
          <w:sz w:val="20"/>
          <w:szCs w:val="20"/>
          <w:color w:val="auto"/>
        </w:rPr>
      </w:pPr>
    </w:p>
    <w:p>
      <w:pPr>
        <w:jc w:val="both"/>
        <w:ind w:firstLine="1017"/>
        <w:spacing w:after="0" w:line="259" w:lineRule="auto"/>
        <w:rPr>
          <w:sz w:val="20"/>
          <w:szCs w:val="20"/>
          <w:color w:val="auto"/>
        </w:rPr>
      </w:pPr>
      <w:r>
        <w:rPr>
          <w:rFonts w:ascii="Times New Roman" w:cs="Times New Roman" w:eastAsia="Times New Roman" w:hAnsi="Times New Roman"/>
          <w:sz w:val="14"/>
          <w:szCs w:val="14"/>
          <w:color w:val="auto"/>
        </w:rPr>
        <w:t>In our examination of the above-referenced documents, we have assumed the genuineness of all signatures, the authenticity of all documents, certificates and instruments submitted to us as originals and the conformity with the originals of all documents submitted to us as copies. We have also assumed that (i) the Registration Statement, and any amendments thereto (including post-effective amendments), will comply with all applicable laws; (ii) a Prospectus Supplement, if required, will have been prepared and filed with the SEC describing the Securities offered thereby;</w:t>
      </w:r>
    </w:p>
    <w:p>
      <w:pPr>
        <w:spacing w:after="0" w:line="1" w:lineRule="exact"/>
        <w:rPr>
          <w:sz w:val="20"/>
          <w:szCs w:val="20"/>
          <w:color w:val="auto"/>
        </w:rPr>
      </w:pPr>
    </w:p>
    <w:p>
      <w:pPr>
        <w:jc w:val="both"/>
        <w:ind w:firstLine="5"/>
        <w:spacing w:after="0" w:line="254" w:lineRule="auto"/>
        <w:tabs>
          <w:tab w:leader="none" w:pos="26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issued and sold in compliance with applicable federal and state securities laws and in the manner stated in the Registration Statement and any applicable Prospectus Supplement; (iv) the Indenture, together with any supplemental indenture or officer’s certificate setting forth the terms of a series of Debt Securities to be issued under the Indenture (each in proper form), will be duly authorized, executed and delivered by the parties thereto in substantially the form reviewed by us; (v) a Form T-1 will be filed with the SEC with respect to the trustee executing the Indenture or any supplemental indenture to the Indenture; (vi) a definitive purchase, underwriting, placement, dealer or similar agreement with respect to any Securities offered will have been duly authorized and validly executed and delivered by the Company and the other parties thereto; (vii) any Securities issuable upon conversion, exchange or exercise of any Security being offered will have been duly authorized, created and, if appropriate, reserved for issuance upon such conversion, exchange or exercise; (viii) with respect to shares of Common Stock or Preferred Stock offered, there will be sufficient shares of Common Stock or Preferred Stock authorized under the Company’s Certificate of Incorporation, as amended, and not otherwise reserved for issuance; and (ix) the deposit agreement, to be entered into between the Company and the depositary named therein (the “Depositary”) and from which the Depositary Shares will be issued (the “Depositary Agreement”), will be duly authorized, executed and delivered by the parties thereto in substantially the form reviewed by us.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Based upon and subject to the foregoing and the other matters set forth herein, and having regard for such legal considerations as we deem relevant, we are of the opinion that: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All requisite action necessary to make any shares of Common Stock validly issued, fully paid and nonassessable will have been taken when:</w:t>
      </w:r>
    </w:p>
    <w:p>
      <w:pPr>
        <w:spacing w:after="0" w:line="178"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a.            The Company’s Board of Directors, or a committee thereof duly authorized by the Board of Directors, shall have adopted appropriate resolutions to authorize the issuance and sale of the Common Stock; and</w:t>
      </w:r>
    </w:p>
    <w:p>
      <w:pPr>
        <w:spacing w:after="0" w:line="125"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b.            Such shares of Common Stock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7" w:name="page38"/>
    <w:bookmarkEnd w:id="37"/>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            All requisite action necessary to make any shares of Preferred Stock validly issued, fully paid and nonassessable will have been taken when:</w:t>
      </w:r>
    </w:p>
    <w:p>
      <w:pPr>
        <w:spacing w:after="0" w:line="178" w:lineRule="exact"/>
        <w:rPr>
          <w:sz w:val="20"/>
          <w:szCs w:val="20"/>
          <w:color w:val="auto"/>
        </w:rPr>
      </w:pPr>
    </w:p>
    <w:p>
      <w:pPr>
        <w:jc w:val="both"/>
        <w:ind w:left="520" w:firstLine="508"/>
        <w:spacing w:after="0" w:line="263" w:lineRule="auto"/>
        <w:rPr>
          <w:sz w:val="20"/>
          <w:szCs w:val="20"/>
          <w:color w:val="auto"/>
        </w:rPr>
      </w:pPr>
      <w:r>
        <w:rPr>
          <w:rFonts w:ascii="Times New Roman" w:cs="Times New Roman" w:eastAsia="Times New Roman" w:hAnsi="Times New Roman"/>
          <w:sz w:val="14"/>
          <w:szCs w:val="14"/>
          <w:color w:val="auto"/>
        </w:rPr>
        <w:t>a.            The Company’s Board of Directors, or a committee thereof duly authorized by the Board of Directors, shall have adopted appropriate resolutions to establish the powers, designations, preferences and relative, participating, optional or other rights, if any, or the qualifications, limitations or restrictions, if any, and other terms of such shares as set forth in or contemplated by the Registration Statement, the exhibits thereto and any Prospectus Supplement relating to the Preferred Stock, and to authorize the issuance and sale of such shares of Preferred Stock;</w:t>
      </w:r>
    </w:p>
    <w:p>
      <w:pPr>
        <w:spacing w:after="0" w:line="142"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b.            A Certificate of Designation with respect to the powers, designations, preferences and relative, participating, optional or other rights, if any, or the qualifications, limitations or restrictions, if any, and other terms of such shares shall have been filed with the Secretary of State of the State of Delaware in the form and manner required by law; and</w:t>
      </w:r>
    </w:p>
    <w:p>
      <w:pPr>
        <w:spacing w:after="0" w:line="125"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c.            Such shares of Preferred Stock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3.            All requisite action necessary to make any Debt Securities valid, legal and binding obligations of the Company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p>
      <w:pPr>
        <w:spacing w:after="0" w:line="136"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a.            The Company’s Board of Directors, or a committee thereof or one or more officers of the Company, in each case duly authorized by the Board of Directors, shall have taken action to establish the terms of such Debt Securities and to authorize the issuance and sale of such Debt Securities;</w:t>
      </w:r>
    </w:p>
    <w:p>
      <w:pPr>
        <w:spacing w:after="0" w:line="125"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b.            The terms of such Debt Securities and of their issuance and sale shall have been established in conformity with the Indenture so as not to violate any applicable law or result in a default under or breach of any agreement or instrument binding upon the Company and so as to comply with any requirements or restrictions imposed by any court or governmental entity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8" w:name="page39"/>
    <w:bookmarkEnd w:id="38"/>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Such Debt Securities shall have been duly executed, authenticated and delivered in accordance with the terms and provisions of the Indenture; and</w:t>
      </w:r>
    </w:p>
    <w:p>
      <w:pPr>
        <w:spacing w:after="0" w:line="178"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d.            Such Debt Securities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4.            All requisite action necessary to make any depositary receipts evidencing the Depositary Shares constitute valid, legal and binding obligations of the Company,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p>
      <w:pPr>
        <w:spacing w:after="0" w:line="136" w:lineRule="exact"/>
        <w:rPr>
          <w:sz w:val="20"/>
          <w:szCs w:val="20"/>
          <w:color w:val="auto"/>
        </w:rPr>
      </w:pPr>
    </w:p>
    <w:p>
      <w:pPr>
        <w:jc w:val="both"/>
        <w:ind w:left="520" w:firstLine="508"/>
        <w:spacing w:after="0" w:line="263" w:lineRule="auto"/>
        <w:rPr>
          <w:sz w:val="20"/>
          <w:szCs w:val="20"/>
          <w:color w:val="auto"/>
        </w:rPr>
      </w:pPr>
      <w:r>
        <w:rPr>
          <w:rFonts w:ascii="Times New Roman" w:cs="Times New Roman" w:eastAsia="Times New Roman" w:hAnsi="Times New Roman"/>
          <w:sz w:val="14"/>
          <w:szCs w:val="14"/>
          <w:color w:val="auto"/>
        </w:rPr>
        <w:t>a.            The Company’s Board of Directors, or a committee thereof duly authorized by the Board of Directors, shall have adopted appropriate resolutions to establish the powers, designations, preferences and relative, participating, optional or other rights, if any, or the qualifications, limitations or restrictions, if any, and other terms of the shares of Preferred Stock underlying the Depositary Shares as set forth in or contemplated by the Registration Statement, the exhibits thereto and any Prospectus Supplement relating to such Preferred Stock, and to authorize the issuance of such shares of Preferred Stock;</w:t>
      </w:r>
    </w:p>
    <w:p>
      <w:pPr>
        <w:spacing w:after="0" w:line="142"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b.            Articles of Amendment to the Company’s Certificate of Incorporation, as amended, with respect to the powers, designations, preferences and relative, participating, optional or other rights, if any, or the qualifications, limitations or restrictions, if any, and other terms of the Preferred Stock underlying the Depositary Shares shall have been filed with the Secretary of State of the State of Delaware in the form and manner required by law;</w:t>
      </w:r>
    </w:p>
    <w:p>
      <w:pPr>
        <w:spacing w:after="0" w:line="136"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c.            The Company’s Board of Directors, or a committee thereof or one or more officers of the Company, in each case duly authorized by the Board of Directors, shall have taken action to approve and establish the terms of the Depositary Agreement and such Depositary Agreement shall have been duly executed and delivered;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The Preferred Stock underlying the Depositary Shares shall have been duly issued and delivered to the Depositary;</w:t>
      </w:r>
    </w:p>
    <w:p>
      <w:pPr>
        <w:spacing w:after="0" w:line="178"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e.            The terms of such Depositary Shares and depositary receipts evidencing the Depositary Shares and of their issuance and sale shall have been established so as not to violate any applicable law or result in a default under or breach of any agreement or instrument binding upon the Company and so as to comply with any requirements or restrictions imposed by any court or governmental entity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9" w:name="page40"/>
    <w:bookmarkEnd w:id="39"/>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64"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f.            Such Depositary Shares and depositary receipts evidencing the Depositary Shares shall have been duly executed, issued and delivered in accordance with the Depositary Agreement and their respective terms and provisions; and</w:t>
      </w:r>
    </w:p>
    <w:p>
      <w:pPr>
        <w:spacing w:after="0" w:line="125"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g.            Such Depositary Shares and depositary receipts evidencing the Depositary Shares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5.            All requisite action necessary to make any Warrants valid, legal and binding obligations of the Company,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p>
      <w:pPr>
        <w:spacing w:after="0" w:line="136"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a.            The Company’s Board of Directors, or a committee thereof or one or more officers of the Company, in each case duly authorized by the Board of Directors, shall have taken action to approve and establish the terms and form of the Warrants and the documents, including any Warrant agreements, evidencing and used in connection with the issuance and sale of the Warrants, and to authorize the issuance and sale of such Warrants;</w:t>
      </w:r>
    </w:p>
    <w:p>
      <w:pPr>
        <w:spacing w:after="0" w:line="136"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b.            The terms of such Warrants and of their issuance and sale shall have been established so as not to violate any applicable law or result in a default under or breach of any agreement or instrument binding upon the Company and so as to comply with any requirements or restrictions imposed by any court or governmental entity having jurisdiction over the Company;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Any such Warrant agreements shall have been duly executed and delivered;</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Such Warrants shall have been duly executed and delivered in accordance with the terms and provisions of the applicable Warrant agreement; and</w:t>
      </w:r>
    </w:p>
    <w:p>
      <w:pPr>
        <w:spacing w:after="0" w:line="178"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e.            Such Warrants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0" w:name="page41"/>
    <w:bookmarkEnd w:id="40"/>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6.            All requisite action necessary to make any Subscription Rights valid, legal and binding obligations of the Company,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p>
      <w:pPr>
        <w:spacing w:after="0" w:line="136"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a.            The Company’s Board of Directors, or a committee thereof or one or more officers of the Company, in each case duly authorized by the Board of Directors, shall have taken action to approve and establish the terms of such Subscription Rights and the documents, including any Subscription Rights agreements, and to authorize the issuance and sale of such Subscription Rights;</w:t>
      </w:r>
    </w:p>
    <w:p>
      <w:pPr>
        <w:spacing w:after="0" w:line="136"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b.            The terms of such Subscription Rights and of their issuance and sale shall have been established so as not to violate any applicable law or result in a default under or breach of any agreement or instrument binding upon the Company and so as to comply with any requirements or restrictions imposed by any court or governmental entity having jurisdiction over the Company;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Any such Subscription Rights agreements shall have been duly executed and delivered;</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Such Subscription Rights shall have been duly executed and delivered in accordance with the terms and provisions of the applicable Subscription Rights agreement; and</w:t>
      </w:r>
    </w:p>
    <w:p>
      <w:pPr>
        <w:spacing w:after="0" w:line="178"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e.            Such Subscription Rights shall have been issued and sold by the Company for the consideration contemplated by, and otherwise in conformity with, the Registration Statement, as supplemented by a Prospectus Supplement with respect to such issuance and sale, and the acts, proceedings and documents referred to above.</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7.            All requisite action necessary to make any Purchase Contracts and Units valid, legal and binding obligations of the Company,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p>
      <w:pPr>
        <w:spacing w:after="0" w:line="136"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a.            The Company’s Board of Directors, or a committee thereof or one or more officers of the Company, in each case duly authorized by the Board of Directors, shall have taken action to approve and establish the terms of the Purchase Contracts and the documents evidencing and used in connection with the issuance and sale of the Units, and to authorize the issuance and sale of such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1" w:name="page42"/>
    <w:bookmarkEnd w:id="41"/>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164"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b.            The terms of such Purchase Contracts and Units and of their issuance and sale have been established so as not to violate any applicable law or result in a default under or breach of any agreement or instrument binding upon the Company and so as to comply with any requirements or restrictions imposed by any court or governmental entity having jurisdiction over the Company;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Such Purchase Contracts and Units shall have been duly executed and delivered in accordance with their respective terms and provisions; and</w:t>
      </w:r>
    </w:p>
    <w:p>
      <w:pPr>
        <w:spacing w:after="0" w:line="178"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d.            Such Purchase Contracts and Units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            All requisite action necessary to make any Secondary Shares validly issued, fully paid and nonassessable will have been taken when:</w:t>
      </w:r>
    </w:p>
    <w:p>
      <w:pPr>
        <w:spacing w:after="0" w:line="178"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a.            The Company’s Board of Directors, or a committee thereof duly authorized by the Board of Directors, shall have adopted appropriate resolutions to authorize the issuance and sale of the Secondary Shares as set forth in or contemplated by the Registration Statement, the exhibits thereto and any Prospectus Supplement relating to the Secondary Shares; and</w:t>
      </w:r>
    </w:p>
    <w:p>
      <w:pPr>
        <w:spacing w:after="0" w:line="125"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b.            Such Secondary Shares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We express no opinion as to the laws of any jurisdiction other than the State of New York, the provisions of the Delaware General Corporation Law and the federal laws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1621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2" w:name="page43"/>
    <w:bookmarkEnd w:id="42"/>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478790</wp:posOffset>
            </wp:positionV>
            <wp:extent cx="1015365" cy="423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015365"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8</w:t>
      </w:r>
    </w:p>
    <w:p>
      <w:pPr>
        <w:spacing w:after="0" w:line="164" w:lineRule="exact"/>
        <w:rPr>
          <w:sz w:val="20"/>
          <w:szCs w:val="20"/>
          <w:color w:val="auto"/>
        </w:rPr>
      </w:pPr>
    </w:p>
    <w:p>
      <w:pPr>
        <w:jc w:val="both"/>
        <w:ind w:firstLine="1017"/>
        <w:spacing w:after="0" w:line="269" w:lineRule="auto"/>
        <w:rPr>
          <w:sz w:val="20"/>
          <w:szCs w:val="20"/>
          <w:color w:val="auto"/>
        </w:rPr>
      </w:pPr>
      <w:r>
        <w:rPr>
          <w:rFonts w:ascii="Times New Roman" w:cs="Times New Roman" w:eastAsia="Times New Roman" w:hAnsi="Times New Roman"/>
          <w:sz w:val="14"/>
          <w:szCs w:val="14"/>
          <w:color w:val="auto"/>
        </w:rPr>
        <w:t>We hereby consent to the reference to our firm under the caption “Legal Matters” in the Prospectus which is filed as part of the Registration Statement, and to the filing of this opinion as an exhibit to the Registration Statement. In giving this consent, we do not admit that we are “experts” within the meaning of Section 11 of the Securities Act or within the category of persons whose consent is required by Section 7 of the Securities Act.</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Foley &amp; Lardner LLP</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Foley &amp; Lardner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Consent of Independent Registered Public Accounting Firm</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Prospectus constituting a part of this Registration Statement of our reports dated February 25, 2025, relating to the consolidated financial statements and the effectiveness of internal control over financial reporting, of CECO Environmental Corp. (the Company) appearing in the Company’s Annual Report on Form 10-K for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us under the caption “Experts” in the Prospectus.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P.C.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Cincinnati, Ohio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44" w:name="page45"/>
    <w:bookmarkEnd w:id="44"/>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CECO ENVIRONMENTAL CORP</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560" w:type="dxa"/>
            <w:vAlign w:val="bottom"/>
            <w:tcBorders>
              <w:bottom w:val="single" w:sz="8" w:color="auto"/>
            </w:tcBorders>
            <w:gridSpan w:val="13"/>
          </w:tcPr>
          <w:p>
            <w:pPr>
              <w:ind w:left="40"/>
              <w:spacing w:after="0"/>
              <w:rPr>
                <w:sz w:val="20"/>
                <w:szCs w:val="20"/>
                <w:color w:val="auto"/>
              </w:rPr>
            </w:pPr>
            <w:r>
              <w:rPr>
                <w:rFonts w:ascii="Arial" w:cs="Arial" w:eastAsia="Arial" w:hAnsi="Arial"/>
                <w:sz w:val="17"/>
                <w:szCs w:val="17"/>
                <w:b w:val="1"/>
                <w:bCs w:val="1"/>
                <w:color w:val="auto"/>
                <w:w w:val="99"/>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40" w:type="dxa"/>
            <w:vAlign w:val="bottom"/>
          </w:tcPr>
          <w:p>
            <w:pPr>
              <w:spacing w:after="0"/>
              <w:rPr>
                <w:sz w:val="14"/>
                <w:szCs w:val="14"/>
                <w:color w:val="auto"/>
              </w:rPr>
            </w:pPr>
          </w:p>
        </w:tc>
        <w:tc>
          <w:tcPr>
            <w:tcW w:w="68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96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940" w:type="dxa"/>
            <w:vAlign w:val="bottom"/>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35"/>
              <w:spacing w:after="0"/>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ind w:left="17"/>
              <w:spacing w:after="0" w:line="169" w:lineRule="exact"/>
              <w:rPr>
                <w:sz w:val="20"/>
                <w:szCs w:val="20"/>
                <w:color w:val="auto"/>
              </w:rPr>
            </w:pPr>
            <w:r>
              <w:rPr>
                <w:rFonts w:ascii="Arial" w:cs="Arial" w:eastAsia="Arial" w:hAnsi="Arial"/>
                <w:sz w:val="17"/>
                <w:szCs w:val="17"/>
                <w:b w:val="1"/>
                <w:bCs w:val="1"/>
                <w:color w:val="auto"/>
                <w:w w:val="99"/>
              </w:rPr>
              <w:t>or Carry</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00" w:type="dxa"/>
            <w:vAlign w:val="bottom"/>
            <w:shd w:val="clear" w:color="auto" w:fill="9ADAF6"/>
          </w:tcPr>
          <w:p>
            <w:pPr>
              <w:jc w:val="right"/>
              <w:spacing w:after="0" w:line="169" w:lineRule="exact"/>
              <w:rPr>
                <w:sz w:val="20"/>
                <w:szCs w:val="20"/>
                <w:color w:val="auto"/>
              </w:rPr>
            </w:pPr>
            <w:r>
              <w:rPr>
                <w:rFonts w:ascii="Arial" w:cs="Arial" w:eastAsia="Arial" w:hAnsi="Arial"/>
                <w:sz w:val="17"/>
                <w:szCs w:val="17"/>
                <w:b w:val="1"/>
                <w:bCs w:val="1"/>
                <w:color w:val="auto"/>
                <w:w w:val="98"/>
              </w:rPr>
              <w:t>Registration</w:t>
            </w:r>
          </w:p>
        </w:tc>
        <w:tc>
          <w:tcPr>
            <w:tcW w:w="4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60" w:type="dxa"/>
            <w:vAlign w:val="bottom"/>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37"/>
              <w:spacing w:after="0" w:line="191" w:lineRule="exact"/>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rPr>
              <w:t>Registered</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right"/>
              <w:ind w:right="275"/>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6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4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gridSpan w:val="9"/>
          </w:tcPr>
          <w:p>
            <w:pPr>
              <w:jc w:val="right"/>
              <w:ind w:right="1255"/>
              <w:spacing w:after="0"/>
              <w:rPr>
                <w:sz w:val="20"/>
                <w:szCs w:val="20"/>
                <w:color w:val="auto"/>
              </w:rPr>
            </w:pPr>
            <w:r>
              <w:rPr>
                <w:rFonts w:ascii="Arial" w:cs="Arial" w:eastAsia="Arial" w:hAnsi="Arial"/>
                <w:sz w:val="17"/>
                <w:szCs w:val="17"/>
                <w:b w:val="1"/>
                <w:bCs w:val="1"/>
                <w:color w:val="auto"/>
              </w:rPr>
              <w:t>Newly Registered Securities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w w:val="97"/>
              </w:rPr>
              <w:t>Stock, $0.01</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w w:val="97"/>
              </w:rPr>
              <w:t>Stock, $0.01</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Depositary</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w w:val="98"/>
              </w:rPr>
              <w:t>Subscription</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Rights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Contracts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8</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60" w:type="dxa"/>
            <w:vAlign w:val="bottom"/>
            <w:gridSpan w:val="7"/>
          </w:tcPr>
          <w:p>
            <w:pPr>
              <w:jc w:val="right"/>
              <w:ind w:right="1375"/>
              <w:spacing w:after="0"/>
              <w:rPr>
                <w:sz w:val="20"/>
                <w:szCs w:val="20"/>
                <w:color w:val="auto"/>
              </w:rPr>
            </w:pPr>
            <w:r>
              <w:rPr>
                <w:rFonts w:ascii="Arial" w:cs="Arial" w:eastAsia="Arial" w:hAnsi="Arial"/>
                <w:sz w:val="17"/>
                <w:szCs w:val="17"/>
                <w:b w:val="1"/>
                <w:bCs w:val="1"/>
                <w:color w:val="auto"/>
              </w:rPr>
              <w:t>Carry Forward Securities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380"/>
        <w:spacing w:after="0" w:line="268" w:lineRule="auto"/>
        <w:rPr>
          <w:sz w:val="20"/>
          <w:szCs w:val="20"/>
          <w:color w:val="auto"/>
        </w:rPr>
      </w:pPr>
      <w:r>
        <w:rPr>
          <w:rFonts w:ascii="Arial" w:cs="Arial" w:eastAsia="Arial" w:hAnsi="Arial"/>
          <w:sz w:val="17"/>
          <w:szCs w:val="17"/>
          <w:color w:val="auto"/>
        </w:rPr>
        <w:t>Separate consideration may or may not be received for securities that are issuable on exercise, conversion or exchange of other securities. Any securities registered hereunder may be sold separately or as units with other securities registered hereunder.</w:t>
      </w:r>
    </w:p>
    <w:p>
      <w:pPr>
        <w:spacing w:after="0" w:line="135" w:lineRule="exact"/>
        <w:rPr>
          <w:sz w:val="20"/>
          <w:szCs w:val="20"/>
          <w:color w:val="auto"/>
        </w:rPr>
      </w:pPr>
    </w:p>
    <w:p>
      <w:pPr>
        <w:ind w:left="220" w:right="220"/>
        <w:spacing w:after="0" w:line="268" w:lineRule="auto"/>
        <w:rPr>
          <w:sz w:val="20"/>
          <w:szCs w:val="20"/>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offered at indeterminate prices.</w:t>
      </w:r>
    </w:p>
    <w:p>
      <w:pPr>
        <w:spacing w:after="0" w:line="135" w:lineRule="exact"/>
        <w:rPr>
          <w:sz w:val="20"/>
          <w:szCs w:val="20"/>
          <w:color w:val="auto"/>
        </w:rPr>
      </w:pPr>
    </w:p>
    <w:p>
      <w:pPr>
        <w:ind w:left="220" w:right="260"/>
        <w:spacing w:after="0" w:line="268" w:lineRule="auto"/>
        <w:rPr>
          <w:sz w:val="20"/>
          <w:szCs w:val="20"/>
          <w:color w:val="auto"/>
        </w:rPr>
      </w:pPr>
      <w:r>
        <w:rPr>
          <w:rFonts w:ascii="Arial" w:cs="Arial" w:eastAsia="Arial" w:hAnsi="Arial"/>
          <w:sz w:val="17"/>
          <w:szCs w:val="17"/>
          <w:color w:val="auto"/>
        </w:rPr>
        <w:t>In accordance with Rules 456(b) and 457(r) of the Securities Act of 1933, as amended,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714692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4692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4692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4692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4692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6</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4692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360"/>
          </w:cols>
          <w:pgMar w:left="300" w:top="142" w:right="239" w:bottom="0" w:gutter="0" w:footer="0" w:header="0"/>
          <w:type w:val="continuous"/>
        </w:sectPr>
      </w:pPr>
    </w:p>
    <w:bookmarkStart w:id="45" w:name="page46"/>
    <w:bookmarkEnd w:id="45"/>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4692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1"/>
          <w:szCs w:val="11"/>
          <w:color w:val="auto"/>
        </w:rPr>
        <w:t>8</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4692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34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80" w:type="dxa"/>
            <w:vAlign w:val="bottom"/>
            <w:gridSpan w:val="3"/>
            <w:vMerge w:val="restart"/>
            <w:shd w:val="clear" w:color="auto" w:fill="9ADAF6"/>
          </w:tcPr>
          <w:p>
            <w:pPr>
              <w:jc w:val="right"/>
              <w:ind w:right="9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80" w:type="dxa"/>
            <w:vAlign w:val="bottom"/>
            <w:gridSpan w:val="3"/>
            <w:shd w:val="clear" w:color="auto" w:fill="9ADAF6"/>
          </w:tcPr>
          <w:p>
            <w:pPr>
              <w:jc w:val="right"/>
              <w:ind w:right="15"/>
              <w:spacing w:after="0" w:line="169" w:lineRule="exact"/>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jc w:val="center"/>
              <w:ind w:right="19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3"/>
          </w:tcPr>
          <w:p>
            <w:pPr>
              <w:jc w:val="center"/>
              <w:ind w:left="515"/>
              <w:spacing w:after="0"/>
              <w:rPr>
                <w:sz w:val="20"/>
                <w:szCs w:val="20"/>
                <w:color w:val="auto"/>
              </w:rPr>
            </w:pPr>
            <w:r>
              <w:rPr>
                <w:rFonts w:ascii="Arial" w:cs="Arial" w:eastAsia="Arial" w:hAnsi="Arial"/>
                <w:sz w:val="17"/>
                <w:szCs w:val="17"/>
                <w:b w:val="1"/>
                <w:bCs w:val="1"/>
                <w:color w:val="auto"/>
                <w:w w:val="98"/>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1"/>
              </w:rPr>
              <w:t>N/A</w:t>
            </w: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vMerge w:val="restart"/>
            <w:shd w:val="clear" w:color="auto" w:fill="E7E7E2"/>
          </w:tcPr>
          <w:p>
            <w:pPr>
              <w:jc w:val="center"/>
              <w:ind w:right="55"/>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58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2"/>
            <w:vMerge w:val="continue"/>
            <w:shd w:val="clear" w:color="auto" w:fill="E7E7E2"/>
          </w:tcPr>
          <w:p>
            <w:pPr>
              <w:spacing w:after="0"/>
              <w:rPr>
                <w:sz w:val="11"/>
                <w:szCs w:val="11"/>
                <w:color w:val="auto"/>
              </w:rPr>
            </w:pPr>
          </w:p>
        </w:tc>
        <w:tc>
          <w:tcPr>
            <w:tcW w:w="12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5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1"/>
              </w:rPr>
              <w:t>N/A</w:t>
            </w: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60" w:type="dxa"/>
            <w:vAlign w:val="bottom"/>
            <w:vMerge w:val="restart"/>
            <w:shd w:val="clear" w:color="auto" w:fill="E7E7E2"/>
          </w:tcPr>
          <w:p>
            <w:pPr>
              <w:jc w:val="center"/>
              <w:ind w:right="55"/>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58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2"/>
            <w:vMerge w:val="continue"/>
            <w:shd w:val="clear" w:color="auto" w:fill="E7E7E2"/>
          </w:tcPr>
          <w:p>
            <w:pPr>
              <w:spacing w:after="0"/>
              <w:rPr>
                <w:sz w:val="11"/>
                <w:szCs w:val="11"/>
                <w:color w:val="auto"/>
              </w:rPr>
            </w:pPr>
          </w:p>
        </w:tc>
        <w:tc>
          <w:tcPr>
            <w:tcW w:w="12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5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5"/>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1"/>
              </w:rPr>
              <w:t>N/A</w:t>
            </w: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vMerge w:val="restart"/>
            <w:shd w:val="clear" w:color="auto" w:fill="E7E7E2"/>
          </w:tcPr>
          <w:p>
            <w:pPr>
              <w:jc w:val="center"/>
              <w:ind w:right="55"/>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58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2"/>
            <w:vMerge w:val="continue"/>
            <w:shd w:val="clear" w:color="auto" w:fill="E7E7E2"/>
          </w:tcPr>
          <w:p>
            <w:pPr>
              <w:spacing w:after="0"/>
              <w:rPr>
                <w:sz w:val="11"/>
                <w:szCs w:val="11"/>
                <w:color w:val="auto"/>
              </w:rPr>
            </w:pPr>
          </w:p>
        </w:tc>
        <w:tc>
          <w:tcPr>
            <w:tcW w:w="12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5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1"/>
              </w:rPr>
              <w:t>N/A</w:t>
            </w: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60" w:type="dxa"/>
            <w:vAlign w:val="bottom"/>
            <w:vMerge w:val="restart"/>
            <w:shd w:val="clear" w:color="auto" w:fill="E7E7E2"/>
          </w:tcPr>
          <w:p>
            <w:pPr>
              <w:jc w:val="center"/>
              <w:ind w:right="55"/>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58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2"/>
            <w:vMerge w:val="continue"/>
            <w:shd w:val="clear" w:color="auto" w:fill="E7E7E2"/>
          </w:tcPr>
          <w:p>
            <w:pPr>
              <w:spacing w:after="0"/>
              <w:rPr>
                <w:sz w:val="11"/>
                <w:szCs w:val="11"/>
                <w:color w:val="auto"/>
              </w:rPr>
            </w:pPr>
          </w:p>
        </w:tc>
        <w:tc>
          <w:tcPr>
            <w:tcW w:w="12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5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34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5"/>
            <w:shd w:val="clear" w:color="auto" w:fill="9ADAF6"/>
          </w:tcPr>
          <w:p>
            <w:pPr>
              <w:jc w:val="center"/>
              <w:ind w:left="255"/>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jc w:val="center"/>
              <w:ind w:left="255"/>
              <w:spacing w:after="0" w:line="191"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7"/>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18"/>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jc w:val="center"/>
              <w:ind w:left="255"/>
              <w:spacing w:after="0" w:line="191"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18"/>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340" w:type="dxa"/>
            <w:vAlign w:val="bottom"/>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40" w:type="dxa"/>
            <w:vAlign w:val="bottom"/>
            <w:gridSpan w:val="2"/>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20" w:type="dxa"/>
            <w:vAlign w:val="bottom"/>
            <w:shd w:val="clear" w:color="auto" w:fill="E7E7E2"/>
          </w:tcPr>
          <w:p>
            <w:pPr>
              <w:ind w:left="5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jc w:val="center"/>
              <w:ind w:right="38"/>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ind w:left="6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lvl w:ilvl="1">
      <w:lvlJc w:val="left"/>
      <w:lvlText w:val="(%2)"/>
      <w:numFmt w:val="lowerRoman"/>
      <w:start w:val="1"/>
    </w:lvl>
  </w:abstractNum>
  <w:abstractNum w:abstractNumId="31">
    <w:nsid w:val="440BADFC"/>
    <w:multiLevelType w:val="hybridMultilevel"/>
    <w:lvl w:ilvl="0">
      <w:lvlJc w:val="left"/>
      <w:lvlText w:val="(%1)"/>
      <w:numFmt w:val="lowerRoman"/>
      <w:start w:val="3"/>
    </w:lvl>
  </w:abstractNum>
  <w:abstractNum w:abstractNumId="32">
    <w:nsid w:val="5072367"/>
    <w:multiLevelType w:val="hybridMultilevel"/>
    <w:lvl w:ilvl="0">
      <w:lvlJc w:val="left"/>
      <w:lvlText w:val="(%1)"/>
      <w:numFmt w:val="decimal"/>
      <w:start w:val="2"/>
    </w:lvl>
    <w:lvl w:ilvl="1">
      <w:lvlJc w:val="left"/>
      <w:lvlText w:val="(%2)"/>
      <w:numFmt w:val="lowerRoman"/>
      <w:start w:val="1"/>
    </w:lvl>
  </w:abstractNum>
  <w:abstractNum w:abstractNumId="33">
    <w:nsid w:val="3804823E"/>
    <w:multiLevelType w:val="hybridMultilevel"/>
    <w:lvl w:ilvl="0">
      <w:lvlJc w:val="left"/>
      <w:lvlText w:val="%1"/>
      <w:numFmt w:val="decimal"/>
      <w:start w:val="1"/>
    </w:lvl>
    <w:lvl w:ilvl="1">
      <w:lvlJc w:val="left"/>
      <w:lvlText w:val="(%2)"/>
      <w:numFmt w:val="lowerRoman"/>
      <w:start w:val="2"/>
    </w:lvl>
  </w:abstractNum>
  <w:abstractNum w:abstractNumId="34">
    <w:nsid w:val="77465F01"/>
    <w:multiLevelType w:val="hybridMultilevel"/>
    <w:lvl w:ilvl="0">
      <w:lvlJc w:val="left"/>
      <w:lvlText w:val="(%1)"/>
      <w:numFmt w:val="decimal"/>
      <w:start w:val="6"/>
    </w:lvl>
    <w:lvl w:ilvl="1">
      <w:lvlJc w:val="left"/>
      <w:lvlText w:val="(%2)"/>
      <w:numFmt w:val="lowerRoman"/>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lowerRoman"/>
      <w:start w:val="6"/>
    </w:lvl>
  </w:abstractNum>
  <w:abstractNum w:abstractNumId="38">
    <w:nsid w:val="5E884AD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71"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jpeg"/><Relationship Id="rId96" Type="http://schemas.openxmlformats.org/officeDocument/2006/relationships/image" Target="media/image76.png"/><Relationship Id="rId97" Type="http://schemas.openxmlformats.org/officeDocument/2006/relationships/image" Target="media/image77.jpeg"/><Relationship Id="rId98" Type="http://schemas.openxmlformats.org/officeDocument/2006/relationships/image" Target="media/image78.png"/><Relationship Id="rId99" Type="http://schemas.openxmlformats.org/officeDocument/2006/relationships/image" Target="media/image79.jpeg"/><Relationship Id="rId100" Type="http://schemas.openxmlformats.org/officeDocument/2006/relationships/image" Target="media/image80.png"/><Relationship Id="rId101" Type="http://schemas.openxmlformats.org/officeDocument/2006/relationships/image" Target="media/image81.jpeg"/><Relationship Id="rId102" Type="http://schemas.openxmlformats.org/officeDocument/2006/relationships/image" Target="media/image82.png"/><Relationship Id="rId103" Type="http://schemas.openxmlformats.org/officeDocument/2006/relationships/image" Target="media/image83.jpeg"/><Relationship Id="rId104" Type="http://schemas.openxmlformats.org/officeDocument/2006/relationships/image" Target="media/image84.png"/><Relationship Id="rId105" Type="http://schemas.openxmlformats.org/officeDocument/2006/relationships/image" Target="media/image85.jpeg"/><Relationship Id="rId106" Type="http://schemas.openxmlformats.org/officeDocument/2006/relationships/image" Target="media/image86.png"/><Relationship Id="rId107" Type="http://schemas.openxmlformats.org/officeDocument/2006/relationships/image" Target="media/image87.jpeg"/><Relationship Id="rId108" Type="http://schemas.openxmlformats.org/officeDocument/2006/relationships/image" Target="media/image88.png"/><Relationship Id="rId109" Type="http://schemas.openxmlformats.org/officeDocument/2006/relationships/image" Target="media/image89.jpe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32" Type="http://schemas.openxmlformats.org/officeDocument/2006/relationships/hyperlink" Target="https://www.sec.gov/ix?doc=/Archives/edgar/data/3197/000095017025026562/ceco-20241231.htm" TargetMode="External"/><Relationship Id="rId34" Type="http://schemas.openxmlformats.org/officeDocument/2006/relationships/hyperlink" Target="https://www.sec.gov/ix?doc=/Archives/edgar/data/3197/000095017025060136/ceco-20250331.htm" TargetMode="External"/><Relationship Id="rId35" Type="http://schemas.openxmlformats.org/officeDocument/2006/relationships/hyperlink" Target="https://www.sec.gov/ix?doc=/Archives/edgar/data/3197/000095017025099435/ceco-20250630.htm" TargetMode="External"/><Relationship Id="rId36" Type="http://schemas.openxmlformats.org/officeDocument/2006/relationships/hyperlink" Target="http://www.sec.gov/ix?doc=/Archives/edgar/data/3197/000119312525252944/ceco-20250930.htm" TargetMode="External"/><Relationship Id="rId37" Type="http://schemas.openxmlformats.org/officeDocument/2006/relationships/hyperlink" Target="https://www.sec.gov/ix?doc=/Archives/edgar/data/3197/000095017025083221/ceco-20250604.htm" TargetMode="External"/><Relationship Id="rId38" Type="http://schemas.openxmlformats.org/officeDocument/2006/relationships/hyperlink" Target="https://www.sec.gov/ix?doc=/Archives/edgar/data/3197/000095017025098303/ceco-20250718.htm" TargetMode="External"/><Relationship Id="rId39" Type="http://schemas.openxmlformats.org/officeDocument/2006/relationships/hyperlink" Target="https://www.sec.gov/ix?doc=/Archives/edgar/data/3197/000119312525204657/ceco-20250912.htm" TargetMode="External"/><Relationship Id="rId40" Type="http://schemas.openxmlformats.org/officeDocument/2006/relationships/hyperlink" Target="https://www.sec.gov/Archives/edgar/data/3197/000156459020008551/cece-ex41_99.htm" TargetMode="External"/><Relationship Id="rId68" Type="http://schemas.openxmlformats.org/officeDocument/2006/relationships/hyperlink" Target="https://www.sec.gov/Archives/edgar/data/3197/000095013102001241/dex3i.txt" TargetMode="External"/><Relationship Id="rId69" Type="http://schemas.openxmlformats.org/officeDocument/2006/relationships/hyperlink" Target="https://www.sec.gov/Archives/edgar/data/3197/000095017024063379/ceco-ex3_1.htm" TargetMode="External"/><Relationship Id="rId70" Type="http://schemas.openxmlformats.org/officeDocument/2006/relationships/hyperlink" Target="https://www.sec.gov/Archives/edgar/data/3197/000095017023006934/ceco-ex3_1.htm" TargetMode="External"/><Relationship Id="rId72" Type="http://schemas.openxmlformats.org/officeDocument/2006/relationships/hyperlink" Target="https://www.sec.gov/Archives/edgar/data/3197/000119312519115615/d696754dex43.htm" TargetMode="External"/><Relationship Id="rId73" Type="http://schemas.openxmlformats.org/officeDocument/2006/relationships/hyperlink" Target="https://www.sec.gov/Archives/edgar/data/3197/000119312519115615/d696754dex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2025-10-28T14:27:20Z</dcterms:created>
  <dcterms:modified xsi:type="dcterms:W3CDTF">2025-10-28T14:27:20Z</dcterms:modified>
</cp:coreProperties>
</file>