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6)*</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of $0.01 Per Share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12</w:t>
      </w:r>
    </w:p>
    <w:p>
      <w:pPr>
        <w:spacing w:after="0" w:line="279" w:lineRule="exact"/>
        <w:rPr>
          <w:sz w:val="20"/>
          <w:szCs w:val="20"/>
          <w:color w:val="auto"/>
        </w:rPr>
      </w:pPr>
    </w:p>
    <w:p>
      <w:pPr>
        <w:ind w:left="840" w:hanging="50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Trigran Investments, Inc.</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43" w:lineRule="exact"/>
        <w:rPr>
          <w:sz w:val="20"/>
          <w:szCs w:val="20"/>
          <w:color w:val="auto"/>
        </w:rPr>
      </w:pPr>
    </w:p>
    <w:p>
      <w:pPr>
        <w:ind w:left="1660" w:hanging="81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81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color w:val="auto"/>
        </w:rPr>
      </w:pPr>
    </w:p>
    <w:p>
      <w:pPr>
        <w:ind w:left="840" w:hanging="508"/>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60" w:hanging="508"/>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Illinois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-842010</wp:posOffset>
            </wp:positionV>
            <wp:extent cx="6120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-1022350</wp:posOffset>
            </wp:positionV>
            <wp:extent cx="6120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4,181,953 shares of common stock</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496"/>
        <w:spacing w:after="0"/>
        <w:tabs>
          <w:tab w:leader="none" w:pos="1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4,452,609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4,452,609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8" w:lineRule="exact"/>
        <w:rPr>
          <w:sz w:val="20"/>
          <w:szCs w:val="20"/>
          <w:color w:val="auto"/>
        </w:rPr>
      </w:pPr>
    </w:p>
    <w:p>
      <w:pPr>
        <w:ind w:left="840" w:hanging="553"/>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33" w:lineRule="exact"/>
        <w:rPr>
          <w:rFonts w:ascii="Arial" w:cs="Arial" w:eastAsia="Arial" w:hAnsi="Arial"/>
          <w:sz w:val="18"/>
          <w:szCs w:val="18"/>
          <w:color w:val="auto"/>
        </w:rPr>
      </w:pPr>
    </w:p>
    <w:p>
      <w:pPr>
        <w:ind w:left="840" w:hanging="550"/>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320"/>
        <w:spacing w:after="0" w:line="260" w:lineRule="auto"/>
        <w:rPr>
          <w:rFonts w:ascii="Arial" w:cs="Arial" w:eastAsia="Arial" w:hAnsi="Arial"/>
          <w:sz w:val="18"/>
          <w:szCs w:val="18"/>
          <w:color w:val="auto"/>
        </w:rPr>
      </w:pPr>
      <w:r>
        <w:rPr>
          <w:rFonts w:ascii="Arial" w:cs="Arial" w:eastAsia="Arial" w:hAnsi="Arial"/>
          <w:sz w:val="18"/>
          <w:szCs w:val="18"/>
          <w:color w:val="auto"/>
        </w:rPr>
        <w:t>Approximately 12.4% (based on 35,809,090 shares of common stock issued and outstanding as of November 3, 2021 pursuant to the CECO Environmental Corp. Form 10-Q filed with the SEC on November 8, 2021)</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its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12</w:t>
      </w:r>
    </w:p>
    <w:p>
      <w:pPr>
        <w:spacing w:after="0" w:line="279" w:lineRule="exact"/>
        <w:rPr>
          <w:sz w:val="20"/>
          <w:szCs w:val="20"/>
          <w:color w:val="auto"/>
        </w:rPr>
      </w:pPr>
    </w:p>
    <w:p>
      <w:pPr>
        <w:ind w:left="840" w:hanging="508"/>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Douglas Granat</w:t>
      </w:r>
    </w:p>
    <w:p>
      <w:pPr>
        <w:spacing w:after="0" w:line="306" w:lineRule="exact"/>
        <w:rPr>
          <w:rFonts w:ascii="Arial" w:cs="Arial" w:eastAsia="Arial" w:hAnsi="Arial"/>
          <w:sz w:val="18"/>
          <w:szCs w:val="18"/>
          <w:color w:val="auto"/>
        </w:rPr>
      </w:pPr>
    </w:p>
    <w:p>
      <w:pPr>
        <w:ind w:left="840" w:hanging="508"/>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-335915</wp:posOffset>
            </wp:positionV>
            <wp:extent cx="6635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 w:lineRule="exact"/>
        <w:rPr>
          <w:sz w:val="20"/>
          <w:szCs w:val="20"/>
          <w:color w:val="auto"/>
        </w:rPr>
      </w:pPr>
    </w:p>
    <w:p>
      <w:pPr>
        <w:ind w:left="1420" w:hanging="575"/>
        <w:spacing w:after="0" w:line="207" w:lineRule="exact"/>
        <w:tabs>
          <w:tab w:leader="none" w:pos="14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420" w:hanging="575"/>
        <w:spacing w:after="0" w:line="207" w:lineRule="exact"/>
        <w:tabs>
          <w:tab w:leader="none" w:pos="14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840" w:hanging="50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840" w:right="7760" w:hanging="508"/>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-508000</wp:posOffset>
            </wp:positionV>
            <wp:extent cx="6635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-850900</wp:posOffset>
            </wp:positionV>
            <wp:extent cx="6266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-1030605</wp:posOffset>
            </wp:positionV>
            <wp:extent cx="6266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4,181,953 shares of common stock</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496"/>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4,452,609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4,452,609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72" w:lineRule="exact"/>
        <w:rPr>
          <w:sz w:val="20"/>
          <w:szCs w:val="20"/>
          <w:color w:val="auto"/>
        </w:rPr>
      </w:pPr>
    </w:p>
    <w:p>
      <w:pPr>
        <w:ind w:left="840" w:hanging="553"/>
        <w:spacing w:after="0"/>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46" w:lineRule="exact"/>
        <w:rPr>
          <w:rFonts w:ascii="Arial" w:cs="Arial" w:eastAsia="Arial" w:hAnsi="Arial"/>
          <w:sz w:val="18"/>
          <w:szCs w:val="18"/>
          <w:color w:val="auto"/>
        </w:rPr>
      </w:pPr>
    </w:p>
    <w:p>
      <w:pPr>
        <w:ind w:left="840" w:hanging="550"/>
        <w:spacing w:after="0"/>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320"/>
        <w:spacing w:after="0" w:line="260" w:lineRule="auto"/>
        <w:rPr>
          <w:rFonts w:ascii="Arial" w:cs="Arial" w:eastAsia="Arial" w:hAnsi="Arial"/>
          <w:sz w:val="18"/>
          <w:szCs w:val="18"/>
          <w:color w:val="auto"/>
        </w:rPr>
      </w:pPr>
      <w:r>
        <w:rPr>
          <w:rFonts w:ascii="Arial" w:cs="Arial" w:eastAsia="Arial" w:hAnsi="Arial"/>
          <w:sz w:val="18"/>
          <w:szCs w:val="18"/>
          <w:color w:val="auto"/>
        </w:rPr>
        <w:t>Approximately 12.4% (based on 35,809,090 shares of common stock issued and outstanding as of November 3, 2021 pursuant to the CECO Environmental Corp. Form 10-Q filed with the SEC on November 8, 2021)</w:t>
      </w:r>
    </w:p>
    <w:p>
      <w:pPr>
        <w:spacing w:after="0" w:line="306"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-748665</wp:posOffset>
            </wp:positionV>
            <wp:extent cx="6635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-1374775</wp:posOffset>
            </wp:positionV>
            <wp:extent cx="6635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12</w:t>
      </w:r>
    </w:p>
    <w:p>
      <w:pPr>
        <w:spacing w:after="0" w:line="279" w:lineRule="exact"/>
        <w:rPr>
          <w:sz w:val="20"/>
          <w:szCs w:val="20"/>
          <w:color w:val="auto"/>
        </w:rPr>
      </w:pPr>
    </w:p>
    <w:p>
      <w:pPr>
        <w:ind w:left="840" w:hanging="508"/>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Lawrence A. Oberman</w:t>
      </w:r>
    </w:p>
    <w:p>
      <w:pPr>
        <w:spacing w:after="0" w:line="306" w:lineRule="exact"/>
        <w:rPr>
          <w:rFonts w:ascii="Arial" w:cs="Arial" w:eastAsia="Arial" w:hAnsi="Arial"/>
          <w:sz w:val="18"/>
          <w:szCs w:val="18"/>
          <w:color w:val="auto"/>
        </w:rPr>
      </w:pPr>
    </w:p>
    <w:p>
      <w:pPr>
        <w:ind w:left="840" w:hanging="508"/>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-335915</wp:posOffset>
            </wp:positionV>
            <wp:extent cx="6635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 w:lineRule="exact"/>
        <w:rPr>
          <w:sz w:val="20"/>
          <w:szCs w:val="20"/>
          <w:color w:val="auto"/>
        </w:rPr>
      </w:pPr>
    </w:p>
    <w:p>
      <w:pPr>
        <w:ind w:left="1420" w:hanging="575"/>
        <w:spacing w:after="0" w:line="207" w:lineRule="exact"/>
        <w:tabs>
          <w:tab w:leader="none" w:pos="14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420" w:hanging="575"/>
        <w:spacing w:after="0" w:line="207" w:lineRule="exact"/>
        <w:tabs>
          <w:tab w:leader="none" w:pos="14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9" w:lineRule="exact"/>
        <w:rPr>
          <w:rFonts w:ascii="Arial" w:cs="Arial" w:eastAsia="Arial" w:hAnsi="Arial"/>
          <w:sz w:val="18"/>
          <w:szCs w:val="18"/>
          <w:color w:val="auto"/>
        </w:rPr>
      </w:pPr>
    </w:p>
    <w:p>
      <w:pPr>
        <w:ind w:left="840" w:hanging="50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840" w:right="7760" w:hanging="508"/>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-508000</wp:posOffset>
            </wp:positionV>
            <wp:extent cx="6635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-859155</wp:posOffset>
            </wp:positionV>
            <wp:extent cx="6266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-1039495</wp:posOffset>
            </wp:positionV>
            <wp:extent cx="6266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4,181,953 shares of common stock</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496"/>
        <w:spacing w:after="0"/>
        <w:tabs>
          <w:tab w:leader="none" w:pos="1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4,452,609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4,452,609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72" w:lineRule="exact"/>
        <w:rPr>
          <w:sz w:val="20"/>
          <w:szCs w:val="20"/>
          <w:color w:val="auto"/>
        </w:rPr>
      </w:pPr>
    </w:p>
    <w:p>
      <w:pPr>
        <w:ind w:left="840" w:hanging="553"/>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46" w:lineRule="exact"/>
        <w:rPr>
          <w:rFonts w:ascii="Arial" w:cs="Arial" w:eastAsia="Arial" w:hAnsi="Arial"/>
          <w:sz w:val="18"/>
          <w:szCs w:val="18"/>
          <w:color w:val="auto"/>
        </w:rPr>
      </w:pPr>
    </w:p>
    <w:p>
      <w:pPr>
        <w:ind w:left="840" w:hanging="550"/>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320"/>
        <w:spacing w:after="0" w:line="260" w:lineRule="auto"/>
        <w:rPr>
          <w:rFonts w:ascii="Arial" w:cs="Arial" w:eastAsia="Arial" w:hAnsi="Arial"/>
          <w:sz w:val="18"/>
          <w:szCs w:val="18"/>
          <w:color w:val="auto"/>
        </w:rPr>
      </w:pPr>
      <w:r>
        <w:rPr>
          <w:rFonts w:ascii="Arial" w:cs="Arial" w:eastAsia="Arial" w:hAnsi="Arial"/>
          <w:sz w:val="18"/>
          <w:szCs w:val="18"/>
          <w:color w:val="auto"/>
        </w:rPr>
        <w:t>Approximately 12.4% (based on 35,809,090 shares of common stock issued and outstanding as of November 3, 2021 pursuant to the CECO Environmental Corp. Form 10-Q filed with the SEC on November 8, 2021)</w:t>
      </w:r>
    </w:p>
    <w:p>
      <w:pPr>
        <w:spacing w:after="0" w:line="306"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-748665</wp:posOffset>
            </wp:positionV>
            <wp:extent cx="6635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-1374775</wp:posOffset>
            </wp:positionV>
            <wp:extent cx="66351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12</w:t>
      </w:r>
    </w:p>
    <w:p>
      <w:pPr>
        <w:spacing w:after="0" w:line="279" w:lineRule="exact"/>
        <w:rPr>
          <w:sz w:val="20"/>
          <w:szCs w:val="20"/>
          <w:color w:val="auto"/>
        </w:rPr>
      </w:pPr>
    </w:p>
    <w:p>
      <w:pPr>
        <w:ind w:left="840" w:hanging="50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G. Simon</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 w:lineRule="exact"/>
        <w:rPr>
          <w:sz w:val="20"/>
          <w:szCs w:val="20"/>
          <w:color w:val="auto"/>
        </w:rPr>
      </w:pPr>
    </w:p>
    <w:p>
      <w:pPr>
        <w:ind w:left="1420" w:hanging="575"/>
        <w:spacing w:after="0" w:line="207" w:lineRule="exact"/>
        <w:tabs>
          <w:tab w:leader="none" w:pos="142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420" w:hanging="575"/>
        <w:spacing w:after="0" w:line="207" w:lineRule="exact"/>
        <w:tabs>
          <w:tab w:leader="none" w:pos="142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840" w:hanging="508"/>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60" w:hanging="508"/>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-842010</wp:posOffset>
            </wp:positionV>
            <wp:extent cx="6266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-1022350</wp:posOffset>
            </wp:positionV>
            <wp:extent cx="6266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4,181,953 shares of common stock</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394"/>
        <w:spacing w:after="0"/>
        <w:tabs>
          <w:tab w:leader="none" w:pos="1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4,452,609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4,452,609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26" w:lineRule="exact"/>
        <w:rPr>
          <w:sz w:val="20"/>
          <w:szCs w:val="20"/>
          <w:color w:val="auto"/>
        </w:rPr>
      </w:pPr>
    </w:p>
    <w:p>
      <w:pPr>
        <w:ind w:left="840" w:hanging="553"/>
        <w:spacing w:after="0" w:line="207" w:lineRule="exact"/>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840" w:hanging="550"/>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320"/>
        <w:spacing w:after="0" w:line="260" w:lineRule="auto"/>
        <w:rPr>
          <w:rFonts w:ascii="Arial" w:cs="Arial" w:eastAsia="Arial" w:hAnsi="Arial"/>
          <w:sz w:val="18"/>
          <w:szCs w:val="18"/>
          <w:color w:val="auto"/>
        </w:rPr>
      </w:pPr>
      <w:r>
        <w:rPr>
          <w:rFonts w:ascii="Arial" w:cs="Arial" w:eastAsia="Arial" w:hAnsi="Arial"/>
          <w:sz w:val="18"/>
          <w:szCs w:val="18"/>
          <w:color w:val="auto"/>
        </w:rPr>
        <w:t>Approximately 12.4% (based on 35,809,090 shares of common stock issued and outstanding as of November 3, 2021 pursuant to the CECO Environmental Corp. Form 10-Q filed with the SEC on November 8, 2021)</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12</w:t>
      </w:r>
    </w:p>
    <w:p>
      <w:pPr>
        <w:spacing w:after="0" w:line="279" w:lineRule="exact"/>
        <w:rPr>
          <w:sz w:val="20"/>
          <w:szCs w:val="20"/>
          <w:color w:val="auto"/>
        </w:rPr>
      </w:pPr>
    </w:p>
    <w:p>
      <w:pPr>
        <w:ind w:left="840" w:hanging="508"/>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Bradley F. Simon</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43" w:lineRule="exact"/>
        <w:rPr>
          <w:sz w:val="20"/>
          <w:szCs w:val="20"/>
          <w:color w:val="auto"/>
        </w:rPr>
      </w:pPr>
    </w:p>
    <w:p>
      <w:pPr>
        <w:ind w:left="1500" w:hanging="655"/>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500" w:hanging="655"/>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color w:val="auto"/>
        </w:rPr>
      </w:pPr>
    </w:p>
    <w:p>
      <w:pPr>
        <w:ind w:left="840" w:hanging="508"/>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60" w:hanging="508"/>
        <w:spacing w:after="0" w:line="277"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-842010</wp:posOffset>
            </wp:positionV>
            <wp:extent cx="6223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-1022350</wp:posOffset>
            </wp:positionV>
            <wp:extent cx="6223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4,181,953 shares of common stock</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394"/>
        <w:spacing w:after="0"/>
        <w:tabs>
          <w:tab w:leader="none" w:pos="18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4,452,609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4,452,609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8" w:lineRule="exact"/>
        <w:rPr>
          <w:sz w:val="20"/>
          <w:szCs w:val="20"/>
          <w:color w:val="auto"/>
        </w:rPr>
      </w:pPr>
    </w:p>
    <w:p>
      <w:pPr>
        <w:ind w:left="840" w:hanging="553"/>
        <w:spacing w:after="0"/>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33" w:lineRule="exact"/>
        <w:rPr>
          <w:rFonts w:ascii="Arial" w:cs="Arial" w:eastAsia="Arial" w:hAnsi="Arial"/>
          <w:sz w:val="18"/>
          <w:szCs w:val="18"/>
          <w:color w:val="auto"/>
        </w:rPr>
      </w:pPr>
    </w:p>
    <w:p>
      <w:pPr>
        <w:ind w:left="840" w:hanging="550"/>
        <w:spacing w:after="0"/>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320"/>
        <w:spacing w:after="0" w:line="260" w:lineRule="auto"/>
        <w:rPr>
          <w:rFonts w:ascii="Arial" w:cs="Arial" w:eastAsia="Arial" w:hAnsi="Arial"/>
          <w:sz w:val="18"/>
          <w:szCs w:val="18"/>
          <w:color w:val="auto"/>
        </w:rPr>
      </w:pPr>
      <w:r>
        <w:rPr>
          <w:rFonts w:ascii="Arial" w:cs="Arial" w:eastAsia="Arial" w:hAnsi="Arial"/>
          <w:sz w:val="18"/>
          <w:szCs w:val="18"/>
          <w:color w:val="auto"/>
        </w:rPr>
        <w:t>Approximately 12.4% (based on 35,809,090 shares of common stock issued and outstanding as of November 3, 2021 pursuant to the CECO Environmental Corp. Form 10-Q filed with the SEC on November 8, 2021)</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 of 12</w:t>
      </w:r>
    </w:p>
    <w:p>
      <w:pPr>
        <w:spacing w:after="0" w:line="279" w:lineRule="exact"/>
        <w:rPr>
          <w:sz w:val="20"/>
          <w:szCs w:val="20"/>
          <w:color w:val="auto"/>
        </w:rPr>
      </w:pPr>
    </w:p>
    <w:p>
      <w:pPr>
        <w:ind w:left="840" w:hanging="508"/>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R. Monieson</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43" w:lineRule="exact"/>
        <w:rPr>
          <w:sz w:val="20"/>
          <w:szCs w:val="20"/>
          <w:color w:val="auto"/>
        </w:rPr>
      </w:pPr>
    </w:p>
    <w:p>
      <w:pPr>
        <w:ind w:left="1500" w:hanging="655"/>
        <w:spacing w:after="0"/>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500" w:hanging="655"/>
        <w:spacing w:after="0"/>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color w:val="auto"/>
        </w:rPr>
      </w:pPr>
    </w:p>
    <w:p>
      <w:pPr>
        <w:ind w:left="840" w:hanging="508"/>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60" w:hanging="508"/>
        <w:spacing w:after="0" w:line="277"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-842010</wp:posOffset>
            </wp:positionV>
            <wp:extent cx="6223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-1022350</wp:posOffset>
            </wp:positionV>
            <wp:extent cx="6223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4,181,953 shares of common stock</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394"/>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4,452,609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4,452,609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8" w:lineRule="exact"/>
        <w:rPr>
          <w:sz w:val="20"/>
          <w:szCs w:val="20"/>
          <w:color w:val="auto"/>
        </w:rPr>
      </w:pPr>
    </w:p>
    <w:p>
      <w:pPr>
        <w:ind w:left="840" w:hanging="553"/>
        <w:spacing w:after="0"/>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33" w:lineRule="exact"/>
        <w:rPr>
          <w:rFonts w:ascii="Arial" w:cs="Arial" w:eastAsia="Arial" w:hAnsi="Arial"/>
          <w:sz w:val="18"/>
          <w:szCs w:val="18"/>
          <w:color w:val="auto"/>
        </w:rPr>
      </w:pPr>
    </w:p>
    <w:p>
      <w:pPr>
        <w:ind w:left="840" w:hanging="550"/>
        <w:spacing w:after="0"/>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320"/>
        <w:spacing w:after="0" w:line="260" w:lineRule="auto"/>
        <w:rPr>
          <w:rFonts w:ascii="Arial" w:cs="Arial" w:eastAsia="Arial" w:hAnsi="Arial"/>
          <w:sz w:val="18"/>
          <w:szCs w:val="18"/>
          <w:color w:val="auto"/>
        </w:rPr>
      </w:pPr>
      <w:r>
        <w:rPr>
          <w:rFonts w:ascii="Arial" w:cs="Arial" w:eastAsia="Arial" w:hAnsi="Arial"/>
          <w:sz w:val="18"/>
          <w:szCs w:val="18"/>
          <w:color w:val="auto"/>
        </w:rPr>
        <w:t>Approximately 12.4% (based on 35,809,090 shares of common stock issued and outstanding as of November 3, 2021 pursuant to the CECO Environmental Corp. Form 10-Q filed with the SEC on November 8, 2021)</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12</w:t>
      </w:r>
    </w:p>
    <w:p>
      <w:pPr>
        <w:spacing w:after="0" w:line="2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64204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4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14651 North Dallas Parkway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40005</wp:posOffset>
            </wp:positionV>
            <wp:extent cx="64204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204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20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4204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204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204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751840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720" w:space="400"/>
            <w:col w:w="10120"/>
          </w:cols>
          <w:pgMar w:left="320" w:top="908" w:right="339" w:bottom="1440" w:gutter="0" w:footer="0" w:header="0"/>
          <w:type w:val="continuous"/>
        </w:sectPr>
      </w:pPr>
    </w:p>
    <w:bookmarkStart w:id="8" w:name="page9"/>
    <w:bookmarkEnd w:id="8"/>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12</w:t>
      </w: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50" w:lineRule="exact"/>
        <w:rPr>
          <w:sz w:val="20"/>
          <w:szCs w:val="20"/>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76"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63"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63"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63"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63"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63"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63"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63" w:lineRule="exact"/>
        <w:rPr>
          <w:rFonts w:ascii="Arial" w:cs="Arial" w:eastAsia="Arial" w:hAnsi="Arial"/>
          <w:sz w:val="18"/>
          <w:szCs w:val="18"/>
          <w:color w:val="auto"/>
        </w:rPr>
      </w:pPr>
    </w:p>
    <w:p>
      <w:pPr>
        <w:ind w:left="1700" w:right="300" w:hanging="896"/>
        <w:spacing w:after="0" w:line="233" w:lineRule="exact"/>
        <w:tabs>
          <w:tab w:leader="none" w:pos="1255"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7"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760" w:type="dxa"/>
            <w:vAlign w:val="bottom"/>
          </w:tcPr>
          <w:p>
            <w:pPr>
              <w:spacing w:after="0" w:line="207" w:lineRule="exact"/>
              <w:rPr>
                <w:sz w:val="20"/>
                <w:szCs w:val="20"/>
                <w:color w:val="auto"/>
              </w:rPr>
            </w:pPr>
            <w:r>
              <w:rPr>
                <w:rFonts w:ascii="Arial" w:cs="Arial" w:eastAsia="Arial" w:hAnsi="Arial"/>
                <w:sz w:val="18"/>
                <w:szCs w:val="18"/>
                <w:color w:val="auto"/>
              </w:rPr>
              <w:t xml:space="preserve">(k)   </w:t>
            </w:r>
            <w:r>
              <w:rPr>
                <w:rFonts w:ascii="MS PGothic" w:cs="MS PGothic" w:eastAsia="MS PGothic" w:hAnsi="MS PGothic"/>
                <w:sz w:val="18"/>
                <w:szCs w:val="18"/>
                <w:color w:val="auto"/>
              </w:rPr>
              <w:t>☐</w:t>
            </w: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Group, in accordance with Rule 13d-1(b)(1)(ii)(K). If filing as a non-U.S. institution in accordance with Rule 13d–1(b)(1)(ii)(J),</w:t>
            </w:r>
          </w:p>
        </w:tc>
      </w:tr>
      <w:tr>
        <w:trPr>
          <w:trHeight w:val="230"/>
        </w:trPr>
        <w:tc>
          <w:tcPr>
            <w:tcW w:w="76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please specify the type of institution:______________</w:t>
            </w:r>
          </w:p>
        </w:tc>
      </w:tr>
    </w:tbl>
    <w:p>
      <w:pPr>
        <w:spacing w:after="0" w:line="26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3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Ownership:(2)</w:t>
      </w:r>
    </w:p>
    <w:p>
      <w:pPr>
        <w:spacing w:after="0" w:line="283" w:lineRule="exact"/>
        <w:rPr>
          <w:sz w:val="20"/>
          <w:szCs w:val="20"/>
          <w:color w:val="auto"/>
        </w:rPr>
      </w:pPr>
    </w:p>
    <w:p>
      <w:pPr>
        <w:ind w:left="1120" w:hanging="329"/>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116" w:lineRule="exact"/>
        <w:rPr>
          <w:rFonts w:ascii="Arial" w:cs="Arial" w:eastAsia="Arial" w:hAnsi="Arial"/>
          <w:sz w:val="18"/>
          <w:szCs w:val="18"/>
          <w:color w:val="auto"/>
        </w:rPr>
      </w:pPr>
    </w:p>
    <w:p>
      <w:pPr>
        <w:ind w:left="1120" w:hanging="329"/>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116" w:lineRule="exact"/>
        <w:rPr>
          <w:rFonts w:ascii="Arial" w:cs="Arial" w:eastAsia="Arial" w:hAnsi="Arial"/>
          <w:sz w:val="18"/>
          <w:szCs w:val="18"/>
          <w:color w:val="auto"/>
        </w:rPr>
      </w:pPr>
    </w:p>
    <w:p>
      <w:pPr>
        <w:ind w:left="1120" w:hanging="329"/>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186055</wp:posOffset>
            </wp:positionV>
            <wp:extent cx="64293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-164465</wp:posOffset>
            </wp:positionV>
            <wp:extent cx="64293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-516255</wp:posOffset>
            </wp:positionV>
            <wp:extent cx="64293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327" w:lineRule="exact"/>
        <w:rPr>
          <w:sz w:val="20"/>
          <w:szCs w:val="20"/>
          <w:color w:val="auto"/>
        </w:rPr>
      </w:pPr>
    </w:p>
    <w:p>
      <w:pPr>
        <w:ind w:left="1520" w:hanging="288"/>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40005</wp:posOffset>
            </wp:positionV>
            <wp:extent cx="61722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6" w:lineRule="exact"/>
        <w:rPr>
          <w:sz w:val="20"/>
          <w:szCs w:val="20"/>
          <w:color w:val="auto"/>
        </w:rPr>
      </w:pPr>
    </w:p>
    <w:p>
      <w:pPr>
        <w:ind w:left="1520" w:hanging="312"/>
        <w:spacing w:after="0"/>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40005</wp:posOffset>
            </wp:positionV>
            <wp:extent cx="6172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6" w:lineRule="exact"/>
        <w:rPr>
          <w:sz w:val="20"/>
          <w:szCs w:val="20"/>
          <w:color w:val="auto"/>
        </w:rPr>
      </w:pPr>
    </w:p>
    <w:p>
      <w:pPr>
        <w:ind w:left="1520" w:hanging="338"/>
        <w:spacing w:after="0"/>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116" w:lineRule="exact"/>
        <w:rPr>
          <w:rFonts w:ascii="Arial" w:cs="Arial" w:eastAsia="Arial" w:hAnsi="Arial"/>
          <w:sz w:val="18"/>
          <w:szCs w:val="18"/>
          <w:color w:val="auto"/>
        </w:rPr>
      </w:pPr>
    </w:p>
    <w:p>
      <w:pPr>
        <w:ind w:left="1520" w:hanging="332"/>
        <w:spacing w:after="0"/>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332" w:lineRule="exact"/>
        <w:rPr>
          <w:rFonts w:ascii="Arial" w:cs="Arial" w:eastAsia="Arial" w:hAnsi="Arial"/>
          <w:sz w:val="18"/>
          <w:szCs w:val="18"/>
          <w:color w:val="auto"/>
        </w:rPr>
      </w:pPr>
    </w:p>
    <w:p>
      <w:pPr>
        <w:ind w:right="20" w:firstLine="8"/>
        <w:spacing w:after="0" w:line="308" w:lineRule="auto"/>
        <w:tabs>
          <w:tab w:leader="none" w:pos="31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Douglas Granat, Lawrence A. Oberman, Steven G. Simon, Bradley F. Simon, and Steven R. Monieson are the controlling shareholders and officers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-488950</wp:posOffset>
            </wp:positionV>
            <wp:extent cx="6172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-840105</wp:posOffset>
            </wp:positionV>
            <wp:extent cx="61722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tabs>
          <w:tab w:leader="none" w:pos="5100" w:val="left"/>
          <w:tab w:leader="none" w:pos="102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10 of 12</w:t>
      </w: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Trigran Investments, Inc. provides investment advisory services to Trigran Investments, L.P., a private investment partnership for which Trigran Investments, Inc. has sole investment discretion and voting authority. Trigran Investments, L.P. beneficially owns less than five percent of the class of securities to which this Schedule 13G relates and has separately filed a Schedule 13G exit filing contemporaneously herewith. The shares beneficially owned by Trigran Investments, L.P. continue to be included in the total number of shares referenced in this Schedule 13G.</w:t>
      </w: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5920"/>
        <w:spacing w:after="0"/>
        <w:tabs>
          <w:tab w:leader="none" w:pos="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67"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tabs>
          <w:tab w:leader="none" w:pos="5100" w:val="left"/>
          <w:tab w:leader="none" w:pos="102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12</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Reporting Persons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CUSIP No. 125141101</w:t>
            </w:r>
          </w:p>
        </w:tc>
        <w:tc>
          <w:tcPr>
            <w:tcW w:w="3840" w:type="dxa"/>
            <w:vAlign w:val="bottom"/>
          </w:tcPr>
          <w:p>
            <w:pPr>
              <w:ind w:left="760"/>
              <w:spacing w:after="0"/>
              <w:rPr>
                <w:sz w:val="20"/>
                <w:szCs w:val="20"/>
                <w:color w:val="auto"/>
              </w:rPr>
            </w:pPr>
            <w:r>
              <w:rPr>
                <w:rFonts w:ascii="Arial" w:cs="Arial" w:eastAsia="Arial" w:hAnsi="Arial"/>
                <w:sz w:val="18"/>
                <w:szCs w:val="18"/>
                <w:color w:val="auto"/>
              </w:rPr>
              <w:t>Schedule 13G</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Page 12 of 12</w:t>
            </w:r>
          </w:p>
        </w:tc>
      </w:tr>
      <w:tr>
        <w:trPr>
          <w:trHeight w:val="39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18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384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675"/>
        </w:trPr>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2" w:name="page13"/>
    <w:bookmarkEnd w:id="12"/>
    <w:p>
      <w:pPr>
        <w:spacing w:after="0"/>
        <w:tabs>
          <w:tab w:leader="none" w:pos="5100" w:val="left"/>
          <w:tab w:leader="none" w:pos="104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10, 2022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lvl w:ilvl="1">
      <w:lvlJc w:val="left"/>
      <w:lvlText w:val="(%2)"/>
      <w:numFmt w:val="lowerLetter"/>
      <w:start w:val="1"/>
    </w:lvl>
  </w:abstractNum>
  <w:abstractNum w:abstractNumId="4">
    <w:nsid w:val="71F32454"/>
    <w:multiLevelType w:val="hybridMultilevel"/>
    <w:lvl w:ilvl="0">
      <w:lvlJc w:val="left"/>
      <w:lvlText w:val="%1."/>
      <w:numFmt w:val="decimal"/>
      <w:start w:val="3"/>
    </w:lvl>
    <w:lvl w:ilvl="1">
      <w:lvlJc w:val="left"/>
      <w:lvlText w:val="%2"/>
      <w:numFmt w:val="lowerLetter"/>
      <w:start w:val="1"/>
    </w:lvl>
  </w:abstractNum>
  <w:abstractNum w:abstractNumId="5">
    <w:nsid w:val="2CA88611"/>
    <w:multiLevelType w:val="hybridMultilevel"/>
    <w:lvl w:ilvl="0">
      <w:lvlJc w:val="left"/>
      <w:lvlText w:val="%1"/>
      <w:numFmt w:val="decimal"/>
      <w:start w:val="1"/>
    </w:lvl>
    <w:lvl w:ilvl="1">
      <w:lvlJc w:val="left"/>
      <w:lvlText w:val="%2."/>
      <w:numFmt w:val="decimal"/>
      <w:start w:val="8"/>
    </w:lvl>
  </w:abstractNum>
  <w:abstractNum w:abstractNumId="6">
    <w:nsid w:val="836C40E"/>
    <w:multiLevelType w:val="hybridMultilevel"/>
    <w:lvl w:ilvl="0">
      <w:lvlJc w:val="left"/>
      <w:lvlText w:val="%1."/>
      <w:numFmt w:val="decimal"/>
      <w:start w:val="9"/>
    </w:lvl>
    <w:lvl w:ilvl="1">
      <w:lvlJc w:val="left"/>
      <w:lvlText w:val="%2"/>
      <w:numFmt w:val="decimal"/>
      <w:start w:val="1"/>
    </w:lvl>
  </w:abstractNum>
  <w:abstractNum w:abstractNumId="7">
    <w:nsid w:val="2901D82"/>
    <w:multiLevelType w:val="hybridMultilevel"/>
    <w:lvl w:ilvl="0">
      <w:lvlJc w:val="left"/>
      <w:lvlText w:val="%1"/>
      <w:numFmt w:val="decimal"/>
      <w:start w:val="1"/>
    </w:lvl>
    <w:lvl w:ilvl="1">
      <w:lvlJc w:val="left"/>
      <w:lvlText w:val="%2."/>
      <w:numFmt w:val="decimal"/>
      <w:start w:val="10"/>
    </w:lvl>
  </w:abstractNum>
  <w:abstractNum w:abstractNumId="8">
    <w:nsid w:val="3A95F874"/>
    <w:multiLevelType w:val="hybridMultilevel"/>
    <w:lvl w:ilvl="0">
      <w:lvlJc w:val="left"/>
      <w:lvlText w:val="(%1)"/>
      <w:numFmt w:val="decimal"/>
      <w:start w:val="1"/>
    </w:lvl>
    <w:lvl w:ilvl="1">
      <w:lvlJc w:val="left"/>
      <w:lvlText w:val="%2"/>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lvl w:ilvl="1">
      <w:lvlJc w:val="left"/>
      <w:lvlText w:val="(%2)"/>
      <w:numFmt w:val="lowerLetter"/>
      <w:start w:val="1"/>
    </w:lvl>
  </w:abstractNum>
  <w:abstractNum w:abstractNumId="11">
    <w:nsid w:val="7C3DBD3D"/>
    <w:multiLevelType w:val="hybridMultilevel"/>
    <w:lvl w:ilvl="0">
      <w:lvlJc w:val="left"/>
      <w:lvlText w:val="%1."/>
      <w:numFmt w:val="decimal"/>
      <w:start w:val="3"/>
    </w:lvl>
    <w:lvl w:ilvl="1">
      <w:lvlJc w:val="left"/>
      <w:lvlText w:val="%2"/>
      <w:numFmt w:val="lowerLetter"/>
      <w:start w:val="1"/>
    </w:lvl>
  </w:abstractNum>
  <w:abstractNum w:abstractNumId="12">
    <w:nsid w:val="737B8DDC"/>
    <w:multiLevelType w:val="hybridMultilevel"/>
    <w:lvl w:ilvl="0">
      <w:lvlJc w:val="left"/>
      <w:lvlText w:val="%1"/>
      <w:numFmt w:val="decimal"/>
      <w:start w:val="1"/>
    </w:lvl>
    <w:lvl w:ilvl="1">
      <w:lvlJc w:val="left"/>
      <w:lvlText w:val="%2."/>
      <w:numFmt w:val="decimal"/>
      <w:start w:val="8"/>
    </w:lvl>
  </w:abstractNum>
  <w:abstractNum w:abstractNumId="13">
    <w:nsid w:val="6CEAF087"/>
    <w:multiLevelType w:val="hybridMultilevel"/>
    <w:lvl w:ilvl="0">
      <w:lvlJc w:val="left"/>
      <w:lvlText w:val="%1."/>
      <w:numFmt w:val="decimal"/>
      <w:start w:val="9"/>
    </w:lvl>
    <w:lvl w:ilvl="1">
      <w:lvlJc w:val="left"/>
      <w:lvlText w:val="%2"/>
      <w:numFmt w:val="decimal"/>
      <w:start w:val="1"/>
    </w:lvl>
  </w:abstractNum>
  <w:abstractNum w:abstractNumId="14">
    <w:nsid w:val="22221A70"/>
    <w:multiLevelType w:val="hybridMultilevel"/>
    <w:lvl w:ilvl="0">
      <w:lvlJc w:val="left"/>
      <w:lvlText w:val="%1"/>
      <w:numFmt w:val="decimal"/>
      <w:start w:val="1"/>
    </w:lvl>
    <w:lvl w:ilvl="1">
      <w:lvlJc w:val="left"/>
      <w:lvlText w:val="%2."/>
      <w:numFmt w:val="decimal"/>
      <w:start w:val="10"/>
    </w:lvl>
  </w:abstractNum>
  <w:abstractNum w:abstractNumId="15">
    <w:nsid w:val="4516DDE9"/>
    <w:multiLevelType w:val="hybridMultilevel"/>
    <w:lvl w:ilvl="0">
      <w:lvlJc w:val="left"/>
      <w:lvlText w:val="(%1)"/>
      <w:numFmt w:val="decimal"/>
      <w:start w:val="1"/>
    </w:lvl>
    <w:lvl w:ilvl="1">
      <w:lvlJc w:val="left"/>
      <w:lvlText w:val="%2"/>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lvl w:ilvl="1">
      <w:lvlJc w:val="left"/>
      <w:lvlText w:val="(%2)"/>
      <w:numFmt w:val="lowerLetter"/>
      <w:start w:val="1"/>
    </w:lvl>
  </w:abstractNum>
  <w:abstractNum w:abstractNumId="18">
    <w:nsid w:val="419AC241"/>
    <w:multiLevelType w:val="hybridMultilevel"/>
    <w:lvl w:ilvl="0">
      <w:lvlJc w:val="left"/>
      <w:lvlText w:val="%1."/>
      <w:numFmt w:val="decimal"/>
      <w:start w:val="3"/>
    </w:lvl>
    <w:lvl w:ilvl="1">
      <w:lvlJc w:val="left"/>
      <w:lvlText w:val="%2"/>
      <w:numFmt w:val="lowerLetter"/>
      <w:start w:val="1"/>
    </w:lvl>
  </w:abstractNum>
  <w:abstractNum w:abstractNumId="19">
    <w:nsid w:val="5577F8E1"/>
    <w:multiLevelType w:val="hybridMultilevel"/>
    <w:lvl w:ilvl="0">
      <w:lvlJc w:val="left"/>
      <w:lvlText w:val="%1"/>
      <w:numFmt w:val="decimal"/>
      <w:start w:val="1"/>
    </w:lvl>
    <w:lvl w:ilvl="1">
      <w:lvlJc w:val="left"/>
      <w:lvlText w:val="%2."/>
      <w:numFmt w:val="decimal"/>
      <w:start w:val="8"/>
    </w:lvl>
  </w:abstractNum>
  <w:abstractNum w:abstractNumId="20">
    <w:nsid w:val="440BADFC"/>
    <w:multiLevelType w:val="hybridMultilevel"/>
    <w:lvl w:ilvl="0">
      <w:lvlJc w:val="left"/>
      <w:lvlText w:val="%1."/>
      <w:numFmt w:val="decimal"/>
      <w:start w:val="9"/>
    </w:lvl>
    <w:lvl w:ilvl="1">
      <w:lvlJc w:val="left"/>
      <w:lvlText w:val="%2"/>
      <w:numFmt w:val="decimal"/>
      <w:start w:val="1"/>
    </w:lvl>
  </w:abstractNum>
  <w:abstractNum w:abstractNumId="21">
    <w:nsid w:val="5072367"/>
    <w:multiLevelType w:val="hybridMultilevel"/>
    <w:lvl w:ilvl="0">
      <w:lvlJc w:val="left"/>
      <w:lvlText w:val="%1"/>
      <w:numFmt w:val="decimal"/>
      <w:start w:val="1"/>
    </w:lvl>
    <w:lvl w:ilvl="1">
      <w:lvlJc w:val="left"/>
      <w:lvlText w:val="%2."/>
      <w:numFmt w:val="decimal"/>
      <w:start w:val="10"/>
    </w:lvl>
  </w:abstractNum>
  <w:abstractNum w:abstractNumId="22">
    <w:nsid w:val="3804823E"/>
    <w:multiLevelType w:val="hybridMultilevel"/>
    <w:lvl w:ilvl="0">
      <w:lvlJc w:val="left"/>
      <w:lvlText w:val="(%1)"/>
      <w:numFmt w:val="decimal"/>
      <w:start w:val="1"/>
    </w:lvl>
    <w:lvl w:ilvl="1">
      <w:lvlJc w:val="left"/>
      <w:lvlText w:val="%2"/>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lvl w:ilvl="1">
      <w:lvlJc w:val="left"/>
      <w:lvlText w:val="(%2)"/>
      <w:numFmt w:val="lowerLetter"/>
      <w:start w:val="1"/>
    </w:lvl>
  </w:abstractNum>
  <w:abstractNum w:abstractNumId="25">
    <w:nsid w:val="5C482A97"/>
    <w:multiLevelType w:val="hybridMultilevel"/>
    <w:lvl w:ilvl="0">
      <w:lvlJc w:val="left"/>
      <w:lvlText w:val="%1."/>
      <w:numFmt w:val="decimal"/>
      <w:start w:val="3"/>
    </w:lvl>
    <w:lvl w:ilvl="1">
      <w:lvlJc w:val="left"/>
      <w:lvlText w:val="%2"/>
      <w:numFmt w:val="lowerLetter"/>
      <w:start w:val="1"/>
    </w:lvl>
  </w:abstractNum>
  <w:abstractNum w:abstractNumId="26">
    <w:nsid w:val="2463B9EA"/>
    <w:multiLevelType w:val="hybridMultilevel"/>
    <w:lvl w:ilvl="0">
      <w:lvlJc w:val="left"/>
      <w:lvlText w:val="%1"/>
      <w:numFmt w:val="decimal"/>
      <w:start w:val="1"/>
    </w:lvl>
    <w:lvl w:ilvl="1">
      <w:lvlJc w:val="left"/>
      <w:lvlText w:val="%2."/>
      <w:numFmt w:val="decimal"/>
      <w:start w:val="8"/>
    </w:lvl>
  </w:abstractNum>
  <w:abstractNum w:abstractNumId="27">
    <w:nsid w:val="5E884ADC"/>
    <w:multiLevelType w:val="hybridMultilevel"/>
    <w:lvl w:ilvl="0">
      <w:lvlJc w:val="left"/>
      <w:lvlText w:val="%1."/>
      <w:numFmt w:val="decimal"/>
      <w:start w:val="9"/>
    </w:lvl>
    <w:lvl w:ilvl="1">
      <w:lvlJc w:val="left"/>
      <w:lvlText w:val="%2"/>
      <w:numFmt w:val="decimal"/>
      <w:start w:val="1"/>
    </w:lvl>
  </w:abstractNum>
  <w:abstractNum w:abstractNumId="28">
    <w:nsid w:val="51EAD36B"/>
    <w:multiLevelType w:val="hybridMultilevel"/>
    <w:lvl w:ilvl="0">
      <w:lvlJc w:val="left"/>
      <w:lvlText w:val="%1"/>
      <w:numFmt w:val="decimal"/>
      <w:start w:val="1"/>
    </w:lvl>
    <w:lvl w:ilvl="1">
      <w:lvlJc w:val="left"/>
      <w:lvlText w:val="%2."/>
      <w:numFmt w:val="decimal"/>
      <w:start w:val="10"/>
    </w:lvl>
  </w:abstractNum>
  <w:abstractNum w:abstractNumId="29">
    <w:nsid w:val="2D517796"/>
    <w:multiLevelType w:val="hybridMultilevel"/>
    <w:lvl w:ilvl="0">
      <w:lvlJc w:val="left"/>
      <w:lvlText w:val="(%1)"/>
      <w:numFmt w:val="decimal"/>
      <w:start w:val="1"/>
    </w:lvl>
    <w:lvl w:ilvl="1">
      <w:lvlJc w:val="left"/>
      <w:lvlText w:val="%2"/>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lvl w:ilvl="1">
      <w:lvlJc w:val="left"/>
      <w:lvlText w:val="(%2)"/>
      <w:numFmt w:val="lowerLetter"/>
      <w:start w:val="1"/>
    </w:lvl>
  </w:abstractNum>
  <w:abstractNum w:abstractNumId="32">
    <w:nsid w:val="3855585C"/>
    <w:multiLevelType w:val="hybridMultilevel"/>
    <w:lvl w:ilvl="0">
      <w:lvlJc w:val="left"/>
      <w:lvlText w:val="%1."/>
      <w:numFmt w:val="decimal"/>
      <w:start w:val="3"/>
    </w:lvl>
    <w:lvl w:ilvl="1">
      <w:lvlJc w:val="left"/>
      <w:lvlText w:val="%2"/>
      <w:numFmt w:val="lowerLetter"/>
      <w:start w:val="1"/>
    </w:lvl>
  </w:abstractNum>
  <w:abstractNum w:abstractNumId="33">
    <w:nsid w:val="70A64E2A"/>
    <w:multiLevelType w:val="hybridMultilevel"/>
    <w:lvl w:ilvl="0">
      <w:lvlJc w:val="left"/>
      <w:lvlText w:val="%1"/>
      <w:numFmt w:val="decimal"/>
      <w:start w:val="1"/>
    </w:lvl>
    <w:lvl w:ilvl="1">
      <w:lvlJc w:val="left"/>
      <w:lvlText w:val="%2."/>
      <w:numFmt w:val="decimal"/>
      <w:start w:val="8"/>
    </w:lvl>
  </w:abstractNum>
  <w:abstractNum w:abstractNumId="34">
    <w:nsid w:val="6A2342EC"/>
    <w:multiLevelType w:val="hybridMultilevel"/>
    <w:lvl w:ilvl="0">
      <w:lvlJc w:val="left"/>
      <w:lvlText w:val="%1."/>
      <w:numFmt w:val="decimal"/>
      <w:start w:val="9"/>
    </w:lvl>
    <w:lvl w:ilvl="1">
      <w:lvlJc w:val="left"/>
      <w:lvlText w:val="%2"/>
      <w:numFmt w:val="decimal"/>
      <w:start w:val="1"/>
    </w:lvl>
  </w:abstractNum>
  <w:abstractNum w:abstractNumId="35">
    <w:nsid w:val="2A487CB0"/>
    <w:multiLevelType w:val="hybridMultilevel"/>
    <w:lvl w:ilvl="0">
      <w:lvlJc w:val="left"/>
      <w:lvlText w:val="%1"/>
      <w:numFmt w:val="decimal"/>
      <w:start w:val="1"/>
    </w:lvl>
    <w:lvl w:ilvl="1">
      <w:lvlJc w:val="left"/>
      <w:lvlText w:val="%2."/>
      <w:numFmt w:val="decimal"/>
      <w:start w:val="10"/>
    </w:lvl>
  </w:abstractNum>
  <w:abstractNum w:abstractNumId="36">
    <w:nsid w:val="1D4ED43B"/>
    <w:multiLevelType w:val="hybridMultilevel"/>
    <w:lvl w:ilvl="0">
      <w:lvlJc w:val="left"/>
      <w:lvlText w:val="(%1)"/>
      <w:numFmt w:val="decimal"/>
      <w:start w:val="1"/>
    </w:lvl>
    <w:lvl w:ilvl="1">
      <w:lvlJc w:val="left"/>
      <w:lvlText w:val="%2"/>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decimal"/>
      <w:start w:val="3"/>
    </w:lvl>
    <w:lvl w:ilvl="1">
      <w:lvlJc w:val="left"/>
      <w:lvlText w:val="%2"/>
      <w:numFmt w:val="lowerLetter"/>
      <w:start w:val="1"/>
    </w:lvl>
  </w:abstractNum>
  <w:abstractNum w:abstractNumId="40">
    <w:nsid w:val="7A6D8D3C"/>
    <w:multiLevelType w:val="hybridMultilevel"/>
    <w:lvl w:ilvl="0">
      <w:lvlJc w:val="left"/>
      <w:lvlText w:val="%1"/>
      <w:numFmt w:val="decimal"/>
      <w:start w:val="1"/>
    </w:lvl>
    <w:lvl w:ilvl="1">
      <w:lvlJc w:val="left"/>
      <w:lvlText w:val="%2."/>
      <w:numFmt w:val="decimal"/>
      <w:start w:val="8"/>
    </w:lvl>
  </w:abstractNum>
  <w:abstractNum w:abstractNumId="41">
    <w:nsid w:val="4B588F54"/>
    <w:multiLevelType w:val="hybridMultilevel"/>
    <w:lvl w:ilvl="0">
      <w:lvlJc w:val="left"/>
      <w:lvlText w:val="%1."/>
      <w:numFmt w:val="decimal"/>
      <w:start w:val="9"/>
    </w:lvl>
    <w:lvl w:ilvl="1">
      <w:lvlJc w:val="left"/>
      <w:lvlText w:val="%2"/>
      <w:numFmt w:val="decimal"/>
      <w:start w:val="1"/>
    </w:lvl>
  </w:abstractNum>
  <w:abstractNum w:abstractNumId="42">
    <w:nsid w:val="542289EC"/>
    <w:multiLevelType w:val="hybridMultilevel"/>
    <w:lvl w:ilvl="0">
      <w:lvlJc w:val="left"/>
      <w:lvlText w:val="%1"/>
      <w:numFmt w:val="decimal"/>
      <w:start w:val="1"/>
    </w:lvl>
    <w:lvl w:ilvl="1">
      <w:lvlJc w:val="left"/>
      <w:lvlText w:val="%2."/>
      <w:numFmt w:val="decimal"/>
      <w:start w:val="10"/>
    </w:lvl>
  </w:abstractNum>
  <w:abstractNum w:abstractNumId="43">
    <w:nsid w:val="6DE91B18"/>
    <w:multiLevelType w:val="hybridMultilevel"/>
    <w:lvl w:ilvl="0">
      <w:lvlJc w:val="left"/>
      <w:lvlText w:val="(%1)"/>
      <w:numFmt w:val="decimal"/>
      <w:start w:val="1"/>
    </w:lvl>
    <w:lvl w:ilvl="1">
      <w:lvlJc w:val="left"/>
      <w:lvlText w:val="%2"/>
      <w:numFmt w:val="decimal"/>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Roman"/>
      <w:start w:val="2"/>
    </w:lvl>
  </w:abstractNum>
  <w:abstractNum w:abstractNumId="48">
    <w:nsid w:val="579478FE"/>
    <w:multiLevelType w:val="hybridMultilevel"/>
    <w:lvl w:ilvl="0">
      <w:lvlJc w:val="left"/>
      <w:lvlText w:val="%1"/>
      <w:numFmt w:val="decimal"/>
      <w:start w:val="1"/>
    </w:lvl>
    <w:lvl w:ilvl="1">
      <w:lvlJc w:val="left"/>
      <w:lvlText w:val="(%2)"/>
      <w:numFmt w:val="lowerRoman"/>
      <w:start w:val="3"/>
    </w:lvl>
  </w:abstractNum>
  <w:abstractNum w:abstractNumId="49">
    <w:nsid w:val="749ABB43"/>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2022-02-11T17:27:52Z</dcterms:created>
  <dcterms:modified xsi:type="dcterms:W3CDTF">2022-02-11T17:27:52Z</dcterms:modified>
</cp:coreProperties>
</file>