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330200</wp:posOffset>
            </wp:positionH>
            <wp:positionV relativeFrom="page">
              <wp:posOffset>66040</wp:posOffset>
            </wp:positionV>
            <wp:extent cx="708660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38100"/>
                    </a:xfrm>
                    <a:prstGeom prst="rect">
                      <a:avLst/>
                    </a:prstGeom>
                    <a:noFill/>
                  </pic:spPr>
                </pic:pic>
              </a:graphicData>
            </a:graphic>
          </wp:anchor>
        </w:drawing>
        <w:t>UNITED STATES</w:t>
      </w:r>
    </w:p>
    <w:p>
      <w:pPr>
        <w:spacing w:after="0" w:line="33" w:lineRule="exact"/>
        <w:rPr>
          <w:sz w:val="24"/>
          <w:szCs w:val="24"/>
          <w:color w:val="auto"/>
        </w:rPr>
      </w:pPr>
    </w:p>
    <w:p>
      <w:pPr>
        <w:jc w:val="center"/>
        <w:ind w:right="-3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1" w:lineRule="exact"/>
        <w:rPr>
          <w:sz w:val="24"/>
          <w:szCs w:val="24"/>
          <w:color w:val="auto"/>
        </w:rPr>
      </w:pPr>
    </w:p>
    <w:p>
      <w:pPr>
        <w:jc w:val="center"/>
        <w:ind w:right="-379"/>
        <w:spacing w:after="0"/>
        <w:rPr>
          <w:sz w:val="20"/>
          <w:szCs w:val="20"/>
          <w:color w:val="auto"/>
        </w:rPr>
      </w:pPr>
      <w:r>
        <w:rPr>
          <w:rFonts w:ascii="Arial" w:cs="Arial" w:eastAsia="Arial" w:hAnsi="Arial"/>
          <w:sz w:val="17"/>
          <w:szCs w:val="17"/>
          <w:b w:val="1"/>
          <w:bCs w:val="1"/>
          <w:color w:val="auto"/>
        </w:rPr>
        <w:t>Washington, D.C. 20549</w:t>
      </w:r>
    </w:p>
    <w:p>
      <w:pPr>
        <w:spacing w:after="0" w:line="6"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Form 8-K</w:t>
      </w:r>
    </w:p>
    <w:p>
      <w:pPr>
        <w:jc w:val="center"/>
        <w:ind w:right="-379"/>
        <w:spacing w:after="0"/>
        <w:rPr>
          <w:sz w:val="20"/>
          <w:szCs w:val="20"/>
          <w:color w:val="auto"/>
        </w:rPr>
      </w:pPr>
      <w:r>
        <w:rPr>
          <w:rFonts w:ascii="Arial" w:cs="Arial" w:eastAsia="Arial" w:hAnsi="Arial"/>
          <w:sz w:val="24"/>
          <w:szCs w:val="24"/>
          <w:b w:val="1"/>
          <w:bCs w:val="1"/>
          <w:color w:val="auto"/>
        </w:rPr>
        <w:t>Current Report</w:t>
      </w:r>
    </w:p>
    <w:p>
      <w:pPr>
        <w:spacing w:after="0" w:line="5" w:lineRule="exact"/>
        <w:rPr>
          <w:sz w:val="24"/>
          <w:szCs w:val="24"/>
          <w:color w:val="auto"/>
        </w:rPr>
      </w:pPr>
    </w:p>
    <w:p>
      <w:pPr>
        <w:jc w:val="center"/>
        <w:ind w:right="-37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34" w:lineRule="exact"/>
        <w:rPr>
          <w:sz w:val="24"/>
          <w:szCs w:val="24"/>
          <w:color w:val="auto"/>
        </w:rPr>
      </w:pPr>
    </w:p>
    <w:p>
      <w:pPr>
        <w:jc w:val="center"/>
        <w:ind w:right="-379"/>
        <w:spacing w:after="0"/>
        <w:rPr>
          <w:sz w:val="20"/>
          <w:szCs w:val="20"/>
          <w:color w:val="auto"/>
        </w:rPr>
      </w:pPr>
      <w:r>
        <w:rPr>
          <w:rFonts w:ascii="Arial" w:cs="Arial" w:eastAsia="Arial" w:hAnsi="Arial"/>
          <w:sz w:val="21"/>
          <w:szCs w:val="21"/>
          <w:b w:val="1"/>
          <w:bCs w:val="1"/>
          <w:color w:val="auto"/>
        </w:rPr>
        <w:t>Date of Report (Date of earliest event reported): 05/14/2007</w:t>
      </w:r>
    </w:p>
    <w:p>
      <w:pPr>
        <w:jc w:val="center"/>
        <w:ind w:right="-379"/>
        <w:spacing w:after="0"/>
        <w:rPr>
          <w:sz w:val="20"/>
          <w:szCs w:val="20"/>
          <w:color w:val="auto"/>
        </w:rPr>
      </w:pPr>
      <w:r>
        <w:rPr>
          <w:rFonts w:ascii="Arial" w:cs="Arial" w:eastAsia="Arial" w:hAnsi="Arial"/>
          <w:sz w:val="32"/>
          <w:szCs w:val="32"/>
          <w:b w:val="1"/>
          <w:bCs w:val="1"/>
          <w:color w:val="auto"/>
        </w:rPr>
        <w:t>CECO ENVIRONMENTAL CORP</w:t>
      </w:r>
    </w:p>
    <w:p>
      <w:pPr>
        <w:spacing w:after="0" w:line="4" w:lineRule="exact"/>
        <w:rPr>
          <w:sz w:val="24"/>
          <w:szCs w:val="24"/>
          <w:color w:val="auto"/>
        </w:rPr>
      </w:pPr>
    </w:p>
    <w:p>
      <w:pPr>
        <w:jc w:val="center"/>
        <w:ind w:right="-37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0" w:lineRule="exact"/>
        <w:rPr>
          <w:sz w:val="24"/>
          <w:szCs w:val="24"/>
          <w:color w:val="auto"/>
        </w:rPr>
      </w:pPr>
    </w:p>
    <w:p>
      <w:pPr>
        <w:jc w:val="center"/>
        <w:ind w:right="-379"/>
        <w:spacing w:after="0"/>
        <w:rPr>
          <w:sz w:val="20"/>
          <w:szCs w:val="20"/>
          <w:color w:val="auto"/>
        </w:rPr>
      </w:pPr>
      <w:r>
        <w:rPr>
          <w:rFonts w:ascii="Arial" w:cs="Arial" w:eastAsia="Arial" w:hAnsi="Arial"/>
          <w:sz w:val="21"/>
          <w:szCs w:val="21"/>
          <w:b w:val="1"/>
          <w:bCs w:val="1"/>
          <w:color w:val="auto"/>
        </w:rPr>
        <w:t>Commission File Number: 0-7099</w:t>
      </w:r>
    </w:p>
    <w:p>
      <w:pPr>
        <w:sectPr>
          <w:pgSz w:w="12240" w:h="15840" w:orient="portrait"/>
          <w:cols w:equalWidth="0" w:num="1">
            <w:col w:w="10820"/>
          </w:cols>
          <w:pgMar w:left="520" w:top="239" w:right="900" w:bottom="1440" w:gutter="0" w:footer="0" w:header="0"/>
        </w:sectPr>
      </w:pPr>
    </w:p>
    <w:p>
      <w:pPr>
        <w:spacing w:after="0" w:line="13" w:lineRule="exact"/>
        <w:rPr>
          <w:sz w:val="24"/>
          <w:szCs w:val="24"/>
          <w:color w:val="auto"/>
        </w:rPr>
      </w:pPr>
    </w:p>
    <w:p>
      <w:pPr>
        <w:ind w:left="3160"/>
        <w:spacing w:after="0"/>
        <w:rPr>
          <w:sz w:val="20"/>
          <w:szCs w:val="20"/>
          <w:color w:val="auto"/>
        </w:rPr>
      </w:pPr>
      <w:r>
        <w:rPr>
          <w:rFonts w:ascii="Arial" w:cs="Arial" w:eastAsia="Arial" w:hAnsi="Arial"/>
          <w:sz w:val="20"/>
          <w:szCs w:val="20"/>
          <w:b w:val="1"/>
          <w:bCs w:val="1"/>
          <w:color w:val="auto"/>
        </w:rPr>
        <w:t>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b w:val="1"/>
          <w:bCs w:val="1"/>
          <w:color w:val="auto"/>
        </w:rPr>
        <w:t>13-2566064</w:t>
      </w:r>
    </w:p>
    <w:p>
      <w:pPr>
        <w:spacing w:after="0" w:line="22" w:lineRule="exact"/>
        <w:rPr>
          <w:sz w:val="24"/>
          <w:szCs w:val="24"/>
          <w:color w:val="auto"/>
        </w:rPr>
      </w:pPr>
    </w:p>
    <w:p>
      <w:pPr>
        <w:sectPr>
          <w:pgSz w:w="12240" w:h="15840" w:orient="portrait"/>
          <w:cols w:equalWidth="0" w:num="2">
            <w:col w:w="7820" w:space="720"/>
            <w:col w:w="2280"/>
          </w:cols>
          <w:pgMar w:left="520" w:top="239" w:right="900" w:bottom="1440" w:gutter="0" w:footer="0" w:header="0"/>
          <w:type w:val="continuous"/>
        </w:sectPr>
      </w:pPr>
    </w:p>
    <w:p>
      <w:pPr>
        <w:jc w:val="center"/>
        <w:ind w:right="1060"/>
        <w:spacing w:after="0"/>
        <w:rPr>
          <w:sz w:val="20"/>
          <w:szCs w:val="20"/>
          <w:color w:val="auto"/>
        </w:rPr>
      </w:pPr>
      <w:r>
        <w:rPr>
          <w:rFonts w:ascii="Arial" w:cs="Arial" w:eastAsia="Arial" w:hAnsi="Arial"/>
          <w:sz w:val="15"/>
          <w:szCs w:val="15"/>
          <w:b w:val="1"/>
          <w:bCs w:val="1"/>
          <w:color w:val="auto"/>
        </w:rPr>
        <w:t>(State or other jurisdiction of</w:t>
      </w:r>
    </w:p>
    <w:p>
      <w:pPr>
        <w:spacing w:after="0" w:line="30" w:lineRule="exact"/>
        <w:rPr>
          <w:sz w:val="24"/>
          <w:szCs w:val="24"/>
          <w:color w:val="auto"/>
        </w:rPr>
      </w:pPr>
    </w:p>
    <w:p>
      <w:pPr>
        <w:jc w:val="center"/>
        <w:ind w:right="1060"/>
        <w:spacing w:after="0"/>
        <w:rPr>
          <w:sz w:val="20"/>
          <w:szCs w:val="20"/>
          <w:color w:val="auto"/>
        </w:rPr>
      </w:pPr>
      <w:r>
        <w:rPr>
          <w:rFonts w:ascii="Arial" w:cs="Arial" w:eastAsia="Arial" w:hAnsi="Arial"/>
          <w:sz w:val="17"/>
          <w:szCs w:val="17"/>
          <w:b w:val="1"/>
          <w:bCs w:val="1"/>
          <w:color w:val="auto"/>
        </w:rPr>
        <w:t>incorporation)</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7"/>
          <w:szCs w:val="17"/>
          <w:b w:val="1"/>
          <w:bCs w:val="1"/>
          <w:color w:val="auto"/>
        </w:rPr>
        <w:t>(IRS Employer</w:t>
      </w:r>
    </w:p>
    <w:p>
      <w:pPr>
        <w:spacing w:after="0" w:line="7"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Identification No.)</w:t>
      </w:r>
    </w:p>
    <w:p>
      <w:pPr>
        <w:spacing w:after="0" w:line="30" w:lineRule="exact"/>
        <w:rPr>
          <w:sz w:val="24"/>
          <w:szCs w:val="24"/>
          <w:color w:val="auto"/>
        </w:rPr>
      </w:pPr>
    </w:p>
    <w:p>
      <w:pPr>
        <w:sectPr>
          <w:pgSz w:w="12240" w:h="15840" w:orient="portrait"/>
          <w:cols w:equalWidth="0" w:num="2">
            <w:col w:w="7660" w:space="720"/>
            <w:col w:w="2440"/>
          </w:cols>
          <w:pgMar w:left="520" w:top="239" w:right="900" w:bottom="1440" w:gutter="0" w:footer="0" w:header="0"/>
          <w:type w:val="continuous"/>
        </w:sectPr>
      </w:pPr>
    </w:p>
    <w:p>
      <w:pPr>
        <w:jc w:val="center"/>
        <w:ind w:right="-359"/>
        <w:spacing w:after="0"/>
        <w:rPr>
          <w:sz w:val="20"/>
          <w:szCs w:val="20"/>
          <w:color w:val="auto"/>
        </w:rPr>
      </w:pPr>
      <w:r>
        <w:rPr>
          <w:rFonts w:ascii="Arial" w:cs="Arial" w:eastAsia="Arial" w:hAnsi="Arial"/>
          <w:sz w:val="21"/>
          <w:szCs w:val="21"/>
          <w:b w:val="1"/>
          <w:bCs w:val="1"/>
          <w:color w:val="auto"/>
        </w:rPr>
        <w:t>3120 Forrer Street, Cincinnati, OH 45209</w:t>
      </w:r>
    </w:p>
    <w:p>
      <w:pPr>
        <w:spacing w:after="0" w:line="7" w:lineRule="exact"/>
        <w:rPr>
          <w:sz w:val="24"/>
          <w:szCs w:val="24"/>
          <w:color w:val="auto"/>
        </w:rPr>
      </w:pPr>
    </w:p>
    <w:p>
      <w:pPr>
        <w:jc w:val="center"/>
        <w:ind w:right="-359"/>
        <w:spacing w:after="0"/>
        <w:rPr>
          <w:sz w:val="20"/>
          <w:szCs w:val="20"/>
          <w:color w:val="auto"/>
        </w:rPr>
      </w:pPr>
      <w:r>
        <w:rPr>
          <w:rFonts w:ascii="Arial" w:cs="Arial" w:eastAsia="Arial" w:hAnsi="Arial"/>
          <w:sz w:val="15"/>
          <w:szCs w:val="15"/>
          <w:b w:val="1"/>
          <w:bCs w:val="1"/>
          <w:color w:val="auto"/>
        </w:rPr>
        <w:t>(Address of principal executive offices, including zip code)</w:t>
      </w:r>
    </w:p>
    <w:p>
      <w:pPr>
        <w:spacing w:after="0" w:line="33" w:lineRule="exact"/>
        <w:rPr>
          <w:sz w:val="24"/>
          <w:szCs w:val="24"/>
          <w:color w:val="auto"/>
        </w:rPr>
      </w:pPr>
    </w:p>
    <w:p>
      <w:pPr>
        <w:jc w:val="center"/>
        <w:ind w:right="-359"/>
        <w:spacing w:after="0"/>
        <w:rPr>
          <w:sz w:val="20"/>
          <w:szCs w:val="20"/>
          <w:color w:val="auto"/>
        </w:rPr>
      </w:pPr>
      <w:r>
        <w:rPr>
          <w:rFonts w:ascii="Arial" w:cs="Arial" w:eastAsia="Arial" w:hAnsi="Arial"/>
          <w:sz w:val="21"/>
          <w:szCs w:val="21"/>
          <w:b w:val="1"/>
          <w:bCs w:val="1"/>
          <w:color w:val="auto"/>
        </w:rPr>
        <w:t>(416) 593-6543</w:t>
      </w:r>
    </w:p>
    <w:p>
      <w:pPr>
        <w:sectPr>
          <w:pgSz w:w="12240" w:h="15840" w:orient="portrait"/>
          <w:cols w:equalWidth="0" w:num="1">
            <w:col w:w="10820"/>
          </w:cols>
          <w:pgMar w:left="520" w:top="239" w:right="900" w:bottom="1440" w:gutter="0" w:footer="0" w:header="0"/>
          <w:type w:val="continuous"/>
        </w:sectPr>
      </w:pPr>
    </w:p>
    <w:p>
      <w:pPr>
        <w:spacing w:after="0" w:line="13" w:lineRule="exact"/>
        <w:rPr>
          <w:sz w:val="24"/>
          <w:szCs w:val="24"/>
          <w:color w:val="auto"/>
        </w:rPr>
      </w:pPr>
    </w:p>
    <w:p>
      <w:pPr>
        <w:jc w:val="center"/>
        <w:ind w:right="-359"/>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7" w:lineRule="exact"/>
        <w:rPr>
          <w:sz w:val="24"/>
          <w:szCs w:val="24"/>
          <w:color w:val="auto"/>
        </w:rPr>
      </w:pPr>
    </w:p>
    <w:p>
      <w:pPr>
        <w:jc w:val="center"/>
        <w:ind w:right="-359"/>
        <w:spacing w:after="0"/>
        <w:rPr>
          <w:sz w:val="20"/>
          <w:szCs w:val="20"/>
          <w:color w:val="auto"/>
        </w:rPr>
      </w:pPr>
      <w:r>
        <w:rPr>
          <w:rFonts w:ascii="Arial" w:cs="Arial" w:eastAsia="Arial" w:hAnsi="Arial"/>
          <w:sz w:val="17"/>
          <w:szCs w:val="17"/>
          <w:b w:val="1"/>
          <w:bCs w:val="1"/>
          <w:color w:val="auto"/>
        </w:rPr>
        <w:t>(Former name or former address, if changed since last report)</w:t>
      </w:r>
    </w:p>
    <w:p>
      <w:pPr>
        <w:spacing w:after="0" w:line="19" w:lineRule="exact"/>
        <w:rPr>
          <w:sz w:val="24"/>
          <w:szCs w:val="24"/>
          <w:color w:val="auto"/>
        </w:rPr>
      </w:pPr>
    </w:p>
    <w:p>
      <w:pPr>
        <w:spacing w:after="0" w:line="285" w:lineRule="auto"/>
        <w:rPr>
          <w:sz w:val="20"/>
          <w:szCs w:val="20"/>
          <w:color w:val="auto"/>
        </w:rPr>
      </w:pPr>
      <w:r>
        <w:rPr>
          <w:rFonts w:ascii="Arial" w:cs="Arial" w:eastAsia="Arial" w:hAnsi="Arial"/>
          <w:sz w:val="17"/>
          <w:szCs w:val="17"/>
          <w:b w:val="1"/>
          <w:bCs w:val="1"/>
          <w:color w:val="auto"/>
        </w:rPr>
        <w:t>Check the appropriate box below if the Form 8-K filing is intended to simultaneously satisfy the filing obligation of the registrant under any of the following provisions:</w:t>
      </w:r>
    </w:p>
    <w:p>
      <w:pPr>
        <w:spacing w:after="0" w:line="165" w:lineRule="exact"/>
        <w:rPr>
          <w:sz w:val="24"/>
          <w:szCs w:val="24"/>
          <w:color w:val="auto"/>
        </w:rPr>
      </w:pPr>
    </w:p>
    <w:p>
      <w:pPr>
        <w:ind w:left="100" w:hanging="100"/>
        <w:spacing w:after="0"/>
        <w:tabs>
          <w:tab w:leader="none" w:pos="10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 Written communications pursuant to Rule 425 under the Securities Act (17 CFR 230.425)</w:t>
      </w:r>
    </w:p>
    <w:p>
      <w:pPr>
        <w:spacing w:after="0" w:line="232" w:lineRule="exact"/>
        <w:rPr>
          <w:rFonts w:ascii="Arial" w:cs="Arial" w:eastAsia="Arial" w:hAnsi="Arial"/>
          <w:sz w:val="17"/>
          <w:szCs w:val="17"/>
          <w:b w:val="1"/>
          <w:bCs w:val="1"/>
          <w:color w:val="auto"/>
        </w:rPr>
      </w:pPr>
    </w:p>
    <w:p>
      <w:pPr>
        <w:ind w:left="100" w:hanging="100"/>
        <w:spacing w:after="0"/>
        <w:tabs>
          <w:tab w:leader="none" w:pos="10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 Soliciting material pursuant to Rule 14a-12 under the Exchange Act (17 CFR 240.14a-12)</w:t>
      </w:r>
    </w:p>
    <w:p>
      <w:pPr>
        <w:spacing w:after="0" w:line="232" w:lineRule="exact"/>
        <w:rPr>
          <w:rFonts w:ascii="Arial" w:cs="Arial" w:eastAsia="Arial" w:hAnsi="Arial"/>
          <w:sz w:val="17"/>
          <w:szCs w:val="17"/>
          <w:b w:val="1"/>
          <w:bCs w:val="1"/>
          <w:color w:val="auto"/>
        </w:rPr>
      </w:pPr>
    </w:p>
    <w:p>
      <w:pPr>
        <w:ind w:left="100" w:hanging="100"/>
        <w:spacing w:after="0"/>
        <w:tabs>
          <w:tab w:leader="none" w:pos="10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 Pre-commencement communications pursuant to Rule 14d-2(b) under the Exchange Act (17 CFR 240.14d-2(b))</w:t>
      </w:r>
    </w:p>
    <w:p>
      <w:pPr>
        <w:spacing w:after="0" w:line="232" w:lineRule="exact"/>
        <w:rPr>
          <w:rFonts w:ascii="Arial" w:cs="Arial" w:eastAsia="Arial" w:hAnsi="Arial"/>
          <w:sz w:val="17"/>
          <w:szCs w:val="17"/>
          <w:b w:val="1"/>
          <w:bCs w:val="1"/>
          <w:color w:val="auto"/>
        </w:rPr>
      </w:pPr>
    </w:p>
    <w:p>
      <w:pPr>
        <w:ind w:left="100" w:hanging="100"/>
        <w:spacing w:after="0"/>
        <w:tabs>
          <w:tab w:leader="none" w:pos="10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086600"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p>
    <w:p>
      <w:pPr>
        <w:sectPr>
          <w:pgSz w:w="12240" w:h="15840" w:orient="portrait"/>
          <w:cols w:equalWidth="0" w:num="1">
            <w:col w:w="10820"/>
          </w:cols>
          <w:pgMar w:left="520" w:top="239" w:right="900"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7"/>
          <w:szCs w:val="17"/>
          <w:color w:val="auto"/>
        </w:rPr>
        <w:t>Information to be included in the report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1.01. Entry into a Material Definitive Agreement</w:t>
      </w:r>
    </w:p>
    <w:p>
      <w:pPr>
        <w:spacing w:after="0" w:line="32" w:lineRule="exact"/>
        <w:rPr>
          <w:sz w:val="20"/>
          <w:szCs w:val="20"/>
          <w:color w:val="auto"/>
        </w:rPr>
      </w:pPr>
    </w:p>
    <w:p>
      <w:pPr>
        <w:ind w:right="40" w:firstLine="447"/>
        <w:spacing w:after="0" w:line="284" w:lineRule="auto"/>
        <w:rPr>
          <w:sz w:val="20"/>
          <w:szCs w:val="20"/>
          <w:color w:val="auto"/>
        </w:rPr>
      </w:pPr>
      <w:r>
        <w:rPr>
          <w:rFonts w:ascii="Arial" w:cs="Arial" w:eastAsia="Arial" w:hAnsi="Arial"/>
          <w:sz w:val="16"/>
          <w:szCs w:val="16"/>
          <w:color w:val="auto"/>
        </w:rPr>
        <w:t>On May 14, 2007, CECO Environmental Corp. ("CECO") and the selling stockholders named therein entered into an Underwriting Agreement with Oppenheimer &amp; Co. Inc., as representative of the underwriters named therein (the "Underwriters"), in connection with the offer and sale by CECO and the selling shareholders of 3,348,166 shares of CECO's common stock. Of the total shares being offered, 1,000,000 shares will be issued by CECO and 2,348,166 shares will be sold by the selling stockholders. CECO will not receive any proceeds from the sale of the shares offered by the selling stockholders. The price to the public is $11.25 per share, and the Underwriters have agreed to purchase the shares from CECO and the selling stockholders at a price of $10.631 per share. In addition, the underwriters were granted a 30-day over-allotment option to purchase up to an additional 502,225 shares of common stock from the Company on the same terms as the initial shares sold in the offering. The form of Underwriting Agreement wa s filed as Exhibit 1.1 with the Amendment No. 1 to Registration Statement on Form S-3 filed with the Securities and Exchange Commission on April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0866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6600" cy="29845"/>
                    </a:xfrm>
                    <a:prstGeom prst="rect">
                      <a:avLst/>
                    </a:prstGeom>
                    <a:noFill/>
                  </pic:spPr>
                </pic:pic>
              </a:graphicData>
            </a:graphic>
          </wp:anchor>
        </w:drawing>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32" w:lineRule="exact"/>
        <w:rPr>
          <w:sz w:val="20"/>
          <w:szCs w:val="20"/>
          <w:color w:val="auto"/>
        </w:rPr>
      </w:pPr>
    </w:p>
    <w:p>
      <w:pPr>
        <w:ind w:right="780" w:firstLine="447"/>
        <w:spacing w:after="0" w:line="262"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CECO ENVIRONMENTAL CORP</w:t>
            </w:r>
          </w:p>
        </w:tc>
      </w:tr>
      <w:tr>
        <w:trPr>
          <w:trHeight w:val="221"/>
        </w:trPr>
        <w:tc>
          <w:tcPr>
            <w:tcW w:w="3020" w:type="dxa"/>
            <w:vAlign w:val="bottom"/>
          </w:tcPr>
          <w:p>
            <w:pPr>
              <w:spacing w:after="0"/>
              <w:rPr>
                <w:sz w:val="20"/>
                <w:szCs w:val="20"/>
                <w:color w:val="auto"/>
              </w:rPr>
            </w:pPr>
            <w:r>
              <w:rPr>
                <w:rFonts w:ascii="Arial" w:cs="Arial" w:eastAsia="Arial" w:hAnsi="Arial"/>
                <w:sz w:val="17"/>
                <w:szCs w:val="17"/>
                <w:color w:val="auto"/>
              </w:rPr>
              <w:t>Date: May 15, 2007</w:t>
            </w:r>
          </w:p>
        </w:tc>
        <w:tc>
          <w:tcPr>
            <w:tcW w:w="2060" w:type="dxa"/>
            <w:vAlign w:val="bottom"/>
          </w:tcPr>
          <w:p>
            <w:pPr>
              <w:ind w:left="1620"/>
              <w:spacing w:after="0"/>
              <w:rPr>
                <w:sz w:val="20"/>
                <w:szCs w:val="20"/>
                <w:color w:val="auto"/>
              </w:rPr>
            </w:pPr>
            <w:r>
              <w:rPr>
                <w:rFonts w:ascii="Arial" w:cs="Arial" w:eastAsia="Arial" w:hAnsi="Arial"/>
                <w:sz w:val="17"/>
                <w:szCs w:val="17"/>
                <w:color w:val="auto"/>
              </w:rPr>
              <w:t>By:</w:t>
            </w:r>
          </w:p>
        </w:tc>
        <w:tc>
          <w:tcPr>
            <w:tcW w:w="18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/s/ Dennis W. Blazer</w:t>
            </w:r>
          </w:p>
        </w:tc>
      </w:tr>
      <w:tr>
        <w:trPr>
          <w:trHeight w:val="119"/>
        </w:trPr>
        <w:tc>
          <w:tcPr>
            <w:tcW w:w="3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900" w:type="dxa"/>
            <w:vAlign w:val="bottom"/>
            <w:tcBorders>
              <w:bottom w:val="single" w:sz="8" w:color="auto"/>
            </w:tcBorders>
          </w:tcPr>
          <w:p>
            <w:pPr>
              <w:spacing w:after="0"/>
              <w:rPr>
                <w:sz w:val="10"/>
                <w:szCs w:val="10"/>
                <w:color w:val="auto"/>
              </w:rPr>
            </w:pPr>
          </w:p>
        </w:tc>
      </w:tr>
      <w:tr>
        <w:trPr>
          <w:trHeight w:val="309"/>
        </w:trPr>
        <w:tc>
          <w:tcPr>
            <w:tcW w:w="3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Dennis W. Blazer</w:t>
            </w:r>
          </w:p>
        </w:tc>
      </w:tr>
      <w:tr>
        <w:trPr>
          <w:trHeight w:val="221"/>
        </w:trPr>
        <w:tc>
          <w:tcPr>
            <w:tcW w:w="3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80" w:type="dxa"/>
            <w:vAlign w:val="bottom"/>
            <w:gridSpan w:val="2"/>
          </w:tcPr>
          <w:p>
            <w:pPr>
              <w:ind w:left="180"/>
              <w:spacing w:after="0"/>
              <w:rPr>
                <w:sz w:val="20"/>
                <w:szCs w:val="20"/>
                <w:color w:val="auto"/>
              </w:rPr>
            </w:pPr>
            <w:r>
              <w:rPr>
                <w:rFonts w:ascii="Arial" w:cs="Arial" w:eastAsia="Arial" w:hAnsi="Arial"/>
                <w:sz w:val="17"/>
                <w:szCs w:val="17"/>
                <w:color w:val="auto"/>
              </w:rPr>
              <w:t>CFO and Vice President--Administration and Finance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-351155</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sectPr>
      <w:pgSz w:w="12240" w:h="15840" w:orient="portrait"/>
      <w:cols w:equalWidth="0" w:num="1">
        <w:col w:w="11160"/>
      </w:cols>
      <w:pgMar w:left="520" w:top="0" w:right="5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2020-02-06T16:49:49Z</dcterms:created>
  <dcterms:modified xsi:type="dcterms:W3CDTF">2020-02-06T16:49:49Z</dcterms:modified>
</cp:coreProperties>
</file>