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4992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92370"/>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Watkins-Asiyanbi Joycelynn</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5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800E</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75001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CECO ENVIRONMENTAL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CECO</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vMerge w:val="restart"/>
          </w:tcPr>
          <w:p>
            <w:pPr>
              <w:spacing w:after="0"/>
              <w:rPr>
                <w:sz w:val="12"/>
                <w:szCs w:val="12"/>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Borders>
              <w:top w:val="single" w:sz="8" w:color="0000EE"/>
            </w:tcBorders>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160" w:type="dxa"/>
            <w:vAlign w:val="bottom"/>
          </w:tcPr>
          <w:p>
            <w:pPr>
              <w:ind w:left="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940" w:type="dxa"/>
            <w:vAlign w:val="bottom"/>
          </w:tcPr>
          <w:p>
            <w:pPr>
              <w:ind w:left="1000"/>
              <w:spacing w:after="0" w:line="183" w:lineRule="exact"/>
              <w:rPr>
                <w:sz w:val="20"/>
                <w:szCs w:val="20"/>
                <w:color w:val="auto"/>
              </w:rPr>
            </w:pPr>
            <w:r>
              <w:rPr>
                <w:rFonts w:ascii="Times New Roman" w:cs="Times New Roman" w:eastAsia="Times New Roman" w:hAnsi="Times New Roman"/>
                <w:sz w:val="17"/>
                <w:szCs w:val="17"/>
                <w:color w:val="0000FF"/>
                <w:w w:val="98"/>
              </w:rPr>
              <w:t>See Remarks.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03/31/2025</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64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03/31/2025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688</w:t>
            </w:r>
          </w:p>
        </w:tc>
        <w:tc>
          <w:tcPr>
            <w:tcW w:w="6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22.8</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74,732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2"/>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32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41,341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41,341</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withheld for net settlement to cover the tax liability for the vesting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Chief Administrative and Legal Officer</w:t>
      </w:r>
    </w:p>
    <w:p>
      <w:pPr>
        <w:spacing w:after="0" w:line="7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Kiril Kovachev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1354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Joycelynn Watkins- 04/02/2025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Asiyanbi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387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87985"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6806"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2025-04-02T12:25:16Z</dcterms:created>
  <dcterms:modified xsi:type="dcterms:W3CDTF">2025-04-02T12:25:16Z</dcterms:modified>
</cp:coreProperties>
</file>