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140" w:hanging="285"/>
        <w:spacing w:after="0"/>
        <w:tabs>
          <w:tab w:leader="none" w:pos="31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ind w:left="3040" w:hanging="281"/>
        <w:spacing w:after="0"/>
        <w:tabs>
          <w:tab w:leader="none" w:pos="30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7" w:lineRule="exact"/>
        <w:rPr>
          <w:sz w:val="24"/>
          <w:szCs w:val="24"/>
          <w:color w:val="auto"/>
        </w:rPr>
      </w:pPr>
    </w:p>
    <w:p>
      <w:pPr>
        <w:ind w:left="41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7620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456565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62230</wp:posOffset>
            </wp:positionV>
            <wp:extent cx="73723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Pr>
          <w:p>
            <w:pPr>
              <w:jc w:val="right"/>
              <w:ind w:right="1869"/>
              <w:spacing w:after="0"/>
              <w:rPr>
                <w:sz w:val="20"/>
                <w:szCs w:val="20"/>
                <w:color w:val="auto"/>
              </w:rPr>
            </w:pPr>
            <w:r>
              <w:rPr>
                <w:rFonts w:ascii="Times New Roman" w:cs="Times New Roman" w:eastAsia="Times New Roman" w:hAnsi="Times New Roman"/>
                <w:sz w:val="14"/>
                <w:szCs w:val="14"/>
                <w:b w:val="1"/>
                <w:bCs w:val="1"/>
                <w:color w:val="auto"/>
              </w:rPr>
              <w:t>13-2566064</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tcPr>
          <w:p>
            <w:pPr>
              <w:jc w:val="center"/>
              <w:ind w:right="102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5080 Spectrum Drive</w:t>
            </w:r>
          </w:p>
        </w:tc>
        <w:tc>
          <w:tcPr>
            <w:tcW w:w="3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Suite 800E</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vMerge w:val="restart"/>
          </w:tcPr>
          <w:p>
            <w:pPr>
              <w:jc w:val="right"/>
              <w:ind w:right="2029"/>
              <w:spacing w:after="0"/>
              <w:rPr>
                <w:sz w:val="20"/>
                <w:szCs w:val="20"/>
                <w:color w:val="auto"/>
              </w:rPr>
            </w:pPr>
            <w:r>
              <w:rPr>
                <w:rFonts w:ascii="Times New Roman" w:cs="Times New Roman" w:eastAsia="Times New Roman" w:hAnsi="Times New Roman"/>
                <w:sz w:val="14"/>
                <w:szCs w:val="14"/>
                <w:b w:val="1"/>
                <w:bCs w:val="1"/>
                <w:color w:val="auto"/>
              </w:rPr>
              <w:t>75001</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Addison, Texas</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980" w:type="dxa"/>
            <w:vAlign w:val="bottom"/>
            <w:gridSpan w:val="5"/>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357-6181</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under Section 12(b) of the Act:</w:t>
            </w:r>
          </w:p>
        </w:tc>
        <w:tc>
          <w:tcPr>
            <w:tcW w:w="3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 w:type="dxa"/>
            <w:vAlign w:val="bottom"/>
            <w:tcBorders>
              <w:right w:val="single" w:sz="8" w:color="auto"/>
            </w:tcBorders>
          </w:tcPr>
          <w:p>
            <w:pPr>
              <w:spacing w:after="0"/>
              <w:rPr>
                <w:sz w:val="16"/>
                <w:szCs w:val="16"/>
                <w:color w:val="auto"/>
              </w:rPr>
            </w:pPr>
          </w:p>
        </w:tc>
        <w:tc>
          <w:tcPr>
            <w:tcW w:w="320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8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800" w:type="dxa"/>
            <w:vAlign w:val="bottom"/>
            <w:tcBorders>
              <w:right w:val="single" w:sz="8" w:color="auto"/>
            </w:tcBorders>
          </w:tcPr>
          <w:p>
            <w:pPr>
              <w:spacing w:after="0"/>
              <w:rPr>
                <w:sz w:val="14"/>
                <w:szCs w:val="14"/>
                <w:color w:val="auto"/>
              </w:rPr>
            </w:pPr>
          </w:p>
        </w:tc>
        <w:tc>
          <w:tcPr>
            <w:tcW w:w="32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8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CECO</w:t>
            </w:r>
          </w:p>
        </w:tc>
        <w:tc>
          <w:tcPr>
            <w:tcW w:w="180" w:type="dxa"/>
            <w:vAlign w:val="bottom"/>
          </w:tcPr>
          <w:p>
            <w:pPr>
              <w:spacing w:after="0"/>
              <w:rPr>
                <w:sz w:val="14"/>
                <w:szCs w:val="14"/>
                <w:color w:val="auto"/>
              </w:rPr>
            </w:pPr>
          </w:p>
        </w:tc>
        <w:tc>
          <w:tcPr>
            <w:tcW w:w="3460" w:type="dxa"/>
            <w:vAlign w:val="bottom"/>
            <w:tcBorders>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800" w:type="dxa"/>
            <w:vAlign w:val="bottom"/>
            <w:tcBorders>
              <w:right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78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0" w:type="dxa"/>
            <w:vAlign w:val="bottom"/>
          </w:tcPr>
          <w:p>
            <w:pPr>
              <w:spacing w:after="0"/>
              <w:rPr>
                <w:sz w:val="1"/>
                <w:szCs w:val="1"/>
                <w:color w:val="auto"/>
              </w:rPr>
            </w:pPr>
          </w:p>
        </w:tc>
      </w:tr>
      <w:tr>
        <w:trPr>
          <w:trHeight w:val="148"/>
        </w:trPr>
        <w:tc>
          <w:tcPr>
            <w:tcW w:w="73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46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73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2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6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6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6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jc w:val="both"/>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The aggregate market value of voting and non-voting common stock held by non-affiliates of the registrant was $832.7 million based upon the closing market price and shares of common stock outstanding as of June 28, 2025,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February 18, 2026, the registrant had 35,665,813 shares of common stock, par value $0.01 per share, outstanding.</w:t>
      </w:r>
    </w:p>
    <w:p>
      <w:pPr>
        <w:spacing w:after="0" w:line="4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100" w:firstLine="509"/>
        <w:spacing w:after="0" w:line="278" w:lineRule="auto"/>
        <w:rPr>
          <w:sz w:val="20"/>
          <w:szCs w:val="20"/>
          <w:color w:val="auto"/>
        </w:rPr>
      </w:pPr>
      <w:r>
        <w:rPr>
          <w:rFonts w:ascii="Times New Roman" w:cs="Times New Roman" w:eastAsia="Times New Roman" w:hAnsi="Times New Roman"/>
          <w:sz w:val="13"/>
          <w:szCs w:val="13"/>
          <w:color w:val="auto"/>
        </w:rPr>
        <w:t>Portions of the definitive Proxy Statement for the 2026 Annual Meeting of Stockholders, which is to be filed with the Securities and Exchange Commission within 120 days of the fiscal year ended December 31, 2025,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60" w:type="dxa"/>
            <w:vAlign w:val="bottom"/>
          </w:tcPr>
          <w:p>
            <w:pPr>
              <w:spacing w:after="0"/>
              <w:rPr>
                <w:sz w:val="15"/>
                <w:szCs w:val="15"/>
                <w:color w:val="auto"/>
              </w:rPr>
            </w:pPr>
          </w:p>
        </w:tc>
        <w:tc>
          <w:tcPr>
            <w:tcW w:w="818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6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PART I.</w:t>
            </w:r>
          </w:p>
        </w:tc>
        <w:tc>
          <w:tcPr>
            <w:tcW w:w="154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7520" w:type="dxa"/>
            <w:vAlign w:val="bottom"/>
            <w:gridSpan w:val="2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4"/>
                <w:szCs w:val="24"/>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7260" w:type="dxa"/>
            <w:vAlign w:val="bottom"/>
            <w:gridSpan w:val="19"/>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60" w:type="dxa"/>
            <w:vAlign w:val="bottom"/>
          </w:tcPr>
          <w:p>
            <w:pPr>
              <w:spacing w:after="0"/>
              <w:rPr>
                <w:sz w:val="24"/>
                <w:szCs w:val="24"/>
                <w:color w:val="auto"/>
              </w:rPr>
            </w:pPr>
          </w:p>
        </w:tc>
        <w:tc>
          <w:tcPr>
            <w:tcW w:w="2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140" w:type="dxa"/>
            <w:vAlign w:val="bottom"/>
            <w:gridSpan w:val="1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4"/>
                <w:szCs w:val="24"/>
                <w:color w:val="auto"/>
              </w:rPr>
            </w:pPr>
          </w:p>
        </w:tc>
        <w:tc>
          <w:tcPr>
            <w:tcW w:w="1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180" w:type="dxa"/>
            <w:vAlign w:val="bottom"/>
            <w:gridSpan w:val="18"/>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PART II.</w:t>
            </w:r>
          </w:p>
        </w:tc>
        <w:tc>
          <w:tcPr>
            <w:tcW w:w="148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tcPr>
          <w:p>
            <w:pPr>
              <w:spacing w:after="0"/>
              <w:rPr>
                <w:sz w:val="24"/>
                <w:szCs w:val="24"/>
                <w:color w:val="auto"/>
              </w:rPr>
            </w:pPr>
          </w:p>
        </w:tc>
        <w:tc>
          <w:tcPr>
            <w:tcW w:w="76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Securities</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260" w:type="dxa"/>
            <w:vAlign w:val="bottom"/>
          </w:tcPr>
          <w:p>
            <w:pPr>
              <w:spacing w:after="0"/>
              <w:rPr>
                <w:sz w:val="24"/>
                <w:szCs w:val="24"/>
                <w:color w:val="auto"/>
              </w:rPr>
            </w:pP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20" w:type="dxa"/>
            <w:vAlign w:val="bottom"/>
            <w:gridSpan w:val="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26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3840" w:type="dxa"/>
            <w:vAlign w:val="bottom"/>
            <w:gridSpan w:val="6"/>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260" w:type="dxa"/>
            <w:vAlign w:val="bottom"/>
          </w:tcPr>
          <w:p>
            <w:pPr>
              <w:spacing w:after="0"/>
              <w:rPr>
                <w:sz w:val="24"/>
                <w:szCs w:val="24"/>
                <w:color w:val="auto"/>
              </w:rPr>
            </w:pPr>
          </w:p>
        </w:tc>
        <w:tc>
          <w:tcPr>
            <w:tcW w:w="17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2"/>
          </w:tcPr>
          <w:p>
            <w:pPr>
              <w:spacing w:after="0"/>
              <w:rPr>
                <w:sz w:val="24"/>
                <w:szCs w:val="24"/>
                <w:color w:val="auto"/>
              </w:rPr>
            </w:pPr>
          </w:p>
        </w:tc>
        <w:tc>
          <w:tcPr>
            <w:tcW w:w="1720" w:type="dxa"/>
            <w:vAlign w:val="bottom"/>
            <w:gridSpan w:val="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18"/>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PART III.</w:t>
            </w:r>
          </w:p>
        </w:tc>
        <w:tc>
          <w:tcPr>
            <w:tcW w:w="1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26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6"/>
          </w:tcPr>
          <w:p>
            <w:pPr>
              <w:spacing w:after="0"/>
              <w:rPr>
                <w:sz w:val="24"/>
                <w:szCs w:val="24"/>
                <w:color w:val="auto"/>
              </w:rPr>
            </w:pPr>
          </w:p>
        </w:tc>
        <w:tc>
          <w:tcPr>
            <w:tcW w:w="4100" w:type="dxa"/>
            <w:vAlign w:val="bottom"/>
            <w:gridSpan w:val="7"/>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260" w:type="dxa"/>
            <w:vAlign w:val="bottom"/>
          </w:tcPr>
          <w:p>
            <w:pPr>
              <w:spacing w:after="0"/>
              <w:rPr>
                <w:sz w:val="24"/>
                <w:szCs w:val="24"/>
                <w:color w:val="auto"/>
              </w:rPr>
            </w:pPr>
          </w:p>
        </w:tc>
        <w:tc>
          <w:tcPr>
            <w:tcW w:w="72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gridSpan w:val="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260" w:type="dxa"/>
            <w:vAlign w:val="bottom"/>
          </w:tcPr>
          <w:p>
            <w:pPr>
              <w:spacing w:after="0"/>
              <w:rPr>
                <w:sz w:val="24"/>
                <w:szCs w:val="24"/>
                <w:color w:val="auto"/>
              </w:rPr>
            </w:pPr>
          </w:p>
        </w:tc>
        <w:tc>
          <w:tcPr>
            <w:tcW w:w="54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740" w:type="dxa"/>
            <w:vAlign w:val="bottom"/>
            <w:gridSpan w:val="4"/>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IV.</w:t>
            </w: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7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1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17"/>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260" w:type="dxa"/>
            <w:vAlign w:val="bottom"/>
          </w:tcPr>
          <w:p>
            <w:pPr>
              <w:spacing w:after="0"/>
              <w:rPr>
                <w:sz w:val="24"/>
                <w:szCs w:val="24"/>
                <w:color w:val="auto"/>
              </w:rPr>
            </w:pPr>
          </w:p>
        </w:tc>
        <w:tc>
          <w:tcPr>
            <w:tcW w:w="31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40" w:type="dxa"/>
            <w:vAlign w:val="bottom"/>
            <w:gridSpan w:val="10"/>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18"/>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647"/>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188" w:lineRule="exact"/>
        <w:rPr>
          <w:sz w:val="20"/>
          <w:szCs w:val="20"/>
          <w:color w:val="auto"/>
        </w:rPr>
      </w:pPr>
    </w:p>
    <w:p>
      <w:pPr>
        <w:ind w:left="760" w:right="40" w:hanging="378"/>
        <w:spacing w:after="0" w:line="25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acquisitions and the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80"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 including with respect to tax policy;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weaknesses, or any other material weakness that we may identify in the future, that could result in material misstatements in our financial statements;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ind w:left="760" w:right="5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with Thermon Group Holdings, Inc. (“Thermon”) may not be completed on the anticipated terms or timeline, or at all, including as a result of the failure to obtain required regulatory or stockholder approvals;</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announcement or pendency of the proposed transaction could disrupt our business, including our relationships with customers, suppliers and employees, and could divert management’s attention from ongoing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successfully integrate Thermon’s business or realize anticipated benefits, synergies or growth opportunities;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transaction-related costs and expenses may be greater than expected;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or regulatory proceedings arising in connection with the proposed transaction.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industrial and produced water and wastewater treatment, and a wide range of other industrial end markets.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an installed base of operating systems and equipment in excess of $10 billion, we are targeting to grow a higher share of recurring revenue from aftermarket products and installed base value-added services, which we believe will provide greater customer retention and loyalty, and increased business resiliency.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Thermon Group Holdings, Inc.</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CECO will acquire Thermon in a cash and stock transaction. The acquisition will be effected pursuant to a two-step merger transaction as contemplated by the Merger Agreement (the “Merger”). The consummation of the Merger is subject to the satisfaction or waiver of customary closing conditions, including, among others, approval by the Company’s stockholders and Thermon’s stockholders, the expiration or termination of the applicable waiting period under the Hart-Scott-Rodino Antitrust Improvements Act of 1976, as amended, the effectiveness of a registration statement on Form S-4 to be filed by the Company, and other customary regulatory approvals and conditions.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fund any cash portion of the Merger Consideration and related transaction costs with available cash and borrowings under our existing and/or committed credit facilities. We expect to incur significant costs in connection with the transaction, including legal, accounting, financial advisory and other expenses, and additional costs may be incurred in connection with integration planning and execution. For a description of risks related to the proposed transaction, see “Part I—Item 1A. Risk Factors—Risks Related to the Proposed Transaction with Thermon Group Holdings, Inc.” and for additional details regarding the proposed transaction, see Note 17 to the Consolidated Financial Statements contained in Part II, Item 8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serve a growing multi-billion dollar global industrial market that is highly fragmented and comprised of many industrial sectors and niche applications. Our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production, polysilicon production, battery recycling, metals processing and production, produced water treatment, electric vehicle and battery production, desalination water transport, ultra-high purity water treatment for electrolysis and electronics production, naval/marine vessel oily water treatment, aluminum beverage can production, lightweight, high-strength metals production, and datacenter acoustics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We believe demand for our products and services will continue to be driven by the following factors:</w:t>
      </w:r>
    </w:p>
    <w:p>
      <w:pPr>
        <w:spacing w:after="0" w:line="223" w:lineRule="exact"/>
        <w:rPr>
          <w:sz w:val="20"/>
          <w:szCs w:val="20"/>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focus on the environment: </w:t>
      </w:r>
      <w:r>
        <w:rPr>
          <w:rFonts w:ascii="Times New Roman" w:cs="Times New Roman" w:eastAsia="Times New Roman" w:hAnsi="Times New Roman"/>
          <w:sz w:val="18"/>
          <w:szCs w:val="18"/>
          <w:color w:val="auto"/>
        </w:rPr>
        <w:t>Increased demand for efficient solutions and reduced air and water emissions remains at the forefront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Increasingly stringent regulatory environment: </w:t>
      </w:r>
      <w:r>
        <w:rPr>
          <w:rFonts w:ascii="Times New Roman" w:cs="Times New Roman" w:eastAsia="Times New Roman" w:hAnsi="Times New Roman"/>
          <w:sz w:val="18"/>
          <w:szCs w:val="18"/>
          <w:color w:val="auto"/>
        </w:rPr>
        <w:t>The adoption of increasingly stringent environmental regulations globally requires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75"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investment climate for net-zero technologies: </w:t>
      </w:r>
      <w:r>
        <w:rPr>
          <w:rFonts w:ascii="Times New Roman" w:cs="Times New Roman" w:eastAsia="Times New Roman" w:hAnsi="Times New Roman"/>
          <w:sz w:val="18"/>
          <w:szCs w:val="18"/>
          <w:color w:val="auto"/>
        </w:rPr>
        <w:t>Our businesses are positively impacted by capital expenditures on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climate change and improve environmental outcomes.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Emerging market industrialization: </w:t>
      </w:r>
      <w:r>
        <w:rPr>
          <w:rFonts w:ascii="Times New Roman" w:cs="Times New Roman" w:eastAsia="Times New Roman" w:hAnsi="Times New Roman"/>
          <w:sz w:val="18"/>
          <w:szCs w:val="18"/>
          <w:color w:val="auto"/>
        </w:rPr>
        <w:t>The rapid expansion of manufacturing in emerging economies, and the growing environmental focus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environment, and operating equipment will favorably impact demand for our products and solutions.</w:t>
      </w:r>
    </w:p>
    <w:p>
      <w:pPr>
        <w:spacing w:after="0" w:line="75"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Developed market industrial re-shoring: </w:t>
      </w:r>
      <w:r>
        <w:rPr>
          <w:rFonts w:ascii="Times New Roman" w:cs="Times New Roman" w:eastAsia="Times New Roman" w:hAnsi="Times New Roman"/>
          <w:sz w:val="18"/>
          <w:szCs w:val="18"/>
          <w:color w:val="auto"/>
        </w:rPr>
        <w:t>The industries in which we operate have historically embraced a global supply chain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advantages by offshoring select production and services. Today many companies are relocating their global supply chains to resume in-region. We believe the re-shoring of manufacturing operations is a driver of our business growth.</w:t>
      </w:r>
    </w:p>
    <w:p>
      <w:pPr>
        <w:spacing w:after="0" w:line="65" w:lineRule="exact"/>
        <w:rPr>
          <w:rFonts w:ascii="Times New Roman" w:cs="Times New Roman" w:eastAsia="Times New Roman" w:hAnsi="Times New Roman"/>
          <w:sz w:val="18"/>
          <w:szCs w:val="18"/>
          <w:color w:val="auto"/>
        </w:rPr>
      </w:pPr>
    </w:p>
    <w:p>
      <w:pPr>
        <w:ind w:left="1020" w:right="12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and renewal of infrastructure: </w:t>
      </w:r>
      <w:r>
        <w:rPr>
          <w:rFonts w:ascii="Times New Roman" w:cs="Times New Roman" w:eastAsia="Times New Roman" w:hAnsi="Times New Roman"/>
          <w:sz w:val="18"/>
          <w:szCs w:val="18"/>
          <w:color w:val="auto"/>
        </w:rPr>
        <w:t>There is a growing trend to better manage and reduce air and water emissions, which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74"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scarcity: </w:t>
      </w:r>
      <w:r>
        <w:rPr>
          <w:rFonts w:ascii="Times New Roman" w:cs="Times New Roman" w:eastAsia="Times New Roman" w:hAnsi="Times New Roman"/>
          <w:sz w:val="18"/>
          <w:szCs w:val="18"/>
          <w:color w:val="auto"/>
        </w:rPr>
        <w:t>There are increasing risks associated with water quality and water access around the globe. Protecting water resources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crucial for the health and resiliency of our communities, ecosystems, and customers. We expect that more rigorous regulations are being, and will continue to be, introduced to protect water as a natural resource. We are well positioned to deliver solutions to our customers to meet this growing need.</w:t>
      </w:r>
    </w:p>
    <w:p>
      <w:pPr>
        <w:spacing w:after="0" w:line="71"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demand for electrical power generation: </w:t>
      </w:r>
      <w:r>
        <w:rPr>
          <w:rFonts w:ascii="Times New Roman" w:cs="Times New Roman" w:eastAsia="Times New Roman" w:hAnsi="Times New Roman"/>
          <w:sz w:val="18"/>
          <w:szCs w:val="18"/>
          <w:color w:val="auto"/>
        </w:rPr>
        <w:t>An accelerating shift away from traditional fossil fuel powered electricity generation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that we provide, as will the production facilities and producers of the lightweight materials, batteries, and electronics required to build and operate the new vehicles being deployed.</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natural gas infrastructure: </w:t>
      </w:r>
      <w:r>
        <w:rPr>
          <w:rFonts w:ascii="Times New Roman" w:cs="Times New Roman" w:eastAsia="Times New Roman" w:hAnsi="Times New Roman"/>
          <w:sz w:val="18"/>
          <w:szCs w:val="18"/>
          <w:color w:val="auto"/>
        </w:rPr>
        <w:t>The International Energy Association projects a pronounced shift in Organization for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ind w:left="1020" w:right="6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Hydrocarbon processing: </w:t>
      </w:r>
      <w:r>
        <w:rPr>
          <w:rFonts w:ascii="Times New Roman" w:cs="Times New Roman" w:eastAsia="Times New Roman" w:hAnsi="Times New Roman"/>
          <w:sz w:val="18"/>
          <w:szCs w:val="18"/>
          <w:color w:val="auto"/>
        </w:rPr>
        <w:t>Hydrocarbon processing involves the production, refining, and processing of hydrocarbons and organic chemicals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mission is to help companies grow their business with safe, clean, and more efficient solutions that help protect their people, the environment, and their industrial equipment and facilities.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are continuously seeking out value-added, accretive additions to the CECO portfolio aligned with our strategic focus in industrial air, industrial water, and the energy transition.</w:t>
      </w:r>
    </w:p>
    <w:p>
      <w:pPr>
        <w:spacing w:after="0" w:line="17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intend to continue to expand our customer base and end markets and have continued to pursue potential attractive growth opportunities both domestically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reportable segments continue to be focused on attractive end markets, and each segment is aligned to generate profitable growth for the Company with a compelling technology and solution set to benefit customers.</w:t>
      </w:r>
    </w:p>
    <w:p>
      <w:pPr>
        <w:spacing w:after="0" w:line="160" w:lineRule="exact"/>
        <w:rPr>
          <w:sz w:val="20"/>
          <w:szCs w:val="20"/>
          <w:color w:val="auto"/>
        </w:rPr>
      </w:pPr>
    </w:p>
    <w:p>
      <w:pPr>
        <w:ind w:left="760" w:right="10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179" w:lineRule="exact"/>
        <w:rPr>
          <w:rFonts w:ascii="Times New Roman" w:cs="Times New Roman" w:eastAsia="Times New Roman" w:hAnsi="Times New Roman"/>
          <w:sz w:val="18"/>
          <w:szCs w:val="18"/>
          <w:color w:val="auto"/>
        </w:rPr>
      </w:pPr>
    </w:p>
    <w:p>
      <w:pPr>
        <w:ind w:left="760" w:right="60" w:hanging="378"/>
        <w:spacing w:after="0" w:line="25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Leading market position as a complete solution provider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 w:name="page8"/>
    <w:bookmarkEnd w:id="7"/>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we are a leading provider of critical solutions in industrial air quality, industrial water treatment, and energy transition solutions. The multi-billion-dollar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Long-standing experience and customer relationships in growing industry</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our strong relationships with many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Diversified equipment and solution portfolio and broad customer base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global diversity of our offerings,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its systems become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management and engineering team</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520 engineers, designers, solution experts, and project managers whose industry experience and technical expertise enable them to have a deep understanding of the solutions that will best suit our customers' needs. The experience and stability of our senior management, operating and engineering teams have been crucial to our recent growth and to developing and maintaining customer relationships, and increasing our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Innovative solutions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Disciplined acquisition program with successful integration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together with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340"/>
        <w:spacing w:after="0" w:line="282" w:lineRule="auto"/>
        <w:rPr>
          <w:sz w:val="20"/>
          <w:szCs w:val="20"/>
          <w:color w:val="auto"/>
        </w:rPr>
      </w:pPr>
      <w:r>
        <w:rPr>
          <w:rFonts w:ascii="Times New Roman" w:cs="Times New Roman" w:eastAsia="Times New Roman" w:hAnsi="Times New Roman"/>
          <w:sz w:val="18"/>
          <w:szCs w:val="18"/>
          <w:color w:val="auto"/>
        </w:rPr>
        <w:t>fluid handling equipment, and plant engineering services and engineered design build fabrication. Our products and solutions primarily compete on the basis of performance, track record, speed of delivery, quality, price, and customer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Design and Research and Development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Support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sell and market our products and services with our own direct sales force in key regions including the United States, Netherlands, United Kingdom, Germany, Canada, United Arab Emirates, India, China, Republic of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customer service organization and sales force provide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our offerings,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not dependent upon any single customer, and no customer contributed 10% or more of our consolidated revenues for the years ended December 31, 2025, 2024, or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Subcontractors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 tracking major materials industry indices and projections. On contract work, we try to mitigate the risk of higher prices by including the current price in our estimate and generally include price inflation clauses for protection.</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continue to monitor developments in tariff policy and evaluate the potential impact on the purchase of raw materials and supplies as additional information becomes available. Tariff policy remains subject to uncertainty, and any actions taken in response will be based on our evaluation of available information at the time. We are also engaging with external trade policy advisors and assessing potential supply chain exposures.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While we believe we have good relationships with our suppliers and subcontractors, we could experience shortages of raw materials and additional inflationary pressures for certain materials and labor. Although we have secured raw materials from existing and alternate suppliers and have taken other actions to mitigate supply disruptions, we cannot guarantee that we can continue to do so in the future. In this event, our business, results, and financial condition could be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Backlog (i.e., unfulfilled or remaining performance obligations) represents the sales we expect to recognize for our products and services for which control has not yet transferred to the customer. Backlog was $793.1 million as of December 31, 2025, as compared to $540.9 million as of December 31, 2024, an increase of $252.2 million or 46.6 percent. Backlog is adjusted on a quarterly basis for fluctuations in foreign currency exchange rates. Substantially all backlog is expected to be delivered within 18 - 24 months, with a majority within 12 months. Backlog is not defined by United States generally accepted accounting principles ("GAAP") and our methodology for calculating backlog may not be consistent with methodologies used by other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as well as our being on the customer’s approved vendor list.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18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Due to the size and shipping weight of many of our projects, localized manufacturing/fabrication capabilities are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72"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track record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design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and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stability.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We believe we compete favorably with respect to these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our operations are in compliance with applicable environmental laws and regulations. We believe that changes in environmental laws and regulations create opportunities given the nature of our business.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2026 or beyond. Other regulations currently in place could be withdrawn and replaced with more stringent requirements in 2026 or beyond. New laws and regulations and the costs of compliance with such new laws and regulations can only be broadly appraised until their implementation becomes more defined through regulatory guidance and enforcement.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employees located throughout the globe. CECO has approximately 1,540 employees across 10 countries. Of our United States employees, approximately 140 are unionized in our Tennessee, North Carolina, and Ohio facilities. Outside the United States, we enter into employment contracts and/or agreements in those countries where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2025, CECO’s domestic Total Recordable Incident Rate (“TRIR”) was 1.98% as compared to our benchmark industry average TRIR of 2.68%.</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administer an annual code of conduct training that includes, but is not limited to, the following subject matter areas: anti-corruption, anti-discrimination, anti-harassment, data privacy, appropriate use of company assets, protecting confidential information, and how to report code violations. Each employee takes this annual training and follow up communications are conducted to ensure completion of the course by all employees. We also monitor timely completion of our mandated sexual anti-harassment and workplace violence prevention training courses both domestically and internationally for impacted employees.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our management team has the experience necessary to effectively execute our strategy. Our business leaders have significant industry experience and are supported by an experienced and talented management team that is dedicated to maintaining and expanding our position as a global leader in our markets. For discussion of the risks related to attracting and retention of management and executive employees, refer to “Part I, Item 1A. Risk Factors”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CECO</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are the executive officers of the Company as of February 18, 2026. All officers serve for a one-year term or until their successors are elected and qualified.</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Todd Gleason </w:t>
      </w:r>
      <w:r>
        <w:rPr>
          <w:rFonts w:ascii="Times New Roman" w:cs="Times New Roman" w:eastAsia="Times New Roman" w:hAnsi="Times New Roman"/>
          <w:sz w:val="18"/>
          <w:szCs w:val="18"/>
          <w:color w:val="auto"/>
        </w:rPr>
        <w:t>(55) has served as a director and Chief Executive Officer since July 2020 and is responsible for driving the Company’s strategic 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aligning the organization for optimal value creation. Prior to joining the Company, Mr. Gleason most recently, from April 2015 to July 2020, served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Master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Johansson </w:t>
      </w:r>
      <w:r>
        <w:rPr>
          <w:rFonts w:ascii="Times New Roman" w:cs="Times New Roman" w:eastAsia="Times New Roman" w:hAnsi="Times New Roman"/>
          <w:sz w:val="18"/>
          <w:szCs w:val="18"/>
          <w:color w:val="auto"/>
        </w:rPr>
        <w:t>(61) has served as SVP, Chief Financial Officer since August 2022. From April 2020 to August 2022, Mr. Johansson had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Alyson Gregory Richter </w:t>
      </w:r>
      <w:r>
        <w:rPr>
          <w:rFonts w:ascii="Times New Roman" w:cs="Times New Roman" w:eastAsia="Times New Roman" w:hAnsi="Times New Roman"/>
          <w:sz w:val="18"/>
          <w:szCs w:val="18"/>
          <w:color w:val="auto"/>
        </w:rPr>
        <w:t>(47) has served as General Counsel and Corporate Secretary since January 2026. Ms. Richter has been with the Company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and has served in various roles of increasing responsibility, most recently as Associate Counsel and Director of Corporate Compliance. Prior to joining the Company, she served in various roles with Project Transformation North Texas and Alon USA Energy, Inc., as well as with the law firms of Taber Estes Thorne &amp; Carr, Koons Fuller, and Vinson and Elkins. Ms. Richter received her Bachelor of Arts degree in Spanish from The University of Texas at Austin, and Juris Doctorate from The University of Texas School of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use the Investor Relations section of our website,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global economic conditions.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6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potential customers may reduce or delay their procurement or new product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may have difficulties resulting in delays for our material 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suppliers and other third parties may fail to perform their contractual obligations;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become insolvent and/or unable to obtain credit to finance purchases of our products and services.</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dependence upon fixed-price contracts could adversely affect our operating results.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contract revenue may result in material adjustments that would adversely affect our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3" w:name="page14"/>
    <w:bookmarkEnd w:id="13"/>
    <w:p>
      <w:pPr>
        <w:ind w:right="280"/>
        <w:spacing w:after="0" w:line="266" w:lineRule="auto"/>
        <w:rPr>
          <w:sz w:val="20"/>
          <w:szCs w:val="20"/>
          <w:color w:val="auto"/>
        </w:rPr>
      </w:pPr>
      <w:r>
        <w:rPr>
          <w:rFonts w:ascii="Times New Roman" w:cs="Times New Roman" w:eastAsia="Times New Roman" w:hAnsi="Times New Roman"/>
          <w:sz w:val="18"/>
          <w:szCs w:val="18"/>
          <w:color w:val="auto"/>
        </w:rPr>
        <w:t>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deliver our backlog on time could affect our future sales and profitability, and our relationships with our customers.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backlog was $793.1 million at December 31, 2025, and $540.9 million at December 31, 2024.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of oil and natural gas prices can adversely affect demand for our products and services.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costs for manufactured components, raw materials, transportation, health care and energy prices may adversely affect our profitability.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performance may vary significantly from period to period.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may cancel or delay projects. As a result, our backlog may not be indicative of our future revenue.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markets we serve.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to customers under warranties may adversely affect our reputation, our ability to obtain future business and our results of operations.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Capital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profit may be affected by shifts in our product mix.</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operations are dependent on third-party suppliers.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subcontractors could potentially harm our profitability and business reputation.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billing terms can increase our exposure to working capital and credit risk.</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products are generally sold under contracts that allow us to bill upon the completion of certain agreed-upon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fluctuations may reduce profits on our foreign sales or increase our costs, either of which could adversely affect our financial results.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that approximately 34% of our 2025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7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If our goodwill or indefinite lived intangibles become impaired, we may be required to recognize charges that would adversely impact our results of operations.</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2025, goodwill and indefinite lived intangibles were $297.9 million, or 33.3%,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write-down of goodwill or intangible assets resulting from future periodic evaluations could adversely materially impact our results of operations.</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party to asbestos-containing product litigation that could adversely affect our financial condition, results of operations and cash flows.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subsidiary Met-Pro Technologies LLC (“Met-Pro”), relative to its former Dean Pump division, has been named in asbestos-related lawsuits filed against a large number of industrial companies including, in particular, those in the pump and fluid handling industries. While we divested of the fluid handling business (also known as the Global Pump Solutions business) in the first quarter of 2025, we retained historical asbestos liabilities and the related legacy insurance policies. In management’s opinion, the complaints typically have been vague, general and speculative, alleging that Met-Pro, along with the numerous other defendants, sold asbestos-containing products and engaged in other related actions which caused injuries (including mesothelioma and death) and loss to the plaintiffs. Our insurers have hired attorneys who, together with us, are vigorously defending these cases. Many cases have been dismissed after the plaintiff fails to identify or produce evidence of exposure to Met-Pro’s products. In those cases, where evidence has been produced, our experience has been that the exposure levels are low and our position has been that its products were not a cause of death, injury or loss. We have been dismissed from a large number of these cases, with a small number of these dismissals resulting in immaterial settlements. We also presently believe that none of the pending cases will have a material impact upon our results of operations, liquidity or financial condition.</w:t>
      </w:r>
    </w:p>
    <w:p>
      <w:pPr>
        <w:spacing w:after="0" w:line="1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the asbestos-related litigation in which we are involved.</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have $214.2 million of indebtedness as of December 31, 2025, and incurrence of additional indebtedness could adversely affect our ability to operate our business, remain in compliance with debt covenants, make payments on our debt and limit our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indebtedness could have important consequences for investors, including the following:</w:t>
      </w:r>
    </w:p>
    <w:p>
      <w:pPr>
        <w:spacing w:after="0" w:line="225" w:lineRule="exact"/>
        <w:rPr>
          <w:sz w:val="20"/>
          <w:szCs w:val="20"/>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7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interest expense may increase because a substantial portion of our borrowings is at variable rates of interest, which, if interest rates increase, could result in higher interest expense;</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higher level of debt than some of our competitors, which could put us at a competitive disadvantage;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adverse developments in our industry or the economy in general;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limit our flexibility in planning for, or reacting to, changes in our business and the industry in which we operate.</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100"/>
        <w:spacing w:after="0" w:line="282" w:lineRule="auto"/>
        <w:rPr>
          <w:sz w:val="20"/>
          <w:szCs w:val="20"/>
          <w:color w:val="auto"/>
        </w:rPr>
      </w:pPr>
      <w:r>
        <w:rPr>
          <w:rFonts w:ascii="Times New Roman" w:cs="Times New Roman" w:eastAsia="Times New Roman" w:hAnsi="Times New Roman"/>
          <w:sz w:val="18"/>
          <w:szCs w:val="18"/>
          <w:color w:val="auto"/>
        </w:rPr>
        <w:t>future debt, sell assets, borrow more money or raise equity. We may not be able to refinance our existing or future debt, sell assets, borrow more money or raise equity on terms acceptable to us, if at all.</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5"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We have made and may make future acquisitions or divestitures, which involve numerous risks that could impact our financial condition, results of operations and cash flows.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Societal responses to climate change could adversely affect our business and performance, including indirectly through impacts on our customers.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on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Global climate change and related emphasis on environmental, social and governance ("ESG") matters by various stakeholders could negatively affect our business.</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Customer, investor and employee expectations relating to ESG have been rapidly evolving. In addition, certain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40"/>
        <w:spacing w:after="0" w:line="282" w:lineRule="auto"/>
        <w:rPr>
          <w:sz w:val="20"/>
          <w:szCs w:val="20"/>
          <w:color w:val="auto"/>
        </w:rPr>
      </w:pPr>
      <w:r>
        <w:rPr>
          <w:rFonts w:ascii="Times New Roman" w:cs="Times New Roman" w:eastAsia="Times New Roman" w:hAnsi="Times New Roman"/>
          <w:sz w:val="18"/>
          <w:szCs w:val="18"/>
          <w:color w:val="auto"/>
        </w:rPr>
        <w:t>to attract and retain top talent. In addition, our adoption of certain standards or mandated compliance to certain requirements could necessitate additional investments that could impact our profitability.</w:t>
      </w:r>
    </w:p>
    <w:p>
      <w:pPr>
        <w:spacing w:after="0" w:line="162"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or inability to attract and retain additional personnel could affect our ability to successfully grow our business.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executive officers and other key business leaders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competition for talent, particularly engineering talent, increasingly attempt to hire, and to varying degrees have been successful in hiring, our employees. If we are unable to attract and retain qualified employees, our business may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stoppages or similar difficulties could significantly disrupt our operations.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250 of our approximately 1,540 employees are represented by international or independent labor unions under various union contracts, which, for our covered employees in the United States, are set to renegotiate collective bargaining agreements in the first half of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work stoppage at one of our suppliers could adversely affect our operations if an alternative source of supply were not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stoppages by employees of our customers also could result in reduced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Risks</w:t>
      </w:r>
    </w:p>
    <w:p>
      <w:pPr>
        <w:spacing w:after="0" w:line="227"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6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whether caused by natural disasters, telecommunications outages, cyberattacks, criminal acts, or other cybersecurity incidents, we may have limited ability to control the timing and effectiveness of system restoration. Any resulting disruption to our operations could materially and adversely affect our business, financial condition, and results of operations.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risks posed by our direct third-party suppliers, we are exposed to fourth-party cybersecurity risks, which arise from the subcontractors and service providers engaged by those suppliers. These entities often have access to critical systems or sensitive data through interconnected supply chains, creating vulnerabilities beyond our immediate control. A security breach or operational failure at a fourth-party provider could compromise our data integrity, disrupt services, or lead to regulatory non-compliance, even if our direct suppliers maintain strong security practices. Because visibility and oversight of these extended relationships are limited, the likelihood of undetected vulnerabilities increases, amplifying potential financial, operational, and reputational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Artificial Intelligence integration by third-party suppliers could pose a risk to our systems, networks, and products.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reliance on third-party suppliers introduces additional risks as these suppliers increasingly incorporate artificial intelligence ("AI") technologies into their products and services. While AI tools may enhance functionality and efficiency, they can also create operational complexities and unforeseen limitations. These changes may affect suppliers’ ability to maintain consistent service levels, ensure reliability, and deliver the expected user experience. Furthermore, AI-driven processes may introduce new cybersecurity vulnerabilities, compliance challenges, and ethical considerations that could impact our business operations. Because we have limited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60"/>
        <w:spacing w:after="0" w:line="282" w:lineRule="auto"/>
        <w:rPr>
          <w:sz w:val="20"/>
          <w:szCs w:val="20"/>
          <w:color w:val="auto"/>
        </w:rPr>
      </w:pPr>
      <w:r>
        <w:rPr>
          <w:rFonts w:ascii="Times New Roman" w:cs="Times New Roman" w:eastAsia="Times New Roman" w:hAnsi="Times New Roman"/>
          <w:sz w:val="18"/>
          <w:szCs w:val="18"/>
          <w:color w:val="auto"/>
        </w:rPr>
        <w:t>control over how suppliers implement and manage AI technologies, any deficiencies or failures in these systems could result in service disruptions, data integrity issues, or reputational harm.</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Increased information technology cybersecurity threats and more sophisticated and targeted computer crime could pose a risk to our systems, networks, and products.</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including utilization of generative artificial intelligence,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and International Operations Risks</w:t>
      </w:r>
    </w:p>
    <w:p>
      <w:pPr>
        <w:spacing w:after="0" w:line="22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Disruptions in the political, regulatory, economic and social conditions of the countries in which we conduct business could negatively impact our business, financial condition and profits.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and do business in many countries in addition to the United States. For the year ended December 31, 2025, approximately 34%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local, economic, political, and social conditions, including potential hyperinflationary conditions and political instability in certain countries; tax-related risks, including the imposition of taxes and the lack of beneficial treaties, that result in a higher effective tax rate for us; imposition of limitations on the remittance of dividends and payments by foreign subsidiaries; difficulties in enforcing agreements and collecting receivables through certain foreign local systems; domestic and foreign customs, tariffs, and quotas or other trade barriers; risk of nationalization of private enterprises by foreign governments; managing and obtaining support and distribution channels for overseas operations; hiring and retaining qualified management personnel for our overseas operations; and the results of new trade agreements and changes in membership to international coalitions or unions.</w:t>
      </w:r>
    </w:p>
    <w:p>
      <w:pPr>
        <w:spacing w:after="0" w:line="1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100"/>
        <w:spacing w:after="0" w:line="266" w:lineRule="auto"/>
        <w:rPr>
          <w:sz w:val="20"/>
          <w:szCs w:val="20"/>
          <w:color w:val="auto"/>
        </w:rPr>
      </w:pPr>
      <w:r>
        <w:rPr>
          <w:rFonts w:ascii="Times New Roman" w:cs="Times New Roman" w:eastAsia="Times New Roman" w:hAnsi="Times New Roman"/>
          <w:sz w:val="18"/>
          <w:szCs w:val="18"/>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and similar anti-bribery laws worldwide.</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can be significantly affected by changes in regulatory standards.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87"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6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Trump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2025, the price of our common stock on the NASDAQ ranged from $17.97 to $62.51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7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domestic and international macroeconomic factors unrelated to our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other outbreaks;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expectations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business success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advances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events affecting the political and economic environment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demand for our products and services, technological advances and governmental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or affecting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personnel.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issue preferred stock could adversely affect the rights of holders of our common stock.</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in our charter documents have anti-takeover effects.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Internal Control over Financial Reporting</w:t>
      </w:r>
    </w:p>
    <w:p>
      <w:pPr>
        <w:spacing w:after="0" w:line="22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We have identified material weaknesses in our internal control over financial reporting. If we are unable to remediate these material weaknesses and maintain adequate internal controls, we may not be able to accurately report our financial results in a timely manner, which may adversely affect investor confidence in us and materially and adversely affect our business.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continue to devote substantial time and resources to the documentation and testing of our controls, and to plan for and the implementation of remedial efforts in those instances where remediation is indicated.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Item 9A. "Controls and Procedures" in this Annual Report on Form 10-K, we have identified material weaknesses in our internal control over financial reporting related to various control deficiencies at the Verantis Environmental Solutions Group business that we acquired in December 2024, as well our assessment of completeness and accuracy of information used in the execution of controls relating to balance sheet reconciliations. The material weaknesses did not result in any misstatements to our consolidated financial statements; however, they could result in a misstatement of account balances or disclosures that would result in a material misstatement to the annual or interim financial statements that would not be prevented or detected.</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 address these material weaknesses, we have developed a remediation plan that includes updating control documentation, expanding education and training, and ensuring that controls are prepared and reviewed at the appropriate level of precision; hiring accounting and finance personnel with the requisite skills and expertise to perform control activities related to the financial close process and augmenting our internal resources by engaging external consultants with technical experience in accounting, financial reporting, and internal controls, until we add sufficient in-house skills to our staff; focusing on enhancing our information technology controls, specifically the assessment and integration of such controls at newly acquired entities; and developing an enhanced monitoring program to evaluate and assess whether controls are present and functioning in a timely manner and holding individuals accountable for their internal control responsibilities. As of December 31, 2025, these remediation efforts are ongoing.</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actions that we are taking are subject to ongoing senior management review, as well as Audit Committee oversight. We will not be able to conclude whether the steps we are taking will fully remediate material weaknesses in our internal control over financial reporting until we have completed our remediation efforts and subsequent evaluation of their effectiveness. Until these material weaknesses are remediated, we plan to continue to perform additional analyses and other procedures to ensure that our consolidated financial statements are prepared in accordance with GAAP.</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if we fail to develop and maintain adequate internal controls in the future, including remediating any material weaknesses or deficiencies in our internal controls,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There are inherent limitations in all internal control systems over financial reporting, and misstatements due to error or fraud may occur and not be detected.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Transaction with Thermon Group Holdings, Inc.</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proposed transaction may not be completed on the anticipated timeline, or at all, which could adversely affect our business, financial condition, results of operations and the market price of our common stock.</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a two-step merger transaction contemplated thereby (the “Merger”). Although we expect to complete the Merger in 2026, there can be no assurances as to the exact timing of the closing or that the Merger will be completed at all. The consummation of the Merger is subject to the satisfaction or waiver of a number of conditions contained in the related Merger Agreement, including, among others, approval by the Company’s and Thermon’s stockholders, the expiration or termination of the applicable waiting period under the Hart-Scott-Rodino Antitrust Improvements Act of 1976, as amended, the effectiveness of a registration statement on Form S-4 to be filed by the Company, approval for listing on Nasdaq of the shares of Company common stock to be issued in the transaction, and other customary regulatory approvals and conditions. Such conditions, some of which are beyond our control, may not be satisfied or waived in a timely manner or at all and therefore make the completion and timing of the Merger uncertain. In addition, the Merger Agreement contains certain termination rights for both parties, which if exercised will also result in the Merger not being consummated. Any such termination or any failure to otherwise complete the Merger could result in various consequences, including, among others: our business being adversely impacted by the failure to pursue other beneficial opportunities due to the time and resources committed by our management to the Merger, without realizing any of the benefits of completing the Merger; incurring significant legal, accounting and other expenses relating to the Merger without realizing any of its anticipated benefits; the market price of our common stock being adversely impacted to the extent that the current market price reflects a market assumption that the Merger will be completed; and negative reactions from the financial markets and customers that may occur if the anticipated benefits of the Merger are not realized. Such consequences could have a material adverse effect on our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Agreement restricts our ability to pursue alternative transactions and may require us to pay a termination fee under certain circumstances.</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non-solicitation provisions that limit our ability to solicit or engage in discussions regarding alternative acquisition proposals, subject to certain fiduciary exceptions. If the Merger Agreement is terminated under certain specified circumstances, including in connection with a competing acquisition proposal, we may be required to pay a termination fee to Thermon. These provisions could discourage other potential strategic transactions that may be favorable to the Company and its stockholders.</w:t>
      </w:r>
    </w:p>
    <w:p>
      <w:pPr>
        <w:spacing w:after="0" w:line="178"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Even if the Merger is completed, we may be unable to successfully integrate Thermon’s business or realize the anticipated benefits of the proposed transaction, which may have a material adverse effect on our business, financial condition or results of operations.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success of the Merger depends in part on whether we can complete the integration of the Thermon assets that we have not previously operated into our existing business in an efficient and effective manner, and there can be no assurance that we will be able to successfully integrate or otherwise realize the anticipated benefits of the Merger. The integration process may result in the disruption of ongoing business and there could be potential unknown liabilities and unforeseen expenses associated with the Merger that were not discovered in the course of performing due diligence. The integration may also require significant time and focus from management following the Merger that may disrupt our business and results of operations. Potential risks or difficulties include, among others:</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integrating our existing systems, technologies and other workflows with new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the services of key management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assessments of the assets acquired in the Merger;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business relationships with new third party contractors and other service providers with whom we have no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1020"/>
        <w:spacing w:after="0"/>
        <w:rPr>
          <w:sz w:val="20"/>
          <w:szCs w:val="20"/>
          <w:color w:val="auto"/>
        </w:rPr>
      </w:pPr>
      <w:r>
        <w:rPr>
          <w:rFonts w:ascii="Times New Roman" w:cs="Times New Roman" w:eastAsia="Times New Roman" w:hAnsi="Times New Roman"/>
          <w:sz w:val="18"/>
          <w:szCs w:val="18"/>
          <w:color w:val="auto"/>
        </w:rPr>
        <w:t>prior experience; and</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the Merger.</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of these issues could adversely affect our ability to maintain relationships with customers, suppliers, employees, and other constituencies. We may fail to realize the anticipated benefits expected from the Merger. The success of the Merger will depend, in significant part, on our ability to successfully complete the integration of the acquired assets, grow the revenue, and realize the anticipated strategic benefits from the Merger. The anticipated benefits of the Merger may not be realized fully or at all or may take longer to realize than expected. Actual operating, technological, strategic, and revenue opportunities, if achieved at all, may be less significant than expected or may take longer to achieve than anticipated. If we are not able to realize the anticipated benefits expected from the Merger within the anticipated timing or at all, our business and operating results may be adversely affected.</w:t>
      </w:r>
    </w:p>
    <w:p>
      <w:pPr>
        <w:spacing w:after="0" w:line="18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issuance of shares of the Company’s common stock in connection with the merger will dilute existing stockholders and may adversely affect the market price of our common stock.</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Merger, we expect to issue a substantial number of shares of our common stock to the stockholders of Thermon, the actual number of which will be determined at closing based on the number of shares and equity awards of Thermon outstanding at that time and subject to proration and election procedures set forth in the Merger Agreement. The issuance of these additional shares will dilute the ownership interest of the Company’s existing stockholders and may dilute earnings per share. Any such dilution, or any delay in achieving accretion to earnings per share, could cause the market price of our common stock to decline or increase at a reduced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incurred additional costs in connection with the Merger, which will continue during 2026.</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incurred and expect to incur significant costs in connection with the Merger, including legal, accounting, financial advisory and other expenses, and we may incur additional costs in connection with integration. Although we expect that the elimination of any duplicative costs, as well as the realization of expected benefits related to the integration of the Thermon assets, should allow us to offset these transaction costs over time, this net benefit may not be achieved in the near term or at all. We also expect to fund any cash portion of the Merger Consideration and related transaction costs with available cash and borrowings under our existing credit facilities, which may increase our indebtedness and reduce financial flexibility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 and derivative lawsuits may be brought against us in connection with the Merger, which could result in substantial costs.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our liquidity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Additionally, the Company maintains processes to evaluate and oversee cybersecurity risks associated with the use of third-party service providers, including risk assessments conducted as part of our vendor management program. The results of such assessments, audits and reviews are reported to the Audit Committee and the Board, and the Company adjusts its cybersecurity program as necessary based on the information provided by these assessments, audits, and reviews.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Head of IT and Digital Strategy (the "Head of IT").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team of cybersecurity professionals reporting to the Head of IT, the head of the Company’s cybersecurity team, dedicated to managing threats and incidents in real time and the reporting of any such incidents. The Head of IT reports to the Chief Financial Officer. Through regular and ongoing communications, the Head of IT and the Executive Leadership Team, which includes our Chief Executive Officer, Chief Financial Officer, and General Counsel, manage the prevention, detection, mitigation and remediation of cybersecurity threats and incidents and escalate any such threats and incidents to the Audit Committee when appropriate.</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Head of IT has served in various leadership roles in information technology for over 25 years. The Head of IT holds undergraduate and graduate degrees in engineering.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51 principal operating facilities across 13 states and 10 countries. The Company’s executive offices are located in Addison,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60" w:type="dxa"/>
            <w:vAlign w:val="bottom"/>
            <w:vMerge w:val="restart"/>
          </w:tcPr>
          <w:p>
            <w:pPr>
              <w:spacing w:after="0"/>
              <w:rPr>
                <w:sz w:val="20"/>
                <w:szCs w:val="20"/>
                <w:color w:val="auto"/>
              </w:rPr>
            </w:pPr>
          </w:p>
        </w:tc>
        <w:tc>
          <w:tcPr>
            <w:tcW w:w="6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Location of Facilities</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9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140" w:type="dxa"/>
            <w:vAlign w:val="bottom"/>
          </w:tcPr>
          <w:p>
            <w:pPr>
              <w:spacing w:after="0"/>
              <w:rPr>
                <w:sz w:val="18"/>
                <w:szCs w:val="18"/>
                <w:color w:val="auto"/>
              </w:rPr>
            </w:pPr>
          </w:p>
        </w:tc>
        <w:tc>
          <w:tcPr>
            <w:tcW w:w="30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0" w:type="dxa"/>
            <w:vAlign w:val="bottom"/>
          </w:tcPr>
          <w:p>
            <w:pPr>
              <w:spacing w:after="0"/>
              <w:rPr>
                <w:sz w:val="1"/>
                <w:szCs w:val="1"/>
                <w:color w:val="auto"/>
              </w:rPr>
            </w:pPr>
          </w:p>
        </w:tc>
      </w:tr>
      <w:tr>
        <w:trPr>
          <w:trHeight w:val="191"/>
        </w:trPr>
        <w:tc>
          <w:tcPr>
            <w:tcW w:w="30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Engineered Systems Segment</w:t>
            </w:r>
          </w:p>
        </w:tc>
        <w:tc>
          <w:tcPr>
            <w:tcW w:w="8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6"/>
                <w:szCs w:val="16"/>
                <w:color w:val="auto"/>
              </w:rPr>
            </w:pPr>
          </w:p>
        </w:tc>
        <w:tc>
          <w:tcPr>
            <w:tcW w:w="2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Arizona, California, Colorado,</w:t>
            </w:r>
          </w:p>
        </w:tc>
        <w:tc>
          <w:tcPr>
            <w:tcW w:w="140" w:type="dxa"/>
            <w:vAlign w:val="bottom"/>
            <w:shd w:val="clear" w:color="auto" w:fill="CFF0FC"/>
          </w:tcPr>
          <w:p>
            <w:pPr>
              <w:spacing w:after="0"/>
              <w:rPr>
                <w:sz w:val="16"/>
                <w:szCs w:val="16"/>
                <w:color w:val="auto"/>
              </w:rPr>
            </w:pPr>
          </w:p>
        </w:tc>
        <w:tc>
          <w:tcPr>
            <w:tcW w:w="300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Canada, China, India, Netherlands,</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Connecticut, Florida, New York, Ohio,</w:t>
            </w: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Republic of Korea, United Arab</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Oklahoma, Pennsylvania, Texas, Utah</w:t>
            </w: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Emirates, United Kingdom, United</w:t>
            </w:r>
          </w:p>
        </w:tc>
        <w:tc>
          <w:tcPr>
            <w:tcW w:w="0" w:type="dxa"/>
            <w:vAlign w:val="bottom"/>
          </w:tcPr>
          <w:p>
            <w:pPr>
              <w:spacing w:after="0"/>
              <w:rPr>
                <w:sz w:val="1"/>
                <w:szCs w:val="1"/>
                <w:color w:val="auto"/>
              </w:rPr>
            </w:pPr>
          </w:p>
        </w:tc>
      </w:tr>
      <w:tr>
        <w:trPr>
          <w:trHeight w:val="234"/>
        </w:trPr>
        <w:tc>
          <w:tcPr>
            <w:tcW w:w="3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Industrial Process Solutions Segment</w:t>
            </w:r>
          </w:p>
        </w:tc>
        <w:tc>
          <w:tcPr>
            <w:tcW w:w="12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California, Michigan, New York, North</w:t>
            </w:r>
          </w:p>
        </w:tc>
        <w:tc>
          <w:tcPr>
            <w:tcW w:w="140" w:type="dxa"/>
            <w:vAlign w:val="bottom"/>
          </w:tcPr>
          <w:p>
            <w:pPr>
              <w:spacing w:after="0"/>
              <w:rPr>
                <w:sz w:val="17"/>
                <w:szCs w:val="17"/>
                <w:color w:val="auto"/>
              </w:rPr>
            </w:pPr>
          </w:p>
        </w:tc>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Germany, Singapore, United Kingdom,</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Carolina, Ohio, Tennessee</w:t>
            </w:r>
          </w:p>
        </w:tc>
        <w:tc>
          <w:tcPr>
            <w:tcW w:w="14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2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Ohio, Texas</w:t>
            </w:r>
          </w:p>
        </w:tc>
        <w:tc>
          <w:tcPr>
            <w:tcW w:w="14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-170815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legal proceedings in which we are involved.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“CECO.”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return to CECO’s stockholders during the five years ended December 31, 2025, as well as the following indices: Russell 2000 Index, Standard and Poor’s (“S&amp;P”) 600 Small Cap Industrial Machinery Index, and S&amp;P 500 Index. The following graph assumes $100 was invested on December 31, 2020,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172200" cy="3248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approximate number of registered stockholders of record of our common stock as of February 18, 2026 was 230, although there is a larger number of beneficial owners.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quarter ended December 31, 2025.</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8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Issuer's Purchases of Equity Securities</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6"/>
                <w:szCs w:val="16"/>
                <w:color w:val="auto"/>
              </w:rPr>
            </w:pPr>
          </w:p>
        </w:tc>
        <w:tc>
          <w:tcPr>
            <w:tcW w:w="11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Approximate</w:t>
            </w:r>
          </w:p>
        </w:tc>
        <w:tc>
          <w:tcPr>
            <w:tcW w:w="100" w:type="dxa"/>
            <w:vAlign w:val="bottom"/>
          </w:tcPr>
          <w:p>
            <w:pPr>
              <w:spacing w:after="0"/>
              <w:rPr>
                <w:sz w:val="16"/>
                <w:szCs w:val="16"/>
                <w:color w:val="auto"/>
              </w:rPr>
            </w:pPr>
          </w:p>
        </w:tc>
      </w:tr>
      <w:tr>
        <w:trPr>
          <w:trHeight w:val="216"/>
        </w:trPr>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196"/>
        </w:trPr>
        <w:tc>
          <w:tcPr>
            <w:tcW w:w="5180" w:type="dxa"/>
            <w:vAlign w:val="bottom"/>
          </w:tcPr>
          <w:p>
            <w:pPr>
              <w:spacing w:after="0"/>
              <w:rPr>
                <w:sz w:val="17"/>
                <w:szCs w:val="17"/>
                <w:color w:val="auto"/>
              </w:rPr>
            </w:pPr>
          </w:p>
        </w:tc>
        <w:tc>
          <w:tcPr>
            <w:tcW w:w="14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220" w:type="dxa"/>
            <w:vAlign w:val="bottom"/>
          </w:tcPr>
          <w:p>
            <w:pPr>
              <w:spacing w:after="0"/>
              <w:rPr>
                <w:sz w:val="17"/>
                <w:szCs w:val="17"/>
                <w:color w:val="auto"/>
              </w:rPr>
            </w:pPr>
          </w:p>
        </w:tc>
        <w:tc>
          <w:tcPr>
            <w:tcW w:w="134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Average Price</w:t>
            </w:r>
          </w:p>
        </w:tc>
        <w:tc>
          <w:tcPr>
            <w:tcW w:w="120" w:type="dxa"/>
            <w:vAlign w:val="bottom"/>
          </w:tcPr>
          <w:p>
            <w:pPr>
              <w:spacing w:after="0"/>
              <w:rPr>
                <w:sz w:val="17"/>
                <w:szCs w:val="17"/>
                <w:color w:val="auto"/>
              </w:rPr>
            </w:pPr>
          </w:p>
        </w:tc>
        <w:tc>
          <w:tcPr>
            <w:tcW w:w="1540" w:type="dxa"/>
            <w:vAlign w:val="bottom"/>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Plans or</w:t>
            </w:r>
          </w:p>
        </w:tc>
        <w:tc>
          <w:tcPr>
            <w:tcW w:w="13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5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 (amounts in thousands, except per share data)</w:t>
            </w:r>
          </w:p>
        </w:tc>
        <w:tc>
          <w:tcPr>
            <w:tcW w:w="146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w w:val="97"/>
              </w:rPr>
              <w:t>Shares Purchased</w:t>
            </w:r>
            <w:r>
              <w:rPr>
                <w:rFonts w:ascii="Times New Roman" w:cs="Times New Roman" w:eastAsia="Times New Roman" w:hAnsi="Times New Roman"/>
                <w:sz w:val="24"/>
                <w:szCs w:val="24"/>
                <w:b w:val="1"/>
                <w:bCs w:val="1"/>
                <w:color w:val="auto"/>
                <w:w w:val="97"/>
                <w:vertAlign w:val="superscript"/>
              </w:rPr>
              <w:t>1</w:t>
            </w:r>
          </w:p>
        </w:tc>
        <w:tc>
          <w:tcPr>
            <w:tcW w:w="220" w:type="dxa"/>
            <w:vAlign w:val="bottom"/>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2"/>
                <w:szCs w:val="22"/>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46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to the Consolidated Financial Statements. The program expired on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CECO is an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Corporate Strategy</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selective catalytic reduction ("SCR") systems for natural-gas-fired power plants. Increases in global natural gas, installed miles of new pipeline, including future CO2 and hydrogen pipelines, and liquified natural gas demand and supply all stand to drive the need for our products.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 While the primary focuses of our capital allocation strategy is organic growth and portfolio management, the Company closely monitors its leverage and debt repayment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Pressures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geopolitical tariff considerations.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tariffs, our business and results could be adversely affected by further policy developments. We could experience shortages of raw materials and additional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Transaction with Thermon Group Holdings, Inc.</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CECO will acquire Thermon in a cash and stock transaction. The acquisition will be effected pursuant to a two-step merger transaction as contemplated by the Merger Agreement (the “Merger”). The consummation of the Merger is subject to the satisfaction or waiver of customary closing conditions, including, among others, approval by the Company’s stockholders and Thermon’s stockholders, the expiration or termination of the applicable waiting period under the Hart-Scott-Rodino Antitrust Improvements Act of 1976, as amended, the effectiveness of a registration statement on Form S-4 to be filed by the Company, and other customary regulatory approvals and conditions.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fund any cash portion of the Merger Consideration and related transaction costs with available cash and borrowings under our existing and/or committed credit facilities. We expect to incur significant costs in connection with the transaction, including legal, accounting, financial advisory and other expenses, and additional costs may be incurred in connection with integration planning and execution. For a description of risks related to the proposed transaction, see "Part I—Item 1A. Risk Factors—Risks Related to the Proposed Transaction with Thermon Group Holdings, Inc." and for additional details regarding the proposed transaction, see Note 17 to the Consolidated Financial Statements contained in Part II, Item 8 of this Annual Report on Form 10-K.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segments consist of like end-market and end-market adjacent platforms.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180"/>
        <w:spacing w:after="0" w:line="261" w:lineRule="auto"/>
        <w:rPr>
          <w:sz w:val="20"/>
          <w:szCs w:val="20"/>
          <w:color w:val="auto"/>
        </w:rPr>
      </w:pPr>
      <w:r>
        <w:rPr>
          <w:rFonts w:ascii="Times New Roman" w:cs="Times New Roman" w:eastAsia="Times New Roman" w:hAnsi="Times New Roman"/>
          <w:sz w:val="18"/>
          <w:szCs w:val="18"/>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segments and our centralized service teams ensuring optimal efficiency and alignment on growth and improvement initiatives.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w:t>
      </w:r>
    </w:p>
    <w:p>
      <w:pPr>
        <w:spacing w:after="0" w:line="223" w:lineRule="exact"/>
        <w:rPr>
          <w:sz w:val="20"/>
          <w:szCs w:val="20"/>
          <w:color w:val="auto"/>
        </w:rPr>
      </w:pPr>
    </w:p>
    <w:p>
      <w:pPr>
        <w:ind w:left="760" w:right="140" w:hanging="378"/>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transport and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water/wastewater treatment, oily water separation and treatment, marine and naval, and natural gas and natural gas liquids infrastructure, treatment and transport sectors. We seek to address the global demand for contaminant removal and environmental protection solutions with its highly engineered platforms including emissions management, fluid bed cyclones, thermal acoustics, separation and filtration, and dampers and expansion joints.</w:t>
      </w:r>
    </w:p>
    <w:p>
      <w:pPr>
        <w:spacing w:after="0" w:line="183" w:lineRule="exact"/>
        <w:rPr>
          <w:rFonts w:ascii="Times New Roman" w:cs="Times New Roman" w:eastAsia="Times New Roman" w:hAnsi="Times New Roman"/>
          <w:sz w:val="18"/>
          <w:szCs w:val="18"/>
          <w:color w:val="auto"/>
        </w:rPr>
      </w:pPr>
    </w:p>
    <w:p>
      <w:pPr>
        <w:ind w:left="760" w:right="240" w:hanging="378"/>
        <w:spacing w:after="0" w:line="25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contamination control, exhaust air treatment, VOC abatement, process filtration and fluid handling in applications such as aluminum beverage can production, vehicle production, food and beverage processing, semiconductor fabrication, electronics production, steel and aluminum processing, engineered wood products manufacturing, chemical processing, general manufacturing and machining, coating and surface treatment, battery production and recycling, and wind and solar power components manufacturing end markets. We assist our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are obtained either through customer upselling based on our leading brands and significant install base,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costs of sales into five categories, as follows:</w:t>
      </w:r>
    </w:p>
    <w:p>
      <w:pPr>
        <w:spacing w:after="0" w:line="22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Subcontracts: </w:t>
      </w:r>
      <w:r>
        <w:rPr>
          <w:rFonts w:ascii="Times New Roman" w:cs="Times New Roman" w:eastAsia="Times New Roman" w:hAnsi="Times New Roman"/>
          <w:sz w:val="18"/>
          <w:szCs w:val="18"/>
          <w:color w:val="auto"/>
        </w:rPr>
        <w:t>Electrical work, concrete work, subcomponents and other subcontracts necessary to produce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w:t>
      </w:r>
      <w:r>
        <w:rPr>
          <w:rFonts w:ascii="Times New Roman" w:cs="Times New Roman" w:eastAsia="Times New Roman" w:hAnsi="Times New Roman"/>
          <w:sz w:val="18"/>
          <w:szCs w:val="18"/>
          <w:color w:val="auto"/>
        </w:rPr>
        <w:t>Our direct labor both in the shop and in the field;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w:t>
      </w:r>
      <w:r>
        <w:rPr>
          <w:rFonts w:ascii="Times New Roman" w:cs="Times New Roman" w:eastAsia="Times New Roman" w:hAnsi="Times New Roman"/>
          <w:sz w:val="18"/>
          <w:szCs w:val="18"/>
          <w:color w:val="auto"/>
        </w:rPr>
        <w:t>Raw materials that we buy to build our products, fans, motors, control panels and other equipment necessary for turnkey systems;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Factory overhead: </w:t>
      </w:r>
      <w:r>
        <w:rPr>
          <w:rFonts w:ascii="Times New Roman" w:cs="Times New Roman" w:eastAsia="Times New Roman" w:hAnsi="Times New Roman"/>
          <w:sz w:val="18"/>
          <w:szCs w:val="18"/>
          <w:color w:val="auto"/>
        </w:rPr>
        <w:t>Costs of facilities and supervision wages necessary to produce our products.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we seek to pass this cost onto our customers as price increases.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Variable compensation based on the Company’s performance is included in selling and administrative expense. An advantage of our operating model is that as revenue grows, we have significant operating leverage on our fixed selling and administrative cost 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MD&amp;A that was not prepared in accordance with GAAP and should not be considered as an alternative to the information prepared in accordance with GAAP. We believe these non-GAAP measures are useful to investors and management in evaluating the Company's ongoing financial performance, and the Company believes they provide greater transparency to investors as supplemental information to its GAAP results.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has provided the non-GAAP financial measures including non-GAAP operating income, non-GAAP operating margin, and non-GAAP net income as a result of adjustments for items that the Company believes are not indicative of its ongoing operations. These items include charges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 for the years ended December 31, 2025, 2024 and 2023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80" w:type="dxa"/>
            <w:vAlign w:val="bottom"/>
          </w:tcPr>
          <w:p>
            <w:pPr>
              <w:spacing w:after="0"/>
              <w:rPr>
                <w:sz w:val="18"/>
                <w:szCs w:val="18"/>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31.4%</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22.6%</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r>
      <w:tr>
        <w:trPr>
          <w:trHeight w:val="210"/>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r>
      <w:tr>
        <w:trPr>
          <w:trHeight w:val="210"/>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r>
      <w:tr>
        <w:trPr>
          <w:trHeight w:val="250"/>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21"/>
                <w:szCs w:val="21"/>
                <w:color w:val="auto"/>
              </w:rPr>
            </w:pPr>
          </w:p>
        </w:tc>
      </w:tr>
      <w:tr>
        <w:trPr>
          <w:trHeight w:val="629"/>
        </w:trPr>
        <w:tc>
          <w:tcPr>
            <w:tcW w:w="48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-933450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-916305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compare operating performance between the years ended December 31, 2025, 2024 and 2023 the Company has adjusted GAAP operating income to exclude (1) amortization of intangible assets, (2) acquisition and integration expenses, which include legal, accounting, and other expenses, (3) gain on the sale of the Global Pump Solutions business, and (4) 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w:t>
            </w:r>
          </w:p>
        </w:tc>
      </w:tr>
      <w:tr>
        <w:trPr>
          <w:trHeight w:val="216"/>
        </w:trPr>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expenses</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w:t>
            </w: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FF0FC"/>
          </w:tcPr>
          <w:p>
            <w:pPr>
              <w:spacing w:after="0"/>
              <w:rPr>
                <w:sz w:val="18"/>
                <w:szCs w:val="18"/>
                <w:color w:val="auto"/>
              </w:rPr>
            </w:pPr>
          </w:p>
        </w:tc>
      </w:tr>
      <w:tr>
        <w:trPr>
          <w:trHeight w:val="23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8.8%</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Net income as a percentage of sales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2.3%</w:t>
            </w:r>
          </w:p>
        </w:tc>
        <w:tc>
          <w:tcPr>
            <w:tcW w:w="3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216"/>
        </w:trPr>
        <w:tc>
          <w:tcPr>
            <w:tcW w:w="4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expenses</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4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r>
      <w:tr>
        <w:trPr>
          <w:trHeight w:val="216"/>
        </w:trPr>
        <w:tc>
          <w:tcPr>
            <w:tcW w:w="4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expense (benefit) of adjustments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FF0FC"/>
          </w:tcPr>
          <w:p>
            <w:pPr>
              <w:spacing w:after="0"/>
              <w:rPr>
                <w:sz w:val="18"/>
                <w:szCs w:val="18"/>
                <w:color w:val="auto"/>
              </w:rPr>
            </w:pPr>
          </w:p>
        </w:tc>
      </w:tr>
      <w:tr>
        <w:trPr>
          <w:trHeight w:val="23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Non-GAAP net income as a percentage of sales</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4.8%</w:t>
            </w:r>
          </w:p>
        </w:tc>
        <w:tc>
          <w:tcPr>
            <w:tcW w:w="3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4.9%</w:t>
            </w:r>
          </w:p>
        </w:tc>
      </w:tr>
      <w:tr>
        <w:trPr>
          <w:trHeight w:val="628"/>
        </w:trPr>
        <w:tc>
          <w:tcPr>
            <w:tcW w:w="4620" w:type="dxa"/>
            <w:vAlign w:val="bottom"/>
          </w:tcPr>
          <w:p>
            <w:pPr>
              <w:spacing w:after="0"/>
              <w:rPr>
                <w:sz w:val="24"/>
                <w:szCs w:val="24"/>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Consolidated net sales in 2025 were $774.4 million compared with $557.9 million in 2024, an increase of $216.5 million or 38.8%. The increase was primarily driven by the Company’s Engineered Systems segment. Within Engineered Systems, net sales increased across all product families with notable growth in filter separators, coalescers, and combustion and SCR systems. Approximately $129.4 million of net sales is attributable to acquisitions that occurred during the preceding twelve-month period.</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Gross profit increased by $73.1 million, or 37.3%, to $269.2 million in 2025 compared with $196.1 million in 2024. The increase in gross profit was attributable to the volume growth described above. Gross profit as a percentage of sales decreased to 34.8% in 2025 compared with 35.1% in 2024. The decrease in gross profit as a percentage of sales was driven by subcontractor and materials cost, partially offset by the Company's ability to leverage volume expansion to reduce internal labor and overhead costs in relation to sales.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were $200.7 million in 2025 compared with $146.7 million in 2024, an increase of $54.0 million, or 36.8%. The increase is primarily attributed to higher headcount to support the Company’s growth and strategic initiatives. The increase in cost was primarily realized through salaries and wages, benefits, stock compensation, incentive payments, and commissions. Approximately 49% of the increase relates to incremental selling and administrative expense incurred at the businesses acquired in 2024 and 2025.</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Amortization expenses were $16.1 million in 2025 and $8.7 million in 2024, an increase of $7.4 million, or 85.1%. The increase in expense is attributable to an increase in definite lived asset amortization due to recent acquisitions.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Acquisitions and integration expenses related to various merger and acquisition diligence activities, which include legal, accounting and banking expenses, were $9.5 million in 2025, as compared with $4.2 million in 2024, an increase of $5.3 million, or 126.2%. The increase is due to the timing and volume of acquisition activity. See Note 14 to the Consolidated Financial Statements for further discussion on recent acquisitions.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Other operating expense for the year ended December 31, 2025 was $0.6 million in 2025, a decrease of $0.4 million, or 40%, compared with $1.0 million in 2024. The change was driven by $2.1 million related to the transfer of the pension plan as part of the sale of the Global Pump Solutions business, an increase in executive transition expenses of $1.3 million and an increase in asbestos-related litigation expenses of $1.1 million, related to expected future settlement payments, offset by $(6.6) million related to the fair value adjustment to the WK Group earnout in 2025. Executive transition expenses in 2025 related to severance, executive search fees, and other costs associated with executive officer transitions.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Operating income for 2025 was $105.9 million, an increase of $70.4 million from $35.5 million in 2024. Operating income as a percentage of sales for 2025 was 13.7% compared with 6.3% for 2024. The increase was primarily attributable to higher gross profit, partially offset by higher selling and administrative expenses and acquisition and integration expenses, as well as the gain on the sale of the Company’s GPS business.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Non-GAAP operating income was $68.4 million in 2025, an increase of $19.1 million from $49.4 million in 2024. The increase in non-GAAP operating income is primarily attributable to the increase in gross profit, partially offset by higher selling and administrative costs. Non-GAAP operating income as a percentage of sales was 8.8% for 2025 compared with 8.8% for 2024.</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Other income for 2025 was $2.1 million compared to other expense of $4.7 million in 2024, a decrease of $2.6 million. The decrease in other income (expense) was primarily attributable to net foreign currency transaction losses in the current year based on changes in exchange rates at our foreign subsidiaries.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was $20.9 million in 2025 compared to $13.0 million in 2024, an increase of $7.9 million, or 60.8%. The increase in interest expense is primarily due to a higher average outstanding debt balance throughout 2025.</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Income tax expense was $29.7 million in 2025 compared to $3.3 million in 2024, an increase of $26.4 million, or 800.0%. The effective tax rate for 2025 was 35.9% compared with 18.5% in 2024. Income tax expense and the effective tax rate for 2025 were affected by the sale of the Global Pump Solutions business, changes in valuation allowances, and the net impact of global intangible low-taxed income and foreign-derived intangible income, as well as certain permanent differences including state income taxes, non-deductible incentive stock-based compensation, and differences in tax rates among the jurisdictions in which we operate.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5" w:name="page36"/>
    <w:bookmarkEnd w:id="35"/>
    <w:p>
      <w:pPr>
        <w:ind w:right="80"/>
        <w:spacing w:after="0" w:line="254" w:lineRule="auto"/>
        <w:rPr>
          <w:sz w:val="20"/>
          <w:szCs w:val="20"/>
          <w:color w:val="auto"/>
        </w:rPr>
      </w:pPr>
      <w:r>
        <w:rPr>
          <w:rFonts w:ascii="Times New Roman" w:cs="Times New Roman" w:eastAsia="Times New Roman" w:hAnsi="Times New Roman"/>
          <w:sz w:val="18"/>
          <w:szCs w:val="18"/>
          <w:color w:val="auto"/>
        </w:rPr>
        <w:t>Orders booked were $1,064.3 million in 2025 compared with $667.3 million in 2024, an increase of $397.0 million, or 59.5%. Of this $397.0 million increase, $267.2 million represents organic growth, as defined as the change in orders excluding the impact of orders recorded in the twelve month period subsequent to acquisition dates and orders from the GPS business, while $129.8 million of orders were attributable to acquisitions that occurred during the preceding twelve-month period. The Engineered Systems segment drove the majority of the year-over-year growth as nearly all product families realized higher bookings than in the prior period. Higher bookings in emissions management and thermal acoustics were driven by market demand to support the ongoing energy super-cycle in the United States. The company’s largest booking occurred in the fourth quarter of 2025, which exceeded $135 million; this order is for a comprehensive emissions management solution to support a large-scale Texas-based natural gas power generation facility. Additionally, filtration and water treatment packages bookings were higher year-over-year, notably in international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2024 for a discussion of our consolidated results of operations for the year ended December 31, 2024 compared to the year ended December 31, 2023, which information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and end markets that the segment serves and are presented in two reportable segments. The results of the segments are reviewed through segment profit, which represents income from operations as adjusted for certain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for the years ended December 31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544,298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384,025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100" w:type="dxa"/>
            <w:vAlign w:val="bottom"/>
          </w:tcPr>
          <w:p>
            <w:pPr>
              <w:spacing w:after="0"/>
              <w:rPr>
                <w:sz w:val="18"/>
                <w:szCs w:val="18"/>
                <w:color w:val="auto"/>
              </w:rPr>
            </w:pPr>
          </w:p>
        </w:tc>
      </w:tr>
      <w:tr>
        <w:trPr>
          <w:trHeight w:val="25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21"/>
                <w:szCs w:val="21"/>
                <w:color w:val="auto"/>
              </w:rPr>
            </w:pPr>
          </w:p>
        </w:tc>
      </w:tr>
      <w:tr>
        <w:trPr>
          <w:trHeight w:val="413"/>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Segment profit by segment for the years ended December 31 were as follows:</w:t>
            </w: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210"/>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79,137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100" w:type="dxa"/>
            <w:vAlign w:val="bottom"/>
          </w:tcPr>
          <w:p>
            <w:pPr>
              <w:spacing w:after="0"/>
              <w:rPr>
                <w:sz w:val="18"/>
                <w:szCs w:val="18"/>
                <w:color w:val="auto"/>
              </w:rPr>
            </w:pPr>
          </w:p>
        </w:tc>
      </w:tr>
      <w:tr>
        <w:trPr>
          <w:trHeight w:val="23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Segment profit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212,974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90,931</w:t>
            </w:r>
          </w:p>
        </w:tc>
        <w:tc>
          <w:tcPr>
            <w:tcW w:w="10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-1028065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-1010920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-1028065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-1010920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Engineered Systems segment</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increased $160.3 million to $544.3 million in 2025 compared with $384.0 million in 2024, an increase of 41.7%. The increase in net sales year-over-year was seen in all product families with notable growth in filter separators, coalescers, and combustion and SCR systems. Approximately $62.7 million of net sales in 2025 is attributable to acquisitions that occurred during the preceding twelve-month period.</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Segment profit for the Engineered Systems segment increased $32.7 million to $111.8 million in 2025 compared with $79.1 million in 2024, an increase of 41.3%. The increase in operating income is primarily attributable to higher gross profit margin, driven by sales volume as described above.</w:t>
      </w:r>
    </w:p>
    <w:p>
      <w:pPr>
        <w:spacing w:after="0" w:line="162"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Our Engineered Systems segment orders booked increased $315.2 million, or 62.9%, to $816.1 million in 2025 compared with $500.9 million in 2024. Higher orders in emissions management and thermal acoustics were driven by market demand to support the ongoing energy super-cycle in the United States. The company’s largest order occurred in the fourth quarter of 2025, which exceeded $135 million; this order is for a comprehensive emissions management solution to support a large-scale Texas-based natural gas power generation facility. Additionally, filtration and water treatment packages orders were higher year-over-year, notably in international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420"/>
        <w:spacing w:after="0" w:line="266" w:lineRule="auto"/>
        <w:rPr>
          <w:sz w:val="20"/>
          <w:szCs w:val="20"/>
          <w:color w:val="auto"/>
        </w:rPr>
      </w:pPr>
      <w:r>
        <w:rPr>
          <w:rFonts w:ascii="Times New Roman" w:cs="Times New Roman" w:eastAsia="Times New Roman" w:hAnsi="Times New Roman"/>
          <w:sz w:val="18"/>
          <w:szCs w:val="18"/>
          <w:color w:val="auto"/>
        </w:rPr>
        <w:t>markets. Orders for the company’s products in oil markets experienced year-over-year contraction. Approximately $61.6 million of orders in 2025 are attributable to acquisitions that occurred during the preceding twelve-month period. These orders are attributable to the company’s combustion management product 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Process Solutions segment</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$56.2 million to $230.1 million in 2025 compared with $173.9 million in 2024, an increase of 32.3%. The increase is primarily attributable to the Company’s acquisitions of Verantis and WK and the divestiture of its Fluid Handling business. Approximately $66.6 million of net sales in 2025 is attributable to acquisitions that have occurred during the preceding twelve-month period.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Segment profit for the Industrial Process segment increased $68.8 million to $101.1 million in 2025 compared with $32.3 million in 2024. The increase in operating income was primarily attributable to higher sales volume. Gross profit margins decreased year over year, driven by the divestiture of the higher-margin Fluid Handling business and project mix, primarily within the Company’s ducting business. Margin performance reflects these portfolio changes and project mix impacts.</w:t>
      </w:r>
    </w:p>
    <w:p>
      <w:pPr>
        <w:spacing w:after="0" w:line="18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$81.9 million, or 49.2%, to $248.2 million in 2025 compared with $166.3 million in 2024. The increase was primarily attributable to the Company’s acquisitions of Verantis and WK, which occurred in late 2024, partially offset by the divestiture of the Fluid Handling business. In addition, the Industrial Process Solutions segment experienced higher bookings related to regenerative thermal oxidizers and scrubber technologies. Approximately $42.9 million of orders in 2025 are attributable to acquisitions that occurred during the preceding twelve month period, offset by the impact of the divestiture of its Fluid Handling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31"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2024 for a discussion of business segment results of operations for the year ended December 31, 2024 compared to the year ended December 31, 2023, which information is incorporated by reference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working capital of $104.4 million, compared with $86.3 million at December 31, 2024. The ratio of current assets to current liabilities was 1.34 to 1.00 at December 31, 2025 as compared with a ratio of 1.35 to 1.00 at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cash and cash equivalents totaled $33.1 million and $37.8 million, respectively. As of December 31, 2025 and 2024,</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$26.4 million and $29.7 million, respectively, of our cash and cash equivalents were held by foreign subsidiaries, as well as being denominated in foreign currencies.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r>
      <w:tr>
        <w:trPr>
          <w:trHeight w:val="210"/>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7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Borders>
              <w:top w:val="single" w:sz="8" w:color="CFF0FC"/>
            </w:tcBorders>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7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Company made repayments of $1.7 million on the joint venture term debt, with net borrowings of $5.6 million on the revolving credit line</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This agreement provides for a senior secured revolving credit facility in an initial aggregate principal amount of up to $400.0 million.</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January 30, 2026, the Company entered into the Fourth Amended and Restated Credit Agreement. This agreement provides for a senior secured revolving credit facility in an initial aggregate principal amount of up to $700.0 million.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At December 31, 2025, this included the maintenance of a Consolidated Net Leverage Ratio not greater than 4.00 to 1.00, a Consolidated Secured Net Leverage Ratio not greater than 3.00 to 1.00, and a Consolidated Fixed Charge Coverage Ratio not less than 1.25 to 1.00. With the Fourth Amended and Restated Credit Agreement, this includes the maintenance of a Consolidated Net Leverage Ratio not greater than 4.00 to 1.00, a Consolidated Secured Net Leverage Ratio not greater than 3.00 to 1.00, and a Consolidated Fixed Charge Coverage Ratio of not less than 1.25 to 1.00.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March 7, 2022, the Company's Pinnacle Processes Inc. (formerly known as Effox-Flextor-Mader, Inc.) joint venture ("PPI JV") entered into a loan agreement secured by the assets of the PPI JV in the aggregate principal amount of $11.0 million for the acquisition of General Rubber,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further information on the Company’s debt facilities.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Total unused credit availability under our Credit Facility and other non-U.S. credit facilities and agreements, exclusive of any potential asset base limitations, was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4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Draw down</w:t>
            </w:r>
          </w:p>
        </w:tc>
        <w:tc>
          <w:tcPr>
            <w:tcW w:w="3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 open</w:t>
            </w: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3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3180" w:type="dxa"/>
            <w:vAlign w:val="bottom"/>
          </w:tcPr>
          <w:p>
            <w:pPr>
              <w:spacing w:after="0"/>
              <w:rPr>
                <w:sz w:val="17"/>
                <w:szCs w:val="17"/>
                <w:color w:val="auto"/>
              </w:rPr>
            </w:pPr>
          </w:p>
        </w:tc>
        <w:tc>
          <w:tcPr>
            <w:tcW w:w="1020" w:type="dxa"/>
            <w:vAlign w:val="bottom"/>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123.6</w:t>
            </w:r>
          </w:p>
        </w:tc>
        <w:tc>
          <w:tcPr>
            <w:tcW w:w="160" w:type="dxa"/>
            <w:vAlign w:val="bottom"/>
          </w:tcPr>
          <w:p>
            <w:pPr>
              <w:spacing w:after="0"/>
              <w:rPr>
                <w:sz w:val="17"/>
                <w:szCs w:val="17"/>
                <w:color w:val="auto"/>
              </w:rPr>
            </w:pPr>
          </w:p>
        </w:tc>
        <w:tc>
          <w:tcPr>
            <w:tcW w:w="6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8" w:name="page39"/>
    <w:bookmarkEnd w:id="38"/>
    <w:p>
      <w:pPr>
        <w:ind w:right="100"/>
        <w:spacing w:after="0" w:line="312" w:lineRule="auto"/>
        <w:rPr>
          <w:sz w:val="20"/>
          <w:szCs w:val="20"/>
          <w:color w:val="auto"/>
        </w:rPr>
      </w:pPr>
      <w:r>
        <w:rPr>
          <w:rFonts w:ascii="Times New Roman" w:cs="Times New Roman" w:eastAsia="Times New Roman" w:hAnsi="Times New Roman"/>
          <w:sz w:val="17"/>
          <w:szCs w:val="17"/>
          <w:color w:val="auto"/>
        </w:rPr>
        <w:t>On January 30, 2026, the Company entered into the Fourth Amended and Restated Credit Agreement, which provides for a senior secured revolving credit facility in an initial aggregate principal amount of up to $700.0 million. See Note 8 to the Consolidated Financial Statements for further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cash flow provided by operating activities</w:t>
            </w: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(105,312)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(56,486)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(4,974)</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(17,247)</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2025, $5.9 million of cash was provided by operating activities compared with $24.8 million provided by operating activities in 2024, a decrease of $18.9 million. The decrease in 2025 was primarily driven by unfavorable changes in net working capital, particularly increased costs on uncompleted contracts and higher prepaid expenses, partially offset by increased customer billings and improved collections on accounts receivable.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2024, $24.8 million of cash was provided by operating activities compared with $44.6 million provided by operating activities in 2023, a decrease of $19.8 million. Cash flow from operating activities in 2024 had an unfavorable impact year-over-year primarily due to changes in net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2025, $1.1 million of cash was used in investing activities, which consisted of $97.6 million for acquisitions, driven by the first quarter acquisition of Profire Energy and $11.3 million for acquisition of property and equipment, offset by $108.8 million in cash proceeds from the sale of the Global Pump Solutions business in the first quarter.</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2024, $105.3 million of cash was used in investing activities, which consisted of $87.9 million for acquisitions including the third quarter acquisition of EnviroCare and fourth quarter acquisitions of WK Group and Verantis, as well as $17.4 million for acquisition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Financing activities in 2025 used cash of $11.6 million, which consisted primarily of $7.8 million of net payments under the Credit Facility, using the cash proceeds from the sale of the Global Pump Solutions business, as well as $1.6 million of distributions to non-controlling interests and $2.8 million of deferred consideration for acquisitions.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Financing activities in 2024 provided cash of $65.9 million, which consisted primarily of $82.9 million of net borrowings under the Credit Facility, used to finance current year acquisitions. This was partially offset by $5.0 million for the repurchase and retirement of our common stock, $2.2 million relating to equity compensation, inclusive of awards surrendered for tax liabilities, proceeds from employee stock purchase plan and exercise of stock options, $2.1 million in distributions to non-controlling interest, $2.1 million of deferred consideration for acquisitions, $1.9 million of financing fees, $2.8 million of earnout payments, and $0.9 million in payments on our capital leases.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inclusive of the cash portion of the Merger Consideration and transaction fees incurred as part of the Thermon proposed transaction.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220"/>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included debt repayments with respect to our Credit Facility and joint venture term debt, interest expense, purchase obligations for costs associated with uncompleted sales contracts, operating and capital lease obligations and contingent liabilities related to acquisitions, including earnout liabilities and retention payments.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tcPr>
          <w:p>
            <w:pPr>
              <w:spacing w:after="0"/>
              <w:rPr>
                <w:sz w:val="16"/>
                <w:szCs w:val="16"/>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0"/>
                <w:szCs w:val="20"/>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Debt, including joint venture debt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Loan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(estimated)</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-170815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purchase obligations for costs associated with uncompleted sales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No provision for estimated losses on uncompleted contracts was needed at December 31, 2025,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Cost is determined on a first-in, first-out or average cost basis. Inventory quantities are regularly reviewed and provisions for excess or obsolete inventory are recorded primarily based 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our forecast of future demand and market conditions. Significant unanticipated changes to forecasts could require a change in the provision for excess or obsolete inventory.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complete an impairment assessment of the Company's long-lived assets, including property and equipment, right-of-use assets, and finite-lived intangible assets, whenever events or changes in circumstances indicate that the carrying amount of an asset group may not be recoverable. If such indicators exist, we compare the carrying amount of the asset group to the estimated undiscounted future cash flows expected to result from the use and eventual disposition of the asset group. If the carrying amount exceeds the undiscounted cash flows, an impairment loss is recognized based on the excess of the carrying amount over fair value.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2025, 2024, and 2023, we recognized no impairment charges related to long-lived assets. For additional information on impairment testing results, see Note 6 to the Consolidated Financial Statements.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complete an impairment assessment annually in the fourth quarter or more often as circumstances require, of goodwill and indefinite-lived intangible assets on a reporting unit level, at or below the operating segment level. As a part of the annual assessment, we first qualitatively assesses whether current events or changes in circumstances lead to a determination that it is more likely than not that the fair value of a reporting unit is less than its carrying amount. If there is a qualitative determination that the fair value of a particular reporting unit is more likely than not greater than its carrying value, we do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2025, 2024, and 2023, our annual impairment assessment indicated no impairment of goodwill. Accordingly, we recognized no impairment charges in our financial results for the years ended December 31, 2025, 2024, and 2023. For additional information on impairment testing results, see Note 6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 Standards Board, Accounting Standards Codification Topic 740, “Income Taxes.” Income tax expense includes federal, state and foreign income taxes.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We record the related interest expense and penalties, if any, as tax expense in the tax provision.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200"/>
        <w:spacing w:after="0" w:line="282" w:lineRule="auto"/>
        <w:rPr>
          <w:sz w:val="20"/>
          <w:szCs w:val="20"/>
          <w:color w:val="auto"/>
        </w:rPr>
      </w:pPr>
      <w:r>
        <w:rPr>
          <w:rFonts w:ascii="Times New Roman" w:cs="Times New Roman" w:eastAsia="Times New Roman" w:hAnsi="Times New Roman"/>
          <w:sz w:val="18"/>
          <w:szCs w:val="18"/>
          <w:color w:val="auto"/>
        </w:rPr>
        <w:t>assessment. The amount of the deferred tax assets considered realizable, however, could be reduced in the near term if estimates of future taxable income during the carryforward period are reduced.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4, 2025, the legislation HR-1, known as One Big Beautiful Bill Act (the "Act") was enacted, with tax changes phased in from 2025 to 2027, including the limitation on deductibility of interest expense, the capitalization of research expenditures, the allowance of immediate expensing of capital expenditures, and the taxation of foreign earnings. The Company recorded the impact of the Act in the third quarter of 2025, including the election to fully accelerate all domestic Section 174 expensing into 2025 and claim bonus depreciation, which reduced cash paid for taxes in 2025. Based on our current profile, we do not expect the Act's changes to the taxation of foreign earnings to have a material impact on our results in future periods when effective.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December 31, 2025 was $214.2 million. Market risk was estimated as the potential decrease (increase) in future earnings and cash flows resulting from a hypothetical 10% increase (decrease) in the Company’s estimated weighted average borrowing rate at December 31, 2025. Most of the interest on the Company’s debt is indexed to SOFR market rates. The estimated annual impact of a hypothetical 10% change in the estimated weighted average borrowing rate at December 31, 2025 is $1.4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United Kingdom, Singapore, India, United Arab Emirates, Germany and South Korea. In the past, we have not hedged our foreign currency exposure. Future changes in exchange rates may positively or negatively impact our revenues, operating expenses and earnings. Transaction (losses) gains included in “Other (expense) income, net” line of the Consolidated Statements of Income were $(2.2) million, $(4.3) million, and $1.2 million in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for the years ended December 31, 2025, 2024 and 2023 and other data are included in this report following the signature page of this report and incorporated into this Item 8 by reference: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(Deloitte &amp; Touche LLP, Dallas, Texas, PCAOB #34)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Cincinnati, Ohio, PCAOB #243)</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66"/>
        </w:trPr>
        <w:tc>
          <w:tcPr>
            <w:tcW w:w="2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58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07"/>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09"/>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900" w:type="dxa"/>
            <w:vAlign w:val="bottom"/>
            <w:tcBorders>
              <w:left w:val="single" w:sz="8" w:color="0000FF"/>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09"/>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9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10"/>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Accumulated Other Comprehensive Loss</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9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09"/>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9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10"/>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66"/>
        </w:trPr>
        <w:tc>
          <w:tcPr>
            <w:tcW w:w="2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41</w:t>
            </w:r>
          </w:p>
        </w:tc>
      </w:tr>
      <w:tr>
        <w:trPr>
          <w:trHeight w:val="763"/>
        </w:trPr>
        <w:tc>
          <w:tcPr>
            <w:tcW w:w="2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CECO Environmental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CECO Environmental Corp. and subsidiaries (the "Company") as of December 31, 2025, the related consolidated statements of income, comprehensive income, shareholders'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March 2, 2026, expressed an adverse opinion on the Company's internal control over financial reporting because of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 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recognizes a significant portion of its revenues from fixed-price contracts overtime using the cost to cost method for performance obligations to deliver products with continuous transfer of control to the customer. Under these contracts, revenue is recognized based on the extent of progress towards completion of the performance obligation. Progress is measured based on the ratio of costs incurred to date to the total estimated costs to complete the performance obligation. This method depends on the ability to make reasonably dependable estimates related to costs and the extent of progress toward completion of the contract. Changes in project performance and project conditions are factors that influence estimates of the total costs to complete contracts and the Company’s revenue recognition.</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identified estimated costs to complete and progress towards completion for overtime revenue contracts as a critical audit matter. The determination of the total estimated cost and progress toward completion requires management to make significant estimates and assumptions. Changes in these estimates can have a significant impact on the revenue recognized each period. Auditing these elements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ind w:right="280"/>
        <w:spacing w:after="0" w:line="282" w:lineRule="auto"/>
        <w:rPr>
          <w:sz w:val="20"/>
          <w:szCs w:val="20"/>
          <w:color w:val="auto"/>
        </w:rPr>
      </w:pPr>
      <w:r>
        <w:rPr>
          <w:rFonts w:ascii="Times New Roman" w:cs="Times New Roman" w:eastAsia="Times New Roman" w:hAnsi="Times New Roman"/>
          <w:sz w:val="18"/>
          <w:szCs w:val="18"/>
          <w:color w:val="auto"/>
        </w:rPr>
        <w:t>involved challenging and subjective auditor judgment in evaluating the reasonableness of management’s assumptions and estimates over the duration of these contracts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to complete and progress towards completion for fixed-price contracts revenue recognized overtime included the following, among others:</w:t>
      </w:r>
    </w:p>
    <w:p>
      <w:pPr>
        <w:spacing w:after="0" w:line="162"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business units, we developed an expectation of revenue by creating an independent estimate of revenue based on historical margin rates and compared it to the recorded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business units, we selected a sample of contracts and performed the following:</w:t>
      </w:r>
    </w:p>
    <w:p>
      <w:pPr>
        <w:spacing w:after="0" w:line="117" w:lineRule="exact"/>
        <w:rPr>
          <w:rFonts w:ascii="Times New Roman" w:cs="Times New Roman" w:eastAsia="Times New Roman" w:hAnsi="Times New Roman"/>
          <w:sz w:val="18"/>
          <w:szCs w:val="18"/>
          <w:color w:val="auto"/>
        </w:rPr>
      </w:pPr>
    </w:p>
    <w:p>
      <w:pPr>
        <w:ind w:left="154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whether the contracts were properly included in management’s calculation of revenue based on the terms and conditions of each contract, including whether continuous transfer of control to the customer occurred as progress was made toward fulfilling the performance obligation.</w:t>
      </w:r>
    </w:p>
    <w:p>
      <w:pPr>
        <w:spacing w:after="0" w:line="67" w:lineRule="exact"/>
        <w:rPr>
          <w:rFonts w:ascii="Times New Roman" w:cs="Times New Roman" w:eastAsia="Times New Roman" w:hAnsi="Times New Roman"/>
          <w:sz w:val="18"/>
          <w:szCs w:val="18"/>
          <w:color w:val="auto"/>
        </w:rPr>
      </w:pPr>
    </w:p>
    <w:p>
      <w:pPr>
        <w:ind w:left="1540" w:right="6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oCompared the transaction prices to the consideration expected to be received based on current rights and obligations under the contracts and any modifications that were agreed upon with the customers.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oTested management’s identification of distinct performance obligations by evaluating whether the underlying goods and services were highly interdependent and interrelated.</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oTested the accuracy of a sample of costs allocated to the related performance obligation.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Compared total costs allocated to projects to the costs management estimated to be incurred at completion.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Tested the mathematical accuracy of management’s calculation of revenue for the performance obligation.</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contracts, we evaluated management’s ability to estimate total costs and profit margins accurately by comparing actual costs and profit margins to management’s historical estimates for performance obligations that have been fulfilled</w:t>
      </w:r>
      <w:r>
        <w:rPr>
          <w:rFonts w:ascii="Times New Roman" w:cs="Times New Roman" w:eastAsia="Times New Roman" w:hAnsi="Times New Roman"/>
          <w:sz w:val="18"/>
          <w:szCs w:val="18"/>
          <w:color w:val="0076A8"/>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CECO Environmental Corp. (the “Company”) as of December 31, 2024, the related consolidated statements of income, comprehensive income, shareholders’ equity, accumulated other comprehensive loss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2008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 except for the effects of the change in segment profit measure described in Note 16, as to which the date is 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$9,866 and $8,863</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288,163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305,830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570,587</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none issued</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35,644,537 and</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34,978,009 shares issued and outstanding at December 31, 2025</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2024, respectively</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269,453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(8,901)</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7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317,528</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323,182</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-5057140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-5057140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-3950970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-1988185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-599440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505,155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269,226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(63,701)</w:t>
            </w: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per share:</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35,331,105</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34,927,313</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34,665,473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36,603,956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36,381,910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35,334,090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-1610995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-1610995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-1327785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-1327785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-1045210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realized with transfer of pension plan with sale of Global Pump Solutions</w:t>
            </w:r>
          </w:p>
        </w:tc>
        <w:tc>
          <w:tcPr>
            <w:tcW w:w="3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2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-856615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-856615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Accumul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0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6"/>
              </w:rPr>
              <w:t>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120" w:type="dxa"/>
            <w:vAlign w:val="bottom"/>
          </w:tcPr>
          <w:p>
            <w:pPr>
              <w:spacing w:after="0"/>
              <w:rPr>
                <w:sz w:val="18"/>
                <w:szCs w:val="18"/>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Noncontr</w:t>
            </w:r>
          </w:p>
        </w:tc>
        <w:tc>
          <w:tcPr>
            <w:tcW w:w="120" w:type="dxa"/>
            <w:vAlign w:val="bottom"/>
          </w:tcPr>
          <w:p>
            <w:pPr>
              <w:spacing w:after="0"/>
              <w:rPr>
                <w:sz w:val="18"/>
                <w:szCs w:val="18"/>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Sharehol</w:t>
            </w:r>
          </w:p>
        </w:tc>
        <w:tc>
          <w:tcPr>
            <w:tcW w:w="0" w:type="dxa"/>
            <w:vAlign w:val="bottom"/>
          </w:tcPr>
          <w:p>
            <w:pPr>
              <w:spacing w:after="0"/>
              <w:rPr>
                <w:sz w:val="1"/>
                <w:szCs w:val="1"/>
                <w:color w:val="auto"/>
              </w:rPr>
            </w:pPr>
          </w:p>
        </w:tc>
      </w:tr>
      <w:tr>
        <w:trPr>
          <w:trHeight w:val="225"/>
        </w:trPr>
        <w:tc>
          <w:tcPr>
            <w:tcW w:w="4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excess of</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ensive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olling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ders'</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2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$ 250,174</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(19,298)</w:t>
            </w:r>
          </w:p>
        </w:tc>
        <w:tc>
          <w:tcPr>
            <w:tcW w:w="2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$ 218,148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 ended December 31, 2023</w:t>
            </w: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issued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earned</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for minimum pension liability, net of tax of</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gain</w:t>
            </w: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distribution</w:t>
            </w: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(1,666)</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$ 254,956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shd w:val="clear" w:color="auto" w:fill="CFF0FC"/>
              </w:rPr>
              <w:t>$</w:t>
            </w:r>
          </w:p>
        </w:tc>
        <w:tc>
          <w:tcPr>
            <w:tcW w:w="62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4,848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$ 237,491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for the year ended December 31, 2024</w:t>
            </w:r>
          </w:p>
        </w:tc>
        <w:tc>
          <w:tcPr>
            <w:tcW w:w="340" w:type="dxa"/>
            <w:vAlign w:val="bottom"/>
          </w:tcPr>
          <w:p>
            <w:pPr>
              <w:spacing w:after="0"/>
              <w:rPr>
                <w:sz w:val="17"/>
                <w:szCs w:val="17"/>
                <w:color w:val="auto"/>
              </w:rPr>
            </w:pPr>
          </w:p>
        </w:tc>
        <w:tc>
          <w:tcPr>
            <w:tcW w:w="6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12,957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14,421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issued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earned</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 and retirement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 for minimum pension liability, net of tax of</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$782</w:t>
            </w:r>
          </w:p>
        </w:tc>
        <w:tc>
          <w:tcPr>
            <w:tcW w:w="3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loss</w:t>
            </w: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(2,108)</w:t>
            </w:r>
          </w:p>
        </w:tc>
        <w:tc>
          <w:tcPr>
            <w:tcW w:w="9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$ 255,211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20" w:type="dxa"/>
            <w:vAlign w:val="bottom"/>
          </w:tcPr>
          <w:p>
            <w:pPr>
              <w:spacing w:after="0"/>
              <w:rPr>
                <w:sz w:val="18"/>
                <w:szCs w:val="18"/>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$ 251,893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for the year ended December 31, 2025</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50,051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FF0FC"/>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Borders>
              <w:right w:val="single" w:sz="8" w:color="CFF0FC"/>
            </w:tcBorders>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53,107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issued</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00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earned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Loss realized with transfer of pension plan with sale of</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Pump Solutions business</w:t>
            </w:r>
          </w:p>
        </w:tc>
        <w:tc>
          <w:tcPr>
            <w:tcW w:w="3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gain</w:t>
            </w: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8"/>
                <w:szCs w:val="18"/>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Balance December 31, 2025</w:t>
            </w:r>
          </w:p>
        </w:tc>
        <w:tc>
          <w:tcPr>
            <w:tcW w:w="8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35,645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38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$ 269,453</w:t>
            </w:r>
          </w:p>
        </w:tc>
        <w:tc>
          <w:tcPr>
            <w:tcW w:w="100" w:type="dxa"/>
            <w:vAlign w:val="bottom"/>
          </w:tcPr>
          <w:p>
            <w:pPr>
              <w:spacing w:after="0"/>
              <w:rPr>
                <w:sz w:val="14"/>
                <w:szCs w:val="14"/>
                <w:color w:val="auto"/>
              </w:rPr>
            </w:pP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56,621</w:t>
            </w:r>
          </w:p>
        </w:tc>
        <w:tc>
          <w:tcPr>
            <w:tcW w:w="120" w:type="dxa"/>
            <w:vAlign w:val="bottom"/>
          </w:tcPr>
          <w:p>
            <w:pPr>
              <w:spacing w:after="0"/>
              <w:rPr>
                <w:sz w:val="14"/>
                <w:szCs w:val="14"/>
                <w:color w:val="auto"/>
              </w:rPr>
            </w:pPr>
          </w:p>
        </w:tc>
        <w:tc>
          <w:tcPr>
            <w:tcW w:w="20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(8,901)</w:t>
            </w:r>
          </w:p>
        </w:tc>
        <w:tc>
          <w:tcPr>
            <w:tcW w:w="120" w:type="dxa"/>
            <w:vAlign w:val="bottom"/>
            <w:vMerge w:val="continue"/>
          </w:tcPr>
          <w:p>
            <w:pPr>
              <w:spacing w:after="0"/>
              <w:rPr>
                <w:sz w:val="14"/>
                <w:szCs w:val="14"/>
                <w:color w:val="auto"/>
              </w:rPr>
            </w:pPr>
          </w:p>
        </w:tc>
        <w:tc>
          <w:tcPr>
            <w:tcW w:w="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$ 323,182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-2767965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-2750820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-2767965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-2750820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-2767965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-2750820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-2767965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-2750820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-2767965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-2750820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-2767965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-2750820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-1508125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-1508125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-1508125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-1508125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-1508125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-1508125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-239395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-239395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-239395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-239395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-239395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-239395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Loss realized with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 of pension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Minimum pension</w:t>
            </w:r>
          </w:p>
        </w:tc>
        <w:tc>
          <w:tcPr>
            <w:tcW w:w="10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plan with sale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6"/>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liability adjustment,</w:t>
            </w:r>
          </w:p>
        </w:tc>
        <w:tc>
          <w:tcPr>
            <w:tcW w:w="10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Global Pump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6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Solutions business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00" w:type="dxa"/>
            <w:vAlign w:val="bottom"/>
          </w:tcPr>
          <w:p>
            <w:pPr>
              <w:spacing w:after="0"/>
              <w:rPr>
                <w:sz w:val="20"/>
                <w:szCs w:val="20"/>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(11,993)</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2023 activity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(11,496)</w:t>
            </w:r>
          </w:p>
        </w:tc>
        <w:tc>
          <w:tcPr>
            <w:tcW w:w="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2024 activity</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(12,356)</w:t>
            </w:r>
          </w:p>
        </w:tc>
        <w:tc>
          <w:tcPr>
            <w:tcW w:w="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2025 activity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Pr>
          <w:p>
            <w:pPr>
              <w:spacing w:after="0"/>
              <w:rPr>
                <w:sz w:val="18"/>
                <w:szCs w:val="18"/>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(8,901)</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53,107</w:t>
            </w:r>
          </w:p>
        </w:tc>
        <w:tc>
          <w:tcPr>
            <w:tcW w:w="160" w:type="dxa"/>
            <w:vAlign w:val="bottom"/>
          </w:tcPr>
          <w:p>
            <w:pPr>
              <w:spacing w:after="0"/>
              <w:rPr>
                <w:sz w:val="17"/>
                <w:szCs w:val="17"/>
                <w:color w:val="auto"/>
              </w:rPr>
            </w:pP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2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(1,041)</w:t>
            </w: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(63,701)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realized with transfer of pension plan with sale of Global Pump Solutions business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credit (recovery) loss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Inventory obsolescence expense</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(3,606)</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w:t>
            </w: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(52,355)</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(26,851)</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(44,833)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(4,149)</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(9,814)</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(6,896)</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(16,831)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(8,347)</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(12,736)</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(1,420)</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37,903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100" w:type="dxa"/>
            <w:vAlign w:val="bottom"/>
            <w:shd w:val="clear" w:color="auto" w:fill="CFF0FC"/>
          </w:tcPr>
          <w:p>
            <w:pPr>
              <w:spacing w:after="0"/>
              <w:rPr>
                <w:sz w:val="17"/>
                <w:szCs w:val="17"/>
                <w:color w:val="auto"/>
              </w:rPr>
            </w:pPr>
          </w:p>
        </w:tc>
      </w:tr>
      <w:tr>
        <w:trPr>
          <w:trHeight w:val="202"/>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 payable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(1,976)</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(9,233)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(2,120)</w:t>
            </w:r>
          </w:p>
        </w:tc>
      </w:tr>
      <w:tr>
        <w:trPr>
          <w:trHeight w:val="196"/>
        </w:trPr>
        <w:tc>
          <w:tcPr>
            <w:tcW w:w="68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24,828</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100" w:type="dxa"/>
            <w:vAlign w:val="bottom"/>
            <w:tcBorders>
              <w:top w:val="single" w:sz="8" w:color="CFF0FC"/>
            </w:tcBorders>
          </w:tcPr>
          <w:p>
            <w:pPr>
              <w:spacing w:after="0"/>
              <w:rPr>
                <w:sz w:val="17"/>
                <w:szCs w:val="17"/>
                <w:color w:val="auto"/>
              </w:rPr>
            </w:pP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(17,368)</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(8,384)</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107,808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(97,615)</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(87,948)</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(48,102)</w:t>
            </w:r>
          </w:p>
        </w:tc>
      </w:tr>
      <w:tr>
        <w:trPr>
          <w:trHeight w:val="20"/>
        </w:trPr>
        <w:tc>
          <w:tcPr>
            <w:tcW w:w="6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(105,312)</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(56,486)</w:t>
            </w: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106,600</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(238,900)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(112,400)</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(150,600)</w:t>
            </w: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(113,982)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(4,985)</w:t>
            </w: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(1,924)</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(2,050)</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(1,247)</w:t>
            </w: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financing leases</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(925)</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(907)</w:t>
            </w:r>
          </w:p>
        </w:tc>
      </w:tr>
      <w:tr>
        <w:trPr>
          <w:trHeight w:val="20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(2,831)</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(2,123)</w:t>
            </w:r>
          </w:p>
        </w:tc>
      </w:tr>
      <w:tr>
        <w:trPr>
          <w:trHeight w:val="189"/>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 and exercise of stock options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(2,169)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8"/>
                <w:szCs w:val="18"/>
                <w:color w:val="auto"/>
              </w:rPr>
            </w:pPr>
          </w:p>
        </w:tc>
      </w:tr>
      <w:tr>
        <w:trPr>
          <w:trHeight w:val="206"/>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(2,109)</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(1,666)</w:t>
            </w:r>
          </w:p>
        </w:tc>
      </w:tr>
      <w:tr>
        <w:trPr>
          <w:trHeight w:val="20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(11,558)</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65,910</w:t>
            </w: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100" w:type="dxa"/>
            <w:vAlign w:val="bottom"/>
            <w:shd w:val="clear" w:color="auto" w:fill="CFF0FC"/>
          </w:tcPr>
          <w:p>
            <w:pPr>
              <w:spacing w:after="0"/>
              <w:rPr>
                <w:sz w:val="17"/>
                <w:szCs w:val="17"/>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(2,673)</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(442)</w:t>
            </w:r>
          </w:p>
        </w:tc>
      </w:tr>
      <w:tr>
        <w:trPr>
          <w:trHeight w:val="20"/>
        </w:trPr>
        <w:tc>
          <w:tcPr>
            <w:tcW w:w="6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(4,974)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(17,247)</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Pr>
          <w:p>
            <w:pPr>
              <w:spacing w:after="0"/>
              <w:rPr>
                <w:sz w:val="17"/>
                <w:szCs w:val="17"/>
                <w:color w:val="auto"/>
              </w:rPr>
            </w:pPr>
          </w:p>
        </w:tc>
      </w:tr>
      <w:tr>
        <w:trPr>
          <w:trHeight w:val="23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33,227</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shd w:val="clear" w:color="auto" w:fill="CFF0FC"/>
          </w:tcPr>
          <w:p>
            <w:pPr>
              <w:spacing w:after="0"/>
              <w:rPr>
                <w:sz w:val="20"/>
                <w:szCs w:val="20"/>
                <w:color w:val="auto"/>
              </w:rPr>
            </w:pPr>
          </w:p>
        </w:tc>
      </w:tr>
      <w:tr>
        <w:trPr>
          <w:trHeight w:val="183"/>
        </w:trPr>
        <w:tc>
          <w:tcPr>
            <w:tcW w:w="6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3"/>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100" w:type="dxa"/>
            <w:vAlign w:val="bottom"/>
            <w:shd w:val="clear" w:color="auto" w:fill="CFF0FC"/>
          </w:tcPr>
          <w:p>
            <w:pPr>
              <w:spacing w:after="0"/>
              <w:rPr>
                <w:sz w:val="19"/>
                <w:szCs w:val="19"/>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260" w:type="dxa"/>
            <w:vAlign w:val="bottom"/>
          </w:tcPr>
          <w:p>
            <w:pPr>
              <w:spacing w:after="0"/>
              <w:rPr>
                <w:sz w:val="15"/>
                <w:szCs w:val="15"/>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10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-3745230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-3745230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-2956560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-2956560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-1002030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-1002030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-462280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-445135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-462280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-445135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CECO Environmental Corp. and its consolidated subsidiaries (“CECO,” the “Company,” “we,” “us,” or “our”) is an environmentally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—The consolidated financial statements include the Company and its controlled subsidiaries. All intercompany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have been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were reclassified to conform to the presentation in the current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all balances within tables are in thousands with the exception of per share amounts.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18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 considers all highly liquid investments with original maturities of three months or less to be cash equivalents.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and 2024, Restricted Cash is cash in support of letters of credit issued by various foreign subsidiaries of the Company. The Company occasionally enters into letters of credit with durations in excess of one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Statements of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7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—Receivables are generally uncollateralized customer obligations due under normal terms requiring payment generally within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—The Company’s inventories are valued at the lower of cost or net realizable value. Cost is determined on a first-in, first-out or average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Inventory quantities are regularly reviewed and provisions for excess or obsolete inventory are recorded primarily based on the Company’s forecast of future demand and market conditions. Significant unanticipated changes to forecasts could require a change in the provision for excess or obsolete inventory.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—Property, plant and equipment are carried at the cost of acquisition or construction and depreciated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—Property, plant and equipment, right-of-use assets, and finite life intangible assets are reviewed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Indefinite life intangible assets are comprised of tradenames, while finite life intangible assets are comprised of technology,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—The Company completes an impairment assessment annually in the fourth quarter or more often as circumstances require, of its goodwill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indefinite-lived intangible assets on a reporting unit level, at or below the operating segment level. As a part of its annual assessment, the Company first qualitatively assesses whether current events or changes in circumstances lead to a determination that it is more likely than not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—The Company allocates the fair value of purchase consideration to the tangible assets acquired, liabilities assumed, and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based upon their estimated fair values as of the acquisition date. The Company determines the fair value of intangible assets using the income method, which is based upon a discounted future cash flow. The discounted future cash flow utilizes unobservable inputs, or Level 3 assumptions. Specifically, the discounted future cash flow uses the significant assumptions of projected revenue, projected operational profit, terminal growth rates, and the cost of capital. Projected revenue and operational profit, and terminal growth rates have been determined to be significant assumptions because they are three primary drivers of the projected cash flows in the discounted future cash flow approach. Cost of capital has also been determined to be a significant assumption as it is the discount rate used to calculate the current fair value of those projected cash flows. The excess of the fair value of purchase consideration over the fair values of these identifiable assets and liabilities is recorded as goodwill based on the expected benefits from the business combination. Allocation of purchase consideration to identifiable assets and liabilities affects the amortization expense, as acquired finite-lived intangible assets are amortized over the useful life, whereas any indefinite-lived intangible assets, including goodwill, are not amortized. During the measurement period, which is not to exceed one year from the date of acquisition, the Company may record adjustments to the assets acquired and liabilities assumed, with the corresponding offset to goodwill. Subsequent to the measurement period, any necessary adjustments are recorded to earnings. Acquisition-related expenses are recognized separately from business combinations, and expensed as incurred.</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—Deferred financing costs are amortized to interest expense over the life of the related loan. In fiscal 2021, the Company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Amendment No.2 to the Second Amended and Restated Credit Agreement.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Second Amended and Restated Credit Agreement. In connection with this amendment, the Company incurred $0.4 million in customary closing fees in the fourth quarter of 2023 that were capitalized and classified as a debt discount (see Note 8). In fiscal 2024, the Company entered into the Third Amended and Restated Credit Agreement. In connection with this agreement, the Company incurred $1.8 million in customary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8"/>
          <w:szCs w:val="18"/>
          <w:color w:val="auto"/>
        </w:rPr>
        <w:t>closing fees that were capitalized and classified as a debt discount (see Note 8). In addition, $0.1 million of loss on extinguishments of debt was recorded within Interest expense on the Consolidated Statement of Income related to the previously capitalized amounts relating to the portion of the Third Amended and Restated Credit Agreement that was concluded to be debt extinguishment. Amortization expense was $0.8 million, $0.5 million and $0.4 million for 2025, 2024 and 2023, respectively. As of December 31, 2025, and 2024, remaining capitalized deferred financing costs of $1.8 million and $2.7 million, respectively, are included as a discount to debt in the accompanying Consolidated Balance Sheets.</w:t>
      </w:r>
    </w:p>
    <w:p>
      <w:pPr>
        <w:spacing w:after="0" w:line="18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—A significant portion of the Company's revenue is derived from fixed-price contracts. The Company accounts for a contract after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approved by all parties to the arrangement,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expects to receive for the products or services being provided under the contract.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76% of total revenue for the year ended December 31, 2025, and 75% for the years ended December 31, 2024 and 2023.</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For contracts where the duration is short, or control does not continuously transfer to the customer, revenues are recognized at the point in time control passes to the customer, which occurs generally upon shipment of product. Annual revenue recognized at a point in time is approximately 24% of total revenue for the year ended December 31, 2025, and 25% for the years ended December 31, 2024 and 2023.</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Contract assets consist of costs and earnings in excess of billings, costs incurred for contracts recognized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2024, costs and estimated earnings in excess of billings on uncompleted contracts and billings in excess of costs and estimated earnings on uncompleted contracts were $66.6 million and $56.9 million, respectively. The contract liabilities recorded in “Accrued expenses” on the Consolidated Balance Sheets were $7.9 million as of January 1, 2024. Approximately 90% of the Company's contract liabilities as of December 31, 2024 were recognized as revenue in the year ended December 31, 2025. Approximately 95% of the Company's contract liabilities as of December 31, 2023 were recognized as revenue in the year ended December 31, 2024. Approximately 95% of the Company's contract liabilities as of December 31, 2022 were recognized as revenue in the year ended December 31,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See Note 16 to the Consolidated Financial Statements for additional information on product offerings and segments.</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2025 and 2024.</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—Cost of sales amounts include materials, subcontract costs, direct labor and associated benefits, inbound freight charges,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inspection, warehousing, and depreciation.</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Change orders and claims</w:t>
      </w:r>
      <w:r>
        <w:rPr>
          <w:rFonts w:ascii="Times New Roman" w:cs="Times New Roman" w:eastAsia="Times New Roman" w:hAnsi="Times New Roman"/>
          <w:sz w:val="18"/>
          <w:szCs w:val="18"/>
          <w:color w:val="auto"/>
        </w:rPr>
        <w:t>—Change orders arise when the scope of the original project is modified for any of a variety of reasons.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negotiate the extent of the modifications, its expected costs and recovery with the customer. Costs related to change orders are added to the expected total cost of the project. In cases where contract revenues are increased in excess of the expected costs of the change order, incremental profit also is recognized on the contract. Generally, in order for this recognition of incremental profit to occur, the customer approves in writing the scope and pricing of the change order. Change orders that are in dispute are effectively handled as claims.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recognizes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Should it become probable that the claim will not result in additional contract revenue, the Company excludes the related contract revenues from its estimate of total revenues, which effectively reduces the estimated profit margin on the job and negatively impacts profit for the period.</w:t>
      </w:r>
    </w:p>
    <w:p>
      <w:pPr>
        <w:spacing w:after="0" w:line="16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Selling and administrative expenses</w:t>
      </w:r>
      <w:r>
        <w:rPr>
          <w:rFonts w:ascii="Times New Roman" w:cs="Times New Roman" w:eastAsia="Times New Roman" w:hAnsi="Times New Roman"/>
          <w:sz w:val="18"/>
          <w:szCs w:val="18"/>
          <w:color w:val="auto"/>
        </w:rPr>
        <w:t>—Selling and administrative expenses on the Consolidated Statements of Income include sales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associated benefits, selling and office expenses, professional fees, bad debt expense and depreciation. Selling and administrative expenses are charged to expense as incurred. Selling and administrative expenses for the years ended December 31, 2025, 2024, and 2023 included $1.0 million, $0.7 million, and $0.6 million of advertising expenses, respectively.</w:t>
      </w:r>
    </w:p>
    <w:p>
      <w:pPr>
        <w:spacing w:after="0" w:line="18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and integration expenses</w:t>
      </w:r>
      <w:r>
        <w:rPr>
          <w:rFonts w:ascii="Times New Roman" w:cs="Times New Roman" w:eastAsia="Times New Roman" w:hAnsi="Times New Roman"/>
          <w:sz w:val="18"/>
          <w:szCs w:val="18"/>
          <w:color w:val="auto"/>
        </w:rPr>
        <w:t>—Acquisition and integration expenses on the Consolidated Statements of Income are related to acquisition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costs to integrate acquired businesses, which include, legal, accounting,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expenses</w:t>
      </w:r>
      <w:r>
        <w:rPr>
          <w:rFonts w:ascii="Times New Roman" w:cs="Times New Roman" w:eastAsia="Times New Roman" w:hAnsi="Times New Roman"/>
          <w:sz w:val="18"/>
          <w:szCs w:val="18"/>
          <w:color w:val="auto"/>
        </w:rPr>
        <w:t>—Amortization expenses on the Consolidated Statements of Income include amortization of intangible assets.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—Restructuring expenses recorded within "Other operating expense" on the Consolidated Statements of Income include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ongoing restructuring programs to reduce operating costs in the future. Within restructuring expenses are charges related to severance, facility exit, legal and property, plant and equipment impairment associated with exit or disposal activities. Restructuring expenses were $0.7 million, $0.5 million, and $1.4 million for the years ended December 31, 2025, 2024, and 2023, respectively.</w:t>
      </w:r>
    </w:p>
    <w:p>
      <w:pPr>
        <w:spacing w:after="0" w:line="18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Executive transition expenses</w:t>
      </w:r>
      <w:r>
        <w:rPr>
          <w:rFonts w:ascii="Times New Roman" w:cs="Times New Roman" w:eastAsia="Times New Roman" w:hAnsi="Times New Roman"/>
          <w:sz w:val="17"/>
          <w:szCs w:val="17"/>
          <w:color w:val="auto"/>
        </w:rPr>
        <w:t>—Executive transition expenses recorded within "Other operating expense" on the Consolidated Statements of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expenses related to the severance for the Company’s former executives, as well as fees and expenses incurred in the search for, and hiring of, new executives. Executive transition expenses were $1.3 million, zero, and $1.5 million for the years ended December 31, 2025, 2024, and 2023, respectively.</w:t>
      </w:r>
    </w:p>
    <w:p>
      <w:pPr>
        <w:spacing w:after="0" w:line="15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Asbestos litigation expenses</w:t>
      </w:r>
      <w:r>
        <w:rPr>
          <w:rFonts w:ascii="Times New Roman" w:cs="Times New Roman" w:eastAsia="Times New Roman" w:hAnsi="Times New Roman"/>
          <w:sz w:val="18"/>
          <w:szCs w:val="18"/>
          <w:color w:val="auto"/>
        </w:rPr>
        <w:t>—Asbestos litigation expenses recorded within "Other operating expense" on the Consolidated Statements of Income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settlement of asbestos litigation involving the Company's subsidiaries. Asbestos litigation expenses were $1.3 million, $0.2 million, and zero for the years ended December 31, 2025, 2024, and 2023, respectively.</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—The Company’s warranty reserve is to cover the products sold. The warranty accrual is based on historical claims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reserve is reviewed and adjusted as necessary on a quarterly basis and is presented within Note 7.</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6" w:name="page57"/>
    <w:bookmarkEnd w:id="56"/>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—Although not technically defined as research and development, a significant amount of time, effort and expense is devoted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 engineering which qualifies products for specific customer applications, developing proprietary process technology and partnering with customers to develop new products.</w:t>
      </w:r>
    </w:p>
    <w:p>
      <w:pPr>
        <w:spacing w:after="0" w:line="17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Accounting Standards Codification (“ASC”) Topic 740, “Income Taxes”. Income tax expense includes federal, state and foreign income taxes.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—The following table reconciles the numerators and denominators used to calculate basic and diluted earnings per share for 2025,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87"/>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shd w:val="clear" w:color="auto" w:fill="CFF0FC"/>
          </w:tcPr>
          <w:p>
            <w:pPr>
              <w:spacing w:after="0"/>
              <w:rPr>
                <w:sz w:val="22"/>
                <w:szCs w:val="22"/>
                <w:color w:val="auto"/>
              </w:rPr>
            </w:pPr>
          </w:p>
        </w:tc>
      </w:tr>
      <w:tr>
        <w:trPr>
          <w:trHeight w:val="196"/>
        </w:trPr>
        <w:tc>
          <w:tcPr>
            <w:tcW w:w="60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10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-744855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-727710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-744855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-727710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Options and unvested restricted stock units are included in the computation of diluted earnings per share using the treasury stock method. For 2025, 2024 and 2023, no outstanding options and unvested restricted stock units were excluded from the computation of diluted earnings per share due to their having an anti-dilutive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7" w:name="page58"/>
    <w:bookmarkEnd w:id="57"/>
    <w:p>
      <w:pPr>
        <w:ind w:right="60"/>
        <w:spacing w:after="0" w:line="282" w:lineRule="auto"/>
        <w:rPr>
          <w:sz w:val="20"/>
          <w:szCs w:val="20"/>
          <w:color w:val="auto"/>
        </w:rPr>
      </w:pPr>
      <w:r>
        <w:rPr>
          <w:rFonts w:ascii="Times New Roman" w:cs="Times New Roman" w:eastAsia="Times New Roman" w:hAnsi="Times New Roman"/>
          <w:sz w:val="18"/>
          <w:szCs w:val="18"/>
          <w:color w:val="auto"/>
        </w:rPr>
        <w:t>Once a restricted stock award vests, it is included in the computation of weighted average shares outstanding for purposes of basic and diluted earnings per share.</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functional currencies of the Company’s foreign subsidiaries are their local currencies and their books and records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expenses are translated into USD at average exchange rates in effect during the period.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denominated in other than the local currency are remeasured into the local currency and the resulting exchange gains or losses are included in “Other expense (income)” line of the Consolidated Statements of Income. Transaction (losses) gains were $(2.2) million, $(4.3) million, and $1.2 million in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2025</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adopted this guidance for annual disclosures for the year ended December 31, 2025, using a prospective approach. See Note 13 for the associated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to be adopted</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The Company is currently evaluating the impact the adoption of the standard will have on the Company’s consolidated financial statements.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introduces a practical expedient for estimating credit losses on current accounts receivable and contract assets. The ASU is effective for fiscal years beginning after December 15, 2025, and interim periods within those annual reporting periods. The Company is currently evaluating the impact the adoption of the standard will have on the Company’s consolidated financial statements.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17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receivables and certain other assets, notes payable, foreign debt, and accounts payable, which approximate fair value at December 31, 2025 and 2024, due to their short-term nature or variable, market-driven interest rates.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$214.2 million and $221.5 million at December 31, 2025 and 2024, respectively. The fair value was determined considering market conditions, the Company's credit worthiness and the current terms of debt, which is considered Level 2 on the fair value hierarchy.</w:t>
      </w:r>
    </w:p>
    <w:p>
      <w:pPr>
        <w:spacing w:after="0" w:line="176"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At December 31, 2025 and 2024, the Company had cash and cash equivalents of $33.1 million and $37.8 million, respectively, of which $26.4 million and $29.7 million, respectively, was held outside of the United States, principally in the United Arab Emirates, Netherlands, United Kingdom, China and India.</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and cash equivalents and trade and contract receivables.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182,775</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100" w:type="dxa"/>
            <w:vAlign w:val="bottom"/>
          </w:tcPr>
          <w:p>
            <w:pPr>
              <w:spacing w:after="0"/>
              <w:rPr>
                <w:sz w:val="18"/>
                <w:szCs w:val="18"/>
                <w:color w:val="auto"/>
              </w:rPr>
            </w:pPr>
          </w:p>
        </w:tc>
      </w:tr>
      <w:tr>
        <w:trPr>
          <w:trHeight w:val="216"/>
        </w:trPr>
        <w:tc>
          <w:tcPr>
            <w:tcW w:w="73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(9,866)</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(8,863)</w:t>
            </w:r>
          </w:p>
        </w:tc>
      </w:tr>
      <w:tr>
        <w:trPr>
          <w:trHeight w:val="20"/>
        </w:trPr>
        <w:tc>
          <w:tcPr>
            <w:tcW w:w="340" w:type="dxa"/>
            <w:vAlign w:val="bottom"/>
            <w:shd w:val="clear" w:color="auto" w:fill="CFF0FC"/>
          </w:tcPr>
          <w:p>
            <w:pPr>
              <w:spacing w:after="0" w:line="20" w:lineRule="exact"/>
              <w:rPr>
                <w:sz w:val="1"/>
                <w:szCs w:val="1"/>
                <w:color w:val="auto"/>
              </w:rPr>
            </w:pPr>
          </w:p>
        </w:tc>
        <w:tc>
          <w:tcPr>
            <w:tcW w:w="70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172,909</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2024, were $112.7 million.</w:t>
      </w:r>
    </w:p>
    <w:p>
      <w:pPr>
        <w:spacing w:after="0" w:line="22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Balances billed, but not paid by customers under retainage provisions in contracts, amounted to approximately $10.9 million and $13.6 million at December 31, 2025 and 2024, respectively. Retainage receivables as of the beginning of the prior year period, or January 1, 2024, were $3.2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credit losses activity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w:t>
            </w:r>
          </w:p>
        </w:tc>
        <w:tc>
          <w:tcPr>
            <w:tcW w:w="5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to the provision</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5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3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shd w:val="clear" w:color="auto" w:fill="CFF0FC"/>
          </w:tcPr>
          <w:p>
            <w:pPr>
              <w:spacing w:after="0"/>
              <w:rPr>
                <w:sz w:val="21"/>
                <w:szCs w:val="21"/>
                <w:color w:val="auto"/>
              </w:rPr>
            </w:pPr>
          </w:p>
        </w:tc>
      </w:tr>
      <w:tr>
        <w:trPr>
          <w:trHeight w:val="629"/>
        </w:trPr>
        <w:tc>
          <w:tcPr>
            <w:tcW w:w="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8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Obsolescence allowance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c>
          <w:tcPr>
            <w:tcW w:w="5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(3,716)</w:t>
            </w:r>
          </w:p>
        </w:tc>
      </w:tr>
      <w:tr>
        <w:trPr>
          <w:trHeight w:val="20"/>
        </w:trPr>
        <w:tc>
          <w:tcPr>
            <w:tcW w:w="3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5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FF0FC"/>
          </w:tcPr>
          <w:p>
            <w:pPr>
              <w:spacing w:after="0"/>
              <w:rPr>
                <w:sz w:val="19"/>
                <w:szCs w:val="19"/>
                <w:color w:val="auto"/>
              </w:rPr>
            </w:pPr>
          </w:p>
        </w:tc>
      </w:tr>
      <w:tr>
        <w:trPr>
          <w:trHeight w:val="20"/>
        </w:trPr>
        <w:tc>
          <w:tcPr>
            <w:tcW w:w="340" w:type="dxa"/>
            <w:vAlign w:val="bottom"/>
            <w:tcBorders>
              <w:top w:val="single" w:sz="8" w:color="CFF0FC"/>
            </w:tcBorders>
            <w:shd w:val="clear" w:color="auto" w:fill="CFF0FC"/>
          </w:tcPr>
          <w:p>
            <w:pPr>
              <w:spacing w:after="0" w:line="20" w:lineRule="exact"/>
              <w:rPr>
                <w:sz w:val="1"/>
                <w:szCs w:val="1"/>
                <w:color w:val="auto"/>
              </w:rPr>
            </w:pPr>
          </w:p>
        </w:tc>
        <w:tc>
          <w:tcPr>
            <w:tcW w:w="6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-1859915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-1842770</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Adjustments to the allowance for obsolete inventory, which are charged to cost of sales, amounted to $(0.4) million, $1.1 million and $1.1 million during 2025, 2024 and 2023, respectively. Items charged to the allowance for inventory write-offs were $2.0 million, $0.3 million, and $0.3 million, during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14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Machinery and equipment</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4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(30,418)</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(41,175)</w:t>
            </w:r>
          </w:p>
        </w:tc>
        <w:tc>
          <w:tcPr>
            <w:tcW w:w="0" w:type="dxa"/>
            <w:vAlign w:val="bottom"/>
          </w:tcPr>
          <w:p>
            <w:pPr>
              <w:spacing w:after="0"/>
              <w:rPr>
                <w:sz w:val="1"/>
                <w:szCs w:val="1"/>
                <w:color w:val="auto"/>
              </w:rPr>
            </w:pPr>
          </w:p>
        </w:tc>
      </w:tr>
      <w:tr>
        <w:trPr>
          <w:trHeight w:val="20"/>
        </w:trPr>
        <w:tc>
          <w:tcPr>
            <w:tcW w:w="460" w:type="dxa"/>
            <w:vAlign w:val="bottom"/>
            <w:shd w:val="clear" w:color="auto" w:fill="CFF0FC"/>
          </w:tcPr>
          <w:p>
            <w:pPr>
              <w:spacing w:after="0" w:line="20" w:lineRule="exact"/>
              <w:rPr>
                <w:sz w:val="1"/>
                <w:szCs w:val="1"/>
                <w:color w:val="auto"/>
              </w:rPr>
            </w:pPr>
          </w:p>
        </w:tc>
        <w:tc>
          <w:tcPr>
            <w:tcW w:w="54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 Inclusive of information technology equipment</w:t>
            </w:r>
          </w:p>
        </w:tc>
        <w:tc>
          <w:tcPr>
            <w:tcW w:w="1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-591185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-307975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$8.7 million, $5.8 million and $5.1 million for 2025, 2024 and 2023,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Engineered</w:t>
            </w: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Industrial Process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w:t>
            </w:r>
            <w:r>
              <w:rPr>
                <w:rFonts w:ascii="Times New Roman" w:cs="Times New Roman" w:eastAsia="Times New Roman" w:hAnsi="Times New Roman"/>
                <w:sz w:val="18"/>
                <w:szCs w:val="18"/>
                <w:b w:val="1"/>
                <w:bCs w:val="1"/>
                <w:color w:val="auto"/>
              </w:rPr>
              <w:t>egment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of goodwill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10"/>
        </w:trPr>
        <w:tc>
          <w:tcPr>
            <w:tcW w:w="63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of goodwill at December 31, 2024</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tcBorders>
              <w:top w:val="single" w:sz="8" w:color="CFF0FC"/>
            </w:tcBorders>
          </w:tcPr>
          <w:p>
            <w:pPr>
              <w:spacing w:after="0"/>
              <w:rPr>
                <w:sz w:val="18"/>
                <w:szCs w:val="18"/>
                <w:color w:val="auto"/>
              </w:rPr>
            </w:pPr>
          </w:p>
        </w:tc>
      </w:tr>
      <w:tr>
        <w:trPr>
          <w:trHeight w:val="216"/>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41,769</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r>
      <w:tr>
        <w:trPr>
          <w:trHeight w:val="216"/>
        </w:trPr>
        <w:tc>
          <w:tcPr>
            <w:tcW w:w="6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goodwill at December 31,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168,576</w:t>
            </w:r>
          </w:p>
        </w:tc>
        <w:tc>
          <w:tcPr>
            <w:tcW w:w="16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119,587</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288,163</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-728345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-728345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has an aggregate amount of goodwill acquired of $372.2 million and $330.4 million, respectively, and an aggregate amount of impairment losses of $60.7 million which was recognized in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indefinite lived intangible assets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9,466</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9,570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3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9,705</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completes an impairment assessment of its goodwill and indefinite life intangible assets at the reporting unit level annually, or upon the occurrence of a triggering event or a change in circumstances that would more likely than not reduce the fair value of a reporting unit below its carrying amount. The annual assessment was performed in the fourth quarters of 2025, 2024 and 2023. The assessments did not result in impairment in 2025, 2024 or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Company’s finite lived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40" w:type="dxa"/>
            <w:vAlign w:val="bottom"/>
          </w:tcPr>
          <w:p>
            <w:pPr>
              <w:spacing w:after="0"/>
              <w:rPr>
                <w:sz w:val="20"/>
                <w:szCs w:val="20"/>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62,163</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127,354</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70,045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6,084</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18,530</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6,392</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5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finite life intangible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83,433</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163,728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89,678</w:t>
            </w: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Amortization expense of finite life intangible assets was $16.1 million, $8.7 million and $7.4 million for 2025, 2024 and 2023, respectively. Amortization over the next five years for finite life intangibles is expected to be $15.5 million in 2026, $14.6 million in 2027, $13.7 million in 2028, $12.3 million in 2029, $11.1 million in 2030, and $28.5 million thereafter. The weighted average amortization periods for finite life intangible assets was 7.9 years as of December 31, 2025, inclusive of weighted average amortization periods for technology, customer lists, and tradenames of 5.6, 8.2, and 7.7 years,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4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18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5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Senior debt</w:t>
            </w:r>
          </w:p>
        </w:tc>
        <w:tc>
          <w:tcPr>
            <w:tcW w:w="14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14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w:t>
            </w:r>
          </w:p>
        </w:tc>
        <w:tc>
          <w:tcPr>
            <w:tcW w:w="5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10"/>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4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212,438</w:t>
            </w:r>
          </w:p>
        </w:tc>
        <w:tc>
          <w:tcPr>
            <w:tcW w:w="2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5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8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57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-2150745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-2133600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-873760</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$1.9 million in 2026, and $3.9 million in 2027. The remaining $208.6 million will be paid upon maturity in 2029.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17, 2021, the Company entered into Amendment No. 2 to the Second Amended and Restated Credit Agreement. This agreement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restated the Company’s prior credit agreement. Pursuant to this amendment, the lenders provided a term loan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 million and a senior secured revolving credit commitment up to an aggregate principal amount of $140.0 million. This revolving credit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allowed the Company the ability to borrow loans denominated in different currencies. Additionally, the agreement extended the maturity date to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2026, replaced LIBOR interest 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100"/>
        <w:spacing w:after="0" w:line="282" w:lineRule="auto"/>
        <w:rPr>
          <w:sz w:val="20"/>
          <w:szCs w:val="20"/>
          <w:color w:val="auto"/>
        </w:rPr>
      </w:pPr>
      <w:r>
        <w:rPr>
          <w:rFonts w:ascii="Times New Roman" w:cs="Times New Roman" w:eastAsia="Times New Roman" w:hAnsi="Times New Roman"/>
          <w:sz w:val="18"/>
          <w:szCs w:val="18"/>
          <w:color w:val="auto"/>
        </w:rPr>
        <w:t>Secured Overnight Financing Rate ("SOFR") interest for USD loans, Sterling Overnight Interbank Average Rate ("SONIA") for GBP loans, and Canadian Dollar Offered Rate ("CDOR") for CAD loans, and redefined certain financial covenants.</w:t>
      </w:r>
    </w:p>
    <w:p>
      <w:pPr>
        <w:spacing w:after="0" w:line="162" w:lineRule="exact"/>
        <w:rPr>
          <w:sz w:val="20"/>
          <w:szCs w:val="20"/>
          <w:color w:val="auto"/>
        </w:rPr>
      </w:pPr>
    </w:p>
    <w:p>
      <w:pPr>
        <w:ind w:right="80" w:firstLine="45"/>
        <w:spacing w:after="0" w:line="253" w:lineRule="auto"/>
        <w:rPr>
          <w:sz w:val="20"/>
          <w:szCs w:val="20"/>
          <w:color w:val="auto"/>
        </w:rPr>
      </w:pPr>
      <w:r>
        <w:rPr>
          <w:rFonts w:ascii="Times New Roman" w:cs="Times New Roman" w:eastAsia="Times New Roman" w:hAnsi="Times New Roman"/>
          <w:sz w:val="18"/>
          <w:szCs w:val="18"/>
          <w:color w:val="auto"/>
        </w:rPr>
        <w:t>On October 30, 2023, the Company entered into Amendment No. 4 to the Second Amended and Restated Credit Agreement ("the Second Credit Agreement"). Pursuant to this amendment, the lenders provided an additional term loan in the aggregate principal amount of $75.0 million, which was subsequently used to repay a portion of the outstanding balance on the revolving credit loan. At the Company’s option, revolving loans and the term loans accrued interest at a per annum rate based on (a) either the highest of (i) the federal funds rate plus 0.5%, or (ii) the prime lending rate of the Agent (as defined in the Second Credit Agreement), (b) Daily Simple SOFR plus the Daily Simple SOFR Adjustment of 0.11% plus 1.0%, (c) 1.0%, plus a margin ranging from 1.75% to 3.25% depending on the Company’s Consolidated Leverage Ratio, or (d) a one/three/six-month Term SOFR Rate (as defined in the Second Credit Agreement) plus the Term SOFR Adjustment ranging from 0.11% to 0.43% plus 1.75% to 3.25% depending on the Company’s Consolidated Leverage Ratio. Interest on swing line loans is the Base Rate. Interest on Base Rate loans was payable quarterly in arrears on the last day of each calendar quarter and at maturity. Interest on Term SOFR rate loans was payable on the last date of each applicable Interest Period (as defined in the Second Credit Agreement), but in no event less than once every three months and at maturity.</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“Third Credit Agreement”). The Third Credit Agreement provided for a senior secured revolving credit facility in an initial aggregate principal amount of up to $400.0 million (the "Credit Facility”). At the Company’s option, the Company may increase the aggregate principal amount of the Credit Facility from time to time by an additional aggregate principal amount of up to (a) $125.0 million plus (b) such additional amount, if any, as would not cause the Consolidated Secured Net Leverage Ratio (as defined in the Third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Credit Facility was due to mature on October 7, 2029. The Credit Facility accrued interest (a) with respect to base rate loans, at an annual rate equal to an applicable rate of between 0.75% and 2.25% (fluctuating based on the Company’s Consolidated Net Leverage Ratio), plus a rate equal to the highest of</w:t>
      </w:r>
    </w:p>
    <w:p>
      <w:pPr>
        <w:ind w:right="20" w:firstLine="8"/>
        <w:spacing w:after="0" w:line="25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prime rate, (2) the federal funds rate plus one-half of 1.00%, (3) Daily Simple SOFR (as defined in the Third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Amended Credit Agreement, whether the Company has elected for interest on such loans to accrue at a daily rate or a term rate: (a) for term rate loans, if denominated (1) in U.S. Dollars, Term SOFR (as defined in the Third Credit Agreement inclusive of a 0.10% per annum adjustment), (2) in euros, EURIBOR, (3) in Canadian dollars, the Term CORRA Rate (as defined in the Third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Third Credit Agreement inclusive of a 0.10% per annum adjustment), (2) in pounds sterling, a rate per annum equal to SONIA (as defined in the Third Credit Agreement) plus</w:t>
      </w:r>
    </w:p>
    <w:p>
      <w:pPr>
        <w:spacing w:after="0" w:line="3" w:lineRule="exact"/>
        <w:rPr>
          <w:rFonts w:ascii="Times New Roman" w:cs="Times New Roman" w:eastAsia="Times New Roman" w:hAnsi="Times New Roman"/>
          <w:sz w:val="18"/>
          <w:szCs w:val="18"/>
          <w:color w:val="auto"/>
        </w:rPr>
      </w:pPr>
    </w:p>
    <w:p>
      <w:pPr>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financial covenants, the Company was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Third Credit Agreement) involving aggregate consideration of $15.0 million or more, such maximum Consolidated Net Leverage Ratio and Consolidated Secured Net Leverage Ratio may have been increased to 4.50 to 1.00 and 3.50 to 1.00, respectively, for the fiscal quarter in which such Permitted Acquisition is consummated and the subsequent three fiscal quarters of the Company. In the first quarter of 2025, the Company entered into an Elevated Ratio Period resulting in a maximum Consolidated Net Leverage Ratio of 4.50 and Consolidated Secured Net Leverage Ratio of 3.50. This Elevated Ratio was in effect for two quarters, after which the Consolidated Net Leverage Ratio reverted to 4.00 and the Consolidated Secured Net Leverage Ratio reverted to 3.00. The Company was also required to maintain a Consolidated Fixed Charge Coverage Ratio (as defined in the Credit Agreement) as of the last day of each fiscal quarter of the Company of not less than 1.25 to 1.00.</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30, 2026, the Company entered into the Fourth Amended and Restated Credit Agreement (the “Fourth Credit Agreement”), among the Company, its subsidiaries from time to time party thereto, the lenders from time to time party thereto (the “Lenders”), and Bank of America, N.A., as administrative agent (the “Agent”), which amended and restated in its entirety the Company’s Third Amended and Restated Credit Agreement, dated as of October 7, 2024, among the Company, its subsidiaries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20"/>
        <w:spacing w:after="0" w:line="256" w:lineRule="auto"/>
        <w:rPr>
          <w:sz w:val="20"/>
          <w:szCs w:val="20"/>
          <w:color w:val="auto"/>
        </w:rPr>
      </w:pPr>
      <w:r>
        <w:rPr>
          <w:rFonts w:ascii="Times New Roman" w:cs="Times New Roman" w:eastAsia="Times New Roman" w:hAnsi="Times New Roman"/>
          <w:sz w:val="18"/>
          <w:szCs w:val="18"/>
          <w:color w:val="auto"/>
        </w:rPr>
        <w:t>time to time party thereto, the lenders from time to time party thereto and the Agent. The Credit Agreement provides for a senior secured revolving credit facility in an initial aggregate principal amount of up to $700.0 million (the “Amended Credit Facility”). At the Company’s option, the Company may increase the aggregate principal amount of the Amended Credit Facility from time to time by an additional aggregate principal amount of up to (a) $150.0 million plus (b) such additional amount, if any, as would not cause the Consolidated Net Leverage Ratio (as defined in the Fourth Credit Agreement) to exceed 3.50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Credit Facility will mature on January 30, 2031. The Credit Facility will accrue interest (a) with respect to base rate loans, at an annual rate equal to an applicable rate of between 0.50% and 2.00% (fluctuating based on the Company’s Consolidated Net Leverage Ratio), plus a rate equal to the highest of (1) the Agent’s prime rate, (2) the federal funds rate plus one-half of 1.00%, (3) Daily Simple SOFR (as defined in the Fourth Credit Agreement) plus 1.00% and (4) 1.00%, (b) for all other loans, at an annual rate equal to an applicable rate of between 1.50% and 3.00% (fluctuating based on the Company’s Consolidated Net Leverage Ratio), plus a rate determined based on the denominated currency and, as applicable pursuant to the Fourth Credit Agreement, whether the Company has elected for interest on such loans to accrue at a daily rate or a term rate: (a) for term rate loans, if denominated (1) in U.S. Dollars, Term SOFR (as defined in the Fourth Credit Agreement), (2) in euros, EURIBOR, (3) in Canadian dollars, the Term CORRA Rate (as defined in the Fourth Credit Agreement) plus 0.29547% for a one-month interest period and 0.32138% for a three-month interest period or (4) in a currency other than</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Fourth Credit Agreement), (2) in pounds sterling, a rate per annum equal to SONIA (as defined in the Fourth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With respect to financial covenants, the Company is required to maintain a Consolidated Net Leverage Ratio not greater than 4.00 to 1.00 and a Consolidated Secured Net Leverage Ratio (as defined in the Fourth Credit Agreement) not greater than 3.50 to 1.00, in each case as of the last day of each fiscal quarter of the Company. At the election of the Company and subject to certain restrictions contained in the Fourth Credit Agreement, following the occurrence of one or more Permitted Acquisitions (as defined in the Fourth Credit Agreement) involving aggregate consideration of $40.0 million or more during any contiguous 90-day period, such maximum Consolidated Net Leverage Ratio and Consolidated Secured Net Leverage Ratio may be increased to 4.50 to 1.00 and 4.00 to 1.00, respectively, for the fiscal quarter in which the Permitted Acquisition resulting in the aggregate consideration for all Permitted Acquisitions consummated during such contiguous 90-day period equaling or exceeding $40.0 million is consummated and the subsequent three fiscal quarters of the Company. The Company is also required to maintain a Consolidated Fixed Charge Coverage Ratio (as defined in the Fourth Credit Agreement) as of the last day of each fiscal quarter of the Company of not less than 1.25 to 1.00.</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$23.8 million and $18.9 million of letters of credit were outstanding, respectively. Total unused credit availability under the Company’s senior secured term loan and senior secured revolver loan with sub-facilities for letters of credit, swing-line loans and senior secured multi-currency loans was $167.6 million and $166.9 million at December 31, 2025 and 2024, respectively.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weighted average stated interest rate on outstanding borrowings was 6.41% and 7.07% at December 31, 2025 and 2024, respectively. The effective interest rate was 7.06% and 7.82% at December 31, 2025 and 2024, respectively.</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Credit Facility, the Company paid $0.8 million in customary closing fees during 2021, and $0.4 million in customary closing fees during 2023, that were deferred and classified as a debt discount, as a result of the associated amendments being accounted for as debt modifications. In 2024, $0.1 million of loss on extinguishments of debt was recorded related to the Third Credit Agreement. The remaining amount continues to be deferred and classified as a debt discount, along with $1.8 million in customary closing fees incurred during 2024, as these amounts relate to portions of the Third Credit Agreement accounted for as debt modifications.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was in compliance with all related financial and other restrictive covenants under the Credit Facility.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$120.0 million from the bilateral lines of credit secured by pledged assets and collateral under the Credit Facility. As of December 31, 2025 and 2024, $41.6 million and $45.9 million in bank guarantees were outstanding, respectively, inclusive of $1.1 million and $2.1 million in outstanding bank guarantees as of December 31, 2025 and 2024, respectively, under a Euro-denominated bank guarantee agreement held by a subsidiary of the Company located in the Netherlands and secured by local assets, as well as $1.9 million and $2.1 million in outstanding bank guarantees as of December 31, 2025 and 2024, respectively, under Yuan-denominated bank guarantee agreements held by a subsidiary of the Company located in China and secured by local assets. As of December 31, 2025, the borrowers of these facilities and agreements were in compliance with all related financial and other restrictive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March 7, 2022, the Company's Pinnacle Processes Inc. (formerly known as Effox-Flextor-Mader, Inc.) joint venture ("PPI JV") entered into a loan agreement secured by the assets of the PPI JV in the aggregate principal amount of $11.0 million for the acquisition of General Rubber, LLC, as further described in Note 14. As of December 31, 2025 and 2024, $5.6 million and $7.3 million was outstanding under the loan. Principal will be paid back to the lender monthly with the final installment due by February 27, 2027. Interest is accrued at the per annum rate based on PPI JV's choice of the 1/3/6 month Term SOFR rate plus 3.25%, with a floor rate of 3.75%. Interest is paid monthly on the last day of each month. The interest rate was 7.27% and 7.96% at December 31, 2025 and 2024, respectively. As of December 31, 2025, the PPI JV was in compliance with all related financial and other restrictive covenants under this loan agreement. This loan balance does not impact the Company’s borrowing capacity or the financial covenants under the Credit Facility.</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2025, there were $20.7 million in current assets (including $1.9 million of cash, $10.4 million of accounts receivable, and $4.3 million of inventories), $24.4 million in long-lived assets (including $23.9 million of goodwill and intangible assets), and $14.2 million in total liabilities (including $5.6 million of debt and $4.9 million of accounts payable and accrued expenses) related to the PPI JV included in the Consolidated Balance Sheets. As of December 31, 2024, there were $16.2 million in current assets (including $2.9 million of cash, $7.9 million of accounts receivable, and $3.9 million of inventories), $25.4 million in long-lived assets (including $24.8 million of goodwill and intangible assets), and $14.0 million in total liabilities (including $7.3 million of debt and $4.1 million of accounts payable and accrued expenses) related to the PPI JV included in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PPI JV accounted for $54.6 million, $47.0 million, and $37.7 million in revenue,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PPI JV accounted for $7.8 million, $4.1 million, and $4.2 million in net income, respectively.</w:t>
      </w:r>
    </w:p>
    <w:p>
      <w:pPr>
        <w:spacing w:after="0" w:line="203"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2021 Equity and Incentive Compensation Plan (the “2021 Plan”) was approved by the Company’s stockholders on May 25, 2021 which replaced the 2017 Equity Incentive Compensation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2025, 0.4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two to four years from the date of the grant.</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6, 2020, in connection with the appointment of the Chief Executive Officer, the Company granted its Chief Executive Officer approximately 94,000 restricted stock units with a fair value of $0.6 million, which were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4" w:name="page65"/>
    <w:bookmarkEnd w:id="6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awards under these plans was $12.2 million, $7.2 million and $4.3 million for the years ended December 31, 2025, 2024 and 2023, respectively. The tax benefit related to share-based compensation expense was $2.8 million, $1.6 million and $0.8 million in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2025, 1.1 million shares remain available for future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employee stock purchase plan expense of $0.9 million, $0.3 million and $0.2 million in 2025,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stock options was determined using the Black-Scholes option-pricing model at the grant date based on the following assumptions: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The Company utilizes a volatility factor based on the Company’s historical stock prices for a period of time equal to the expected term of the stock option utilizing weekly price observations.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Due to limited historical exercise data, the Company utilizes the simplified method of determining the expected term based on the vesting schedules and terms of the stock options.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The risk-free interest rate factor utilized is based upon the implied yields currently available on U.S. Treasury zero-coupon issues over the expected term of the stock options.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granted approximately 67,000 and 25,000 stock options during the years ended December 31, 2025 and 2024, respectively. No stock options were granted for the year ended December 31, 2023.</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related to all stock options under the 2021 Plan, 2017 Plan and 2007 Plan, and the 2020 Inducement Awards for 2025, 2024 and 2023 is shown in the tables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4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2.6 years</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2025</w:t>
            </w:r>
          </w:p>
        </w:tc>
        <w:tc>
          <w:tcPr>
            <w:tcW w:w="100" w:type="dxa"/>
            <w:vAlign w:val="bottom"/>
            <w:tcBorders>
              <w:top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gridSpan w:val="3"/>
          </w:tcPr>
          <w:p>
            <w:pPr>
              <w:ind w:left="720"/>
              <w:spacing w:after="0"/>
              <w:rPr>
                <w:sz w:val="20"/>
                <w:szCs w:val="20"/>
                <w:color w:val="auto"/>
              </w:rPr>
            </w:pPr>
            <w:r>
              <w:rPr>
                <w:rFonts w:ascii="Times New Roman" w:cs="Times New Roman" w:eastAsia="Times New Roman" w:hAnsi="Times New Roman"/>
                <w:sz w:val="18"/>
                <w:szCs w:val="18"/>
                <w:color w:val="auto"/>
              </w:rPr>
              <w:t>2.2 years  $</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100" w:type="dxa"/>
            <w:vAlign w:val="bottom"/>
            <w:tcBorders>
              <w:top w:val="single" w:sz="8" w:color="CFF0FC"/>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10.62</w:t>
            </w:r>
          </w:p>
        </w:tc>
        <w:tc>
          <w:tcPr>
            <w:tcW w:w="24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gridSpan w:val="3"/>
            <w:shd w:val="clear" w:color="auto" w:fill="CFF0FC"/>
          </w:tcPr>
          <w:p>
            <w:pPr>
              <w:ind w:left="720"/>
              <w:spacing w:after="0" w:line="196" w:lineRule="exact"/>
              <w:rPr>
                <w:sz w:val="20"/>
                <w:szCs w:val="20"/>
                <w:color w:val="auto"/>
              </w:rPr>
            </w:pPr>
            <w:r>
              <w:rPr>
                <w:rFonts w:ascii="Times New Roman" w:cs="Times New Roman" w:eastAsia="Times New Roman" w:hAnsi="Times New Roman"/>
                <w:sz w:val="18"/>
                <w:szCs w:val="18"/>
                <w:color w:val="auto"/>
              </w:rPr>
              <w:t>1.6 years</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45,471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29"/>
        </w:trPr>
        <w:tc>
          <w:tcPr>
            <w:tcW w:w="5220" w:type="dxa"/>
            <w:vAlign w:val="bottom"/>
          </w:tcPr>
          <w:p>
            <w:pPr>
              <w:spacing w:after="0"/>
              <w:rPr>
                <w:sz w:val="24"/>
                <w:szCs w:val="24"/>
                <w:color w:val="auto"/>
              </w:rPr>
            </w:pPr>
          </w:p>
        </w:tc>
        <w:tc>
          <w:tcPr>
            <w:tcW w:w="14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-1242060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-933450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-916305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3.4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540" w:type="dxa"/>
            <w:vAlign w:val="bottom"/>
            <w:gridSpan w:val="6"/>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gridSpan w:val="2"/>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2024</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3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2.6 years</w:t>
            </w:r>
          </w:p>
        </w:tc>
        <w:tc>
          <w:tcPr>
            <w:tcW w:w="2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4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8"/>
              </w:rPr>
              <w:t>2.5 years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4.0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5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gridSpan w:val="3"/>
            <w:shd w:val="clear" w:color="auto" w:fill="CFF0FC"/>
          </w:tcPr>
          <w:p>
            <w:pPr>
              <w:spacing w:after="0"/>
              <w:rPr>
                <w:sz w:val="18"/>
                <w:szCs w:val="18"/>
                <w:color w:val="auto"/>
              </w:rPr>
            </w:pPr>
          </w:p>
        </w:tc>
        <w:tc>
          <w:tcPr>
            <w:tcW w:w="1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2023</w:t>
            </w:r>
          </w:p>
        </w:tc>
        <w:tc>
          <w:tcPr>
            <w:tcW w:w="120" w:type="dxa"/>
            <w:vAlign w:val="bottom"/>
            <w:tcBorders>
              <w:top w:val="single" w:sz="8" w:color="CFF0FC"/>
            </w:tcBorders>
            <w:gridSpan w:val="3"/>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gridSpan w:val="2"/>
          </w:tcPr>
          <w:p>
            <w:pPr>
              <w:ind w:left="700"/>
              <w:spacing w:after="0"/>
              <w:rPr>
                <w:sz w:val="20"/>
                <w:szCs w:val="20"/>
                <w:color w:val="auto"/>
              </w:rPr>
            </w:pPr>
            <w:r>
              <w:rPr>
                <w:rFonts w:ascii="Times New Roman" w:cs="Times New Roman" w:eastAsia="Times New Roman" w:hAnsi="Times New Roman"/>
                <w:sz w:val="18"/>
                <w:szCs w:val="18"/>
                <w:color w:val="auto"/>
              </w:rPr>
              <w:t>3.4 years</w:t>
            </w:r>
          </w:p>
        </w:tc>
        <w:tc>
          <w:tcPr>
            <w:tcW w:w="260" w:type="dxa"/>
            <w:vAlign w:val="bottom"/>
            <w:tcBorders>
              <w:top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2023</w:t>
            </w:r>
          </w:p>
        </w:tc>
        <w:tc>
          <w:tcPr>
            <w:tcW w:w="120" w:type="dxa"/>
            <w:vAlign w:val="bottom"/>
            <w:tcBorders>
              <w:bottom w:val="single" w:sz="8" w:color="CFF0FC"/>
            </w:tcBorders>
            <w:gridSpan w:val="3"/>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942</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11.10</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ind w:left="700"/>
              <w:spacing w:after="0" w:line="196" w:lineRule="exact"/>
              <w:rPr>
                <w:sz w:val="20"/>
                <w:szCs w:val="20"/>
                <w:color w:val="auto"/>
              </w:rPr>
            </w:pPr>
            <w:r>
              <w:rPr>
                <w:rFonts w:ascii="Times New Roman" w:cs="Times New Roman" w:eastAsia="Times New Roman" w:hAnsi="Times New Roman"/>
                <w:sz w:val="18"/>
                <w:szCs w:val="18"/>
                <w:color w:val="auto"/>
              </w:rPr>
              <w:t>3.4 years</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-1902460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-1885315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-333375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received $3.8 million, $0.4 million and $1.2 million of cash from employees exercising options in 2025, 2024 and 2023, respectively. The intrinsic value of options exercised during the years ended December 31, 2025, 2024 and 2023 was $11.3 million, $0.4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Information related to restricted stock awards under the 2021 Plan, 2017 Plan, 2007 Plan, and the 2020 Inducement Awards for 2025, 2024 and 2023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7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8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r>
      <w:tr>
        <w:trPr>
          <w:trHeight w:val="216"/>
        </w:trPr>
        <w:tc>
          <w:tcPr>
            <w:tcW w:w="8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r>
      <w:tr>
        <w:trPr>
          <w:trHeight w:val="209"/>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3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8"/>
                <w:szCs w:val="18"/>
                <w:color w:val="auto"/>
              </w:rPr>
            </w:pPr>
          </w:p>
        </w:tc>
      </w:tr>
      <w:tr>
        <w:trPr>
          <w:trHeight w:val="216"/>
        </w:trPr>
        <w:tc>
          <w:tcPr>
            <w:tcW w:w="8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r>
      <w:tr>
        <w:trPr>
          <w:trHeight w:val="209"/>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3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8"/>
                <w:szCs w:val="18"/>
                <w:color w:val="auto"/>
              </w:rPr>
            </w:pPr>
          </w:p>
        </w:tc>
      </w:tr>
      <w:tr>
        <w:trPr>
          <w:trHeight w:val="216"/>
        </w:trPr>
        <w:tc>
          <w:tcPr>
            <w:tcW w:w="8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8"/>
                <w:szCs w:val="18"/>
                <w:color w:val="auto"/>
              </w:rPr>
            </w:pPr>
          </w:p>
        </w:tc>
      </w:tr>
      <w:tr>
        <w:trPr>
          <w:trHeight w:val="249"/>
        </w:trPr>
        <w:tc>
          <w:tcPr>
            <w:tcW w:w="7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380" w:type="dxa"/>
            <w:vAlign w:val="bottom"/>
            <w:tcBorders>
              <w:top w:val="single" w:sz="8" w:color="auto"/>
              <w:bottom w:val="single" w:sz="8" w:color="auto"/>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7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awards vested and released during the years ended December 31, 2025, 2024 and 2023 was $5.0 million, $4.1 million, and $5.9 million, respectively.</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shares of stock options, restricted stock and performance units was $20.7 million at December 31, 2025 and will be recognized over a weighted average vesting period of 1.2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No repurchases occurred during the years ended December 31, 2023 and 2025. During the year ended December 31, 2024, the Company repurchased and retired approximately 230,000 shares of common stock at a cost of $5.0 million under the program. This program expired during the second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during the years ended December 31, 2025, 2024 or 2023.</w:t>
      </w:r>
    </w:p>
    <w:p>
      <w:pPr>
        <w:spacing w:after="0" w:line="176"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sponsored a non-contributory defined benefit pension plan for certain union employees. The accrual of future benefits for all participants who are non-union employees was frozen effective December 31, 2008. The plan was funded in accordance with the funding requirements of the Employee Retirement Income Security Act of 1974. On March 31, 2025, the pension plan was transferred to the purchaser of the Global Pump Solutions business, as discussed in Note 15. In conjunction with the transfer, the Company recognized $1.6 million, net of $0.5 million of taxes, within "Other operating expense" within the Consolidated Statements of Income, related to the recognition of previously unrealized losses on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as of December 31, 2025, 2024 and 2023, was zero, $24.7 million, and $26.8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plan changes in benefit obligations, plan assets and funded status on the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3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(gain) loss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(2,073)</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Transferred with the sale of the Global Pump Solutions business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(24,983)</w:t>
            </w:r>
          </w:p>
        </w:tc>
        <w:tc>
          <w:tcPr>
            <w:tcW w:w="16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(2,073)</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Transferred with the sale of the Global Pump Solutions business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(25,499)</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80" w:type="dxa"/>
            <w:vAlign w:val="bottom"/>
            <w:tcBorders>
              <w:top w:val="single" w:sz="8" w:color="CFF0FC"/>
            </w:tcBorders>
          </w:tcPr>
          <w:p>
            <w:pPr>
              <w:spacing w:after="0"/>
              <w:rPr>
                <w:sz w:val="18"/>
                <w:szCs w:val="18"/>
                <w:color w:val="auto"/>
              </w:rPr>
            </w:pPr>
          </w:p>
        </w:tc>
      </w:tr>
      <w:tr>
        <w:trPr>
          <w:trHeight w:val="25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(4,114)</w:t>
            </w:r>
          </w:p>
        </w:tc>
      </w:tr>
      <w:tr>
        <w:trPr>
          <w:trHeight w:val="178"/>
        </w:trPr>
        <w:tc>
          <w:tcPr>
            <w:tcW w:w="59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assumptions used to determine benefit obligations for the year</w:t>
            </w: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648"/>
        </w:trPr>
        <w:tc>
          <w:tcPr>
            <w:tcW w:w="5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-2468245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-2468245</wp:posOffset>
            </wp:positionV>
            <wp:extent cx="111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-2468245</wp:posOffset>
            </wp:positionV>
            <wp:extent cx="1117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-1636395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1111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-1636395</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-1344930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-1327785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-1344930</wp:posOffset>
            </wp:positionV>
            <wp:extent cx="1111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-1327785</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-1344930</wp:posOffset>
            </wp:positionV>
            <wp:extent cx="1117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-1327785</wp:posOffset>
            </wp:positionV>
            <wp:extent cx="1117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440"/>
        <w:spacing w:after="0" w:line="282" w:lineRule="auto"/>
        <w:rPr>
          <w:sz w:val="20"/>
          <w:szCs w:val="20"/>
          <w:color w:val="auto"/>
        </w:rPr>
      </w:pPr>
      <w:r>
        <w:rPr>
          <w:rFonts w:ascii="Times New Roman" w:cs="Times New Roman" w:eastAsia="Times New Roman" w:hAnsi="Times New Roman"/>
          <w:sz w:val="18"/>
          <w:szCs w:val="18"/>
          <w:color w:val="auto"/>
        </w:rPr>
        <w:t>The funded status as of December 31, 2025, 2024 and 2023, was zero, $0.5 million, and $(4.1) million, respectively, and was recognized in "Deferred charges and other assets" or "Other liabilities" within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net periodic benefit cost for pension benefits included in the accompanying Consolidated Statements of Income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7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(1,223)</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20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gain</w:t>
            </w:r>
          </w:p>
        </w:tc>
        <w:tc>
          <w:tcPr>
            <w:tcW w:w="1100" w:type="dxa"/>
            <w:vAlign w:val="bottom"/>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1100" w:type="dxa"/>
            <w:vAlign w:val="bottom"/>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(3,475)</w:t>
            </w:r>
          </w:p>
        </w:tc>
        <w:tc>
          <w:tcPr>
            <w:tcW w:w="44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4"/>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(3,257)</w:t>
            </w:r>
          </w:p>
        </w:tc>
        <w:tc>
          <w:tcPr>
            <w:tcW w:w="440" w:type="dxa"/>
            <w:vAlign w:val="bottom"/>
            <w:gridSpan w:val="2"/>
            <w:shd w:val="clear" w:color="auto" w:fill="CFF0FC"/>
          </w:tcPr>
          <w:p>
            <w:pPr>
              <w:jc w:val="right"/>
              <w:ind w:right="184"/>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 were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1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100" w:type="dxa"/>
            <w:vAlign w:val="bottom"/>
            <w:shd w:val="clear" w:color="auto" w:fill="CFF0FC"/>
          </w:tcPr>
          <w:p>
            <w:pPr>
              <w:jc w:val="center"/>
              <w:ind w:left="39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8"/>
              </w:rPr>
              <w:t>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-1242695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-1242695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-934085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-916305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-934085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basis of the long-term rate of return assumption reflected the asset mix for the pension plan of approximately 20% to 40% debt securities and 60% to 80% equity securities with assumed average annual returns of approximately 4% to 6% for debt securities and 8% to 12% for equity securities. The investment portfolio for the pension plan was adjusted periodically to maintain the current ratios of debt securities and equity securities. Additional consideration was given to the historical returns for the pension plan as well as future long range projections of investment returns for each asset category. The long-term rate of return also considered administrative expenses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 were not based on wages and, therefore, future wage adjustments had no effect on the projected benefit obligation.</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2024 and 2023, the Company updated the mortality tables (RP-2021 Total Mortality Table, RP-2020 Total Mortality Table, and RP-2019 Total Mortality Table for each respective year) in the underlying assumptions used to determine the benefit obligation.</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Pension plan assets were invested in trusts comprised primarily of investments in various debt and equity funds. A fiduciary committee established the target asset mix and monitors asset performance. The expected rate of return on assets included the determination of a real rate of return for equity and fixed income investment applied to the portfolio based on their relative weighting, increased by an underlying inflation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defined benefit pension plan asset allocation by asset category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gridSpan w:val="3"/>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3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Plan Assets</w:t>
            </w:r>
          </w:p>
        </w:tc>
      </w:tr>
      <w:tr>
        <w:trPr>
          <w:trHeight w:val="210"/>
        </w:trPr>
        <w:tc>
          <w:tcPr>
            <w:tcW w:w="3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3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Asset Category:</w:t>
            </w:r>
          </w:p>
        </w:tc>
        <w:tc>
          <w:tcPr>
            <w:tcW w:w="348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r>
      <w:tr>
        <w:trPr>
          <w:trHeight w:val="216"/>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80" w:type="dxa"/>
            <w:vAlign w:val="bottom"/>
          </w:tcPr>
          <w:p>
            <w:pPr>
              <w:spacing w:after="0"/>
              <w:rPr>
                <w:sz w:val="18"/>
                <w:szCs w:val="18"/>
                <w:color w:val="auto"/>
              </w:rPr>
            </w:pPr>
          </w:p>
        </w:tc>
        <w:tc>
          <w:tcPr>
            <w:tcW w:w="12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3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Equity securities</w:t>
            </w:r>
          </w:p>
        </w:tc>
        <w:tc>
          <w:tcPr>
            <w:tcW w:w="3480" w:type="dxa"/>
            <w:vAlign w:val="bottom"/>
            <w:shd w:val="clear" w:color="auto" w:fill="CFF0FC"/>
          </w:tcPr>
          <w:p>
            <w:pPr>
              <w:spacing w:after="0"/>
              <w:rPr>
                <w:sz w:val="18"/>
                <w:szCs w:val="18"/>
                <w:color w:val="auto"/>
              </w:rPr>
            </w:pPr>
          </w:p>
        </w:tc>
        <w:tc>
          <w:tcPr>
            <w:tcW w:w="1260" w:type="dxa"/>
            <w:vAlign w:val="bottom"/>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gridSpan w:val="3"/>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6"/>
              </w:rPr>
              <w:t>74%</w:t>
            </w:r>
          </w:p>
        </w:tc>
      </w:tr>
      <w:tr>
        <w:trPr>
          <w:trHeight w:val="216"/>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securities</w:t>
            </w:r>
          </w:p>
        </w:tc>
        <w:tc>
          <w:tcPr>
            <w:tcW w:w="3480" w:type="dxa"/>
            <w:vAlign w:val="bottom"/>
          </w:tcPr>
          <w:p>
            <w:pPr>
              <w:spacing w:after="0"/>
              <w:rPr>
                <w:sz w:val="18"/>
                <w:szCs w:val="18"/>
                <w:color w:val="auto"/>
              </w:rPr>
            </w:pPr>
          </w:p>
        </w:tc>
        <w:tc>
          <w:tcPr>
            <w:tcW w:w="12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50"/>
        </w:trPr>
        <w:tc>
          <w:tcPr>
            <w:tcW w:w="3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shd w:val="clear" w:color="auto" w:fill="CFF0FC"/>
          </w:tcPr>
          <w:p>
            <w:pPr>
              <w:spacing w:after="0"/>
              <w:rPr>
                <w:sz w:val="21"/>
                <w:szCs w:val="21"/>
                <w:color w:val="auto"/>
              </w:rPr>
            </w:pPr>
          </w:p>
        </w:tc>
        <w:tc>
          <w:tcPr>
            <w:tcW w:w="1260" w:type="dxa"/>
            <w:vAlign w:val="bottom"/>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gridSpan w:val="3"/>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9"/>
              </w:rPr>
              <w:t>100%</w:t>
            </w:r>
          </w:p>
        </w:tc>
      </w:tr>
      <w:tr>
        <w:trPr>
          <w:trHeight w:val="628"/>
        </w:trPr>
        <w:tc>
          <w:tcPr>
            <w:tcW w:w="3840" w:type="dxa"/>
            <w:vAlign w:val="bottom"/>
            <w:tcBorders>
              <w:top w:val="single" w:sz="8" w:color="CFF0FC"/>
            </w:tcBorders>
          </w:tcPr>
          <w:p>
            <w:pPr>
              <w:spacing w:after="0"/>
              <w:rPr>
                <w:sz w:val="24"/>
                <w:szCs w:val="24"/>
                <w:color w:val="auto"/>
              </w:rPr>
            </w:pPr>
          </w:p>
        </w:tc>
        <w:tc>
          <w:tcPr>
            <w:tcW w:w="348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1028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-916305</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60"/>
        <w:spacing w:after="0" w:line="282" w:lineRule="auto"/>
        <w:rPr>
          <w:sz w:val="20"/>
          <w:szCs w:val="20"/>
          <w:color w:val="auto"/>
        </w:rPr>
      </w:pPr>
      <w:r>
        <w:rPr>
          <w:rFonts w:ascii="Times New Roman" w:cs="Times New Roman" w:eastAsia="Times New Roman" w:hAnsi="Times New Roman"/>
          <w:sz w:val="18"/>
          <w:szCs w:val="18"/>
          <w:color w:val="auto"/>
        </w:rPr>
        <w:t>No contributions were made in 2025 or 2023. The Company made contributions to the pension plan of $1.3 million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of Pension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pension assets measured at fair value: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Cash and cash equivalents consisted primarily of cash on deposit in money market funds. Cash and cash equivalents were stated at cost, which approximates fair value.</w:t>
      </w:r>
    </w:p>
    <w:p>
      <w:pPr>
        <w:spacing w:after="0" w:line="162"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u w:val="single" w:color="auto"/>
          <w:color w:val="auto"/>
        </w:rPr>
        <w:t>Equity securities</w:t>
      </w:r>
      <w:r>
        <w:rPr>
          <w:rFonts w:ascii="Times New Roman" w:cs="Times New Roman" w:eastAsia="Times New Roman" w:hAnsi="Times New Roman"/>
          <w:sz w:val="17"/>
          <w:szCs w:val="17"/>
          <w:color w:val="auto"/>
        </w:rPr>
        <w:t>: Equity securities consisted of various managed funds that invest primarily in common stocks. These securities were valued at the net asset value of shares held by the plan at year end. The net asset value was calculated based on the underlying shares and investments held by the funds.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Debt securities consisted of U.S. government and agency securities, corporate bonds and notes, and managed funds that invest in fixed income securities. U.S governmental and agency securities were valued at closing prices reported in the active market in which the individual securities are traded. Corporate bonds and notes were valued using market inputs including benchmark yields, reported trades, broker/dealer quotes, issuer spreads, two-sided markets, benchmark securities, bids, offers and reference data including market research publications. Inputs may have been prioritized differently at certain times based on market conditions. Managed funds were valued at the net asset value of shares held by the plan at year end. The net asset value was calculated based on the underlying investments held by the fund.</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2024 are summarized in the tables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18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18,622</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18,622</w:t>
            </w: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6,324</w:t>
            </w:r>
          </w:p>
        </w:tc>
        <w:tc>
          <w:tcPr>
            <w:tcW w:w="20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6,324</w:t>
            </w:r>
          </w:p>
        </w:tc>
      </w:tr>
      <w:tr>
        <w:trPr>
          <w:trHeight w:val="20"/>
        </w:trPr>
        <w:tc>
          <w:tcPr>
            <w:tcW w:w="3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25,144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25,144</w:t>
            </w: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62" w:lineRule="exact"/>
        <w:rPr>
          <w:sz w:val="20"/>
          <w:szCs w:val="20"/>
          <w:color w:val="auto"/>
        </w:rPr>
      </w:pPr>
    </w:p>
    <w:p>
      <w:pPr>
        <w:ind w:left="1020" w:right="8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6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participation in these plans for the year ended December 31, 2025, is outlined in the table below. The “EIN/Pension Plan Number” column provides the Employer Identification Number and the three-digit plan number, if applicable. Unless otherwise noted, the most recent Pension Protection Act zone status available in 2025 is for the plan’s year-end at December 31, 2024.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 Zone</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Collective</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EIN/Pension</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FIF/RP Status</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Surcharge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Bargaining</w:t>
            </w:r>
          </w:p>
        </w:tc>
      </w:tr>
      <w:tr>
        <w:trPr>
          <w:trHeight w:val="238"/>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Pension Fund</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 Number</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Pending/Implemented</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Imposed</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191"/>
        </w:trPr>
        <w:tc>
          <w:tcPr>
            <w:tcW w:w="37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Sheet Metal Workers’ National Pension Fund</w:t>
            </w:r>
          </w:p>
        </w:tc>
        <w:tc>
          <w:tcPr>
            <w:tcW w:w="1540" w:type="dxa"/>
            <w:vAlign w:val="bottom"/>
            <w:gridSpan w:val="2"/>
            <w:shd w:val="clear" w:color="auto" w:fill="CFF0FC"/>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52-6112463/001</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16"/>
                <w:szCs w:val="16"/>
                <w:color w:val="auto"/>
              </w:rPr>
            </w:pPr>
          </w:p>
        </w:tc>
        <w:tc>
          <w:tcPr>
            <w:tcW w:w="19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FIF: Yes - Implemented</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Various</w:t>
            </w:r>
          </w:p>
        </w:tc>
      </w:tr>
      <w:tr>
        <w:trPr>
          <w:trHeight w:val="234"/>
        </w:trPr>
        <w:tc>
          <w:tcPr>
            <w:tcW w:w="3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RP: Yes - Implemented</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Sheet Metal Workers Local No. 177 Pension Fund</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62-6093256/001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 not subject</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bl>
    <w:p>
      <w:pPr>
        <w:spacing w:after="0" w:line="1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Kirk and Blum was listed in the Sheet Metal Workers Local No. 177 Pension Fund’s Form 5500 as providing more than five percent of total contributions for the year ended December 31, 2024. The Company was not listed in any of the other plans’ Forms 5500 as providing more than five percent of the total contributions for the plans and plan years. At the date the financial statements were issued, Forms 5500 were not available for the plan years ended December 31, 2025.</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no current intention of withdrawing from any plan and, therefore, no liability has been provided in the accompanying consolidated financial statements.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Amounts charged to pension expense under the above plans including the multi-employer plans totaled zero, $0.2 million, and $0.5 million for the years ended December 31, 2025, 2024 and 2023,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$3.2 million, $2.3 million, and $2.0 million during the years ended December 31, 2025, 2024 and 2023, respectively.</w:t>
      </w:r>
    </w:p>
    <w:p>
      <w:pPr>
        <w:spacing w:after="0" w:line="176"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leasing activity is primarily related to buildings used for manufacturing, warehousing, sales, and administrative activities.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determining its ROU assets and lease liabilities, the Company applies a discount rate to the minimum lease payments within each lease agreement.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 of asset(s) being leased, and the term of the associated lease.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10"/>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6,146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76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6,687</w:t>
            </w:r>
          </w:p>
        </w:tc>
        <w:tc>
          <w:tcPr>
            <w:tcW w:w="2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7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7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00" w:type="dxa"/>
            <w:vAlign w:val="bottom"/>
            <w:tcBorders>
              <w:top w:val="single" w:sz="8" w:color="CFF0FC"/>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Operating cash flows from finance leases</w:t>
            </w:r>
          </w:p>
        </w:tc>
        <w:tc>
          <w:tcPr>
            <w:tcW w:w="7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Financing cash flows from finance leases</w:t>
            </w:r>
          </w:p>
        </w:tc>
        <w:tc>
          <w:tcPr>
            <w:tcW w:w="7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925</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11"/>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5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gridSpan w:val="3"/>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5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5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tcBorders>
              <w:top w:val="single" w:sz="8" w:color="auto"/>
            </w:tcBorders>
            <w:gridSpan w:val="3"/>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were as follows: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8 years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400" w:type="dxa"/>
            <w:vAlign w:val="bottom"/>
          </w:tcPr>
          <w:p>
            <w:pPr>
              <w:spacing w:after="0"/>
              <w:rPr>
                <w:sz w:val="24"/>
                <w:szCs w:val="24"/>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-6779895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-6779895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-6779895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-6488430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-6471285</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-6488430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-6471285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-6488430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-6471285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-5485765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-5468620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-5485765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-5468620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-5485765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-5468620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-5160010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-5142865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-5160010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-5142865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-5160010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-4859655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-4842510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-4859655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-4842510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-3856990</wp:posOffset>
            </wp:positionV>
            <wp:extent cx="768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-3291205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-2451100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maturities of lease liabilities were as follows:</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4"/>
                <w:szCs w:val="24"/>
                <w:color w:val="auto"/>
              </w:rPr>
            </w:pPr>
          </w:p>
        </w:tc>
        <w:tc>
          <w:tcPr>
            <w:tcW w:w="2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9"/>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5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18"/>
                <w:szCs w:val="18"/>
                <w:color w:val="auto"/>
              </w:rPr>
            </w:pPr>
          </w:p>
        </w:tc>
      </w:tr>
      <w:tr>
        <w:trPr>
          <w:trHeight w:val="209"/>
        </w:trPr>
        <w:tc>
          <w:tcPr>
            <w:tcW w:w="8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(8,592)</w:t>
            </w:r>
          </w:p>
        </w:tc>
      </w:tr>
      <w:tr>
        <w:trPr>
          <w:trHeight w:val="249"/>
        </w:trPr>
        <w:tc>
          <w:tcPr>
            <w:tcW w:w="8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claims, proceedings, and investigations associated with contract and employment-related litigation matters, warranty claims, asbestos matters, and audits of state and local tax returns arising in the ordinary course of its business. The final outcome and impact of open matters, and related claims and investigations that may be brought in the future, are subject to many variables, and cannot be predicted. The Company regularly assesses such matters to determine the degree of probability that it will incur a material loss as a result of such matters, as well as the range of possible loss. The Company records accruals for estimated losses relating to claims and lawsuits when available information indicates that a loss is probable and the amount of the loss, or range of loss, can be reasonably estimated.</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upon information presently available, and in light of legal and other factual defenses available to the Company, the Company does not believe that it is reasonably possible that such litigation will have a material adverse effect on the Company’s financial condition, future operating results or liquidity.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 was generated in the United States and globally as follows: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4"/>
                <w:szCs w:val="24"/>
                <w:color w:val="auto"/>
              </w:rPr>
            </w:pPr>
          </w:p>
        </w:tc>
      </w:tr>
      <w:tr>
        <w:trPr>
          <w:trHeight w:val="21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w:t>
            </w:r>
          </w:p>
        </w:tc>
        <w:tc>
          <w:tcPr>
            <w:tcW w:w="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$ 63,690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r>
      <w:tr>
        <w:trPr>
          <w:trHeight w:val="216"/>
        </w:trPr>
        <w:tc>
          <w:tcPr>
            <w:tcW w:w="8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$ 82,845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-170815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$1.3 million has been recorded for the deferred taxes on such undistributed foreign earnings as of December 31, 2025. The deferred taxes are attributable primarily to the foreign withholding taxes that would become payable should the Company repatriate cash held in its foreign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47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5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$ 15,361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47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47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5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r>
      <w:tr>
        <w:trPr>
          <w:trHeight w:val="425"/>
        </w:trPr>
        <w:tc>
          <w:tcPr>
            <w:tcW w:w="3900" w:type="dxa"/>
            <w:vAlign w:val="bottom"/>
          </w:tcPr>
          <w:p>
            <w:pPr>
              <w:spacing w:after="0"/>
              <w:rPr>
                <w:sz w:val="24"/>
                <w:szCs w:val="24"/>
                <w:color w:val="auto"/>
              </w:rPr>
            </w:pPr>
          </w:p>
        </w:tc>
        <w:tc>
          <w:tcPr>
            <w:tcW w:w="474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-1473835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-1473835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9"/>
        </w:trPr>
        <w:tc>
          <w:tcPr>
            <w:tcW w:w="8640" w:type="dxa"/>
            <w:vAlign w:val="bottom"/>
            <w:tcBorders>
              <w:top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8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$ 29,738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6097270</wp:posOffset>
            </wp:positionH>
            <wp:positionV relativeFrom="page">
              <wp:posOffset>637540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637540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7272020</wp:posOffset>
            </wp:positionH>
            <wp:positionV relativeFrom="page">
              <wp:posOffset>637540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expense differs from the statutory rate due to the following for the years ending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federal statutory income tax rate</w:t>
            </w:r>
          </w:p>
        </w:tc>
        <w:tc>
          <w:tcPr>
            <w:tcW w:w="1120" w:type="dxa"/>
            <w:vAlign w:val="bottom"/>
            <w:shd w:val="clear" w:color="auto" w:fill="CFF0FC"/>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17,398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Domestic federal:</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Cross-border tax laws</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credits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tax credits</w:t>
            </w:r>
          </w:p>
        </w:tc>
        <w:tc>
          <w:tcPr>
            <w:tcW w:w="1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7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(1,867)</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Compensation</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Divestiture</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state and local income taxes, net of federal income tax effect</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Provision-to-return adjustments</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Statutory rate difference between United Arab Emirates and United States</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29,738</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35.89%</w:t>
            </w:r>
          </w:p>
        </w:tc>
      </w:tr>
      <w:tr>
        <w:trPr>
          <w:trHeight w:val="629"/>
        </w:trPr>
        <w:tc>
          <w:tcPr>
            <w:tcW w:w="76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-934085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-916940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-934085</wp:posOffset>
            </wp:positionV>
            <wp:extent cx="1117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-916940</wp:posOffset>
            </wp:positionV>
            <wp:extent cx="1117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rate differences and adjustments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States tax credits and incentives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 and incentives</w:t>
            </w:r>
          </w:p>
        </w:tc>
        <w:tc>
          <w:tcPr>
            <w:tcW w:w="4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withholding taxes on repatriation of foreign earnings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expense (income)</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4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Excess compensation</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Provision-to-return adjustments</w:t>
            </w:r>
          </w:p>
        </w:tc>
        <w:tc>
          <w:tcPr>
            <w:tcW w:w="4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effect GILTI and FDII</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state and local income taxes in California, New York, Illinois, and Arizona comprise the majority of the domestic state and local income taxes, net of federal effect category. In 2024, state and local income taxes in Texas and Minnesota comprise the majority of the domestic state and local income taxes, net of federal effect category. In 2023, state and local income taxes in Tennessee, Pennsylvania, New York, and California comprise the majority of the domestic state and local income taxes, net of federal effect category.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5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 on assets</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174</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Valuation allowances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10"/>
        </w:trPr>
        <w:tc>
          <w:tcPr>
            <w:tcW w:w="4560" w:type="dxa"/>
            <w:vAlign w:val="bottom"/>
            <w:tcBorders>
              <w:top w:val="single" w:sz="8" w:color="CFF0FC"/>
            </w:tcBorders>
          </w:tcPr>
          <w:p>
            <w:pPr>
              <w:spacing w:after="0"/>
              <w:rPr>
                <w:sz w:val="18"/>
                <w:szCs w:val="18"/>
                <w:color w:val="auto"/>
              </w:rPr>
            </w:pPr>
          </w:p>
        </w:tc>
        <w:tc>
          <w:tcPr>
            <w:tcW w:w="454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(6,248)</w:t>
            </w: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recognition</w:t>
            </w: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Minimum pension / post retirement</w:t>
            </w: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(39,961)</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liabilities</w:t>
            </w:r>
          </w:p>
        </w:tc>
        <w:tc>
          <w:tcPr>
            <w:tcW w:w="45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(27,471)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540" w:type="dxa"/>
            <w:vAlign w:val="bottom"/>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5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Reserves on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Minimum pension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5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allowances</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(5,415)</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(6,545)</w:t>
            </w:r>
          </w:p>
        </w:tc>
      </w:tr>
      <w:tr>
        <w:trPr>
          <w:trHeight w:val="20"/>
        </w:trPr>
        <w:tc>
          <w:tcPr>
            <w:tcW w:w="7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5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tcPr>
          <w:p>
            <w:pPr>
              <w:spacing w:after="0"/>
              <w:rPr>
                <w:sz w:val="18"/>
                <w:szCs w:val="18"/>
                <w:color w:val="auto"/>
              </w:rPr>
            </w:pPr>
          </w:p>
        </w:tc>
      </w:tr>
      <w:tr>
        <w:trPr>
          <w:trHeight w:val="209"/>
        </w:trPr>
        <w:tc>
          <w:tcPr>
            <w:tcW w:w="74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(2,099)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(19,652)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(14,299)</w:t>
            </w: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3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(5,883)</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(3,571)</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recognition</w:t>
            </w:r>
          </w:p>
        </w:tc>
        <w:tc>
          <w:tcPr>
            <w:tcW w:w="36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Minimum pension</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7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(28,977)</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(21,348)</w:t>
            </w:r>
          </w:p>
        </w:tc>
      </w:tr>
      <w:tr>
        <w:trPr>
          <w:trHeight w:val="20"/>
        </w:trPr>
        <w:tc>
          <w:tcPr>
            <w:tcW w:w="7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(10,356)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(8,534)</w:t>
            </w:r>
          </w:p>
        </w:tc>
      </w:tr>
      <w:tr>
        <w:trPr>
          <w:trHeight w:val="20"/>
        </w:trPr>
        <w:tc>
          <w:tcPr>
            <w:tcW w:w="7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-2125345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-1842770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federal net operating loss carry forwards total $3.7 million, which expire from 2029 to 2034. As of December 31, 2025, state and local net operating loss carry forwards total $46.5 million, which expire from 2026 to 2045. The Company has recorded a valuation allowance on certain of these net operating loss carry forwards to reflect expected realization. The Company also has net operating loss carry forwards in foreign jurisdictions totaling $22.3 million. As of December 31, 2025 and 2024, the Company has recorded a valuation reserve, including but not limited to net operating losses, in the amount of $7.9 million and $5.4 million, respectively. The changes in the valuation allowance resulted in additional income tax expense (benefit) of $2.5 million, $(1.1) million, and $1.5 million in 2025, 2024, and 2023, respectively.</w:t>
      </w:r>
    </w:p>
    <w:p>
      <w:pPr>
        <w:spacing w:after="0" w:line="18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2025. The amount of the deferred tax assets considered realizable, however, could be reduced in the near term if estimates of future taxable income during the carryforward period are reduced.</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right="18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uncertain tax position reserves included in Other liabilities on the Consolidated Balance Sheets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acquired company</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Total accrued penalties and net accrued interest was $0.1 million and zero as of December 31, 2025 and 2024, respectively. The balance of total unrecognized tax benefits at December 31, 2025 and 2024, are potential benefits of $1.2 million and $1.1 million, respectively, that if recognized, would affect the effective rate on income from continuing operations. Tax years going back to 2019 remain open for examination by all significant federal, state and foreign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consisted of the following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2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FF0FC"/>
          </w:tcPr>
          <w:p>
            <w:pPr>
              <w:spacing w:after="0"/>
              <w:rPr>
                <w:sz w:val="18"/>
                <w:szCs w:val="18"/>
                <w:color w:val="auto"/>
              </w:rPr>
            </w:pPr>
          </w:p>
        </w:tc>
      </w:tr>
      <w:tr>
        <w:trPr>
          <w:trHeight w:val="216"/>
        </w:trPr>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8"/>
                <w:szCs w:val="18"/>
                <w:color w:val="auto"/>
              </w:rPr>
            </w:pPr>
          </w:p>
        </w:tc>
      </w:tr>
      <w:tr>
        <w:trPr>
          <w:trHeight w:val="216"/>
        </w:trPr>
        <w:tc>
          <w:tcPr>
            <w:tcW w:w="9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24,731</w:t>
            </w:r>
          </w:p>
        </w:tc>
        <w:tc>
          <w:tcPr>
            <w:tcW w:w="12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Profire Energy, Inc.</w:t>
      </w:r>
    </w:p>
    <w:p>
      <w:pPr>
        <w:spacing w:after="0" w:line="2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Income.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$22,675 and accounts receivable of $14,151)</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54,867</w:t>
            </w:r>
          </w:p>
        </w:tc>
        <w:tc>
          <w:tcPr>
            <w:tcW w:w="120" w:type="dxa"/>
            <w:vAlign w:val="bottom"/>
            <w:shd w:val="clear" w:color="auto" w:fill="CFF0FC"/>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(11,226)</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acquired property and equipment consisting of $14.7 million of land, building and improvements, $2.1 million of vehicles, and $0.6 million of machinery and equipment and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$3.6 million, $34.5 million, and $3.7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Profire accounted for $62.7 million in revenue and $1.6 million in net income,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Verantis Environmental Solutions Group</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17, 2024, the Company acquired 100% of the equity interests of Verantis Environmental Solutions Group ("Verantis") for $69.2 million in cash, which was financed with a draw on the Company's revolving credit facility. Verantis is a global leader in engineering services and environmental systems that focuses on process improvement in a wide range of general industrial and high technology processes within the Industrial Processing Solutions segment. During 2025, the Company recorded measurement period adjustments and an increase in consideration of $3.7 million related to the acquisition of Verantis, resulting in an increase to goodwill, other liabilities, and deferred income tax liability as of the acquisition date of $10.2 million, $0.2 million, and $2.8 million, respectively, and decrease to other assets of $0.1 million and current assets of $3.3 million, including $3.0 million of accounts receivable. The following table summarizes the preliminary fair values of the assets acquired and liabilities assumed at the date of closing.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$8,661)</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shd w:val="clear" w:color="auto" w:fill="CFF0FC"/>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54,834</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(17,624)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(7,135)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$2.4 million, $17.0 million and $2.6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Verantis accounted for $2.4 million in revenue and $0.2 million of net income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WK Group</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 2024, the Company acquired 100% of the equity interests of WK Germany KG, GmbH and WK Asia-Pacific Pte. Ltd. (collectively, "WK Group") for $6.8 million in cash, which was financed with a draw on the Company's revolving credit facility. As additional consideration in the acquisition of WK Group, the former owners of WK Group were also entitled to earn-out payments up to $27.5 million based upon specified financial results through September 30, 2025. Based on projections at the acquisition date, the Company estimated the fair value of the earn-out to be $6.3 million, recorded within "Other liabilities" on its Consolidated Balance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77" w:name="page78"/>
    <w:bookmarkEnd w:id="77"/>
    <w:p>
      <w:pPr>
        <w:ind w:right="160"/>
        <w:spacing w:after="0" w:line="253" w:lineRule="auto"/>
        <w:rPr>
          <w:sz w:val="20"/>
          <w:szCs w:val="20"/>
          <w:color w:val="auto"/>
        </w:rPr>
      </w:pPr>
      <w:r>
        <w:rPr>
          <w:rFonts w:ascii="Times New Roman" w:cs="Times New Roman" w:eastAsia="Times New Roman" w:hAnsi="Times New Roman"/>
          <w:sz w:val="18"/>
          <w:szCs w:val="18"/>
          <w:color w:val="auto"/>
        </w:rPr>
        <w:t>Sheets as of December 31, 2024. During the second quarter of 2025, the Company recorded a fair value adjustment such that the earn-out liability was reduced to zero. The associated gain of $7.4 million, inclusive of $1.1 million of foreign currency adjustments, was recorded within "Other operating expense" on the Consolidated Statements of Income. No additional adjustments were necessary at the expiration of the earn-out period in the third quarter of 2025. This fair value measurement is based on inputs not observable in the market, which is considered Level 3 on the fair value hierarchy. WK Group designs and engineers a broad range of cutting-edge technical equipment and systems for process and environmental and surface technology applications, as well as innovative sustainable solutions within the Industrial Processing Solutions segment. During 2025, the Company recorded measurement period adjustments related to the acquisition of WK Group, resulting in increases to goodwill, deferred income tax liability and other liabilities as of the acquisition date of $9.8 million, $2.6 million and $0.7 million, respectively, and decrease of $6.5 million in current assets, including a decrease of $2.3 million of accounts receivable. These adjustments relate to working capital and the associated tax balances. The following table summarizes the preliminary fair values of the assets acquired and liabilities assumed at the date of closing.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$7,438)</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20" w:type="dxa"/>
            <w:vAlign w:val="bottom"/>
            <w:shd w:val="clear" w:color="auto" w:fill="CFF0FC"/>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(14,997)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(2,051)</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$1.0 million, $1.2 million and $1.0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WK Group accounted for $4.6 million in revenue and $0.7 million of net loss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29, 2024, the Company acquired 100% of the equity interests of EnviroCare International LLC (“EnviroCare") for $16.7 million, including $15.7 million paid at closing, which was financed with a draw on the Company's revolving credit facility, and a seller promissory note of $1.7 million, which was repaid in the third quarter of 2025, partially offset by a working capital adjustment of $0.7 million. EnviroCare is an international designer and provider of industrial exhaust air contamination treatment and control systems, solutions and services across a wide range of industrial and municipal applications within the Industrial Processing Solutions segment. The following table summarizes the preliminary fair values of the assets acquired and liabilities assumed at the date of closing.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$596 and accounts receivable of $405)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shd w:val="clear" w:color="auto" w:fill="CFF0FC"/>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(5,024)</w:t>
            </w:r>
          </w:p>
        </w:tc>
      </w:tr>
      <w:tr>
        <w:trPr>
          <w:trHeight w:val="250"/>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EnviroCare accounted for $6.0 million in revenue and $0.9 million of net income in the Company's results.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Kemco Systems Co., LLC ("Kemco"). As additional consideration in the acquisition of Kemco Systems Co., LLC ("Kemco"), the former owners of Kemco are entitled to earn-out payments up to $4.0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80" w:firstLine="45"/>
        <w:spacing w:after="0" w:line="256" w:lineRule="auto"/>
        <w:rPr>
          <w:sz w:val="20"/>
          <w:szCs w:val="20"/>
          <w:color w:val="auto"/>
        </w:rPr>
      </w:pPr>
      <w:r>
        <w:rPr>
          <w:rFonts w:ascii="Times New Roman" w:cs="Times New Roman" w:eastAsia="Times New Roman" w:hAnsi="Times New Roman"/>
          <w:sz w:val="18"/>
          <w:szCs w:val="18"/>
          <w:color w:val="auto"/>
        </w:rPr>
        <w:t>million based upon specified financial results through August 31, 2026. Based on projections at the acquisition date, the Company estimated the fair value of the earn-out to be $2.2 million. As of December 31, 2024, the earnout liability recorded in "Accrued expenses" on its Consolidated Balance Sheets was $0.1 million, reflecting earnout payments of $2.8 million made in the year ended December 31, 2024 and fair value adjustments of $0.7 million during the year ended December 31, 2024. During the year ended December 31, 2025, the Company reduced the earnout to zero. The fair value adjustments were recorded in "Other operating expense" on the Consolidated Statement of Income. This fair value measurement is based on inputs not observable in the market, which is considered Level 3 on the fair value hierarchy.</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Kemco accounted for $13.1 million in revenue and $2.0 million of net income included in the Company’s results. During the year ended December 31, 2023, the Company also acquired Transcend Solutions which accounted for $10.3 million in revenue and $1.7 million of net income included in the Company’s results, and Malvar Engineering Limited, including its subsidiaries Arkanum Management Limited and Wakefield Acoustics Limited, which accounted for $13.8 million in revenue and $1.3 million of net income included in the Company’s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finalized the valuation of assets acquired and liabilities assumed related to these acquisitions.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Consolidated Statements of Income are related to acquisition activities, which include retention, legal, accounting, banking, and other expenses.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701,265</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642,670</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8"/>
                <w:szCs w:val="18"/>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-863600</wp:posOffset>
            </wp:positionV>
            <wp:extent cx="102870" cy="1797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-863600</wp:posOffset>
            </wp:positionV>
            <wp:extent cx="93980" cy="1797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-863600</wp:posOffset>
            </wp:positionV>
            <wp:extent cx="93980" cy="1797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31, 2025, the Company finalized the sale of its Global Pump Solutions business to a third party for a purchase price of $108.7 million, as adjusted for purchase adjustments. In the third quarter of 2025, the Company agreed to a working capital adjustment with the purchaser that reduced the amount to be released from escrow by $0.8 million, with a corresponding reduction in the previously recognized gain. The Company received cash proceeds of $107.9 million, inclusive of the purchase price, purchase price adjustments and $2.0 million released from escrow in the third quarter of 2025. The Company recognized a pre-tax gain on sale of business of $63.7 million. The Global Pump Solutions business consists of three niche leadership severe service industrial metallic,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260"/>
        <w:spacing w:after="0" w:line="282" w:lineRule="auto"/>
        <w:rPr>
          <w:sz w:val="20"/>
          <w:szCs w:val="20"/>
          <w:color w:val="auto"/>
        </w:rPr>
      </w:pPr>
      <w:r>
        <w:rPr>
          <w:rFonts w:ascii="Times New Roman" w:cs="Times New Roman" w:eastAsia="Times New Roman" w:hAnsi="Times New Roman"/>
          <w:sz w:val="18"/>
          <w:szCs w:val="18"/>
          <w:color w:val="auto"/>
        </w:rPr>
        <w:t>fiberglass and thermoplastic centrifugal pump brands: Dean, Fybroc and Sethco. The business primarily operates from locations in Indianapolis, Indiana and Telford, Pennsylvania, and was included within the Industrial Processing Solutions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the transaction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107,808</w:t>
            </w:r>
          </w:p>
        </w:tc>
        <w:tc>
          <w:tcPr>
            <w:tcW w:w="100" w:type="dxa"/>
            <w:vAlign w:val="bottom"/>
            <w:shd w:val="clear" w:color="auto" w:fill="CFF0FC"/>
          </w:tcPr>
          <w:p>
            <w:pPr>
              <w:spacing w:after="0"/>
              <w:rPr>
                <w:sz w:val="19"/>
                <w:szCs w:val="19"/>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Assets transferred</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assets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Liabilities transferred</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Segment profit is reviewed quarterly by the chief operating decision maker ("CODM"), which is the Company's Chief Executive Officer, for the purposes of allocating resources, including personnel, capital, and financial resources, and assessing performance, including the monitoring of budget versus actual results. During the fourth quarter of 2025, management updated the definition of the segment profit measure used by the CODM.</w:t>
      </w:r>
    </w:p>
    <w:p>
      <w:pPr>
        <w:spacing w:after="0" w:line="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presentation of prior period segment information has been recast to conform to this updated measure. Asset information by segment is not reported internally or otherwise regularly reviewed by the CODM. The accounting policies of the segments are the same as those described in the summary of significant accounting policies in Note 1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profit to total consolidated net income before taxes is as follows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4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544,298</w:t>
            </w:r>
          </w:p>
        </w:tc>
        <w:tc>
          <w:tcPr>
            <w:tcW w:w="12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230,083</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the sale of Global Pump Solutions</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(63,701)</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111,834</w:t>
            </w:r>
          </w:p>
        </w:tc>
        <w:tc>
          <w:tcPr>
            <w:tcW w:w="3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101,140</w:t>
            </w: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212,974</w:t>
            </w:r>
          </w:p>
        </w:tc>
        <w:tc>
          <w:tcPr>
            <w:tcW w:w="100" w:type="dxa"/>
            <w:vAlign w:val="bottom"/>
            <w:tcBorders>
              <w:top w:val="single" w:sz="8" w:color="CFF0FC"/>
            </w:tcBorders>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(1)</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77,844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(2)</w:t>
            </w: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-1002030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-1002030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120" w:type="dxa"/>
            <w:vAlign w:val="bottom"/>
          </w:tcPr>
          <w:p>
            <w:pPr>
              <w:spacing w:after="0"/>
              <w:rPr>
                <w:sz w:val="20"/>
                <w:szCs w:val="20"/>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FF0FC"/>
          </w:tcPr>
          <w:p>
            <w:pPr>
              <w:spacing w:after="0"/>
              <w:rPr>
                <w:sz w:val="18"/>
                <w:szCs w:val="18"/>
                <w:color w:val="auto"/>
              </w:rPr>
            </w:pPr>
          </w:p>
        </w:tc>
      </w:tr>
      <w:tr>
        <w:trPr>
          <w:trHeight w:val="3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profit to total consolidated net income before taxes is as follows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40" w:type="dxa"/>
            <w:vAlign w:val="bottom"/>
          </w:tcPr>
          <w:p>
            <w:pPr>
              <w:spacing w:after="0"/>
              <w:rPr>
                <w:sz w:val="20"/>
                <w:szCs w:val="20"/>
                <w:color w:val="auto"/>
              </w:rPr>
            </w:pPr>
          </w:p>
        </w:tc>
        <w:tc>
          <w:tcPr>
            <w:tcW w:w="2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384,025</w:t>
            </w:r>
          </w:p>
        </w:tc>
        <w:tc>
          <w:tcPr>
            <w:tcW w:w="340" w:type="dxa"/>
            <w:vAlign w:val="bottom"/>
          </w:tcPr>
          <w:p>
            <w:pPr>
              <w:spacing w:after="0"/>
              <w:rPr>
                <w:sz w:val="18"/>
                <w:szCs w:val="18"/>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173,908</w:t>
            </w:r>
          </w:p>
        </w:tc>
        <w:tc>
          <w:tcPr>
            <w:tcW w:w="30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241,616</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99,946</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3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79,137</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111,460</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(2)</w:t>
            </w:r>
          </w:p>
        </w:tc>
        <w:tc>
          <w:tcPr>
            <w:tcW w:w="10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-1002665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-1002665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120" w:type="dxa"/>
            <w:vAlign w:val="bottom"/>
          </w:tcPr>
          <w:p>
            <w:pPr>
              <w:spacing w:after="0"/>
              <w:rPr>
                <w:sz w:val="20"/>
                <w:szCs w:val="20"/>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shd w:val="clear" w:color="auto" w:fill="CFF0FC"/>
          </w:tcPr>
          <w:p>
            <w:pPr>
              <w:spacing w:after="0"/>
              <w:rPr>
                <w:sz w:val="18"/>
                <w:szCs w:val="18"/>
                <w:color w:val="auto"/>
              </w:rPr>
            </w:pPr>
          </w:p>
        </w:tc>
      </w:tr>
      <w:tr>
        <w:trPr>
          <w:trHeight w:val="3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profit to total consolidated net income before taxes is as follows for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4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12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3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50"/>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Engineered Systems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Industrial Process Solutions</w:t>
            </w:r>
          </w:p>
        </w:tc>
        <w:tc>
          <w:tcPr>
            <w:tcW w:w="120" w:type="dxa"/>
            <w:vAlign w:val="bottom"/>
          </w:tcPr>
          <w:p>
            <w:pPr>
              <w:spacing w:after="0"/>
              <w:rPr>
                <w:sz w:val="20"/>
                <w:szCs w:val="20"/>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shd w:val="clear" w:color="auto" w:fill="CFF0FC"/>
          </w:tcPr>
          <w:p>
            <w:pPr>
              <w:spacing w:after="0"/>
              <w:rPr>
                <w:sz w:val="18"/>
                <w:szCs w:val="18"/>
                <w:color w:val="auto"/>
              </w:rPr>
            </w:pPr>
          </w:p>
        </w:tc>
      </w:tr>
      <w:tr>
        <w:trPr>
          <w:trHeight w:val="3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greater than 10% of consolidated net sales or accounts receivable for 2025, 2024, or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513,463</w:t>
            </w:r>
          </w:p>
        </w:tc>
        <w:tc>
          <w:tcPr>
            <w:tcW w:w="4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376,281</w:t>
            </w:r>
          </w:p>
        </w:tc>
        <w:tc>
          <w:tcPr>
            <w:tcW w:w="4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364,483</w:t>
            </w:r>
          </w:p>
        </w:tc>
        <w:tc>
          <w:tcPr>
            <w:tcW w:w="12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51,149</w:t>
            </w:r>
          </w:p>
        </w:tc>
        <w:tc>
          <w:tcPr>
            <w:tcW w:w="12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51,066</w:t>
            </w:r>
          </w:p>
        </w:tc>
        <w:tc>
          <w:tcPr>
            <w:tcW w:w="12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48,835</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2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92,821</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53,487</w:t>
            </w:r>
          </w:p>
        </w:tc>
        <w:tc>
          <w:tcPr>
            <w:tcW w:w="120" w:type="dxa"/>
            <w:vAlign w:val="bottom"/>
          </w:tcPr>
          <w:p>
            <w:pPr>
              <w:spacing w:after="0"/>
              <w:rPr>
                <w:sz w:val="18"/>
                <w:szCs w:val="18"/>
                <w:color w:val="auto"/>
              </w:rPr>
            </w:pPr>
          </w:p>
        </w:tc>
      </w:tr>
      <w:tr>
        <w:trPr>
          <w:trHeight w:val="230"/>
        </w:trPr>
        <w:tc>
          <w:tcPr>
            <w:tcW w:w="2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164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7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7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20" w:type="dxa"/>
            <w:vAlign w:val="bottom"/>
            <w:shd w:val="clear" w:color="auto" w:fill="CFF0FC"/>
          </w:tcPr>
          <w:p>
            <w:pPr>
              <w:spacing w:after="0"/>
              <w:rPr>
                <w:sz w:val="19"/>
                <w:szCs w:val="19"/>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net sales is based upon the country location of the Company's business unit generating such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8"/>
                <w:szCs w:val="18"/>
                <w:color w:val="auto"/>
              </w:rPr>
            </w:pP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359,584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332,162</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39,205</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57,038</w:t>
            </w:r>
          </w:p>
        </w:tc>
        <w:tc>
          <w:tcPr>
            <w:tcW w:w="4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8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483,587</w:t>
            </w:r>
          </w:p>
        </w:tc>
        <w:tc>
          <w:tcPr>
            <w:tcW w:w="460" w:type="dxa"/>
            <w:vAlign w:val="bottom"/>
          </w:tcPr>
          <w:p>
            <w:pPr>
              <w:spacing w:after="0"/>
              <w:rPr>
                <w:sz w:val="18"/>
                <w:szCs w:val="18"/>
                <w:color w:val="auto"/>
              </w:rPr>
            </w:pPr>
          </w:p>
        </w:tc>
        <w:tc>
          <w:tcPr>
            <w:tcW w:w="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1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long-lived assets is based upon physical location of such assets.</w:t>
      </w:r>
    </w:p>
    <w:p>
      <w:pPr>
        <w:spacing w:after="0" w:line="221"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 with Thermon Group Holdings, Inc.</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the merger transactions contemplated thereby (the “Merger”).</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and at the effective time of the Merger, each share of common stock, par value $0.001 per share, of Thermon (“Thermon Common Stock”), issued and outstanding immediately prior to the effective time (other than those shares of Thermon Common Stock excluded or constituting dissenting shares pursuant to the Merger Agreement), will be automatically converted into the right to receive from the Company, at the holder’s election and subject to proration, either (i) mixed consideration consisting of 0.6840 shares of the Company’s common stock and $10.00 of cash per share, (ii) $63.89 of cash per share or (iii) 0.8110 shares of the Company’s common stock per share (collectively, the "Merger Consideration"). The Company expects to seek stockholder approval for the issuance of shares of Company common stock in the transaction and Thermon will seek Thermon stockholder approval of the Merger Agreement.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customary closing conditions, including, among others, approval by the Company’s and Thermon’s stockholders, the expiration or termination of the applicable waiting period under the Hart-Scott-Rodino Antitrust Improvements Act of 1976, as amended, the effectiveness of a registration statement on Form S-4 to be filed by the Company, approval for listing on Nasdaq of the shares of Company common stock to be issued in the transaction, and other customary regulatory approvals and conditions.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expects to account for the acquisition as a business combination under ASC 805. The preliminary purchase price allocation and the related effects on the consolidated financial statements have not been determined as of the date of issuance.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(“CEO”) and Chief Financial Officer (“CFO”),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with the participation of our CEO and CFO, carried out an evaluation of the effectiveness of the design and operation of our disclosure controls and procedures as of December 31, 2025. Based on that evaluation, our management, including our CEO and CFO, concluded that our disclosure controls and procedures were not effective as of December 31, 2025, due to certain material weaknesses in our internal control over financial reporting, as further described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conclusion by our CEO and CFO that our disclosure controls and procedures as of December 31, 2025 were not effective, and notwithstanding the material weaknesses in our internal control over financial reporting described below, our management believes that the consolidated financial statements and related financial information included in this Annual Report on Form 10-K fairly present, in all material respects, our financial position, results of operations and cash flows as of the dates presented, and for the periods ended on such dates, in conformity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the preparation and accuracy of the financial statements and other information included in this report. Under the supervision and with the participation of management, including the Company’s CEO and CFO, the Company conducted an evaluation of the effectiveness of internal control over financial reporting as of December 31, 2025, based on the criteria set forth in Internal Control – Integrated Framework (2013) (the “Framework”) issued by the Committee of Sponsoring Organizations of the Treadway Commission (“COSO”). Based on evaluation under these criteria, management determined, based upon the existence of the material weaknesses described below, that we did not maintain effective internal control over financial reporting as of December 31,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excluded from its assessment of internal control over financial reporting as of December 31, 2025 the internal control over financial reporting of Profire Energy, Inc. (“Profire”), which the Company acquired on January 3, 2025. Profire represents 8% of revenues of the consolidated financial statements for the year ended December 31, 2025. Management has excluded Profire from its assessment of the effectiveness of internal control over financial reporting as of December 31, 2025 because it was not practical for management to conduct an assessment of internal control over financial reporting in the period between the date the acquisition was completed and the date of management’s assessment. See a discussion of this in Note 14,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Material Weaknesses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identified the following deficiencies in our control environment, control activities and monitoring activities that constitute material weaknesses, either individually or in the aggregate, as of December 31, 2025:</w:t>
      </w:r>
    </w:p>
    <w:p>
      <w:pPr>
        <w:spacing w:after="0" w:line="162" w:lineRule="exact"/>
        <w:rPr>
          <w:sz w:val="20"/>
          <w:szCs w:val="20"/>
          <w:color w:val="auto"/>
        </w:rPr>
      </w:pPr>
    </w:p>
    <w:p>
      <w:pPr>
        <w:jc w:val="both"/>
        <w:ind w:left="380" w:hanging="372"/>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Verantis Environmental Solutions Group ("Verantis") business, which was acquired in December 2024, we did not appropriately integrate the entity into our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consistently assess the proper level of completeness and accuracy of information used in the execution of controls related to balance sheet reconciliations.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material weaknesses did not result in any material misstatement in our interim or audited financial statements or disclosures, and there were no changes required to any of our previously released interim or audited consolidated financial statements.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audited the effectiveness of our internal control over financial reporting as of December 31, 2025. Their report is included below under the heading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for Remediation of the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maintaining strong internal control over financial reporting. Management, with the oversight of the Audit Committee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is taking comprehensive actions to remediate the material weaknesses described above. Our remediation plan includes the following:</w:t>
      </w:r>
    </w:p>
    <w:p>
      <w:pPr>
        <w:spacing w:after="0" w:line="207" w:lineRule="exact"/>
        <w:rPr>
          <w:sz w:val="20"/>
          <w:szCs w:val="20"/>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updating control documentation, expanding education and training, and ensuring that controls are prepared and reviewed at the appropriate level of precision.</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and will continue to hire accounting and finance personnel with the requisite skills and expertise to perform control activities related to the financial close process. We will continue to augment our internal resources by engaging external consultants with technical experience in accounting, financial reporting, and internal controls, until we add sufficient in-house skills to our staff.</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focus on enhancing our information technology controls, specifically the assessment and integration of such controls at newly acquired entities.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guidance and participation of our internal audit function, we will develop an enhanced monitoring program to (1) evaluate and assess whether controls are present and functioning in a timely manner and (2) hold individuals accountable for their internal control responsibilities.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controls operate for a sufficient period of time and management has concluded, through testing, that these controls are operating effectively. We believe the above measures will remediate the control deficiencies identified and strengthen our internal control over financial reporting. As we continue to evaluate and work to remediate the control deficiencies that gave rise to the material weaknesses,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identification of the material weaknesses above, there were no changes during the quarter ended December 31, 2025 in our internal control over financial reporting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CECO Environmental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CECO Environmental Corp and subsidiaries (the “Company”) as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weaknesses identified below on the achievement of objectives of the control criteria, the Company has not maintained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fiscal year ended December 31, 2025, of the Company and our report dated March 2, 2026, expressed an unqualified opinion on those financial statements.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of the Profire Energy, Inc. business, which was acquired on January 2, 2025, and whose financial statements constitute 8% of revenues of the consolidated financial statements for the year ended December 31, 2025. Accordingly, our audit did not include the internal control over financial reporting for the Profire Energy, Inc.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6" w:name="page87"/>
    <w:bookmarkEnd w:id="86"/>
    <w:p>
      <w:pPr>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material weaknesses have been identified in the Company’s control environment, control activities, and monitoring activities and included in management’s assessment: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identified material weaknesses at the Verantis Environmental Solutions Group (Verantis) component, which was acquired in December 2024, as the Company did not appropriately integrate the entity into their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the Company did not consistently assess the proper level of completeness and accuracy of information used in the execution of controls related to balance sheet reconciliations.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consolidated financial statements as of and for the fiscal year ended December 31, 2025, of the Company, and this report does not affect our report on such financial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10 of Part III of Form 10-K is incorporated by reference to the information set forth in our definitive proxy statement relating to our 2026 Annual Meeting of Stockholders to be filed pursuant to Regulation 14A under the Exchange Act within 120 days from December 31, 2025 (the “Proxy Statement”). Reference is also made to the information appearing in Item 1 of Part I of this Annual Report on Form 10-K under the caption “Business— Executive Officers of CECO.”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11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12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2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and rights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2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191"/>
        </w:trPr>
        <w:tc>
          <w:tcPr>
            <w:tcW w:w="556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FF0FC"/>
          </w:tcPr>
          <w:p>
            <w:pPr>
              <w:spacing w:after="0"/>
              <w:rPr>
                <w:sz w:val="16"/>
                <w:szCs w:val="16"/>
                <w:color w:val="auto"/>
              </w:rPr>
            </w:pPr>
          </w:p>
        </w:tc>
        <w:tc>
          <w:tcPr>
            <w:tcW w:w="18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5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2017 Equity and Incentive Compensation Plan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2021 Equity and Incentive Compensation Plan </w:t>
            </w:r>
            <w:r>
              <w:rPr>
                <w:rFonts w:ascii="Times New Roman" w:cs="Times New Roman" w:eastAsia="Times New Roman" w:hAnsi="Times New Roman"/>
                <w:sz w:val="24"/>
                <w:szCs w:val="24"/>
                <w:color w:val="auto"/>
                <w:vertAlign w:val="superscript"/>
              </w:rPr>
              <w:t>2</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1,574,197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428,377</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2020 Employee Stock Purchase Plan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1,116,624</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4"/>
                <w:szCs w:val="24"/>
                <w:color w:val="auto"/>
                <w:vertAlign w:val="superscript"/>
              </w:rPr>
              <w:t>4</w:t>
            </w:r>
          </w:p>
        </w:tc>
        <w:tc>
          <w:tcPr>
            <w:tcW w:w="12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915,106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2,489,303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1,545,001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-156845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left="520" w:right="80" w:hanging="512"/>
        <w:spacing w:after="0" w:line="25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Equity and Incentive Compensation Plan was replaced with the 2021 Equity and Incentive Compensation Plan and no further grants will be made under the 2017 Plan. The 2017 Plan remains in effect solely for the continued administration of the awards currently outstanding under the 2017 Plan.</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and Incentive Compensation Plan was approved by our stockholders on May 25,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by our stockholders on June 11, 2020.</w:t>
      </w:r>
    </w:p>
    <w:p>
      <w:pPr>
        <w:spacing w:after="0" w:line="9" w:lineRule="exact"/>
        <w:rPr>
          <w:rFonts w:ascii="Times New Roman" w:cs="Times New Roman" w:eastAsia="Times New Roman" w:hAnsi="Times New Roman"/>
          <w:sz w:val="18"/>
          <w:szCs w:val="18"/>
          <w:color w:val="auto"/>
        </w:rPr>
      </w:pPr>
    </w:p>
    <w:p>
      <w:pPr>
        <w:ind w:left="520" w:right="160" w:hanging="512"/>
        <w:spacing w:after="0" w:line="253"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13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14 of Part III of Form 10-K is incorporated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set forth in this report following the signature page of this report.</w:t>
      </w:r>
    </w:p>
    <w:p>
      <w:pPr>
        <w:spacing w:after="0" w:line="22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they are not applicable or because the required information is shown in the financial statements or in the notes thereto.</w:t>
      </w:r>
    </w:p>
    <w:p>
      <w:pPr>
        <w:spacing w:after="0" w:line="161"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5"/>
        </w:trPr>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4"/>
                <w:szCs w:val="24"/>
                <w:color w:val="auto"/>
              </w:rPr>
            </w:pPr>
          </w:p>
        </w:tc>
        <w:tc>
          <w:tcPr>
            <w:tcW w:w="9780" w:type="dxa"/>
            <w:vAlign w:val="bottom"/>
            <w:tcBorders>
              <w:bottom w:val="single" w:sz="8" w:color="0000FF"/>
            </w:tcBorders>
            <w:gridSpan w:val="20"/>
          </w:tcPr>
          <w:p>
            <w:pPr>
              <w:ind w:left="20"/>
              <w:spacing w:after="0"/>
              <w:rPr>
                <w:rFonts w:ascii="Times New Roman" w:cs="Times New Roman" w:eastAsia="Times New Roman" w:hAnsi="Times New Roman"/>
                <w:sz w:val="17"/>
                <w:szCs w:val="17"/>
                <w:color w:val="0000FF"/>
              </w:rPr>
            </w:pPr>
            <w:hyperlink r:id="rId451">
              <w:r>
                <w:rPr>
                  <w:rFonts w:ascii="Times New Roman" w:cs="Times New Roman" w:eastAsia="Times New Roman" w:hAnsi="Times New Roman"/>
                  <w:sz w:val="17"/>
                  <w:szCs w:val="17"/>
                  <w:color w:val="0000FF"/>
                </w:rPr>
                <w:t>Agreement and Plan of Merger, dated as of February 23, 2026, by and among the Company, Merger Sub Inc., Merger Sub LLC and Thermon.</w:t>
              </w:r>
            </w:hyperlink>
          </w:p>
        </w:tc>
        <w:tc>
          <w:tcPr>
            <w:tcW w:w="220" w:type="dxa"/>
            <w:vAlign w:val="bottom"/>
            <w:gridSpan w:val="6"/>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20" w:type="dxa"/>
            <w:vAlign w:val="bottom"/>
            <w:tcBorders>
              <w:bottom w:val="single" w:sz="8" w:color="0000FF"/>
            </w:tcBorders>
            <w:gridSpan w:val="12"/>
          </w:tcPr>
          <w:p>
            <w:pPr>
              <w:ind w:left="20"/>
              <w:spacing w:after="0" w:line="183" w:lineRule="exact"/>
              <w:rPr>
                <w:rFonts w:ascii="Times New Roman" w:cs="Times New Roman" w:eastAsia="Times New Roman" w:hAnsi="Times New Roman"/>
                <w:sz w:val="17"/>
                <w:szCs w:val="17"/>
                <w:color w:val="0000FF"/>
              </w:rPr>
            </w:pPr>
            <w:hyperlink r:id="rId451">
              <w:r>
                <w:rPr>
                  <w:rFonts w:ascii="Times New Roman" w:cs="Times New Roman" w:eastAsia="Times New Roman" w:hAnsi="Times New Roman"/>
                  <w:sz w:val="17"/>
                  <w:szCs w:val="17"/>
                  <w:color w:val="0000FF"/>
                </w:rPr>
                <w:t>(incorporated by reference to Exhibit 2.1 to the Company's Current Report on Form 8-K filed with the SEC on February 24, 2026)</w:t>
              </w:r>
            </w:hyperlink>
          </w:p>
        </w:tc>
        <w:tc>
          <w:tcPr>
            <w:tcW w:w="20" w:type="dxa"/>
            <w:vAlign w:val="bottom"/>
            <w:tcBorders>
              <w:bottom w:val="single" w:sz="8" w:color="0000EE"/>
            </w:tcBorders>
          </w:tcPr>
          <w:p>
            <w:pPr>
              <w:spacing w:after="0"/>
              <w:rPr>
                <w:sz w:val="15"/>
                <w:szCs w:val="15"/>
                <w:color w:val="auto"/>
              </w:rPr>
            </w:pPr>
          </w:p>
        </w:tc>
        <w:tc>
          <w:tcPr>
            <w:tcW w:w="1060" w:type="dxa"/>
            <w:vAlign w:val="bottom"/>
            <w:gridSpan w:val="13"/>
          </w:tcPr>
          <w:p>
            <w:pPr>
              <w:spacing w:after="0"/>
              <w:rPr>
                <w:sz w:val="15"/>
                <w:szCs w:val="15"/>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9820" w:type="dxa"/>
            <w:vAlign w:val="bottom"/>
            <w:tcBorders>
              <w:bottom w:val="single" w:sz="8" w:color="0000FF"/>
            </w:tcBorders>
            <w:gridSpan w:val="21"/>
          </w:tcPr>
          <w:p>
            <w:pPr>
              <w:ind w:left="20"/>
              <w:spacing w:after="0"/>
              <w:rPr>
                <w:rFonts w:ascii="Times New Roman" w:cs="Times New Roman" w:eastAsia="Times New Roman" w:hAnsi="Times New Roman"/>
                <w:sz w:val="17"/>
                <w:szCs w:val="17"/>
                <w:color w:val="0000FF"/>
              </w:rPr>
            </w:pPr>
            <w:hyperlink r:id="rId452">
              <w:r>
                <w:rPr>
                  <w:rFonts w:ascii="Times New Roman" w:cs="Times New Roman" w:eastAsia="Times New Roman" w:hAnsi="Times New Roman"/>
                  <w:sz w:val="17"/>
                  <w:szCs w:val="17"/>
                  <w:color w:val="0000FF"/>
                </w:rPr>
                <w:t>Certificate of Incorporation (incorporated by reference to Exhibit 3(i) to the Company’s Annual Report on Form 10-K for the fiscal year ended</w:t>
              </w:r>
            </w:hyperlink>
          </w:p>
        </w:tc>
        <w:tc>
          <w:tcPr>
            <w:tcW w:w="180" w:type="dxa"/>
            <w:vAlign w:val="bottom"/>
            <w:gridSpan w:val="5"/>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2">
              <w:r>
                <w:rPr>
                  <w:rFonts w:ascii="Times New Roman" w:cs="Times New Roman" w:eastAsia="Times New Roman" w:hAnsi="Times New Roman"/>
                  <w:sz w:val="17"/>
                  <w:szCs w:val="17"/>
                  <w:color w:val="0000FF"/>
                </w:rPr>
                <w:t>December 31, 2001)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9620" w:type="dxa"/>
            <w:vAlign w:val="bottom"/>
            <w:tcBorders>
              <w:bottom w:val="single" w:sz="8" w:color="0000FF"/>
            </w:tcBorders>
            <w:gridSpan w:val="18"/>
          </w:tcPr>
          <w:p>
            <w:pPr>
              <w:ind w:left="20"/>
              <w:spacing w:after="0"/>
              <w:rPr>
                <w:rFonts w:ascii="Times New Roman" w:cs="Times New Roman" w:eastAsia="Times New Roman" w:hAnsi="Times New Roman"/>
                <w:sz w:val="17"/>
                <w:szCs w:val="17"/>
                <w:color w:val="0000FF"/>
              </w:rPr>
            </w:pPr>
            <w:hyperlink r:id="rId453">
              <w:r>
                <w:rPr>
                  <w:rFonts w:ascii="Times New Roman" w:cs="Times New Roman" w:eastAsia="Times New Roman" w:hAnsi="Times New Roman"/>
                  <w:sz w:val="17"/>
                  <w:szCs w:val="17"/>
                  <w:color w:val="0000FF"/>
                </w:rPr>
                <w:t>Certificate of Amendment to the Certificate of Incorporation of CECO Environmental Corp. (incorporated by reference to Exhibit 3.1 to the</w:t>
              </w:r>
            </w:hyperlink>
          </w:p>
        </w:tc>
        <w:tc>
          <w:tcPr>
            <w:tcW w:w="380" w:type="dxa"/>
            <w:vAlign w:val="bottom"/>
            <w:gridSpan w:val="8"/>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3">
              <w:r>
                <w:rPr>
                  <w:rFonts w:ascii="Times New Roman" w:cs="Times New Roman" w:eastAsia="Times New Roman" w:hAnsi="Times New Roman"/>
                  <w:sz w:val="17"/>
                  <w:szCs w:val="17"/>
                  <w:color w:val="0000FF"/>
                </w:rPr>
                <w:t>Company’s Current Report on Form 8-K filed with the SEC on May 22, 2024)</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9820" w:type="dxa"/>
            <w:vAlign w:val="bottom"/>
            <w:tcBorders>
              <w:bottom w:val="single" w:sz="8" w:color="0000FF"/>
            </w:tcBorders>
            <w:gridSpan w:val="21"/>
          </w:tcPr>
          <w:p>
            <w:pPr>
              <w:ind w:left="20"/>
              <w:spacing w:after="0"/>
              <w:rPr>
                <w:rFonts w:ascii="Times New Roman" w:cs="Times New Roman" w:eastAsia="Times New Roman" w:hAnsi="Times New Roman"/>
                <w:sz w:val="17"/>
                <w:szCs w:val="17"/>
                <w:color w:val="0000FF"/>
              </w:rPr>
            </w:pPr>
            <w:hyperlink r:id="rId454">
              <w:r>
                <w:rPr>
                  <w:rFonts w:ascii="Times New Roman" w:cs="Times New Roman" w:eastAsia="Times New Roman" w:hAnsi="Times New Roman"/>
                  <w:sz w:val="17"/>
                  <w:szCs w:val="17"/>
                  <w:color w:val="0000FF"/>
                </w:rPr>
                <w:t>Amended and Restated Bylaws (incorporated by reference to Exhibit 3.1 to the Company’s Current Report on Form 8-K filed with the SEC on</w:t>
              </w:r>
            </w:hyperlink>
          </w:p>
        </w:tc>
        <w:tc>
          <w:tcPr>
            <w:tcW w:w="180" w:type="dxa"/>
            <w:vAlign w:val="bottom"/>
            <w:gridSpan w:val="5"/>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4">
              <w:r>
                <w:rPr>
                  <w:rFonts w:ascii="Times New Roman" w:cs="Times New Roman" w:eastAsia="Times New Roman" w:hAnsi="Times New Roman"/>
                  <w:sz w:val="17"/>
                  <w:szCs w:val="17"/>
                  <w:color w:val="0000FF"/>
                </w:rPr>
                <w:t>March 9,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9600" w:type="dxa"/>
            <w:vAlign w:val="bottom"/>
            <w:tcBorders>
              <w:bottom w:val="single" w:sz="8" w:color="0000FF"/>
            </w:tcBorders>
            <w:gridSpan w:val="17"/>
          </w:tcPr>
          <w:p>
            <w:pPr>
              <w:ind w:left="20"/>
              <w:spacing w:after="0"/>
              <w:rPr>
                <w:rFonts w:ascii="Times New Roman" w:cs="Times New Roman" w:eastAsia="Times New Roman" w:hAnsi="Times New Roman"/>
                <w:sz w:val="17"/>
                <w:szCs w:val="17"/>
                <w:color w:val="0000FF"/>
              </w:rPr>
            </w:pPr>
            <w:hyperlink r:id="rId455">
              <w:r>
                <w:rPr>
                  <w:rFonts w:ascii="Times New Roman" w:cs="Times New Roman" w:eastAsia="Times New Roman" w:hAnsi="Times New Roman"/>
                  <w:sz w:val="17"/>
                  <w:szCs w:val="17"/>
                  <w:color w:val="0000FF"/>
                </w:rPr>
                <w:t>Description of Securities (incorporated by reference to Exhibit 4.1 to the Company’s Annual Report on Form 10-K for the fiscal year ended</w:t>
              </w:r>
            </w:hyperlink>
          </w:p>
        </w:tc>
        <w:tc>
          <w:tcPr>
            <w:tcW w:w="400" w:type="dxa"/>
            <w:vAlign w:val="bottom"/>
            <w:gridSpan w:val="9"/>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5">
              <w:r>
                <w:rPr>
                  <w:rFonts w:ascii="Times New Roman" w:cs="Times New Roman" w:eastAsia="Times New Roman" w:hAnsi="Times New Roman"/>
                  <w:sz w:val="17"/>
                  <w:szCs w:val="17"/>
                  <w:color w:val="0000FF"/>
                </w:rPr>
                <w:t>December 31, 2019)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9860" w:type="dxa"/>
            <w:vAlign w:val="bottom"/>
            <w:tcBorders>
              <w:bottom w:val="single" w:sz="8" w:color="0000FF"/>
            </w:tcBorders>
            <w:gridSpan w:val="22"/>
          </w:tcPr>
          <w:p>
            <w:pPr>
              <w:ind w:left="20"/>
              <w:spacing w:after="0"/>
              <w:rPr>
                <w:rFonts w:ascii="Times New Roman" w:cs="Times New Roman" w:eastAsia="Times New Roman" w:hAnsi="Times New Roman"/>
                <w:sz w:val="17"/>
                <w:szCs w:val="17"/>
                <w:color w:val="0000FF"/>
              </w:rPr>
            </w:pPr>
            <w:hyperlink r:id="rId456">
              <w:r>
                <w:rPr>
                  <w:rFonts w:ascii="Times New Roman" w:cs="Times New Roman" w:eastAsia="Times New Roman" w:hAnsi="Times New Roman"/>
                  <w:sz w:val="17"/>
                  <w:szCs w:val="17"/>
                  <w:color w:val="0000FF"/>
                </w:rPr>
                <w:t>Form of Director and Officer Indemnification Agreement (incorporated by reference to Exhibit 10.1 to the Company’s Current Report on Form</w:t>
              </w:r>
            </w:hyperlink>
          </w:p>
        </w:tc>
        <w:tc>
          <w:tcPr>
            <w:tcW w:w="14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0000FF"/>
            </w:tcBorders>
            <w:gridSpan w:val="7"/>
          </w:tcPr>
          <w:p>
            <w:pPr>
              <w:ind w:left="20"/>
              <w:spacing w:after="0" w:line="183" w:lineRule="exact"/>
              <w:rPr>
                <w:rFonts w:ascii="Times New Roman" w:cs="Times New Roman" w:eastAsia="Times New Roman" w:hAnsi="Times New Roman"/>
                <w:sz w:val="17"/>
                <w:szCs w:val="17"/>
                <w:color w:val="0000FF"/>
                <w:w w:val="99"/>
              </w:rPr>
            </w:pPr>
            <w:hyperlink r:id="rId456">
              <w:r>
                <w:rPr>
                  <w:rFonts w:ascii="Times New Roman" w:cs="Times New Roman" w:eastAsia="Times New Roman" w:hAnsi="Times New Roman"/>
                  <w:sz w:val="17"/>
                  <w:szCs w:val="17"/>
                  <w:color w:val="0000FF"/>
                  <w:w w:val="99"/>
                </w:rPr>
                <w:t>8-K filed with the SEC on May 16, 2016)</w:t>
              </w:r>
            </w:hyperlink>
          </w:p>
        </w:tc>
        <w:tc>
          <w:tcPr>
            <w:tcW w:w="20" w:type="dxa"/>
            <w:vAlign w:val="bottom"/>
            <w:tcBorders>
              <w:bottom w:val="single" w:sz="8" w:color="0000EE"/>
            </w:tcBorders>
          </w:tcPr>
          <w:p>
            <w:pPr>
              <w:spacing w:after="0"/>
              <w:rPr>
                <w:sz w:val="15"/>
                <w:szCs w:val="15"/>
                <w:color w:val="auto"/>
              </w:rPr>
            </w:pPr>
          </w:p>
        </w:tc>
        <w:tc>
          <w:tcPr>
            <w:tcW w:w="7120" w:type="dxa"/>
            <w:vAlign w:val="bottom"/>
            <w:gridSpan w:val="18"/>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9820" w:type="dxa"/>
            <w:vAlign w:val="bottom"/>
            <w:tcBorders>
              <w:bottom w:val="single" w:sz="8" w:color="0000FF"/>
            </w:tcBorders>
            <w:gridSpan w:val="21"/>
          </w:tcPr>
          <w:p>
            <w:pPr>
              <w:ind w:left="20"/>
              <w:spacing w:after="0"/>
              <w:rPr>
                <w:rFonts w:ascii="Times New Roman" w:cs="Times New Roman" w:eastAsia="Times New Roman" w:hAnsi="Times New Roman"/>
                <w:sz w:val="17"/>
                <w:szCs w:val="17"/>
                <w:color w:val="0000FF"/>
              </w:rPr>
            </w:pPr>
            <w:hyperlink r:id="rId457">
              <w:r>
                <w:rPr>
                  <w:rFonts w:ascii="Times New Roman" w:cs="Times New Roman" w:eastAsia="Times New Roman" w:hAnsi="Times New Roman"/>
                  <w:sz w:val="17"/>
                  <w:szCs w:val="17"/>
                  <w:color w:val="0000FF"/>
                </w:rPr>
                <w:t>Nonqualified Stock Option Inducement Award Agreement, by and between CECO Environmental Corp. and Todd Gleason, dated as of July 6,</w:t>
              </w:r>
            </w:hyperlink>
          </w:p>
        </w:tc>
        <w:tc>
          <w:tcPr>
            <w:tcW w:w="180" w:type="dxa"/>
            <w:vAlign w:val="bottom"/>
            <w:gridSpan w:val="5"/>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80" w:type="dxa"/>
            <w:vAlign w:val="bottom"/>
            <w:tcBorders>
              <w:bottom w:val="single" w:sz="8" w:color="0000FF"/>
            </w:tcBorders>
            <w:gridSpan w:val="23"/>
          </w:tcPr>
          <w:p>
            <w:pPr>
              <w:ind w:left="20"/>
              <w:spacing w:after="0" w:line="183" w:lineRule="exact"/>
              <w:rPr>
                <w:rFonts w:ascii="Times New Roman" w:cs="Times New Roman" w:eastAsia="Times New Roman" w:hAnsi="Times New Roman"/>
                <w:sz w:val="17"/>
                <w:szCs w:val="17"/>
                <w:color w:val="0000FF"/>
              </w:rPr>
            </w:pPr>
            <w:hyperlink r:id="rId457">
              <w:r>
                <w:rPr>
                  <w:rFonts w:ascii="Times New Roman" w:cs="Times New Roman" w:eastAsia="Times New Roman" w:hAnsi="Times New Roman"/>
                  <w:sz w:val="17"/>
                  <w:szCs w:val="17"/>
                  <w:color w:val="0000FF"/>
                </w:rPr>
                <w:t>2020 (incorporated by reference to Exhibit 4.3 to the Registrant’s Registration Statement on Form S-8 (Commission File No. 333-239707) filed</w:t>
              </w:r>
            </w:hyperlink>
          </w:p>
        </w:tc>
        <w:tc>
          <w:tcPr>
            <w:tcW w:w="12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7">
              <w:r>
                <w:rPr>
                  <w:rFonts w:ascii="Times New Roman" w:cs="Times New Roman" w:eastAsia="Times New Roman" w:hAnsi="Times New Roman"/>
                  <w:sz w:val="17"/>
                  <w:szCs w:val="17"/>
                  <w:color w:val="0000FF"/>
                </w:rPr>
                <w:t>on July 6,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9980" w:type="dxa"/>
            <w:vAlign w:val="bottom"/>
            <w:tcBorders>
              <w:bottom w:val="single" w:sz="8" w:color="0000FF"/>
            </w:tcBorders>
            <w:gridSpan w:val="25"/>
          </w:tcPr>
          <w:p>
            <w:pPr>
              <w:ind w:left="20"/>
              <w:spacing w:after="0"/>
              <w:rPr>
                <w:rFonts w:ascii="Times New Roman" w:cs="Times New Roman" w:eastAsia="Times New Roman" w:hAnsi="Times New Roman"/>
                <w:sz w:val="17"/>
                <w:szCs w:val="17"/>
                <w:color w:val="0000FF"/>
              </w:rPr>
            </w:pPr>
            <w:hyperlink r:id="rId458">
              <w:r>
                <w:rPr>
                  <w:rFonts w:ascii="Times New Roman" w:cs="Times New Roman" w:eastAsia="Times New Roman" w:hAnsi="Times New Roman"/>
                  <w:sz w:val="17"/>
                  <w:szCs w:val="17"/>
                  <w:color w:val="0000FF"/>
                </w:rPr>
                <w:t>Nonqualified Premium Stock Option Inducement Award Agreement, by and between CECO Environmental Corp. and Todd Gleason, dated as of</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tcBorders>
              <w:bottom w:val="single" w:sz="8" w:color="0000FF"/>
            </w:tcBorders>
            <w:gridSpan w:val="25"/>
          </w:tcPr>
          <w:p>
            <w:pPr>
              <w:ind w:left="20"/>
              <w:spacing w:after="0" w:line="183" w:lineRule="exact"/>
              <w:rPr>
                <w:rFonts w:ascii="Times New Roman" w:cs="Times New Roman" w:eastAsia="Times New Roman" w:hAnsi="Times New Roman"/>
                <w:sz w:val="17"/>
                <w:szCs w:val="17"/>
                <w:color w:val="0000FF"/>
              </w:rPr>
            </w:pPr>
            <w:hyperlink r:id="rId458">
              <w:r>
                <w:rPr>
                  <w:rFonts w:ascii="Times New Roman" w:cs="Times New Roman" w:eastAsia="Times New Roman" w:hAnsi="Times New Roman"/>
                  <w:sz w:val="17"/>
                  <w:szCs w:val="17"/>
                  <w:color w:val="0000FF"/>
                </w:rPr>
                <w:t>July 6, 2020 (incorporated by reference to Exhibit 4.4 to the Registrant’s Registration Statement on Form S-8 (Commission File No. 333-239707)</w:t>
              </w:r>
            </w:hyperlink>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0000FF"/>
            </w:tcBorders>
            <w:gridSpan w:val="5"/>
          </w:tcPr>
          <w:p>
            <w:pPr>
              <w:ind w:left="20"/>
              <w:spacing w:after="0" w:line="183" w:lineRule="exact"/>
              <w:rPr>
                <w:rFonts w:ascii="Times New Roman" w:cs="Times New Roman" w:eastAsia="Times New Roman" w:hAnsi="Times New Roman"/>
                <w:sz w:val="17"/>
                <w:szCs w:val="17"/>
                <w:color w:val="0000FF"/>
                <w:w w:val="98"/>
              </w:rPr>
            </w:pPr>
            <w:hyperlink r:id="rId458">
              <w:r>
                <w:rPr>
                  <w:rFonts w:ascii="Times New Roman" w:cs="Times New Roman" w:eastAsia="Times New Roman" w:hAnsi="Times New Roman"/>
                  <w:sz w:val="17"/>
                  <w:szCs w:val="17"/>
                  <w:color w:val="0000FF"/>
                  <w:w w:val="98"/>
                </w:rPr>
                <w:t>filed on July 6, 2020)</w:t>
              </w:r>
            </w:hyperlink>
          </w:p>
        </w:tc>
        <w:tc>
          <w:tcPr>
            <w:tcW w:w="20" w:type="dxa"/>
            <w:vAlign w:val="bottom"/>
            <w:tcBorders>
              <w:bottom w:val="single" w:sz="8" w:color="0000EE"/>
            </w:tcBorders>
          </w:tcPr>
          <w:p>
            <w:pPr>
              <w:spacing w:after="0"/>
              <w:rPr>
                <w:sz w:val="15"/>
                <w:szCs w:val="15"/>
                <w:color w:val="auto"/>
              </w:rPr>
            </w:pPr>
          </w:p>
        </w:tc>
        <w:tc>
          <w:tcPr>
            <w:tcW w:w="8500" w:type="dxa"/>
            <w:vAlign w:val="bottom"/>
            <w:gridSpan w:val="20"/>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990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59">
              <w:r>
                <w:rPr>
                  <w:rFonts w:ascii="Times New Roman" w:cs="Times New Roman" w:eastAsia="Times New Roman" w:hAnsi="Times New Roman"/>
                  <w:sz w:val="17"/>
                  <w:szCs w:val="17"/>
                  <w:color w:val="0000FF"/>
                </w:rPr>
                <w:t>Restricted Stock Units Inducement Award Agreement, by and between CECO Environmental Corp. and Todd Gleason, dated as of July 6, 2020</w:t>
              </w:r>
            </w:hyperlink>
          </w:p>
        </w:tc>
        <w:tc>
          <w:tcPr>
            <w:tcW w:w="10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00" w:type="dxa"/>
            <w:vAlign w:val="bottom"/>
            <w:tcBorders>
              <w:bottom w:val="single" w:sz="8" w:color="0000FF"/>
            </w:tcBorders>
            <w:gridSpan w:val="19"/>
          </w:tcPr>
          <w:p>
            <w:pPr>
              <w:ind w:left="20"/>
              <w:spacing w:after="0" w:line="183" w:lineRule="exact"/>
              <w:rPr>
                <w:rFonts w:ascii="Times New Roman" w:cs="Times New Roman" w:eastAsia="Times New Roman" w:hAnsi="Times New Roman"/>
                <w:sz w:val="17"/>
                <w:szCs w:val="17"/>
                <w:color w:val="0000FF"/>
              </w:rPr>
            </w:pPr>
            <w:hyperlink r:id="rId459">
              <w:r>
                <w:rPr>
                  <w:rFonts w:ascii="Times New Roman" w:cs="Times New Roman" w:eastAsia="Times New Roman" w:hAnsi="Times New Roman"/>
                  <w:sz w:val="17"/>
                  <w:szCs w:val="17"/>
                  <w:color w:val="0000FF"/>
                </w:rPr>
                <w:t>(incorporated by reference to Exhibit 4.5 to the Registrant’s Registration Statement on Form S-8 (Commission File No. 333-239707) filed on</w:t>
              </w:r>
            </w:hyperlink>
          </w:p>
        </w:tc>
        <w:tc>
          <w:tcPr>
            <w:tcW w:w="30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59">
              <w:r>
                <w:rPr>
                  <w:rFonts w:ascii="Times New Roman" w:cs="Times New Roman" w:eastAsia="Times New Roman" w:hAnsi="Times New Roman"/>
                  <w:sz w:val="17"/>
                  <w:szCs w:val="17"/>
                  <w:color w:val="0000FF"/>
                </w:rPr>
                <w:t>July 6,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9980" w:type="dxa"/>
            <w:vAlign w:val="bottom"/>
            <w:tcBorders>
              <w:bottom w:val="single" w:sz="8" w:color="0000FF"/>
            </w:tcBorders>
            <w:gridSpan w:val="25"/>
          </w:tcPr>
          <w:p>
            <w:pPr>
              <w:ind w:left="20"/>
              <w:spacing w:after="0"/>
              <w:rPr>
                <w:rFonts w:ascii="Times New Roman" w:cs="Times New Roman" w:eastAsia="Times New Roman" w:hAnsi="Times New Roman"/>
                <w:sz w:val="17"/>
                <w:szCs w:val="17"/>
                <w:color w:val="0000FF"/>
              </w:rPr>
            </w:pPr>
            <w:hyperlink r:id="rId460">
              <w:r>
                <w:rPr>
                  <w:rFonts w:ascii="Times New Roman" w:cs="Times New Roman" w:eastAsia="Times New Roman" w:hAnsi="Times New Roman"/>
                  <w:sz w:val="17"/>
                  <w:szCs w:val="17"/>
                  <w:color w:val="0000FF"/>
                </w:rPr>
                <w:t>Second Amended and Restated CECO Environmental Corp. 2007 Equity Incentive Compensation Plan (incorporated by reference to Exhibit 10.6</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60">
              <w:r>
                <w:rPr>
                  <w:rFonts w:ascii="Times New Roman" w:cs="Times New Roman" w:eastAsia="Times New Roman" w:hAnsi="Times New Roman"/>
                  <w:sz w:val="17"/>
                  <w:szCs w:val="17"/>
                  <w:color w:val="0000FF"/>
                </w:rPr>
                <w:t>to the Company’s Current Report on Form 8-K filed with the SEC on September 3, 2015)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Borders>
              <w:right w:val="single" w:sz="8" w:color="0000EE"/>
            </w:tcBorders>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9440" w:type="dxa"/>
            <w:vAlign w:val="bottom"/>
            <w:tcBorders>
              <w:bottom w:val="single" w:sz="8" w:color="0000FF"/>
            </w:tcBorders>
            <w:gridSpan w:val="16"/>
          </w:tcPr>
          <w:p>
            <w:pPr>
              <w:ind w:left="20"/>
              <w:spacing w:after="0"/>
              <w:rPr>
                <w:rFonts w:ascii="Times New Roman" w:cs="Times New Roman" w:eastAsia="Times New Roman" w:hAnsi="Times New Roman"/>
                <w:sz w:val="17"/>
                <w:szCs w:val="17"/>
                <w:color w:val="0000FF"/>
              </w:rPr>
            </w:pPr>
            <w:hyperlink r:id="rId461">
              <w:r>
                <w:rPr>
                  <w:rFonts w:ascii="Times New Roman" w:cs="Times New Roman" w:eastAsia="Times New Roman" w:hAnsi="Times New Roman"/>
                  <w:sz w:val="17"/>
                  <w:szCs w:val="17"/>
                  <w:color w:val="0000FF"/>
                </w:rPr>
                <w:t>Form of Incentive Stock Option Agreement under the Second Amended and Restated CECO Environmental Corp. 2007 Equity Incentive</w:t>
              </w:r>
            </w:hyperlink>
          </w:p>
        </w:tc>
        <w:tc>
          <w:tcPr>
            <w:tcW w:w="560" w:type="dxa"/>
            <w:vAlign w:val="bottom"/>
            <w:gridSpan w:val="10"/>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tcBorders>
              <w:bottom w:val="single" w:sz="8" w:color="0000FF"/>
            </w:tcBorders>
            <w:gridSpan w:val="15"/>
          </w:tcPr>
          <w:p>
            <w:pPr>
              <w:ind w:left="20"/>
              <w:spacing w:after="0" w:line="183" w:lineRule="exact"/>
              <w:rPr>
                <w:rFonts w:ascii="Times New Roman" w:cs="Times New Roman" w:eastAsia="Times New Roman" w:hAnsi="Times New Roman"/>
                <w:sz w:val="17"/>
                <w:szCs w:val="17"/>
                <w:color w:val="0000FF"/>
              </w:rPr>
            </w:pPr>
            <w:hyperlink r:id="rId461">
              <w:r>
                <w:rPr>
                  <w:rFonts w:ascii="Times New Roman" w:cs="Times New Roman" w:eastAsia="Times New Roman" w:hAnsi="Times New Roman"/>
                  <w:sz w:val="17"/>
                  <w:szCs w:val="17"/>
                  <w:color w:val="0000FF"/>
                </w:rPr>
                <w:t>Compensation Plan (incorporated by reference to Exhibit 10.12 to the Company’s Annual Report on Form 10-K for the fiscal year ended</w:t>
              </w:r>
            </w:hyperlink>
          </w:p>
        </w:tc>
        <w:tc>
          <w:tcPr>
            <w:tcW w:w="580" w:type="dxa"/>
            <w:vAlign w:val="bottom"/>
            <w:gridSpan w:val="11"/>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61">
              <w:r>
                <w:rPr>
                  <w:rFonts w:ascii="Times New Roman" w:cs="Times New Roman" w:eastAsia="Times New Roman" w:hAnsi="Times New Roman"/>
                  <w:sz w:val="17"/>
                  <w:szCs w:val="17"/>
                  <w:color w:val="0000FF"/>
                </w:rPr>
                <w:t>December 31, 2010)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9780" w:type="dxa"/>
            <w:vAlign w:val="bottom"/>
            <w:tcBorders>
              <w:bottom w:val="single" w:sz="8" w:color="0000FF"/>
            </w:tcBorders>
            <w:gridSpan w:val="20"/>
          </w:tcPr>
          <w:p>
            <w:pPr>
              <w:ind w:left="20"/>
              <w:spacing w:after="0"/>
              <w:rPr>
                <w:rFonts w:ascii="Times New Roman" w:cs="Times New Roman" w:eastAsia="Times New Roman" w:hAnsi="Times New Roman"/>
                <w:sz w:val="17"/>
                <w:szCs w:val="17"/>
                <w:color w:val="0000FF"/>
              </w:rPr>
            </w:pPr>
            <w:hyperlink r:id="rId462">
              <w:r>
                <w:rPr>
                  <w:rFonts w:ascii="Times New Roman" w:cs="Times New Roman" w:eastAsia="Times New Roman" w:hAnsi="Times New Roman"/>
                  <w:sz w:val="17"/>
                  <w:szCs w:val="17"/>
                  <w:color w:val="0000FF"/>
                </w:rPr>
                <w:t>Form of Non-Statutory Stock Option Agreement under the Second Amended and Restated CECO Environmental Corp. 2007 Equity Incentive</w:t>
              </w:r>
            </w:hyperlink>
          </w:p>
        </w:tc>
        <w:tc>
          <w:tcPr>
            <w:tcW w:w="220" w:type="dxa"/>
            <w:vAlign w:val="bottom"/>
            <w:gridSpan w:val="6"/>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tcBorders>
              <w:bottom w:val="single" w:sz="8" w:color="0000FF"/>
            </w:tcBorders>
            <w:gridSpan w:val="15"/>
          </w:tcPr>
          <w:p>
            <w:pPr>
              <w:ind w:left="20"/>
              <w:spacing w:after="0" w:line="183" w:lineRule="exact"/>
              <w:rPr>
                <w:rFonts w:ascii="Times New Roman" w:cs="Times New Roman" w:eastAsia="Times New Roman" w:hAnsi="Times New Roman"/>
                <w:sz w:val="17"/>
                <w:szCs w:val="17"/>
                <w:color w:val="0000FF"/>
              </w:rPr>
            </w:pPr>
            <w:hyperlink r:id="rId462">
              <w:r>
                <w:rPr>
                  <w:rFonts w:ascii="Times New Roman" w:cs="Times New Roman" w:eastAsia="Times New Roman" w:hAnsi="Times New Roman"/>
                  <w:sz w:val="17"/>
                  <w:szCs w:val="17"/>
                  <w:color w:val="0000FF"/>
                </w:rPr>
                <w:t>Compensation Plan (incorporated by reference to Exhibit 10.13 to the Company’s Annual Report on Form 10-K for the fiscal year ended</w:t>
              </w:r>
            </w:hyperlink>
          </w:p>
        </w:tc>
        <w:tc>
          <w:tcPr>
            <w:tcW w:w="580" w:type="dxa"/>
            <w:vAlign w:val="bottom"/>
            <w:gridSpan w:val="11"/>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6"/>
          </w:tcPr>
          <w:p>
            <w:pPr>
              <w:ind w:left="20"/>
              <w:spacing w:after="0" w:line="183" w:lineRule="exact"/>
              <w:rPr>
                <w:rFonts w:ascii="Times New Roman" w:cs="Times New Roman" w:eastAsia="Times New Roman" w:hAnsi="Times New Roman"/>
                <w:sz w:val="17"/>
                <w:szCs w:val="17"/>
                <w:color w:val="0000FF"/>
              </w:rPr>
            </w:pPr>
            <w:hyperlink r:id="rId462">
              <w:r>
                <w:rPr>
                  <w:rFonts w:ascii="Times New Roman" w:cs="Times New Roman" w:eastAsia="Times New Roman" w:hAnsi="Times New Roman"/>
                  <w:sz w:val="17"/>
                  <w:szCs w:val="17"/>
                  <w:color w:val="0000FF"/>
                </w:rPr>
                <w:t>December 31, 2010)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9320" w:type="dxa"/>
            <w:vAlign w:val="bottom"/>
            <w:tcBorders>
              <w:bottom w:val="single" w:sz="8" w:color="0000FF"/>
            </w:tcBorders>
            <w:gridSpan w:val="14"/>
          </w:tcPr>
          <w:p>
            <w:pPr>
              <w:ind w:left="20"/>
              <w:spacing w:after="0"/>
              <w:rPr>
                <w:rFonts w:ascii="Times New Roman" w:cs="Times New Roman" w:eastAsia="Times New Roman" w:hAnsi="Times New Roman"/>
                <w:sz w:val="17"/>
                <w:szCs w:val="17"/>
                <w:color w:val="0000FF"/>
              </w:rPr>
            </w:pPr>
            <w:hyperlink r:id="rId463">
              <w:r>
                <w:rPr>
                  <w:rFonts w:ascii="Times New Roman" w:cs="Times New Roman" w:eastAsia="Times New Roman" w:hAnsi="Times New Roman"/>
                  <w:sz w:val="17"/>
                  <w:szCs w:val="17"/>
                  <w:color w:val="0000FF"/>
                </w:rPr>
                <w:t>CECO Environmental Corp. 2017 Equity and Incentive Compensation Plan (incorporated by reference to Exhibit 4.3 to the Company’s</w:t>
              </w:r>
            </w:hyperlink>
          </w:p>
        </w:tc>
        <w:tc>
          <w:tcPr>
            <w:tcW w:w="680" w:type="dxa"/>
            <w:vAlign w:val="bottom"/>
            <w:gridSpan w:val="1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Borders>
              <w:bottom w:val="single" w:sz="8" w:color="0000FF"/>
            </w:tcBorders>
            <w:gridSpan w:val="11"/>
          </w:tcPr>
          <w:p>
            <w:pPr>
              <w:ind w:left="20"/>
              <w:spacing w:after="0" w:line="183" w:lineRule="exact"/>
              <w:rPr>
                <w:rFonts w:ascii="Times New Roman" w:cs="Times New Roman" w:eastAsia="Times New Roman" w:hAnsi="Times New Roman"/>
                <w:sz w:val="17"/>
                <w:szCs w:val="17"/>
                <w:color w:val="0000FF"/>
              </w:rPr>
            </w:pPr>
            <w:hyperlink r:id="rId463">
              <w:r>
                <w:rPr>
                  <w:rFonts w:ascii="Times New Roman" w:cs="Times New Roman" w:eastAsia="Times New Roman" w:hAnsi="Times New Roman"/>
                  <w:sz w:val="17"/>
                  <w:szCs w:val="17"/>
                  <w:color w:val="0000FF"/>
                </w:rPr>
                <w:t>Registration Statement on Form S-8 (Registration No. 333-218030) filed on May 16, 2017)</w:t>
              </w:r>
            </w:hyperlink>
          </w:p>
        </w:tc>
        <w:tc>
          <w:tcPr>
            <w:tcW w:w="3740" w:type="dxa"/>
            <w:vAlign w:val="bottom"/>
            <w:gridSpan w:val="15"/>
          </w:tcPr>
          <w:p>
            <w:pPr>
              <w:spacing w:after="0"/>
              <w:rPr>
                <w:sz w:val="15"/>
                <w:szCs w:val="15"/>
                <w:color w:val="auto"/>
              </w:rPr>
            </w:pPr>
          </w:p>
        </w:tc>
      </w:tr>
      <w:tr>
        <w:trPr>
          <w:trHeight w:val="655"/>
        </w:trPr>
        <w:tc>
          <w:tcPr>
            <w:tcW w:w="1140" w:type="dxa"/>
            <w:vAlign w:val="bottom"/>
          </w:tcPr>
          <w:p>
            <w:pPr>
              <w:spacing w:after="0"/>
              <w:rPr>
                <w:sz w:val="24"/>
                <w:szCs w:val="24"/>
                <w:color w:val="auto"/>
              </w:rPr>
            </w:pPr>
          </w:p>
        </w:tc>
        <w:tc>
          <w:tcPr>
            <w:tcW w:w="5500" w:type="dxa"/>
            <w:vAlign w:val="bottom"/>
            <w:gridSpan w:val="10"/>
          </w:tcPr>
          <w:p>
            <w:pPr>
              <w:jc w:val="right"/>
              <w:ind w:right="92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992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66">
              <w:r>
                <w:rPr>
                  <w:rFonts w:ascii="Times New Roman" w:cs="Times New Roman" w:eastAsia="Times New Roman" w:hAnsi="Times New Roman"/>
                  <w:sz w:val="17"/>
                  <w:szCs w:val="17"/>
                  <w:color w:val="0000FF"/>
                </w:rPr>
                <w:t>Form of Incentive Stock Option Agreement under the CECO Environmental Corp. 2017 Equity and Incentive Compensation Plan (incorporated</w:t>
              </w:r>
            </w:hyperlink>
          </w:p>
        </w:tc>
        <w:tc>
          <w:tcPr>
            <w:tcW w:w="80" w:type="dxa"/>
            <w:vAlign w:val="bottom"/>
            <w:gridSpan w:val="3"/>
          </w:tcPr>
          <w:p>
            <w:pPr>
              <w:spacing w:after="0"/>
              <w:rPr>
                <w:sz w:val="17"/>
                <w:szCs w:val="17"/>
                <w:color w:val="auto"/>
              </w:rPr>
            </w:pPr>
          </w:p>
        </w:tc>
      </w:tr>
      <w:tr>
        <w:trPr>
          <w:trHeight w:val="183"/>
        </w:trPr>
        <w:tc>
          <w:tcPr>
            <w:tcW w:w="1240" w:type="dxa"/>
            <w:vAlign w:val="bottom"/>
          </w:tcPr>
          <w:p>
            <w:pPr>
              <w:spacing w:after="0"/>
              <w:rPr>
                <w:sz w:val="15"/>
                <w:szCs w:val="15"/>
                <w:color w:val="auto"/>
              </w:rPr>
            </w:pPr>
          </w:p>
        </w:tc>
        <w:tc>
          <w:tcPr>
            <w:tcW w:w="8080" w:type="dxa"/>
            <w:vAlign w:val="bottom"/>
            <w:tcBorders>
              <w:bottom w:val="single" w:sz="8" w:color="0000FF"/>
            </w:tcBorders>
            <w:gridSpan w:val="11"/>
          </w:tcPr>
          <w:p>
            <w:pPr>
              <w:ind w:left="20"/>
              <w:spacing w:after="0" w:line="183" w:lineRule="exact"/>
              <w:rPr>
                <w:rFonts w:ascii="Times New Roman" w:cs="Times New Roman" w:eastAsia="Times New Roman" w:hAnsi="Times New Roman"/>
                <w:sz w:val="17"/>
                <w:szCs w:val="17"/>
                <w:color w:val="0000FF"/>
              </w:rPr>
            </w:pPr>
            <w:hyperlink r:id="rId466">
              <w:r>
                <w:rPr>
                  <w:rFonts w:ascii="Times New Roman" w:cs="Times New Roman" w:eastAsia="Times New Roman" w:hAnsi="Times New Roman"/>
                  <w:sz w:val="17"/>
                  <w:szCs w:val="17"/>
                  <w:color w:val="0000FF"/>
                </w:rPr>
                <w:t>by reference to Exhibit 10.2 to the Company’s Quarterly Report on Form 10-Q filed with the SEC on August 9, 2017)</w:t>
              </w:r>
            </w:hyperlink>
          </w:p>
        </w:tc>
        <w:tc>
          <w:tcPr>
            <w:tcW w:w="20" w:type="dxa"/>
            <w:vAlign w:val="bottom"/>
            <w:tcBorders>
              <w:bottom w:val="single" w:sz="8" w:color="0000EE"/>
            </w:tcBorders>
          </w:tcPr>
          <w:p>
            <w:pPr>
              <w:spacing w:after="0"/>
              <w:rPr>
                <w:sz w:val="15"/>
                <w:szCs w:val="15"/>
                <w:color w:val="auto"/>
              </w:rPr>
            </w:pPr>
          </w:p>
        </w:tc>
        <w:tc>
          <w:tcPr>
            <w:tcW w:w="1900" w:type="dxa"/>
            <w:vAlign w:val="bottom"/>
            <w:gridSpan w:val="15"/>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9200" w:type="dxa"/>
            <w:vAlign w:val="bottom"/>
            <w:tcBorders>
              <w:bottom w:val="single" w:sz="8" w:color="0000FF"/>
            </w:tcBorders>
            <w:gridSpan w:val="15"/>
          </w:tcPr>
          <w:p>
            <w:pPr>
              <w:ind w:left="20"/>
              <w:spacing w:after="0"/>
              <w:rPr>
                <w:rFonts w:ascii="Times New Roman" w:cs="Times New Roman" w:eastAsia="Times New Roman" w:hAnsi="Times New Roman"/>
                <w:sz w:val="17"/>
                <w:szCs w:val="17"/>
                <w:color w:val="0000FF"/>
              </w:rPr>
            </w:pPr>
            <w:hyperlink r:id="rId467">
              <w:r>
                <w:rPr>
                  <w:rFonts w:ascii="Times New Roman" w:cs="Times New Roman" w:eastAsia="Times New Roman" w:hAnsi="Times New Roman"/>
                  <w:sz w:val="17"/>
                  <w:szCs w:val="17"/>
                  <w:color w:val="0000FF"/>
                </w:rPr>
                <w:t>Form of Nonqualified Stock Option Agreement under the CECO Environmental Corp. 2017 Equity and Incentive Compensation Plan</w:t>
              </w:r>
            </w:hyperlink>
          </w:p>
        </w:tc>
        <w:tc>
          <w:tcPr>
            <w:tcW w:w="800" w:type="dxa"/>
            <w:vAlign w:val="bottom"/>
            <w:gridSpan w:val="12"/>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040" w:type="dxa"/>
            <w:vAlign w:val="bottom"/>
            <w:tcBorders>
              <w:bottom w:val="single" w:sz="8" w:color="0000FF"/>
            </w:tcBorders>
            <w:gridSpan w:val="13"/>
          </w:tcPr>
          <w:p>
            <w:pPr>
              <w:ind w:left="20"/>
              <w:spacing w:after="0" w:line="183" w:lineRule="exact"/>
              <w:rPr>
                <w:rFonts w:ascii="Times New Roman" w:cs="Times New Roman" w:eastAsia="Times New Roman" w:hAnsi="Times New Roman"/>
                <w:sz w:val="17"/>
                <w:szCs w:val="17"/>
                <w:color w:val="0000FF"/>
              </w:rPr>
            </w:pPr>
            <w:hyperlink r:id="rId467">
              <w:r>
                <w:rPr>
                  <w:rFonts w:ascii="Times New Roman" w:cs="Times New Roman" w:eastAsia="Times New Roman" w:hAnsi="Times New Roman"/>
                  <w:sz w:val="17"/>
                  <w:szCs w:val="17"/>
                  <w:color w:val="0000FF"/>
                </w:rPr>
                <w:t>(incorporated by reference to Exhibit 10.3 to the Company’s Quarterly Report on Form 10-Q filed with the SEC on August 9, 2017)</w:t>
              </w:r>
            </w:hyperlink>
          </w:p>
        </w:tc>
        <w:tc>
          <w:tcPr>
            <w:tcW w:w="20" w:type="dxa"/>
            <w:vAlign w:val="bottom"/>
            <w:tcBorders>
              <w:bottom w:val="single" w:sz="8" w:color="0000EE"/>
            </w:tcBorders>
          </w:tcPr>
          <w:p>
            <w:pPr>
              <w:spacing w:after="0"/>
              <w:rPr>
                <w:sz w:val="15"/>
                <w:szCs w:val="15"/>
                <w:color w:val="auto"/>
              </w:rPr>
            </w:pPr>
          </w:p>
        </w:tc>
        <w:tc>
          <w:tcPr>
            <w:tcW w:w="940" w:type="dxa"/>
            <w:vAlign w:val="bottom"/>
            <w:gridSpan w:val="1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9800" w:type="dxa"/>
            <w:vAlign w:val="bottom"/>
            <w:tcBorders>
              <w:bottom w:val="single" w:sz="8" w:color="0000FF"/>
            </w:tcBorders>
            <w:gridSpan w:val="22"/>
          </w:tcPr>
          <w:p>
            <w:pPr>
              <w:ind w:left="20"/>
              <w:spacing w:after="0"/>
              <w:rPr>
                <w:rFonts w:ascii="Times New Roman" w:cs="Times New Roman" w:eastAsia="Times New Roman" w:hAnsi="Times New Roman"/>
                <w:sz w:val="17"/>
                <w:szCs w:val="17"/>
                <w:color w:val="0000FF"/>
              </w:rPr>
            </w:pPr>
            <w:hyperlink r:id="rId468">
              <w:r>
                <w:rPr>
                  <w:rFonts w:ascii="Times New Roman" w:cs="Times New Roman" w:eastAsia="Times New Roman" w:hAnsi="Times New Roman"/>
                  <w:sz w:val="17"/>
                  <w:szCs w:val="17"/>
                  <w:color w:val="0000FF"/>
                </w:rPr>
                <w:t>Form of Restricted Stock Units Agreement for Directors under the CECO Environmental Corp. 2017 Equity and Incentive Compensation Plan</w:t>
              </w:r>
            </w:hyperlink>
          </w:p>
        </w:tc>
        <w:tc>
          <w:tcPr>
            <w:tcW w:w="200" w:type="dxa"/>
            <w:vAlign w:val="bottom"/>
            <w:gridSpan w:val="5"/>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040" w:type="dxa"/>
            <w:vAlign w:val="bottom"/>
            <w:tcBorders>
              <w:bottom w:val="single" w:sz="8" w:color="0000FF"/>
            </w:tcBorders>
            <w:gridSpan w:val="13"/>
          </w:tcPr>
          <w:p>
            <w:pPr>
              <w:ind w:left="20"/>
              <w:spacing w:after="0" w:line="183" w:lineRule="exact"/>
              <w:rPr>
                <w:rFonts w:ascii="Times New Roman" w:cs="Times New Roman" w:eastAsia="Times New Roman" w:hAnsi="Times New Roman"/>
                <w:sz w:val="17"/>
                <w:szCs w:val="17"/>
                <w:color w:val="0000FF"/>
              </w:rPr>
            </w:pPr>
            <w:hyperlink r:id="rId468">
              <w:r>
                <w:rPr>
                  <w:rFonts w:ascii="Times New Roman" w:cs="Times New Roman" w:eastAsia="Times New Roman" w:hAnsi="Times New Roman"/>
                  <w:sz w:val="17"/>
                  <w:szCs w:val="17"/>
                  <w:color w:val="0000FF"/>
                </w:rPr>
                <w:t>(incorporated by reference to Exhibit 10.4 to the Company’s Quarterly Report on Form 10-Q filed with the SEC on August 9, 2017)</w:t>
              </w:r>
            </w:hyperlink>
          </w:p>
        </w:tc>
        <w:tc>
          <w:tcPr>
            <w:tcW w:w="20" w:type="dxa"/>
            <w:vAlign w:val="bottom"/>
            <w:tcBorders>
              <w:bottom w:val="single" w:sz="8" w:color="0000EE"/>
            </w:tcBorders>
          </w:tcPr>
          <w:p>
            <w:pPr>
              <w:spacing w:after="0"/>
              <w:rPr>
                <w:sz w:val="15"/>
                <w:szCs w:val="15"/>
                <w:color w:val="auto"/>
              </w:rPr>
            </w:pPr>
          </w:p>
        </w:tc>
        <w:tc>
          <w:tcPr>
            <w:tcW w:w="940" w:type="dxa"/>
            <w:vAlign w:val="bottom"/>
            <w:gridSpan w:val="1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992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69">
              <w:r>
                <w:rPr>
                  <w:rFonts w:ascii="Times New Roman" w:cs="Times New Roman" w:eastAsia="Times New Roman" w:hAnsi="Times New Roman"/>
                  <w:sz w:val="17"/>
                  <w:szCs w:val="17"/>
                  <w:color w:val="0000FF"/>
                </w:rPr>
                <w:t>Form of Restricted Stock Units Agreement for Employees under the CECO Environmental Corp. 2017 Equity and Incentive Compensation Plan</w:t>
              </w:r>
            </w:hyperlink>
          </w:p>
        </w:tc>
        <w:tc>
          <w:tcPr>
            <w:tcW w:w="80" w:type="dxa"/>
            <w:vAlign w:val="bottom"/>
            <w:gridSpan w:val="3"/>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040" w:type="dxa"/>
            <w:vAlign w:val="bottom"/>
            <w:tcBorders>
              <w:bottom w:val="single" w:sz="8" w:color="0000FF"/>
            </w:tcBorders>
            <w:gridSpan w:val="13"/>
          </w:tcPr>
          <w:p>
            <w:pPr>
              <w:ind w:left="20"/>
              <w:spacing w:after="0" w:line="183" w:lineRule="exact"/>
              <w:rPr>
                <w:rFonts w:ascii="Times New Roman" w:cs="Times New Roman" w:eastAsia="Times New Roman" w:hAnsi="Times New Roman"/>
                <w:sz w:val="17"/>
                <w:szCs w:val="17"/>
                <w:color w:val="0000FF"/>
              </w:rPr>
            </w:pPr>
            <w:hyperlink r:id="rId469">
              <w:r>
                <w:rPr>
                  <w:rFonts w:ascii="Times New Roman" w:cs="Times New Roman" w:eastAsia="Times New Roman" w:hAnsi="Times New Roman"/>
                  <w:sz w:val="17"/>
                  <w:szCs w:val="17"/>
                  <w:color w:val="0000FF"/>
                </w:rPr>
                <w:t>(incorporated by reference to Exhibit 10.5 to the Company’s Quarterly Report on Form 10-Q filed with the SEC on August 9, 2017)</w:t>
              </w:r>
            </w:hyperlink>
          </w:p>
        </w:tc>
        <w:tc>
          <w:tcPr>
            <w:tcW w:w="20" w:type="dxa"/>
            <w:vAlign w:val="bottom"/>
            <w:tcBorders>
              <w:bottom w:val="single" w:sz="8" w:color="0000EE"/>
            </w:tcBorders>
          </w:tcPr>
          <w:p>
            <w:pPr>
              <w:spacing w:after="0"/>
              <w:rPr>
                <w:sz w:val="15"/>
                <w:szCs w:val="15"/>
                <w:color w:val="auto"/>
              </w:rPr>
            </w:pPr>
          </w:p>
        </w:tc>
        <w:tc>
          <w:tcPr>
            <w:tcW w:w="940" w:type="dxa"/>
            <w:vAlign w:val="bottom"/>
            <w:gridSpan w:val="1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9980" w:type="dxa"/>
            <w:vAlign w:val="bottom"/>
            <w:tcBorders>
              <w:bottom w:val="single" w:sz="8" w:color="0000FF"/>
            </w:tcBorders>
            <w:gridSpan w:val="26"/>
          </w:tcPr>
          <w:p>
            <w:pPr>
              <w:ind w:left="20"/>
              <w:spacing w:after="0"/>
              <w:rPr>
                <w:rFonts w:ascii="Times New Roman" w:cs="Times New Roman" w:eastAsia="Times New Roman" w:hAnsi="Times New Roman"/>
                <w:sz w:val="17"/>
                <w:szCs w:val="17"/>
                <w:color w:val="0000FF"/>
              </w:rPr>
            </w:pPr>
            <w:hyperlink r:id="rId470">
              <w:r>
                <w:rPr>
                  <w:rFonts w:ascii="Times New Roman" w:cs="Times New Roman" w:eastAsia="Times New Roman" w:hAnsi="Times New Roman"/>
                  <w:sz w:val="17"/>
                  <w:szCs w:val="17"/>
                  <w:color w:val="0000FF"/>
                </w:rPr>
                <w:t>CECO Environmental Corp. 2020 Employee Stock Purchase Plan (incorporated by reference to Exhibit 10.1 to the Company’s Current Report on</w:t>
              </w:r>
            </w:hyperlink>
          </w:p>
        </w:tc>
        <w:tc>
          <w:tcPr>
            <w:tcW w:w="20" w:type="dxa"/>
            <w:vAlign w:val="bottom"/>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70">
              <w:r>
                <w:rPr>
                  <w:rFonts w:ascii="Times New Roman" w:cs="Times New Roman" w:eastAsia="Times New Roman" w:hAnsi="Times New Roman"/>
                  <w:sz w:val="17"/>
                  <w:szCs w:val="17"/>
                  <w:color w:val="0000FF"/>
                </w:rPr>
                <w:t>Form 8-K filed with the SEC on June 16, 2020)</w:t>
              </w:r>
            </w:hyperlink>
          </w:p>
        </w:tc>
      </w:tr>
      <w:tr>
        <w:trPr>
          <w:trHeight w:val="20"/>
        </w:trPr>
        <w:tc>
          <w:tcPr>
            <w:tcW w:w="124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9960" w:type="dxa"/>
            <w:vAlign w:val="bottom"/>
            <w:tcBorders>
              <w:bottom w:val="single" w:sz="8" w:color="0000FF"/>
            </w:tcBorders>
            <w:gridSpan w:val="25"/>
          </w:tcPr>
          <w:p>
            <w:pPr>
              <w:ind w:left="20"/>
              <w:spacing w:after="0"/>
              <w:rPr>
                <w:rFonts w:ascii="Times New Roman" w:cs="Times New Roman" w:eastAsia="Times New Roman" w:hAnsi="Times New Roman"/>
                <w:sz w:val="17"/>
                <w:szCs w:val="17"/>
                <w:color w:val="0000FF"/>
              </w:rPr>
            </w:pPr>
            <w:hyperlink r:id="rId471">
              <w:r>
                <w:rPr>
                  <w:rFonts w:ascii="Times New Roman" w:cs="Times New Roman" w:eastAsia="Times New Roman" w:hAnsi="Times New Roman"/>
                  <w:sz w:val="17"/>
                  <w:szCs w:val="17"/>
                  <w:color w:val="0000FF"/>
                </w:rPr>
                <w:t>CECO Environmental Corp. 2021 Equity and Incentive Compensation Plan (incorporated by reference to Exhibit 10.1 to the Company’s Current</w:t>
              </w:r>
            </w:hyperlink>
          </w:p>
        </w:tc>
        <w:tc>
          <w:tcPr>
            <w:tcW w:w="40" w:type="dxa"/>
            <w:vAlign w:val="bottom"/>
            <w:gridSpan w:val="2"/>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71">
              <w:r>
                <w:rPr>
                  <w:rFonts w:ascii="Times New Roman" w:cs="Times New Roman" w:eastAsia="Times New Roman" w:hAnsi="Times New Roman"/>
                  <w:sz w:val="17"/>
                  <w:szCs w:val="17"/>
                  <w:color w:val="0000FF"/>
                </w:rPr>
                <w:t>Report on Form 8-K filed with the SEC on May 27, 2021)</w:t>
              </w:r>
            </w:hyperlink>
          </w:p>
        </w:tc>
      </w:tr>
      <w:tr>
        <w:trPr>
          <w:trHeight w:val="20"/>
        </w:trPr>
        <w:tc>
          <w:tcPr>
            <w:tcW w:w="124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9800" w:type="dxa"/>
            <w:vAlign w:val="bottom"/>
            <w:tcBorders>
              <w:bottom w:val="single" w:sz="8" w:color="0000FF"/>
            </w:tcBorders>
            <w:gridSpan w:val="22"/>
          </w:tcPr>
          <w:p>
            <w:pPr>
              <w:ind w:left="20"/>
              <w:spacing w:after="0"/>
              <w:rPr>
                <w:rFonts w:ascii="Times New Roman" w:cs="Times New Roman" w:eastAsia="Times New Roman" w:hAnsi="Times New Roman"/>
                <w:sz w:val="17"/>
                <w:szCs w:val="17"/>
                <w:color w:val="0000FF"/>
              </w:rPr>
            </w:pPr>
            <w:hyperlink r:id="rId472">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c>
          <w:tcPr>
            <w:tcW w:w="200" w:type="dxa"/>
            <w:vAlign w:val="bottom"/>
            <w:gridSpan w:val="5"/>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440" w:type="dxa"/>
            <w:vAlign w:val="bottom"/>
            <w:tcBorders>
              <w:bottom w:val="single" w:sz="8" w:color="0000FF"/>
            </w:tcBorders>
            <w:gridSpan w:val="17"/>
          </w:tcPr>
          <w:p>
            <w:pPr>
              <w:ind w:left="20"/>
              <w:spacing w:after="0" w:line="183" w:lineRule="exact"/>
              <w:rPr>
                <w:rFonts w:ascii="Times New Roman" w:cs="Times New Roman" w:eastAsia="Times New Roman" w:hAnsi="Times New Roman"/>
                <w:sz w:val="17"/>
                <w:szCs w:val="17"/>
                <w:color w:val="0000FF"/>
              </w:rPr>
            </w:pPr>
            <w:hyperlink r:id="rId472">
              <w:r>
                <w:rPr>
                  <w:rFonts w:ascii="Times New Roman" w:cs="Times New Roman" w:eastAsia="Times New Roman" w:hAnsi="Times New Roman"/>
                  <w:sz w:val="17"/>
                  <w:szCs w:val="17"/>
                  <w:color w:val="0000FF"/>
                </w:rPr>
                <w:t>(incorporated by reference to Exhibit 10.19 to the Company’s Annual Report on Form 10-K for the fiscal year ended December 31, 2021)</w:t>
              </w:r>
            </w:hyperlink>
          </w:p>
        </w:tc>
        <w:tc>
          <w:tcPr>
            <w:tcW w:w="20" w:type="dxa"/>
            <w:vAlign w:val="bottom"/>
            <w:tcBorders>
              <w:bottom w:val="single" w:sz="8" w:color="0000EE"/>
            </w:tcBorders>
          </w:tcPr>
          <w:p>
            <w:pPr>
              <w:spacing w:after="0"/>
              <w:rPr>
                <w:sz w:val="15"/>
                <w:szCs w:val="15"/>
                <w:color w:val="auto"/>
              </w:rPr>
            </w:pPr>
          </w:p>
        </w:tc>
        <w:tc>
          <w:tcPr>
            <w:tcW w:w="540" w:type="dxa"/>
            <w:vAlign w:val="bottom"/>
            <w:gridSpan w:val="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992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73">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c>
          <w:tcPr>
            <w:tcW w:w="80" w:type="dxa"/>
            <w:vAlign w:val="bottom"/>
            <w:gridSpan w:val="3"/>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440" w:type="dxa"/>
            <w:vAlign w:val="bottom"/>
            <w:tcBorders>
              <w:bottom w:val="single" w:sz="8" w:color="0000FF"/>
            </w:tcBorders>
            <w:gridSpan w:val="17"/>
          </w:tcPr>
          <w:p>
            <w:pPr>
              <w:ind w:left="20"/>
              <w:spacing w:after="0" w:line="183" w:lineRule="exact"/>
              <w:rPr>
                <w:rFonts w:ascii="Times New Roman" w:cs="Times New Roman" w:eastAsia="Times New Roman" w:hAnsi="Times New Roman"/>
                <w:sz w:val="17"/>
                <w:szCs w:val="17"/>
                <w:color w:val="0000FF"/>
              </w:rPr>
            </w:pPr>
            <w:hyperlink r:id="rId473">
              <w:r>
                <w:rPr>
                  <w:rFonts w:ascii="Times New Roman" w:cs="Times New Roman" w:eastAsia="Times New Roman" w:hAnsi="Times New Roman"/>
                  <w:sz w:val="17"/>
                  <w:szCs w:val="17"/>
                  <w:color w:val="0000FF"/>
                </w:rPr>
                <w:t>(incorporated by reference to Exhibit 10.20 to the Company’s Annual Report on Form 10-K for the fiscal year ended December 31, 2021)</w:t>
              </w:r>
            </w:hyperlink>
          </w:p>
        </w:tc>
        <w:tc>
          <w:tcPr>
            <w:tcW w:w="20" w:type="dxa"/>
            <w:vAlign w:val="bottom"/>
            <w:tcBorders>
              <w:bottom w:val="single" w:sz="8" w:color="0000EE"/>
            </w:tcBorders>
          </w:tcPr>
          <w:p>
            <w:pPr>
              <w:spacing w:after="0"/>
              <w:rPr>
                <w:sz w:val="15"/>
                <w:szCs w:val="15"/>
                <w:color w:val="auto"/>
              </w:rPr>
            </w:pPr>
          </w:p>
        </w:tc>
        <w:tc>
          <w:tcPr>
            <w:tcW w:w="540" w:type="dxa"/>
            <w:vAlign w:val="bottom"/>
            <w:gridSpan w:val="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9980" w:type="dxa"/>
            <w:vAlign w:val="bottom"/>
            <w:tcBorders>
              <w:bottom w:val="single" w:sz="8" w:color="0000FF"/>
            </w:tcBorders>
            <w:gridSpan w:val="26"/>
          </w:tcPr>
          <w:p>
            <w:pPr>
              <w:ind w:left="20"/>
              <w:spacing w:after="0"/>
              <w:rPr>
                <w:rFonts w:ascii="Times New Roman" w:cs="Times New Roman" w:eastAsia="Times New Roman" w:hAnsi="Times New Roman"/>
                <w:sz w:val="17"/>
                <w:szCs w:val="17"/>
                <w:color w:val="0000FF"/>
              </w:rPr>
            </w:pPr>
            <w:hyperlink r:id="rId474">
              <w:r>
                <w:rPr>
                  <w:rFonts w:ascii="Times New Roman" w:cs="Times New Roman" w:eastAsia="Times New Roman" w:hAnsi="Times New Roman"/>
                  <w:sz w:val="17"/>
                  <w:szCs w:val="17"/>
                  <w:color w:val="0000FF"/>
                </w:rPr>
                <w:t>CECO Environmental Corp. Executive Change in Control Severance Plan (incorporated by reference to Exhibit 10.1 to the Company’s Quarterly</w:t>
              </w:r>
            </w:hyperlink>
          </w:p>
        </w:tc>
        <w:tc>
          <w:tcPr>
            <w:tcW w:w="20" w:type="dxa"/>
            <w:vAlign w:val="bottom"/>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4400" w:type="dxa"/>
            <w:vAlign w:val="bottom"/>
            <w:tcBorders>
              <w:bottom w:val="single" w:sz="8" w:color="0000FF"/>
            </w:tcBorders>
            <w:gridSpan w:val="5"/>
          </w:tcPr>
          <w:p>
            <w:pPr>
              <w:ind w:left="20"/>
              <w:spacing w:after="0" w:line="183" w:lineRule="exact"/>
              <w:rPr>
                <w:rFonts w:ascii="Times New Roman" w:cs="Times New Roman" w:eastAsia="Times New Roman" w:hAnsi="Times New Roman"/>
                <w:sz w:val="17"/>
                <w:szCs w:val="17"/>
                <w:color w:val="0000FF"/>
                <w:w w:val="99"/>
              </w:rPr>
            </w:pPr>
            <w:hyperlink r:id="rId474">
              <w:r>
                <w:rPr>
                  <w:rFonts w:ascii="Times New Roman" w:cs="Times New Roman" w:eastAsia="Times New Roman" w:hAnsi="Times New Roman"/>
                  <w:sz w:val="17"/>
                  <w:szCs w:val="17"/>
                  <w:color w:val="0000FF"/>
                  <w:w w:val="99"/>
                </w:rPr>
                <w:t>Report on Form 10-Q filed with the SEC on November 8, 2021)</w:t>
              </w:r>
            </w:hyperlink>
          </w:p>
        </w:tc>
        <w:tc>
          <w:tcPr>
            <w:tcW w:w="20" w:type="dxa"/>
            <w:vAlign w:val="bottom"/>
            <w:tcBorders>
              <w:bottom w:val="single" w:sz="8" w:color="0000EE"/>
            </w:tcBorders>
          </w:tcPr>
          <w:p>
            <w:pPr>
              <w:spacing w:after="0"/>
              <w:rPr>
                <w:sz w:val="15"/>
                <w:szCs w:val="15"/>
                <w:color w:val="auto"/>
              </w:rPr>
            </w:pPr>
          </w:p>
        </w:tc>
        <w:tc>
          <w:tcPr>
            <w:tcW w:w="5580" w:type="dxa"/>
            <w:vAlign w:val="bottom"/>
            <w:gridSpan w:val="21"/>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9740" w:type="dxa"/>
            <w:vAlign w:val="bottom"/>
            <w:tcBorders>
              <w:bottom w:val="single" w:sz="8" w:color="0000FF"/>
            </w:tcBorders>
            <w:gridSpan w:val="20"/>
          </w:tcPr>
          <w:p>
            <w:pPr>
              <w:ind w:left="20"/>
              <w:spacing w:after="0"/>
              <w:rPr>
                <w:rFonts w:ascii="Times New Roman" w:cs="Times New Roman" w:eastAsia="Times New Roman" w:hAnsi="Times New Roman"/>
                <w:sz w:val="17"/>
                <w:szCs w:val="17"/>
                <w:color w:val="0000FF"/>
              </w:rPr>
            </w:pPr>
            <w:hyperlink r:id="rId475">
              <w:r>
                <w:rPr>
                  <w:rFonts w:ascii="Times New Roman" w:cs="Times New Roman" w:eastAsia="Times New Roman" w:hAnsi="Times New Roman"/>
                  <w:sz w:val="17"/>
                  <w:szCs w:val="17"/>
                  <w:color w:val="0000FF"/>
                </w:rPr>
                <w:t>Third Amended and Restated Credit Agreement, dated as of October 7, 2024, among the Company and certain of its subsidiaries, the Lenders</w:t>
              </w:r>
            </w:hyperlink>
          </w:p>
        </w:tc>
        <w:tc>
          <w:tcPr>
            <w:tcW w:w="260" w:type="dxa"/>
            <w:vAlign w:val="bottom"/>
            <w:gridSpan w:val="7"/>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75">
              <w:r>
                <w:rPr>
                  <w:rFonts w:ascii="Times New Roman" w:cs="Times New Roman" w:eastAsia="Times New Roman" w:hAnsi="Times New Roman"/>
                  <w:sz w:val="17"/>
                  <w:szCs w:val="17"/>
                  <w:color w:val="0000FF"/>
                </w:rPr>
                <w:t>party thereto, and Bank of America, N.A. (incorporated by reference to Exhibit 10.1 to the Company’s Current Report on Form 8-K filed with the</w:t>
              </w:r>
            </w:hyperlink>
          </w:p>
        </w:tc>
      </w:tr>
      <w:tr>
        <w:trPr>
          <w:trHeight w:val="183"/>
        </w:trPr>
        <w:tc>
          <w:tcPr>
            <w:tcW w:w="1240" w:type="dxa"/>
            <w:vAlign w:val="bottom"/>
          </w:tcPr>
          <w:p>
            <w:pPr>
              <w:spacing w:after="0"/>
              <w:rPr>
                <w:sz w:val="15"/>
                <w:szCs w:val="15"/>
                <w:color w:val="auto"/>
              </w:rPr>
            </w:pPr>
          </w:p>
        </w:tc>
        <w:tc>
          <w:tcPr>
            <w:tcW w:w="9980" w:type="dxa"/>
            <w:vAlign w:val="bottom"/>
            <w:tcBorders>
              <w:top w:val="single" w:sz="8" w:color="0000FF"/>
            </w:tcBorders>
            <w:gridSpan w:val="26"/>
          </w:tcPr>
          <w:p>
            <w:pPr>
              <w:ind w:left="20"/>
              <w:spacing w:after="0" w:line="183" w:lineRule="exact"/>
              <w:rPr>
                <w:rFonts w:ascii="Times New Roman" w:cs="Times New Roman" w:eastAsia="Times New Roman" w:hAnsi="Times New Roman"/>
                <w:sz w:val="17"/>
                <w:szCs w:val="17"/>
                <w:color w:val="0000FF"/>
              </w:rPr>
            </w:pPr>
            <w:hyperlink r:id="rId475">
              <w:r>
                <w:rPr>
                  <w:rFonts w:ascii="Times New Roman" w:cs="Times New Roman" w:eastAsia="Times New Roman" w:hAnsi="Times New Roman"/>
                  <w:sz w:val="17"/>
                  <w:szCs w:val="17"/>
                  <w:color w:val="0000FF"/>
                </w:rPr>
                <w:t>SEC on October 11, 2024)</w:t>
              </w:r>
            </w:hyperlink>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992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76">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c>
          <w:tcPr>
            <w:tcW w:w="80" w:type="dxa"/>
            <w:vAlign w:val="bottom"/>
            <w:gridSpan w:val="3"/>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440" w:type="dxa"/>
            <w:vAlign w:val="bottom"/>
            <w:tcBorders>
              <w:bottom w:val="single" w:sz="8" w:color="0000FF"/>
            </w:tcBorders>
            <w:gridSpan w:val="17"/>
          </w:tcPr>
          <w:p>
            <w:pPr>
              <w:ind w:left="20"/>
              <w:spacing w:after="0" w:line="183" w:lineRule="exact"/>
              <w:rPr>
                <w:rFonts w:ascii="Times New Roman" w:cs="Times New Roman" w:eastAsia="Times New Roman" w:hAnsi="Times New Roman"/>
                <w:sz w:val="17"/>
                <w:szCs w:val="17"/>
                <w:color w:val="0000FF"/>
              </w:rPr>
            </w:pPr>
            <w:hyperlink r:id="rId476">
              <w:r>
                <w:rPr>
                  <w:rFonts w:ascii="Times New Roman" w:cs="Times New Roman" w:eastAsia="Times New Roman" w:hAnsi="Times New Roman"/>
                  <w:sz w:val="17"/>
                  <w:szCs w:val="17"/>
                  <w:color w:val="0000FF"/>
                </w:rPr>
                <w:t>(incorporated by reference to Exhibit 10.26 to the Company’s Annual Report on Form 10-K for the fiscal year ended December 31, 2022)</w:t>
              </w:r>
            </w:hyperlink>
          </w:p>
        </w:tc>
        <w:tc>
          <w:tcPr>
            <w:tcW w:w="560" w:type="dxa"/>
            <w:vAlign w:val="bottom"/>
            <w:gridSpan w:val="10"/>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9800" w:type="dxa"/>
            <w:vAlign w:val="bottom"/>
            <w:tcBorders>
              <w:bottom w:val="single" w:sz="8" w:color="0000FF"/>
            </w:tcBorders>
            <w:gridSpan w:val="22"/>
          </w:tcPr>
          <w:p>
            <w:pPr>
              <w:ind w:left="20"/>
              <w:spacing w:after="0"/>
              <w:rPr>
                <w:rFonts w:ascii="Times New Roman" w:cs="Times New Roman" w:eastAsia="Times New Roman" w:hAnsi="Times New Roman"/>
                <w:sz w:val="17"/>
                <w:szCs w:val="17"/>
                <w:color w:val="0000FF"/>
              </w:rPr>
            </w:pPr>
            <w:hyperlink r:id="rId477">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c>
          <w:tcPr>
            <w:tcW w:w="200" w:type="dxa"/>
            <w:vAlign w:val="bottom"/>
            <w:gridSpan w:val="5"/>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440" w:type="dxa"/>
            <w:vAlign w:val="bottom"/>
            <w:tcBorders>
              <w:bottom w:val="single" w:sz="8" w:color="0000FF"/>
            </w:tcBorders>
            <w:gridSpan w:val="17"/>
          </w:tcPr>
          <w:p>
            <w:pPr>
              <w:ind w:left="20"/>
              <w:spacing w:after="0" w:line="183" w:lineRule="exact"/>
              <w:rPr>
                <w:rFonts w:ascii="Times New Roman" w:cs="Times New Roman" w:eastAsia="Times New Roman" w:hAnsi="Times New Roman"/>
                <w:sz w:val="17"/>
                <w:szCs w:val="17"/>
                <w:color w:val="0000FF"/>
              </w:rPr>
            </w:pPr>
            <w:hyperlink r:id="rId477">
              <w:r>
                <w:rPr>
                  <w:rFonts w:ascii="Times New Roman" w:cs="Times New Roman" w:eastAsia="Times New Roman" w:hAnsi="Times New Roman"/>
                  <w:sz w:val="17"/>
                  <w:szCs w:val="17"/>
                  <w:color w:val="0000FF"/>
                </w:rPr>
                <w:t>(incorporated by reference to Exhibit 10.27 to the Company’s Annual Report on Form 10-K for the fiscal year ended December 31, 2022)</w:t>
              </w:r>
            </w:hyperlink>
          </w:p>
        </w:tc>
        <w:tc>
          <w:tcPr>
            <w:tcW w:w="20" w:type="dxa"/>
            <w:vAlign w:val="bottom"/>
            <w:tcBorders>
              <w:bottom w:val="single" w:sz="8" w:color="0000EE"/>
            </w:tcBorders>
          </w:tcPr>
          <w:p>
            <w:pPr>
              <w:spacing w:after="0"/>
              <w:rPr>
                <w:sz w:val="15"/>
                <w:szCs w:val="15"/>
                <w:color w:val="auto"/>
              </w:rPr>
            </w:pPr>
          </w:p>
        </w:tc>
        <w:tc>
          <w:tcPr>
            <w:tcW w:w="540" w:type="dxa"/>
            <w:vAlign w:val="bottom"/>
            <w:gridSpan w:val="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9780" w:type="dxa"/>
            <w:vAlign w:val="bottom"/>
            <w:tcBorders>
              <w:bottom w:val="single" w:sz="8" w:color="0000FF"/>
            </w:tcBorders>
            <w:gridSpan w:val="21"/>
          </w:tcPr>
          <w:p>
            <w:pPr>
              <w:ind w:left="20"/>
              <w:spacing w:after="0"/>
              <w:rPr>
                <w:rFonts w:ascii="Times New Roman" w:cs="Times New Roman" w:eastAsia="Times New Roman" w:hAnsi="Times New Roman"/>
                <w:sz w:val="17"/>
                <w:szCs w:val="17"/>
                <w:color w:val="0000FF"/>
              </w:rPr>
            </w:pPr>
            <w:hyperlink r:id="rId478">
              <w:r>
                <w:rPr>
                  <w:rFonts w:ascii="Times New Roman" w:cs="Times New Roman" w:eastAsia="Times New Roman" w:hAnsi="Times New Roman"/>
                  <w:sz w:val="17"/>
                  <w:szCs w:val="17"/>
                  <w:color w:val="0000FF"/>
                </w:rPr>
                <w:t>Equity Award Agreement between the Company and Peter Johansson, dated September 29, 2023 (incorporated by reference to Exhibit 10.1 to</w:t>
              </w:r>
            </w:hyperlink>
          </w:p>
        </w:tc>
        <w:tc>
          <w:tcPr>
            <w:tcW w:w="220" w:type="dxa"/>
            <w:vAlign w:val="bottom"/>
            <w:gridSpan w:val="6"/>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78">
              <w:r>
                <w:rPr>
                  <w:rFonts w:ascii="Times New Roman" w:cs="Times New Roman" w:eastAsia="Times New Roman" w:hAnsi="Times New Roman"/>
                  <w:sz w:val="17"/>
                  <w:szCs w:val="17"/>
                  <w:color w:val="0000FF"/>
                </w:rPr>
                <w:t>the Company’s Current Report on Form 8-K filed with the SEC on October 5, 2023)</w:t>
              </w:r>
            </w:hyperlink>
          </w:p>
        </w:tc>
      </w:tr>
      <w:tr>
        <w:trPr>
          <w:trHeight w:val="20"/>
        </w:trPr>
        <w:tc>
          <w:tcPr>
            <w:tcW w:w="124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9600" w:type="dxa"/>
            <w:vAlign w:val="bottom"/>
            <w:tcBorders>
              <w:bottom w:val="single" w:sz="8" w:color="0000FF"/>
            </w:tcBorders>
            <w:gridSpan w:val="19"/>
          </w:tcPr>
          <w:p>
            <w:pPr>
              <w:ind w:left="20"/>
              <w:spacing w:after="0"/>
              <w:rPr>
                <w:rFonts w:ascii="Times New Roman" w:cs="Times New Roman" w:eastAsia="Times New Roman" w:hAnsi="Times New Roman"/>
                <w:sz w:val="17"/>
                <w:szCs w:val="17"/>
                <w:color w:val="0000FF"/>
              </w:rPr>
            </w:pPr>
            <w:hyperlink r:id="rId479">
              <w:r>
                <w:rPr>
                  <w:rFonts w:ascii="Times New Roman" w:cs="Times New Roman" w:eastAsia="Times New Roman" w:hAnsi="Times New Roman"/>
                  <w:sz w:val="17"/>
                  <w:szCs w:val="17"/>
                  <w:color w:val="0000FF"/>
                </w:rPr>
                <w:t>Equity Award Agreement between the Company and Joycelynn Watkins-Asiyanbi, dated September 29, 2023 (incorporated by reference to</w:t>
              </w:r>
            </w:hyperlink>
          </w:p>
        </w:tc>
        <w:tc>
          <w:tcPr>
            <w:tcW w:w="400" w:type="dxa"/>
            <w:vAlign w:val="bottom"/>
            <w:gridSpan w:val="8"/>
          </w:tcPr>
          <w:p>
            <w:pPr>
              <w:spacing w:after="0"/>
              <w:rPr>
                <w:sz w:val="24"/>
                <w:szCs w:val="24"/>
                <w:color w:val="auto"/>
              </w:rPr>
            </w:pPr>
          </w:p>
        </w:tc>
      </w:tr>
      <w:tr>
        <w:trPr>
          <w:trHeight w:val="182"/>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79">
              <w:r>
                <w:rPr>
                  <w:rFonts w:ascii="Times New Roman" w:cs="Times New Roman" w:eastAsia="Times New Roman" w:hAnsi="Times New Roman"/>
                  <w:sz w:val="17"/>
                  <w:szCs w:val="17"/>
                  <w:color w:val="0000FF"/>
                </w:rPr>
                <w:t>Exhibit 10.2 to the Company’s Current Report on Form 8-K filed with the SEC on October 5, 2023)</w:t>
              </w:r>
            </w:hyperlink>
          </w:p>
        </w:tc>
      </w:tr>
      <w:tr>
        <w:trPr>
          <w:trHeight w:val="20"/>
        </w:trPr>
        <w:tc>
          <w:tcPr>
            <w:tcW w:w="124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10000" w:type="dxa"/>
            <w:vAlign w:val="bottom"/>
            <w:gridSpan w:val="27"/>
          </w:tcPr>
          <w:p>
            <w:pPr>
              <w:ind w:left="20"/>
              <w:spacing w:after="0"/>
              <w:rPr>
                <w:rFonts w:ascii="Times New Roman" w:cs="Times New Roman" w:eastAsia="Times New Roman" w:hAnsi="Times New Roman"/>
                <w:sz w:val="17"/>
                <w:szCs w:val="17"/>
                <w:color w:val="0000FF"/>
              </w:rPr>
            </w:pPr>
            <w:hyperlink r:id="rId480">
              <w:r>
                <w:rPr>
                  <w:rFonts w:ascii="Times New Roman" w:cs="Times New Roman" w:eastAsia="Times New Roman" w:hAnsi="Times New Roman"/>
                  <w:sz w:val="17"/>
                  <w:szCs w:val="17"/>
                  <w:color w:val="0000FF"/>
                </w:rPr>
                <w:t>Letter Agreement with Todd Gleason, dated July 5, 2023 (incorporated by reference to Exhibit 10.1 to the Company’s Current Report on Form 8-</w:t>
              </w:r>
            </w:hyperlink>
          </w:p>
        </w:tc>
      </w:tr>
      <w:tr>
        <w:trPr>
          <w:trHeight w:val="183"/>
        </w:trPr>
        <w:tc>
          <w:tcPr>
            <w:tcW w:w="1240" w:type="dxa"/>
            <w:vAlign w:val="bottom"/>
          </w:tcPr>
          <w:p>
            <w:pPr>
              <w:spacing w:after="0"/>
              <w:rPr>
                <w:sz w:val="15"/>
                <w:szCs w:val="15"/>
                <w:color w:val="auto"/>
              </w:rPr>
            </w:pPr>
          </w:p>
        </w:tc>
        <w:tc>
          <w:tcPr>
            <w:tcW w:w="9960" w:type="dxa"/>
            <w:vAlign w:val="bottom"/>
            <w:tcBorders>
              <w:top w:val="single" w:sz="8" w:color="0000FF"/>
            </w:tcBorders>
            <w:gridSpan w:val="25"/>
          </w:tcPr>
          <w:p>
            <w:pPr>
              <w:ind w:left="20"/>
              <w:spacing w:after="0" w:line="183" w:lineRule="exact"/>
              <w:rPr>
                <w:rFonts w:ascii="Times New Roman" w:cs="Times New Roman" w:eastAsia="Times New Roman" w:hAnsi="Times New Roman"/>
                <w:sz w:val="17"/>
                <w:szCs w:val="17"/>
                <w:color w:val="0000FF"/>
              </w:rPr>
            </w:pPr>
            <w:hyperlink r:id="rId480">
              <w:r>
                <w:rPr>
                  <w:rFonts w:ascii="Times New Roman" w:cs="Times New Roman" w:eastAsia="Times New Roman" w:hAnsi="Times New Roman"/>
                  <w:sz w:val="17"/>
                  <w:szCs w:val="17"/>
                  <w:color w:val="0000FF"/>
                </w:rPr>
                <w:t>K filed with the SEC on July 11, 2023)</w:t>
              </w:r>
            </w:hyperlink>
          </w:p>
        </w:tc>
        <w:tc>
          <w:tcPr>
            <w:tcW w:w="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9360" w:type="dxa"/>
            <w:vAlign w:val="bottom"/>
            <w:tcBorders>
              <w:bottom w:val="single" w:sz="8" w:color="0000FF"/>
            </w:tcBorders>
            <w:gridSpan w:val="16"/>
          </w:tcPr>
          <w:p>
            <w:pPr>
              <w:ind w:left="20"/>
              <w:spacing w:after="0"/>
              <w:rPr>
                <w:rFonts w:ascii="Times New Roman" w:cs="Times New Roman" w:eastAsia="Times New Roman" w:hAnsi="Times New Roman"/>
                <w:sz w:val="17"/>
                <w:szCs w:val="17"/>
                <w:color w:val="0000FF"/>
              </w:rPr>
            </w:pPr>
            <w:hyperlink r:id="rId481">
              <w:r>
                <w:rPr>
                  <w:rFonts w:ascii="Times New Roman" w:cs="Times New Roman" w:eastAsia="Times New Roman" w:hAnsi="Times New Roman"/>
                  <w:sz w:val="17"/>
                  <w:szCs w:val="17"/>
                  <w:color w:val="0000FF"/>
                </w:rPr>
                <w:t>Equity Award Agreement between the Company and Todd Gleason, dated July 5, 2023 (incorporated by reference to Exhibit 10.2 to the</w:t>
              </w:r>
            </w:hyperlink>
          </w:p>
        </w:tc>
        <w:tc>
          <w:tcPr>
            <w:tcW w:w="640" w:type="dxa"/>
            <w:vAlign w:val="bottom"/>
            <w:gridSpan w:val="11"/>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5360" w:type="dxa"/>
            <w:vAlign w:val="bottom"/>
            <w:tcBorders>
              <w:bottom w:val="single" w:sz="8" w:color="0000FF"/>
            </w:tcBorders>
            <w:gridSpan w:val="7"/>
          </w:tcPr>
          <w:p>
            <w:pPr>
              <w:ind w:left="20"/>
              <w:spacing w:after="0" w:line="183" w:lineRule="exact"/>
              <w:rPr>
                <w:rFonts w:ascii="Times New Roman" w:cs="Times New Roman" w:eastAsia="Times New Roman" w:hAnsi="Times New Roman"/>
                <w:sz w:val="17"/>
                <w:szCs w:val="17"/>
                <w:color w:val="0000FF"/>
              </w:rPr>
            </w:pPr>
            <w:hyperlink r:id="rId481">
              <w:r>
                <w:rPr>
                  <w:rFonts w:ascii="Times New Roman" w:cs="Times New Roman" w:eastAsia="Times New Roman" w:hAnsi="Times New Roman"/>
                  <w:sz w:val="17"/>
                  <w:szCs w:val="17"/>
                  <w:color w:val="0000FF"/>
                </w:rPr>
                <w:t>Company’s Current Report on Form 8-K filed with the SEC on July 11, 2023)</w:t>
              </w:r>
            </w:hyperlink>
          </w:p>
        </w:tc>
        <w:tc>
          <w:tcPr>
            <w:tcW w:w="20" w:type="dxa"/>
            <w:vAlign w:val="bottom"/>
            <w:tcBorders>
              <w:bottom w:val="single" w:sz="8" w:color="0000EE"/>
            </w:tcBorders>
          </w:tcPr>
          <w:p>
            <w:pPr>
              <w:spacing w:after="0"/>
              <w:rPr>
                <w:sz w:val="15"/>
                <w:szCs w:val="15"/>
                <w:color w:val="auto"/>
              </w:rPr>
            </w:pPr>
          </w:p>
        </w:tc>
        <w:tc>
          <w:tcPr>
            <w:tcW w:w="4620" w:type="dxa"/>
            <w:vAlign w:val="bottom"/>
            <w:gridSpan w:val="1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9900" w:type="dxa"/>
            <w:vAlign w:val="bottom"/>
            <w:tcBorders>
              <w:bottom w:val="single" w:sz="8" w:color="0000FF"/>
            </w:tcBorders>
            <w:gridSpan w:val="23"/>
          </w:tcPr>
          <w:p>
            <w:pPr>
              <w:ind w:left="20"/>
              <w:spacing w:after="0"/>
              <w:rPr>
                <w:rFonts w:ascii="Times New Roman" w:cs="Times New Roman" w:eastAsia="Times New Roman" w:hAnsi="Times New Roman"/>
                <w:sz w:val="17"/>
                <w:szCs w:val="17"/>
                <w:color w:val="0000FF"/>
              </w:rPr>
            </w:pPr>
            <w:hyperlink r:id="rId482">
              <w:r>
                <w:rPr>
                  <w:rFonts w:ascii="Times New Roman" w:cs="Times New Roman" w:eastAsia="Times New Roman" w:hAnsi="Times New Roman"/>
                  <w:sz w:val="17"/>
                  <w:szCs w:val="17"/>
                  <w:color w:val="0000FF"/>
                </w:rPr>
                <w:t>CECO Environmental Corp. Executive Change in Control and Severance Plan, as amended and restated July 6, 2023 (incorporated by reference</w:t>
              </w:r>
            </w:hyperlink>
          </w:p>
        </w:tc>
        <w:tc>
          <w:tcPr>
            <w:tcW w:w="100" w:type="dxa"/>
            <w:vAlign w:val="bottom"/>
            <w:gridSpan w:val="4"/>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27"/>
          </w:tcPr>
          <w:p>
            <w:pPr>
              <w:ind w:left="20"/>
              <w:spacing w:after="0" w:line="183" w:lineRule="exact"/>
              <w:rPr>
                <w:rFonts w:ascii="Times New Roman" w:cs="Times New Roman" w:eastAsia="Times New Roman" w:hAnsi="Times New Roman"/>
                <w:sz w:val="17"/>
                <w:szCs w:val="17"/>
                <w:color w:val="0000FF"/>
              </w:rPr>
            </w:pPr>
            <w:hyperlink r:id="rId482">
              <w:r>
                <w:rPr>
                  <w:rFonts w:ascii="Times New Roman" w:cs="Times New Roman" w:eastAsia="Times New Roman" w:hAnsi="Times New Roman"/>
                  <w:sz w:val="17"/>
                  <w:szCs w:val="17"/>
                  <w:color w:val="0000FF"/>
                </w:rPr>
                <w:t>to Exhibit 10.3 to the Company’s Current Report on Form 8-K filed with the SEC on July 11, 2023)</w:t>
              </w:r>
            </w:hyperlink>
          </w:p>
        </w:tc>
      </w:tr>
      <w:tr>
        <w:trPr>
          <w:trHeight w:val="452"/>
        </w:trPr>
        <w:tc>
          <w:tcPr>
            <w:tcW w:w="1240" w:type="dxa"/>
            <w:vAlign w:val="bottom"/>
          </w:tcPr>
          <w:p>
            <w:pPr>
              <w:spacing w:after="0"/>
              <w:rPr>
                <w:sz w:val="24"/>
                <w:szCs w:val="24"/>
                <w:color w:val="auto"/>
              </w:rPr>
            </w:pPr>
          </w:p>
        </w:tc>
        <w:tc>
          <w:tcPr>
            <w:tcW w:w="5360" w:type="dxa"/>
            <w:vAlign w:val="bottom"/>
            <w:tcBorders>
              <w:top w:val="single" w:sz="8" w:color="0000FF"/>
            </w:tcBorders>
            <w:gridSpan w:val="7"/>
          </w:tcPr>
          <w:p>
            <w:pPr>
              <w:ind w:left="430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900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Form of Restricted Stock Units Agreement for Employees under the CECO Environmental Corp. 2021 Equity and Incentive</w:t>
              </w:r>
            </w:hyperlink>
          </w:p>
        </w:tc>
        <w:tc>
          <w:tcPr>
            <w:tcW w:w="1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Compensation Plan, revised March 2024 (incorporated by reference to Exhibit 10.32 to the Company’s Annual Report on Form 10-K for</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02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485">
              <w:r>
                <w:rPr>
                  <w:rFonts w:ascii="Times New Roman" w:cs="Times New Roman" w:eastAsia="Times New Roman" w:hAnsi="Times New Roman"/>
                  <w:sz w:val="18"/>
                  <w:szCs w:val="18"/>
                  <w:color w:val="0000FF"/>
                  <w:w w:val="99"/>
                </w:rPr>
                <w:t>the fiscal year ended December 31, 2023)</w:t>
              </w:r>
            </w:hyperlink>
          </w:p>
        </w:tc>
        <w:tc>
          <w:tcPr>
            <w:tcW w:w="69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9760" w:type="dxa"/>
            <w:vAlign w:val="bottom"/>
            <w:tcBorders>
              <w:bottom w:val="single" w:sz="8" w:color="0000FF"/>
            </w:tcBorders>
            <w:gridSpan w:val="28"/>
          </w:tcPr>
          <w:p>
            <w:pPr>
              <w:ind w:left="20"/>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Form of Performance-Based Restricted Stock Units Agreement for Employees under the CECO Environmental Corp. 2021 Equity and</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30"/>
          </w:tcPr>
          <w:p>
            <w:pPr>
              <w:ind w:left="20"/>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Incentive Compensation Plan, revised March 2024 (incorporated by reference to Exhibit 10.32 to the Company’s Annual Report on Form</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10-K for the fiscal year ended December 31, 2023)</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^10.28</w:t>
            </w: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934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Form of Nonqualified Stock Option Agreement for Employees under the CECO Environmental Corp. 2021 Equity and Incentive</w:t>
              </w:r>
            </w:hyperlink>
          </w:p>
        </w:tc>
        <w:tc>
          <w:tcPr>
            <w:tcW w:w="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Compensation Plan (incorporated by reference to Exhibit 10.32 to the Company’s Annual Report on Form 10-K for the fiscal year ended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December 31,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†10.29</w:t>
            </w:r>
          </w:p>
        </w:tc>
        <w:tc>
          <w:tcPr>
            <w:tcW w:w="9580" w:type="dxa"/>
            <w:vAlign w:val="bottom"/>
            <w:tcBorders>
              <w:bottom w:val="single" w:sz="8" w:color="0000FF"/>
            </w:tcBorders>
            <w:gridSpan w:val="24"/>
          </w:tcPr>
          <w:p>
            <w:pPr>
              <w:ind w:left="20"/>
              <w:spacing w:after="0"/>
              <w:rPr>
                <w:rFonts w:ascii="Times New Roman" w:cs="Times New Roman" w:eastAsia="Times New Roman" w:hAnsi="Times New Roman"/>
                <w:sz w:val="17"/>
                <w:szCs w:val="17"/>
                <w:color w:val="0000FF"/>
              </w:rPr>
            </w:pPr>
            <w:hyperlink r:id="rId488">
              <w:r>
                <w:rPr>
                  <w:rFonts w:ascii="Times New Roman" w:cs="Times New Roman" w:eastAsia="Times New Roman" w:hAnsi="Times New Roman"/>
                  <w:sz w:val="17"/>
                  <w:szCs w:val="17"/>
                  <w:color w:val="0000FF"/>
                </w:rPr>
                <w:t>Membership Interest Purchase Agreement, dated as of March 31, 2025, by and among Tusk Industrial OpCo Acquisition LLC and Met-Pro</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32"/>
          </w:tcPr>
          <w:p>
            <w:pPr>
              <w:ind w:left="20"/>
              <w:spacing w:after="0" w:line="183" w:lineRule="exact"/>
              <w:rPr>
                <w:rFonts w:ascii="Times New Roman" w:cs="Times New Roman" w:eastAsia="Times New Roman" w:hAnsi="Times New Roman"/>
                <w:sz w:val="17"/>
                <w:szCs w:val="17"/>
                <w:color w:val="0000FF"/>
              </w:rPr>
            </w:pPr>
            <w:hyperlink r:id="rId488">
              <w:r>
                <w:rPr>
                  <w:rFonts w:ascii="Times New Roman" w:cs="Times New Roman" w:eastAsia="Times New Roman" w:hAnsi="Times New Roman"/>
                  <w:sz w:val="17"/>
                  <w:szCs w:val="17"/>
                  <w:color w:val="0000FF"/>
                </w:rPr>
                <w:t>Technologies LLC (incorporated by reference to Exhibit 10.1 to the Company’s Current Report on Form 8-K filed with the SEC on April 4,</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ind w:left="20"/>
              <w:spacing w:after="0" w:line="183" w:lineRule="exact"/>
              <w:rPr>
                <w:rFonts w:ascii="Times New Roman" w:cs="Times New Roman" w:eastAsia="Times New Roman" w:hAnsi="Times New Roman"/>
                <w:sz w:val="17"/>
                <w:szCs w:val="17"/>
                <w:color w:val="0000FF"/>
                <w:w w:val="90"/>
              </w:rPr>
            </w:pPr>
            <w:hyperlink r:id="rId488">
              <w:r>
                <w:rPr>
                  <w:rFonts w:ascii="Times New Roman" w:cs="Times New Roman" w:eastAsia="Times New Roman" w:hAnsi="Times New Roman"/>
                  <w:sz w:val="17"/>
                  <w:szCs w:val="17"/>
                  <w:color w:val="0000FF"/>
                  <w:w w:val="90"/>
                </w:rPr>
                <w:t>2025)</w:t>
              </w:r>
            </w:hyperlink>
          </w:p>
        </w:tc>
        <w:tc>
          <w:tcPr>
            <w:tcW w:w="20" w:type="dxa"/>
            <w:vAlign w:val="bottom"/>
            <w:tcBorders>
              <w:top w:val="single" w:sz="8" w:color="0000FF"/>
              <w:bottom w:val="single" w:sz="8" w:color="0000EE"/>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20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^10.30</w:t>
            </w:r>
          </w:p>
        </w:tc>
        <w:tc>
          <w:tcPr>
            <w:tcW w:w="9600" w:type="dxa"/>
            <w:vAlign w:val="bottom"/>
            <w:tcBorders>
              <w:bottom w:val="single" w:sz="8" w:color="0000FF"/>
            </w:tcBorders>
            <w:gridSpan w:val="25"/>
          </w:tcPr>
          <w:p>
            <w:pPr>
              <w:ind w:left="20"/>
              <w:spacing w:after="0"/>
              <w:rPr>
                <w:rFonts w:ascii="Times New Roman" w:cs="Times New Roman" w:eastAsia="Times New Roman" w:hAnsi="Times New Roman"/>
                <w:sz w:val="17"/>
                <w:szCs w:val="17"/>
                <w:color w:val="0000FF"/>
              </w:rPr>
            </w:pPr>
            <w:hyperlink r:id="rId489">
              <w:r>
                <w:rPr>
                  <w:rFonts w:ascii="Times New Roman" w:cs="Times New Roman" w:eastAsia="Times New Roman" w:hAnsi="Times New Roman"/>
                  <w:sz w:val="17"/>
                  <w:szCs w:val="17"/>
                  <w:color w:val="0000FF"/>
                </w:rPr>
                <w:t>Equity Award Agreement between the Company and Todd R. Gleason, dated June 4, 2025 (incorporated by reference to Exhibit 10.1 to the</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5300" w:type="dxa"/>
            <w:vAlign w:val="bottom"/>
            <w:tcBorders>
              <w:bottom w:val="single" w:sz="8" w:color="0000FF"/>
            </w:tcBorders>
            <w:gridSpan w:val="16"/>
          </w:tcPr>
          <w:p>
            <w:pPr>
              <w:ind w:left="20"/>
              <w:spacing w:after="0" w:line="183" w:lineRule="exact"/>
              <w:rPr>
                <w:rFonts w:ascii="Times New Roman" w:cs="Times New Roman" w:eastAsia="Times New Roman" w:hAnsi="Times New Roman"/>
                <w:sz w:val="17"/>
                <w:szCs w:val="17"/>
                <w:color w:val="0000FF"/>
                <w:w w:val="99"/>
              </w:rPr>
            </w:pPr>
            <w:hyperlink r:id="rId489">
              <w:r>
                <w:rPr>
                  <w:rFonts w:ascii="Times New Roman" w:cs="Times New Roman" w:eastAsia="Times New Roman" w:hAnsi="Times New Roman"/>
                  <w:sz w:val="17"/>
                  <w:szCs w:val="17"/>
                  <w:color w:val="0000FF"/>
                  <w:w w:val="99"/>
                </w:rPr>
                <w:t>Company’s Current Report on Form 8-K filed with the SEC on June 6, 2025)</w:t>
              </w:r>
            </w:hyperlink>
          </w:p>
        </w:tc>
        <w:tc>
          <w:tcPr>
            <w:tcW w:w="20" w:type="dxa"/>
            <w:vAlign w:val="bottom"/>
            <w:tcBorders>
              <w:bottom w:val="single" w:sz="8" w:color="0000EE"/>
            </w:tcBorders>
          </w:tcPr>
          <w:p>
            <w:pPr>
              <w:spacing w:after="0"/>
              <w:rPr>
                <w:sz w:val="15"/>
                <w:szCs w:val="15"/>
                <w:color w:val="auto"/>
              </w:rPr>
            </w:pPr>
          </w:p>
        </w:tc>
        <w:tc>
          <w:tcPr>
            <w:tcW w:w="46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^10.31</w:t>
            </w:r>
          </w:p>
        </w:tc>
        <w:tc>
          <w:tcPr>
            <w:tcW w:w="10000" w:type="dxa"/>
            <w:vAlign w:val="bottom"/>
            <w:tcBorders>
              <w:bottom w:val="single" w:sz="8" w:color="0000FF"/>
            </w:tcBorders>
            <w:gridSpan w:val="32"/>
          </w:tcPr>
          <w:p>
            <w:pPr>
              <w:ind w:left="20"/>
              <w:spacing w:after="0"/>
              <w:rPr>
                <w:rFonts w:ascii="Times New Roman" w:cs="Times New Roman" w:eastAsia="Times New Roman" w:hAnsi="Times New Roman"/>
                <w:sz w:val="17"/>
                <w:szCs w:val="17"/>
                <w:color w:val="0000FF"/>
              </w:rPr>
            </w:pPr>
            <w:hyperlink r:id="rId490">
              <w:r>
                <w:rPr>
                  <w:rFonts w:ascii="Times New Roman" w:cs="Times New Roman" w:eastAsia="Times New Roman" w:hAnsi="Times New Roman"/>
                  <w:sz w:val="17"/>
                  <w:szCs w:val="17"/>
                  <w:color w:val="0000FF"/>
                </w:rPr>
                <w:t>Equity Award Agreement between the Company and Peter K. Johansson, dated September 12, 2025 (incorporated by reference to Exhibit 10.1 to</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6060" w:type="dxa"/>
            <w:vAlign w:val="bottom"/>
            <w:tcBorders>
              <w:bottom w:val="single" w:sz="8" w:color="0000FF"/>
            </w:tcBorders>
            <w:gridSpan w:val="19"/>
          </w:tcPr>
          <w:p>
            <w:pPr>
              <w:ind w:left="20"/>
              <w:spacing w:after="0" w:line="183" w:lineRule="exact"/>
              <w:rPr>
                <w:rFonts w:ascii="Times New Roman" w:cs="Times New Roman" w:eastAsia="Times New Roman" w:hAnsi="Times New Roman"/>
                <w:sz w:val="17"/>
                <w:szCs w:val="17"/>
                <w:color w:val="0000FF"/>
              </w:rPr>
            </w:pPr>
            <w:hyperlink r:id="rId490">
              <w:r>
                <w:rPr>
                  <w:rFonts w:ascii="Times New Roman" w:cs="Times New Roman" w:eastAsia="Times New Roman" w:hAnsi="Times New Roman"/>
                  <w:sz w:val="17"/>
                  <w:szCs w:val="17"/>
                  <w:color w:val="0000FF"/>
                </w:rPr>
                <w:t>the Company’s Current Report on Form 8-K filed with the SEC on September 16, 2025)</w:t>
              </w:r>
            </w:hyperlink>
          </w:p>
        </w:tc>
        <w:tc>
          <w:tcPr>
            <w:tcW w:w="20" w:type="dxa"/>
            <w:vAlign w:val="bottom"/>
            <w:tcBorders>
              <w:bottom w:val="single" w:sz="8" w:color="0000EE"/>
            </w:tcBorders>
          </w:tcPr>
          <w:p>
            <w:pPr>
              <w:spacing w:after="0"/>
              <w:rPr>
                <w:sz w:val="15"/>
                <w:szCs w:val="15"/>
                <w:color w:val="auto"/>
              </w:rPr>
            </w:pPr>
          </w:p>
        </w:tc>
        <w:tc>
          <w:tcPr>
            <w:tcW w:w="39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†10.32</w:t>
            </w:r>
          </w:p>
        </w:tc>
        <w:tc>
          <w:tcPr>
            <w:tcW w:w="9980" w:type="dxa"/>
            <w:vAlign w:val="bottom"/>
            <w:tcBorders>
              <w:bottom w:val="single" w:sz="8" w:color="0000FF"/>
            </w:tcBorders>
            <w:gridSpan w:val="31"/>
          </w:tcPr>
          <w:p>
            <w:pPr>
              <w:ind w:left="20"/>
              <w:spacing w:after="0"/>
              <w:rPr>
                <w:rFonts w:ascii="Times New Roman" w:cs="Times New Roman" w:eastAsia="Times New Roman" w:hAnsi="Times New Roman"/>
                <w:sz w:val="17"/>
                <w:szCs w:val="17"/>
                <w:color w:val="0000FF"/>
              </w:rPr>
            </w:pPr>
            <w:hyperlink r:id="rId491">
              <w:r>
                <w:rPr>
                  <w:rFonts w:ascii="Times New Roman" w:cs="Times New Roman" w:eastAsia="Times New Roman" w:hAnsi="Times New Roman"/>
                  <w:sz w:val="17"/>
                  <w:szCs w:val="17"/>
                  <w:color w:val="0000FF"/>
                </w:rPr>
                <w:t>Fourth Amended and Restated Credit Agreement, dated as of January 30, 2026, among CECO Environmental Corp., its subsidiaries from time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00" w:type="dxa"/>
            <w:vAlign w:val="bottom"/>
            <w:tcBorders>
              <w:bottom w:val="single" w:sz="8" w:color="0000FF"/>
            </w:tcBorders>
            <w:gridSpan w:val="32"/>
          </w:tcPr>
          <w:p>
            <w:pPr>
              <w:ind w:left="20"/>
              <w:spacing w:after="0" w:line="183" w:lineRule="exact"/>
              <w:rPr>
                <w:rFonts w:ascii="Times New Roman" w:cs="Times New Roman" w:eastAsia="Times New Roman" w:hAnsi="Times New Roman"/>
                <w:sz w:val="17"/>
                <w:szCs w:val="17"/>
                <w:color w:val="0000FF"/>
              </w:rPr>
            </w:pPr>
            <w:hyperlink r:id="rId491">
              <w:r>
                <w:rPr>
                  <w:rFonts w:ascii="Times New Roman" w:cs="Times New Roman" w:eastAsia="Times New Roman" w:hAnsi="Times New Roman"/>
                  <w:sz w:val="17"/>
                  <w:szCs w:val="17"/>
                  <w:color w:val="0000FF"/>
                </w:rPr>
                <w:t>time party thereto, the lenders from time to time party thereto, and Bank of America, N.A., as Administrative Agent (incorporated by reference to</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6920" w:type="dxa"/>
            <w:vAlign w:val="bottom"/>
            <w:tcBorders>
              <w:bottom w:val="single" w:sz="8" w:color="0000FF"/>
            </w:tcBorders>
            <w:gridSpan w:val="21"/>
          </w:tcPr>
          <w:p>
            <w:pPr>
              <w:ind w:left="20"/>
              <w:spacing w:after="0" w:line="183" w:lineRule="exact"/>
              <w:rPr>
                <w:rFonts w:ascii="Times New Roman" w:cs="Times New Roman" w:eastAsia="Times New Roman" w:hAnsi="Times New Roman"/>
                <w:sz w:val="17"/>
                <w:szCs w:val="17"/>
                <w:color w:val="0000FF"/>
              </w:rPr>
            </w:pPr>
            <w:hyperlink r:id="rId491">
              <w:r>
                <w:rPr>
                  <w:rFonts w:ascii="Times New Roman" w:cs="Times New Roman" w:eastAsia="Times New Roman" w:hAnsi="Times New Roman"/>
                  <w:sz w:val="17"/>
                  <w:szCs w:val="17"/>
                  <w:color w:val="0000FF"/>
                </w:rPr>
                <w:t>Exhibit 10.1 to the Company’s Current Report on Form 8-K filed with the SEC on February 4, 2026)</w:t>
              </w:r>
            </w:hyperlink>
          </w:p>
        </w:tc>
        <w:tc>
          <w:tcPr>
            <w:tcW w:w="30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^10.33</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CECO Environmental Corp. Deferred Compensation Plan for Non-Employee Directors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16.1</w:t>
            </w:r>
          </w:p>
        </w:tc>
        <w:tc>
          <w:tcPr>
            <w:tcW w:w="10000" w:type="dxa"/>
            <w:vAlign w:val="bottom"/>
            <w:tcBorders>
              <w:bottom w:val="single" w:sz="8" w:color="0000FF"/>
            </w:tcBorders>
            <w:gridSpan w:val="32"/>
          </w:tcPr>
          <w:p>
            <w:pPr>
              <w:ind w:left="20"/>
              <w:spacing w:after="0"/>
              <w:rPr>
                <w:rFonts w:ascii="Times New Roman" w:cs="Times New Roman" w:eastAsia="Times New Roman" w:hAnsi="Times New Roman"/>
                <w:sz w:val="17"/>
                <w:szCs w:val="17"/>
                <w:color w:val="0000FF"/>
              </w:rPr>
            </w:pPr>
            <w:hyperlink r:id="rId492">
              <w:r>
                <w:rPr>
                  <w:rFonts w:ascii="Times New Roman" w:cs="Times New Roman" w:eastAsia="Times New Roman" w:hAnsi="Times New Roman"/>
                  <w:sz w:val="17"/>
                  <w:szCs w:val="17"/>
                  <w:color w:val="0000FF"/>
                </w:rPr>
                <w:t>Letter from BDO USA, P.C. dated March 3, 2025 (incorporated by reference to Exhibit 16.1 to the Company’s Current Report on Form 8-K filed</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240" w:type="dxa"/>
            <w:vAlign w:val="bottom"/>
            <w:tcBorders>
              <w:bottom w:val="single" w:sz="8" w:color="0000FF"/>
            </w:tcBorders>
            <w:gridSpan w:val="6"/>
          </w:tcPr>
          <w:p>
            <w:pPr>
              <w:ind w:left="20"/>
              <w:spacing w:after="0" w:line="183" w:lineRule="exact"/>
              <w:rPr>
                <w:rFonts w:ascii="Times New Roman" w:cs="Times New Roman" w:eastAsia="Times New Roman" w:hAnsi="Times New Roman"/>
                <w:sz w:val="17"/>
                <w:szCs w:val="17"/>
                <w:color w:val="0000FF"/>
                <w:w w:val="99"/>
              </w:rPr>
            </w:pPr>
            <w:hyperlink r:id="rId492">
              <w:r>
                <w:rPr>
                  <w:rFonts w:ascii="Times New Roman" w:cs="Times New Roman" w:eastAsia="Times New Roman" w:hAnsi="Times New Roman"/>
                  <w:sz w:val="17"/>
                  <w:szCs w:val="17"/>
                  <w:color w:val="0000FF"/>
                  <w:w w:val="99"/>
                </w:rPr>
                <w:t>with the SEC on March 5, 2025)</w:t>
              </w:r>
            </w:hyperlink>
          </w:p>
        </w:tc>
        <w:tc>
          <w:tcPr>
            <w:tcW w:w="776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9920" w:type="dxa"/>
            <w:vAlign w:val="bottom"/>
            <w:tcBorders>
              <w:bottom w:val="single" w:sz="8" w:color="0000FF"/>
            </w:tcBorders>
            <w:gridSpan w:val="29"/>
          </w:tcPr>
          <w:p>
            <w:pPr>
              <w:ind w:left="20"/>
              <w:spacing w:after="0"/>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CECO Environmental Corp. Insider Trading Policy (incorporated by reference to Exhibit 19.1 to the Company’s Annual Report on Form</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10-K for the fiscal year ended December 31, 2024)</w:t>
              </w:r>
            </w:hyperlink>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370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63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19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7"/>
                <w:szCs w:val="17"/>
                <w:color w:val="0000FF"/>
              </w:rPr>
              <w:t>Consent of BDO USA, P.C.</w:t>
            </w:r>
          </w:p>
        </w:tc>
        <w:tc>
          <w:tcPr>
            <w:tcW w:w="802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Consent of Deloitte &amp; Touche LLP</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tcBorders>
              <w:right w:val="single" w:sz="8" w:color="0000EE"/>
            </w:tcBorders>
            <w:gridSpan w:val="7"/>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Rule 13(a)/15d-14(a) Certification by Chief Executive Officer</w:t>
            </w: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22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7"/>
                <w:szCs w:val="17"/>
                <w:color w:val="0000FF"/>
                <w:w w:val="99"/>
              </w:rPr>
              <w:t>Rule 13(a)/15d-14(a) Certification by Chief Financial Officer</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7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3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7"/>
                <w:szCs w:val="17"/>
                <w:color w:val="0000FF"/>
                <w:w w:val="99"/>
              </w:rPr>
              <w:t>Certification of Chief Executive Officer (18 U.S. Section 1350)</w:t>
            </w:r>
          </w:p>
        </w:tc>
        <w:tc>
          <w:tcPr>
            <w:tcW w:w="5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(18 U.S. Section 1350)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900" w:type="dxa"/>
            <w:vAlign w:val="bottom"/>
            <w:gridSpan w:val="10"/>
            <w:shd w:val="clear" w:color="auto" w:fill="0000FF"/>
          </w:tcPr>
          <w:p>
            <w:pPr>
              <w:spacing w:after="0" w:line="20" w:lineRule="exact"/>
              <w:rPr>
                <w:sz w:val="1"/>
                <w:szCs w:val="1"/>
                <w:color w:val="auto"/>
              </w:rPr>
            </w:pPr>
          </w:p>
        </w:tc>
        <w:tc>
          <w:tcPr>
            <w:tcW w:w="420" w:type="dxa"/>
            <w:vAlign w:val="bottom"/>
            <w:tcBorders>
              <w:right w:val="single" w:sz="8" w:color="0000EE"/>
            </w:tcBorders>
            <w:gridSpan w:val="4"/>
            <w:shd w:val="clear" w:color="auto" w:fill="0000FF"/>
          </w:tcPr>
          <w:p>
            <w:pPr>
              <w:spacing w:after="0" w:line="20" w:lineRule="exact"/>
              <w:rPr>
                <w:sz w:val="1"/>
                <w:szCs w:val="1"/>
                <w:color w:val="auto"/>
              </w:rPr>
            </w:pPr>
          </w:p>
        </w:tc>
        <w:tc>
          <w:tcPr>
            <w:tcW w:w="5320" w:type="dxa"/>
            <w:vAlign w:val="bottom"/>
            <w:gridSpan w:val="1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640" w:type="dxa"/>
            <w:vAlign w:val="bottom"/>
            <w:tcBorders>
              <w:bottom w:val="single" w:sz="8" w:color="0000FF"/>
            </w:tcBorders>
            <w:gridSpan w:val="27"/>
          </w:tcPr>
          <w:p>
            <w:pPr>
              <w:ind w:left="20"/>
              <w:spacing w:after="0"/>
              <w:rPr>
                <w:rFonts w:ascii="Times New Roman" w:cs="Times New Roman" w:eastAsia="Times New Roman" w:hAnsi="Times New Roman"/>
                <w:sz w:val="17"/>
                <w:szCs w:val="17"/>
                <w:color w:val="0000FF"/>
              </w:rPr>
            </w:pPr>
            <w:hyperlink r:id="rId494">
              <w:r>
                <w:rPr>
                  <w:rFonts w:ascii="Times New Roman" w:cs="Times New Roman" w:eastAsia="Times New Roman" w:hAnsi="Times New Roman"/>
                  <w:sz w:val="17"/>
                  <w:szCs w:val="17"/>
                  <w:color w:val="0000FF"/>
                </w:rPr>
                <w:t>CECO Environmental Corp. Compensation Recovery Policy (incorporated by reference to Exhibit 97.1 to the Company’s Annual Report on</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32"/>
          </w:tcPr>
          <w:p>
            <w:pPr>
              <w:ind w:left="20"/>
              <w:spacing w:after="0" w:line="183" w:lineRule="exact"/>
              <w:rPr>
                <w:rFonts w:ascii="Times New Roman" w:cs="Times New Roman" w:eastAsia="Times New Roman" w:hAnsi="Times New Roman"/>
                <w:sz w:val="17"/>
                <w:szCs w:val="17"/>
                <w:color w:val="0000FF"/>
              </w:rPr>
            </w:pPr>
            <w:hyperlink r:id="rId494">
              <w:r>
                <w:rPr>
                  <w:rFonts w:ascii="Times New Roman" w:cs="Times New Roman" w:eastAsia="Times New Roman" w:hAnsi="Times New Roman"/>
                  <w:sz w:val="17"/>
                  <w:szCs w:val="17"/>
                  <w:color w:val="0000FF"/>
                </w:rPr>
                <w:t>Form 10-K for the fiscal year ended December 31, 2023)</w:t>
              </w:r>
            </w:hyperlink>
          </w:p>
        </w:tc>
        <w:tc>
          <w:tcPr>
            <w:tcW w:w="0" w:type="dxa"/>
            <w:vAlign w:val="bottom"/>
          </w:tcPr>
          <w:p>
            <w:pPr>
              <w:spacing w:after="0"/>
              <w:rPr>
                <w:sz w:val="1"/>
                <w:szCs w:val="1"/>
                <w:color w:val="auto"/>
              </w:rPr>
            </w:pPr>
          </w:p>
        </w:tc>
      </w:tr>
      <w:tr>
        <w:trPr>
          <w:trHeight w:val="42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390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61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40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00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36"/>
        </w:trPr>
        <w:tc>
          <w:tcPr>
            <w:tcW w:w="1240" w:type="dxa"/>
            <w:vAlign w:val="bottom"/>
          </w:tcPr>
          <w:p>
            <w:pPr>
              <w:spacing w:after="0"/>
              <w:rPr>
                <w:sz w:val="24"/>
                <w:szCs w:val="24"/>
                <w:color w:val="auto"/>
              </w:rPr>
            </w:pPr>
          </w:p>
        </w:tc>
        <w:tc>
          <w:tcPr>
            <w:tcW w:w="5300" w:type="dxa"/>
            <w:vAlign w:val="bottom"/>
            <w:gridSpan w:val="16"/>
          </w:tcPr>
          <w:p>
            <w:pPr>
              <w:ind w:left="430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w:t>
      </w:r>
    </w:p>
    <w:p>
      <w:pPr>
        <w:spacing w:after="0" w:line="9" w:lineRule="exact"/>
        <w:rPr>
          <w:sz w:val="20"/>
          <w:szCs w:val="20"/>
          <w:color w:val="auto"/>
        </w:rPr>
      </w:pPr>
    </w:p>
    <w:p>
      <w:pPr>
        <w:ind w:firstLine="8"/>
        <w:spacing w:after="0" w:line="260"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6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r>
      <w:tr>
        <w:trPr>
          <w:trHeight w:val="223"/>
        </w:trPr>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Peter Johansson</w:t>
            </w:r>
          </w:p>
        </w:tc>
      </w:tr>
      <w:tr>
        <w:trPr>
          <w:trHeight w:val="216"/>
        </w:trPr>
        <w:tc>
          <w:tcPr>
            <w:tcW w:w="3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Officer</w:t>
            </w:r>
          </w:p>
        </w:tc>
      </w:tr>
      <w:tr>
        <w:trPr>
          <w:trHeight w:val="216"/>
        </w:trPr>
        <w:tc>
          <w:tcPr>
            <w:tcW w:w="3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March 2, 2026</w:t>
            </w:r>
          </w:p>
        </w:tc>
      </w:tr>
    </w:tbl>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205"/>
              <w:spacing w:after="0" w:line="126" w:lineRule="exact"/>
              <w:rPr>
                <w:sz w:val="20"/>
                <w:szCs w:val="20"/>
                <w:color w:val="auto"/>
              </w:rPr>
            </w:pPr>
            <w:r>
              <w:rPr>
                <w:rFonts w:ascii="Times New Roman" w:cs="Times New Roman" w:eastAsia="Times New Roman" w:hAnsi="Times New Roman"/>
                <w:sz w:val="13"/>
                <w:szCs w:val="13"/>
                <w:b w:val="1"/>
                <w:bCs w:val="1"/>
                <w:color w:val="auto"/>
              </w:rPr>
              <w:t>Todd Gleason</w:t>
            </w:r>
          </w:p>
        </w:tc>
        <w:tc>
          <w:tcPr>
            <w:tcW w:w="1260" w:type="dxa"/>
            <w:vAlign w:val="bottom"/>
          </w:tcPr>
          <w:p>
            <w:pPr>
              <w:spacing w:after="0"/>
              <w:rPr>
                <w:sz w:val="10"/>
                <w:szCs w:val="10"/>
                <w:color w:val="auto"/>
              </w:rPr>
            </w:pPr>
          </w:p>
        </w:tc>
      </w:tr>
      <w:tr>
        <w:trPr>
          <w:trHeight w:val="178"/>
        </w:trPr>
        <w:tc>
          <w:tcPr>
            <w:tcW w:w="55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Chief Executive Officer and Director</w:t>
            </w:r>
          </w:p>
        </w:tc>
        <w:tc>
          <w:tcPr>
            <w:tcW w:w="1260" w:type="dxa"/>
            <w:vAlign w:val="bottom"/>
          </w:tcPr>
          <w:p>
            <w:pPr>
              <w:spacing w:after="0"/>
              <w:rPr>
                <w:sz w:val="15"/>
                <w:szCs w:val="15"/>
                <w:color w:val="auto"/>
              </w:rPr>
            </w:pPr>
          </w:p>
        </w:tc>
      </w:tr>
      <w:tr>
        <w:trPr>
          <w:trHeight w:val="33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28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45"/>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185"/>
              <w:spacing w:after="0" w:line="126" w:lineRule="exact"/>
              <w:rPr>
                <w:sz w:val="20"/>
                <w:szCs w:val="20"/>
                <w:color w:val="auto"/>
              </w:rPr>
            </w:pPr>
            <w:r>
              <w:rPr>
                <w:rFonts w:ascii="Times New Roman" w:cs="Times New Roman" w:eastAsia="Times New Roman" w:hAnsi="Times New Roman"/>
                <w:sz w:val="13"/>
                <w:szCs w:val="13"/>
                <w:b w:val="1"/>
                <w:bCs w:val="1"/>
                <w:color w:val="auto"/>
              </w:rPr>
              <w:t>Peter Johansson</w:t>
            </w:r>
          </w:p>
        </w:tc>
        <w:tc>
          <w:tcPr>
            <w:tcW w:w="126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3540" w:type="dxa"/>
            <w:vAlign w:val="bottom"/>
            <w:gridSpan w:val="2"/>
          </w:tcPr>
          <w:p>
            <w:pPr>
              <w:jc w:val="center"/>
              <w:ind w:right="1945"/>
              <w:spacing w:after="0"/>
              <w:rPr>
                <w:sz w:val="20"/>
                <w:szCs w:val="20"/>
                <w:color w:val="auto"/>
              </w:rPr>
            </w:pPr>
            <w:r>
              <w:rPr>
                <w:rFonts w:ascii="Times New Roman" w:cs="Times New Roman" w:eastAsia="Times New Roman" w:hAnsi="Times New Roman"/>
                <w:sz w:val="13"/>
                <w:szCs w:val="13"/>
                <w:b w:val="1"/>
                <w:bCs w:val="1"/>
                <w:color w:val="auto"/>
              </w:rPr>
              <w:t>Chief Financial Officer</w:t>
            </w:r>
          </w:p>
        </w:tc>
        <w:tc>
          <w:tcPr>
            <w:tcW w:w="1260" w:type="dxa"/>
            <w:vAlign w:val="bottom"/>
          </w:tcPr>
          <w:p>
            <w:pPr>
              <w:spacing w:after="0"/>
              <w:rPr>
                <w:sz w:val="15"/>
                <w:szCs w:val="15"/>
                <w:color w:val="auto"/>
              </w:rPr>
            </w:pPr>
          </w:p>
        </w:tc>
      </w:tr>
      <w:tr>
        <w:trPr>
          <w:trHeight w:val="433"/>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3"/>
                <w:szCs w:val="13"/>
                <w:color w:val="auto"/>
              </w:rPr>
              <w:t>IRIL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OVACHEV</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205"/>
              <w:spacing w:after="0" w:line="126" w:lineRule="exact"/>
              <w:rPr>
                <w:sz w:val="20"/>
                <w:szCs w:val="20"/>
                <w:color w:val="auto"/>
              </w:rPr>
            </w:pPr>
            <w:r>
              <w:rPr>
                <w:rFonts w:ascii="Times New Roman" w:cs="Times New Roman" w:eastAsia="Times New Roman" w:hAnsi="Times New Roman"/>
                <w:sz w:val="13"/>
                <w:szCs w:val="13"/>
                <w:b w:val="1"/>
                <w:bCs w:val="1"/>
                <w:color w:val="auto"/>
              </w:rPr>
              <w:t>Kiril Kovachev</w:t>
            </w:r>
          </w:p>
        </w:tc>
        <w:tc>
          <w:tcPr>
            <w:tcW w:w="126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3540" w:type="dxa"/>
            <w:vAlign w:val="bottom"/>
            <w:gridSpan w:val="2"/>
          </w:tcPr>
          <w:p>
            <w:pPr>
              <w:jc w:val="center"/>
              <w:ind w:right="1945"/>
              <w:spacing w:after="0"/>
              <w:rPr>
                <w:sz w:val="20"/>
                <w:szCs w:val="20"/>
                <w:color w:val="auto"/>
              </w:rPr>
            </w:pPr>
            <w:r>
              <w:rPr>
                <w:rFonts w:ascii="Times New Roman" w:cs="Times New Roman" w:eastAsia="Times New Roman" w:hAnsi="Times New Roman"/>
                <w:sz w:val="13"/>
                <w:szCs w:val="13"/>
                <w:b w:val="1"/>
                <w:bCs w:val="1"/>
                <w:color w:val="auto"/>
              </w:rPr>
              <w:t>Chief Accounting Officer</w:t>
            </w:r>
          </w:p>
        </w:tc>
        <w:tc>
          <w:tcPr>
            <w:tcW w:w="1260" w:type="dxa"/>
            <w:vAlign w:val="bottom"/>
          </w:tcPr>
          <w:p>
            <w:pPr>
              <w:spacing w:after="0"/>
              <w:rPr>
                <w:sz w:val="15"/>
                <w:szCs w:val="15"/>
                <w:color w:val="auto"/>
              </w:rPr>
            </w:pPr>
          </w:p>
        </w:tc>
      </w:tr>
      <w:tr>
        <w:trPr>
          <w:trHeight w:val="3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3"/>
                <w:szCs w:val="13"/>
                <w:color w:val="auto"/>
              </w:rPr>
              <w:t>EZWIREK</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185"/>
              <w:spacing w:after="0" w:line="126" w:lineRule="exact"/>
              <w:rPr>
                <w:sz w:val="20"/>
                <w:szCs w:val="20"/>
                <w:color w:val="auto"/>
              </w:rPr>
            </w:pPr>
            <w:r>
              <w:rPr>
                <w:rFonts w:ascii="Times New Roman" w:cs="Times New Roman" w:eastAsia="Times New Roman" w:hAnsi="Times New Roman"/>
                <w:sz w:val="13"/>
                <w:szCs w:val="13"/>
                <w:b w:val="1"/>
                <w:bCs w:val="1"/>
                <w:color w:val="auto"/>
              </w:rPr>
              <w:t>Jason DeZwirek</w:t>
            </w:r>
          </w:p>
        </w:tc>
        <w:tc>
          <w:tcPr>
            <w:tcW w:w="1260" w:type="dxa"/>
            <w:vAlign w:val="bottom"/>
          </w:tcPr>
          <w:p>
            <w:pPr>
              <w:spacing w:after="0"/>
              <w:rPr>
                <w:sz w:val="10"/>
                <w:szCs w:val="10"/>
                <w:color w:val="auto"/>
              </w:rPr>
            </w:pPr>
          </w:p>
        </w:tc>
      </w:tr>
      <w:tr>
        <w:trPr>
          <w:trHeight w:val="178"/>
        </w:trPr>
        <w:tc>
          <w:tcPr>
            <w:tcW w:w="5560" w:type="dxa"/>
            <w:vAlign w:val="bottom"/>
            <w:gridSpan w:val="3"/>
          </w:tcPr>
          <w:p>
            <w:pPr>
              <w:ind w:left="1720"/>
              <w:spacing w:after="0"/>
              <w:rPr>
                <w:sz w:val="20"/>
                <w:szCs w:val="20"/>
                <w:color w:val="auto"/>
              </w:rPr>
            </w:pPr>
            <w:r>
              <w:rPr>
                <w:rFonts w:ascii="Times New Roman" w:cs="Times New Roman" w:eastAsia="Times New Roman" w:hAnsi="Times New Roman"/>
                <w:sz w:val="13"/>
                <w:szCs w:val="13"/>
                <w:b w:val="1"/>
                <w:bCs w:val="1"/>
                <w:color w:val="auto"/>
              </w:rPr>
              <w:t>Chairman of the Board and Director</w:t>
            </w:r>
          </w:p>
        </w:tc>
        <w:tc>
          <w:tcPr>
            <w:tcW w:w="1260" w:type="dxa"/>
            <w:vAlign w:val="bottom"/>
          </w:tcPr>
          <w:p>
            <w:pPr>
              <w:spacing w:after="0"/>
              <w:rPr>
                <w:sz w:val="15"/>
                <w:szCs w:val="15"/>
                <w:color w:val="auto"/>
              </w:rPr>
            </w:pPr>
          </w:p>
        </w:tc>
      </w:tr>
      <w:tr>
        <w:trPr>
          <w:trHeight w:val="338"/>
        </w:trPr>
        <w:tc>
          <w:tcPr>
            <w:tcW w:w="2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605"/>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NOWLING</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R.</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3540" w:type="dxa"/>
            <w:vAlign w:val="bottom"/>
            <w:gridSpan w:val="2"/>
          </w:tcPr>
          <w:p>
            <w:pPr>
              <w:jc w:val="center"/>
              <w:ind w:right="1945"/>
              <w:spacing w:after="0" w:line="126" w:lineRule="exact"/>
              <w:rPr>
                <w:sz w:val="20"/>
                <w:szCs w:val="20"/>
                <w:color w:val="auto"/>
              </w:rPr>
            </w:pPr>
            <w:r>
              <w:rPr>
                <w:rFonts w:ascii="Times New Roman" w:cs="Times New Roman" w:eastAsia="Times New Roman" w:hAnsi="Times New Roman"/>
                <w:sz w:val="13"/>
                <w:szCs w:val="13"/>
                <w:b w:val="1"/>
                <w:bCs w:val="1"/>
                <w:color w:val="auto"/>
              </w:rPr>
              <w:t>Robert E. Knowling Jr.</w:t>
            </w:r>
          </w:p>
        </w:tc>
        <w:tc>
          <w:tcPr>
            <w:tcW w:w="126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r>
        <w:trPr>
          <w:trHeight w:val="338"/>
        </w:trPr>
        <w:tc>
          <w:tcPr>
            <w:tcW w:w="2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545"/>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3"/>
                <w:szCs w:val="13"/>
                <w:color w:val="auto"/>
              </w:rPr>
              <w:t>LAUDIO</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3"/>
                <w:szCs w:val="13"/>
                <w:color w:val="auto"/>
              </w:rPr>
              <w:t>ANNARINO</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25"/>
        </w:trPr>
        <w:tc>
          <w:tcPr>
            <w:tcW w:w="2020" w:type="dxa"/>
            <w:vAlign w:val="bottom"/>
          </w:tcPr>
          <w:p>
            <w:pPr>
              <w:spacing w:after="0"/>
              <w:rPr>
                <w:sz w:val="10"/>
                <w:szCs w:val="10"/>
                <w:color w:val="auto"/>
              </w:rPr>
            </w:pPr>
          </w:p>
        </w:tc>
        <w:tc>
          <w:tcPr>
            <w:tcW w:w="3540" w:type="dxa"/>
            <w:vAlign w:val="bottom"/>
            <w:gridSpan w:val="2"/>
          </w:tcPr>
          <w:p>
            <w:pPr>
              <w:jc w:val="center"/>
              <w:ind w:right="1945"/>
              <w:spacing w:after="0" w:line="126" w:lineRule="exact"/>
              <w:rPr>
                <w:sz w:val="20"/>
                <w:szCs w:val="20"/>
                <w:color w:val="auto"/>
              </w:rPr>
            </w:pPr>
            <w:r>
              <w:rPr>
                <w:rFonts w:ascii="Times New Roman" w:cs="Times New Roman" w:eastAsia="Times New Roman" w:hAnsi="Times New Roman"/>
                <w:sz w:val="13"/>
                <w:szCs w:val="13"/>
                <w:b w:val="1"/>
                <w:bCs w:val="1"/>
                <w:color w:val="auto"/>
              </w:rPr>
              <w:t>Claudio A. Mannarino</w:t>
            </w:r>
          </w:p>
        </w:tc>
        <w:tc>
          <w:tcPr>
            <w:tcW w:w="126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r>
        <w:trPr>
          <w:trHeight w:val="332"/>
        </w:trPr>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65"/>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UNISH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ANDA</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32"/>
        </w:trPr>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jc w:val="center"/>
              <w:ind w:right="2185"/>
              <w:spacing w:after="0" w:line="132" w:lineRule="exact"/>
              <w:rPr>
                <w:sz w:val="20"/>
                <w:szCs w:val="20"/>
                <w:color w:val="auto"/>
              </w:rPr>
            </w:pPr>
            <w:r>
              <w:rPr>
                <w:rFonts w:ascii="Times New Roman" w:cs="Times New Roman" w:eastAsia="Times New Roman" w:hAnsi="Times New Roman"/>
                <w:sz w:val="13"/>
                <w:szCs w:val="13"/>
                <w:b w:val="1"/>
                <w:bCs w:val="1"/>
                <w:color w:val="auto"/>
              </w:rPr>
              <w:t>Munish Nanda</w:t>
            </w:r>
          </w:p>
        </w:tc>
        <w:tc>
          <w:tcPr>
            <w:tcW w:w="126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r>
        <w:trPr>
          <w:trHeight w:val="331"/>
        </w:trPr>
        <w:tc>
          <w:tcPr>
            <w:tcW w:w="20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605"/>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3"/>
                <w:szCs w:val="13"/>
                <w:color w:val="auto"/>
              </w:rPr>
              <w:t>ALERIE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ENTILE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ACHS</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32"/>
        </w:trPr>
        <w:tc>
          <w:tcPr>
            <w:tcW w:w="2020" w:type="dxa"/>
            <w:vAlign w:val="bottom"/>
          </w:tcPr>
          <w:p>
            <w:pPr>
              <w:spacing w:after="0"/>
              <w:rPr>
                <w:sz w:val="11"/>
                <w:szCs w:val="11"/>
                <w:color w:val="auto"/>
              </w:rPr>
            </w:pPr>
          </w:p>
        </w:tc>
        <w:tc>
          <w:tcPr>
            <w:tcW w:w="3540" w:type="dxa"/>
            <w:vAlign w:val="bottom"/>
            <w:gridSpan w:val="2"/>
          </w:tcPr>
          <w:p>
            <w:pPr>
              <w:jc w:val="center"/>
              <w:ind w:right="1945"/>
              <w:spacing w:after="0" w:line="132" w:lineRule="exact"/>
              <w:rPr>
                <w:sz w:val="20"/>
                <w:szCs w:val="20"/>
                <w:color w:val="auto"/>
              </w:rPr>
            </w:pPr>
            <w:r>
              <w:rPr>
                <w:rFonts w:ascii="Times New Roman" w:cs="Times New Roman" w:eastAsia="Times New Roman" w:hAnsi="Times New Roman"/>
                <w:sz w:val="13"/>
                <w:szCs w:val="13"/>
                <w:b w:val="1"/>
                <w:bCs w:val="1"/>
                <w:color w:val="auto"/>
              </w:rPr>
              <w:t>Valerie Gentile Sachs</w:t>
            </w:r>
          </w:p>
        </w:tc>
        <w:tc>
          <w:tcPr>
            <w:tcW w:w="126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r>
        <w:trPr>
          <w:trHeight w:val="332"/>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65"/>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3"/>
                <w:szCs w:val="13"/>
                <w:color w:val="auto"/>
              </w:rPr>
              <w:t>AURIE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3"/>
                <w:szCs w:val="13"/>
                <w:color w:val="auto"/>
              </w:rPr>
              <w:t>IEGEL</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32"/>
        </w:trPr>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jc w:val="center"/>
              <w:ind w:right="2205"/>
              <w:spacing w:after="0" w:line="132" w:lineRule="exact"/>
              <w:rPr>
                <w:sz w:val="20"/>
                <w:szCs w:val="20"/>
                <w:color w:val="auto"/>
              </w:rPr>
            </w:pPr>
            <w:r>
              <w:rPr>
                <w:rFonts w:ascii="Times New Roman" w:cs="Times New Roman" w:eastAsia="Times New Roman" w:hAnsi="Times New Roman"/>
                <w:sz w:val="13"/>
                <w:szCs w:val="13"/>
                <w:b w:val="1"/>
                <w:bCs w:val="1"/>
                <w:color w:val="auto"/>
              </w:rPr>
              <w:t>Laurie A. Siegel</w:t>
            </w:r>
          </w:p>
        </w:tc>
        <w:tc>
          <w:tcPr>
            <w:tcW w:w="126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r>
        <w:trPr>
          <w:trHeight w:val="331"/>
        </w:trPr>
        <w:tc>
          <w:tcPr>
            <w:tcW w:w="2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565"/>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W</w:t>
            </w:r>
            <w:r>
              <w:rPr>
                <w:rFonts w:ascii="Times New Roman" w:cs="Times New Roman" w:eastAsia="Times New Roman" w:hAnsi="Times New Roman"/>
                <w:sz w:val="13"/>
                <w:szCs w:val="13"/>
                <w:color w:val="auto"/>
              </w:rPr>
              <w:t>ALLMAN</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132"/>
        </w:trPr>
        <w:tc>
          <w:tcPr>
            <w:tcW w:w="2020" w:type="dxa"/>
            <w:vAlign w:val="bottom"/>
          </w:tcPr>
          <w:p>
            <w:pPr>
              <w:spacing w:after="0"/>
              <w:rPr>
                <w:sz w:val="11"/>
                <w:szCs w:val="11"/>
                <w:color w:val="auto"/>
              </w:rPr>
            </w:pPr>
          </w:p>
        </w:tc>
        <w:tc>
          <w:tcPr>
            <w:tcW w:w="3540" w:type="dxa"/>
            <w:vAlign w:val="bottom"/>
            <w:gridSpan w:val="2"/>
          </w:tcPr>
          <w:p>
            <w:pPr>
              <w:jc w:val="center"/>
              <w:ind w:right="1945"/>
              <w:spacing w:after="0" w:line="132" w:lineRule="exact"/>
              <w:rPr>
                <w:sz w:val="20"/>
                <w:szCs w:val="20"/>
                <w:color w:val="auto"/>
              </w:rPr>
            </w:pPr>
            <w:r>
              <w:rPr>
                <w:rFonts w:ascii="Times New Roman" w:cs="Times New Roman" w:eastAsia="Times New Roman" w:hAnsi="Times New Roman"/>
                <w:sz w:val="13"/>
                <w:szCs w:val="13"/>
                <w:b w:val="1"/>
                <w:bCs w:val="1"/>
                <w:color w:val="auto"/>
              </w:rPr>
              <w:t>Richard F. Wallman</w:t>
            </w:r>
          </w:p>
        </w:tc>
        <w:tc>
          <w:tcPr>
            <w:tcW w:w="126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DEFERRED COMPENSATION PLAN FOR NON-EMPLOYEE DIRECTORS</w:t>
      </w:r>
    </w:p>
    <w:p>
      <w:pPr>
        <w:spacing w:after="0" w:line="203" w:lineRule="exact"/>
        <w:rPr>
          <w:sz w:val="20"/>
          <w:szCs w:val="20"/>
          <w:color w:val="auto"/>
        </w:rPr>
      </w:pPr>
    </w:p>
    <w:p>
      <w:pPr>
        <w:jc w:val="both"/>
        <w:ind w:firstLine="8"/>
        <w:spacing w:after="0" w:line="256" w:lineRule="auto"/>
        <w:tabs>
          <w:tab w:leader="none" w:pos="5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 and Effective Date.</w:t>
      </w:r>
      <w:r>
        <w:rPr>
          <w:rFonts w:ascii="Times New Roman" w:cs="Times New Roman" w:eastAsia="Times New Roman" w:hAnsi="Times New Roman"/>
          <w:sz w:val="20"/>
          <w:szCs w:val="20"/>
          <w:color w:val="auto"/>
        </w:rPr>
        <w:t xml:space="preserve"> The purpose of this Plan is to provide the non-employee members of the Board of Directors (the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of CECO Environmental Corp., a Delaware corporation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with an opportunity to defer payment of all or a portion of their cash and equity compensation. The Plan shall be effective as of January 1, 2023 (the “</w:t>
      </w: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right="20" w:firstLine="8"/>
        <w:spacing w:after="0" w:line="269" w:lineRule="auto"/>
        <w:tabs>
          <w:tab w:leader="none" w:pos="5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The following terms shall have the meanings given in this section unless a different meaning is clearly implied by the context:</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“Cash Compensation” </w:t>
      </w:r>
      <w:r>
        <w:rPr>
          <w:rFonts w:ascii="Times New Roman" w:cs="Times New Roman" w:eastAsia="Times New Roman" w:hAnsi="Times New Roman"/>
          <w:sz w:val="20"/>
          <w:szCs w:val="20"/>
          <w:color w:val="auto"/>
        </w:rPr>
        <w:t>means compensation payable to a director in cash for serving as a member of the Board, but excluding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expense reimbursements.</w:t>
      </w:r>
    </w:p>
    <w:p>
      <w:pPr>
        <w:spacing w:after="0" w:line="16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“Change in Control” </w:t>
      </w:r>
      <w:r>
        <w:rPr>
          <w:rFonts w:ascii="Times New Roman" w:cs="Times New Roman" w:eastAsia="Times New Roman" w:hAnsi="Times New Roman"/>
          <w:sz w:val="20"/>
          <w:szCs w:val="20"/>
          <w:color w:val="auto"/>
        </w:rPr>
        <w:t>shall have the same meaning as defined in the CECO Environmental Corp. Executive Change in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Severance Plan as in effect on the Effective Date; provided, that, for purposes of this Plan, in no event will a Change in Control be deemed to have occurred if the transaction is not also a “change in control event” under Section 409A (defined below).</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“Common Stock” </w:t>
      </w:r>
      <w:r>
        <w:rPr>
          <w:rFonts w:ascii="Times New Roman" w:cs="Times New Roman" w:eastAsia="Times New Roman" w:hAnsi="Times New Roman"/>
          <w:sz w:val="20"/>
          <w:szCs w:val="20"/>
          <w:color w:val="auto"/>
        </w:rPr>
        <w:t>means the common stock of the Company.</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“Compensation Committee” </w:t>
      </w:r>
      <w:r>
        <w:rPr>
          <w:rFonts w:ascii="Times New Roman" w:cs="Times New Roman" w:eastAsia="Times New Roman" w:hAnsi="Times New Roman"/>
          <w:sz w:val="20"/>
          <w:szCs w:val="20"/>
          <w:color w:val="auto"/>
        </w:rPr>
        <w:t>means the Compensation Committee of the Board.</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“Deferred Compensation Account” </w:t>
      </w:r>
      <w:r>
        <w:rPr>
          <w:rFonts w:ascii="Times New Roman" w:cs="Times New Roman" w:eastAsia="Times New Roman" w:hAnsi="Times New Roman"/>
          <w:sz w:val="19"/>
          <w:szCs w:val="19"/>
          <w:color w:val="auto"/>
        </w:rPr>
        <w:t>means an account maintained for each director who makes a deferral election as described in</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Section 4.</w:t>
      </w:r>
    </w:p>
    <w:p>
      <w:pPr>
        <w:spacing w:after="0" w:line="203" w:lineRule="exact"/>
        <w:rPr>
          <w:rFonts w:ascii="Times New Roman" w:cs="Times New Roman" w:eastAsia="Times New Roman" w:hAnsi="Times New Roman"/>
          <w:sz w:val="19"/>
          <w:szCs w:val="19"/>
          <w:color w:val="auto"/>
        </w:rPr>
      </w:pPr>
    </w:p>
    <w:p>
      <w:pPr>
        <w:ind w:firstLine="757"/>
        <w:spacing w:after="0" w:line="273"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“Deferred Stock Unit” </w:t>
      </w:r>
      <w:r>
        <w:rPr>
          <w:rFonts w:ascii="Times New Roman" w:cs="Times New Roman" w:eastAsia="Times New Roman" w:hAnsi="Times New Roman"/>
          <w:sz w:val="20"/>
          <w:szCs w:val="20"/>
          <w:color w:val="auto"/>
        </w:rPr>
        <w:t>means a Stock Unit that is received by a participant pursuant to this Plan and provides for the deferred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receipt compensation.</w:t>
      </w:r>
    </w:p>
    <w:p>
      <w:pPr>
        <w:spacing w:after="0" w:line="165"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“Director Compensation” </w:t>
      </w:r>
      <w:r>
        <w:rPr>
          <w:rFonts w:ascii="Times New Roman" w:cs="Times New Roman" w:eastAsia="Times New Roman" w:hAnsi="Times New Roman"/>
          <w:sz w:val="20"/>
          <w:szCs w:val="20"/>
          <w:color w:val="auto"/>
        </w:rPr>
        <w:t>means Cash Compensation and Restricted Stock Units, or any other cash- or equity-based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eligible for deferral, as determined by the Board.</w:t>
      </w:r>
    </w:p>
    <w:p>
      <w:pPr>
        <w:spacing w:after="0" w:line="165"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“Equity Plan” </w:t>
      </w:r>
      <w:r>
        <w:rPr>
          <w:rFonts w:ascii="Times New Roman" w:cs="Times New Roman" w:eastAsia="Times New Roman" w:hAnsi="Times New Roman"/>
          <w:sz w:val="20"/>
          <w:szCs w:val="20"/>
          <w:color w:val="auto"/>
        </w:rPr>
        <w:t>means the Company’s 2021 Equity and Incentive Compensation Plan, as it may be amended or restated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time, or, to the extent applicable, any future or successor equity compensation plan of the Company</w:t>
      </w:r>
    </w:p>
    <w:p>
      <w:pPr>
        <w:spacing w:after="0" w:line="16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“Fair Market Value” </w:t>
      </w:r>
      <w:r>
        <w:rPr>
          <w:rFonts w:ascii="Times New Roman" w:cs="Times New Roman" w:eastAsia="Times New Roman" w:hAnsi="Times New Roman"/>
          <w:sz w:val="20"/>
          <w:szCs w:val="20"/>
          <w:color w:val="auto"/>
        </w:rPr>
        <w:t>means “Fair Market Value” as defined in the Equity Plan.</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“Plan” </w:t>
      </w:r>
      <w:r>
        <w:rPr>
          <w:rFonts w:ascii="Times New Roman" w:cs="Times New Roman" w:eastAsia="Times New Roman" w:hAnsi="Times New Roman"/>
          <w:sz w:val="20"/>
          <w:szCs w:val="20"/>
          <w:color w:val="auto"/>
        </w:rPr>
        <w:t>means this CECO Environmental Corp. Deferred Compensation Plan for Non-Employee Directors.</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“Plan Year” </w:t>
      </w:r>
      <w:r>
        <w:rPr>
          <w:rFonts w:ascii="Times New Roman" w:cs="Times New Roman" w:eastAsia="Times New Roman" w:hAnsi="Times New Roman"/>
          <w:sz w:val="20"/>
          <w:szCs w:val="20"/>
          <w:color w:val="auto"/>
        </w:rPr>
        <w:t>means a calendar year.</w:t>
      </w:r>
    </w:p>
    <w:p>
      <w:pPr>
        <w:spacing w:after="0" w:line="229"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“Plan Administrator” </w:t>
      </w:r>
      <w:r>
        <w:rPr>
          <w:rFonts w:ascii="Times New Roman" w:cs="Times New Roman" w:eastAsia="Times New Roman" w:hAnsi="Times New Roman"/>
          <w:sz w:val="20"/>
          <w:szCs w:val="20"/>
          <w:color w:val="auto"/>
        </w:rPr>
        <w:t>means the Board; provided that the Board may delegate the day-to-day administration of the Plan and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administrative tasks that do not involve substantive changes to the Plan to the Company’s management or their designees.</w:t>
      </w:r>
    </w:p>
    <w:p>
      <w:pPr>
        <w:spacing w:after="0" w:line="16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i w:val="1"/>
          <w:iCs w:val="1"/>
          <w:color w:val="auto"/>
        </w:rPr>
        <w:t>“Restricted Stock Units”</w:t>
      </w:r>
      <w:r>
        <w:rPr>
          <w:rFonts w:ascii="Times New Roman" w:cs="Times New Roman" w:eastAsia="Times New Roman" w:hAnsi="Times New Roman"/>
          <w:sz w:val="20"/>
          <w:szCs w:val="20"/>
          <w:color w:val="auto"/>
        </w:rPr>
        <w:t xml:space="preserve"> means “Restricted Stock Units” as defined in the Equity Plan and granted to a director for serving as a member of Board.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(n) </w:t>
      </w:r>
      <w:r>
        <w:rPr>
          <w:rFonts w:ascii="Times New Roman" w:cs="Times New Roman" w:eastAsia="Times New Roman" w:hAnsi="Times New Roman"/>
          <w:sz w:val="20"/>
          <w:szCs w:val="20"/>
          <w:i w:val="1"/>
          <w:iCs w:val="1"/>
          <w:color w:val="auto"/>
        </w:rPr>
        <w:t>“Section 409A</w:t>
      </w:r>
      <w:r>
        <w:rPr>
          <w:rFonts w:ascii="Times New Roman" w:cs="Times New Roman" w:eastAsia="Times New Roman" w:hAnsi="Times New Roman"/>
          <w:sz w:val="20"/>
          <w:szCs w:val="20"/>
          <w:color w:val="auto"/>
        </w:rPr>
        <w:t>” means Section 409A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1</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6" w:name="page97"/>
    <w:bookmarkEnd w:id="96"/>
    <w:p>
      <w:pPr>
        <w:spacing w:after="0" w:line="199" w:lineRule="exact"/>
        <w:rPr>
          <w:sz w:val="20"/>
          <w:szCs w:val="20"/>
          <w:color w:val="auto"/>
        </w:rPr>
      </w:pPr>
    </w:p>
    <w:p>
      <w:pPr>
        <w:ind w:left="1020" w:hanging="263"/>
        <w:spacing w:after="0"/>
        <w:tabs>
          <w:tab w:leader="none" w:pos="10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means a “separation from service” within the meaning of Section 409A.</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Unit” </w:t>
      </w:r>
      <w:r>
        <w:rPr>
          <w:rFonts w:ascii="Times New Roman" w:cs="Times New Roman" w:eastAsia="Times New Roman" w:hAnsi="Times New Roman"/>
          <w:sz w:val="20"/>
          <w:szCs w:val="20"/>
          <w:color w:val="auto"/>
        </w:rPr>
        <w:t>means an economic unit equal in value to one share (or fraction thereof) of Common Stock.</w:t>
      </w:r>
    </w:p>
    <w:p>
      <w:pPr>
        <w:spacing w:after="0" w:line="233" w:lineRule="exact"/>
        <w:rPr>
          <w:rFonts w:ascii="Times New Roman" w:cs="Times New Roman" w:eastAsia="Times New Roman" w:hAnsi="Times New Roman"/>
          <w:sz w:val="20"/>
          <w:szCs w:val="20"/>
          <w:color w:val="auto"/>
        </w:rPr>
      </w:pPr>
    </w:p>
    <w:p>
      <w:pPr>
        <w:ind w:firstLine="8"/>
        <w:spacing w:after="0" w:line="269" w:lineRule="auto"/>
        <w:tabs>
          <w:tab w:leader="none" w:pos="50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xml:space="preserve"> All members of the Board who are not employees of the Company or any subsidiary of the Company shall be eligible to participate in the Plan.</w:t>
      </w:r>
    </w:p>
    <w:p>
      <w:pPr>
        <w:spacing w:after="0" w:line="172"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Election to Defer Director Compensation.</w:t>
      </w:r>
    </w:p>
    <w:p>
      <w:pPr>
        <w:spacing w:after="0" w:line="225"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Manner and Amount of Deferral Election</w:t>
      </w:r>
      <w:r>
        <w:rPr>
          <w:rFonts w:ascii="Times New Roman" w:cs="Times New Roman" w:eastAsia="Times New Roman" w:hAnsi="Times New Roman"/>
          <w:sz w:val="20"/>
          <w:szCs w:val="20"/>
          <w:color w:val="auto"/>
        </w:rPr>
        <w:t>. A participant may elect to defer receipt of all or a specified portion of his or 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 Compensation by giving written notice on an election form provided by the Plan Administrator specifying the amount of the deferral, or by indicating the deferral election and amount of the deferral in any other way specified by the Plan Administrator. A participant’s election to defer is irrevocable and may not be changed, except as may be provided in the election form or other method specified by the Plan Administrator.</w:t>
      </w:r>
    </w:p>
    <w:p>
      <w:pPr>
        <w:spacing w:after="0" w:line="19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of Election</w:t>
      </w:r>
      <w:r>
        <w:rPr>
          <w:rFonts w:ascii="Times New Roman" w:cs="Times New Roman" w:eastAsia="Times New Roman" w:hAnsi="Times New Roman"/>
          <w:sz w:val="20"/>
          <w:szCs w:val="20"/>
          <w:color w:val="auto"/>
        </w:rPr>
        <w:t>. Elections to defer the Director Compensation shall be made at the following times:</w:t>
      </w:r>
    </w:p>
    <w:p>
      <w:pPr>
        <w:spacing w:after="0" w:line="233"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elect to defer Director Compensation at such time or times during the calendar year as permitted by the Plan Administrator; provided, however, that deferral elections shall, unless the Plan Administrator determines that another timeframe will comply with the election timing requirements of Section 409A, be required to be completed and submitted to the Plan Administrator on or before the December 31 of the year preceding the year in which any of the services to which the Director’s Compensation relates will be performed. Except as expressly permitted by the Plan Administrator and specified in a deferral election form in a manner that complies with Section 409A, a deferral election shall be effective for Cash Compensation earned and Restricted Stock Units granted in the calendar year immediately following the year in which the election is made.</w:t>
      </w:r>
    </w:p>
    <w:p>
      <w:pPr>
        <w:spacing w:after="0" w:line="19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nominee for election to director (who is not at the time of nomination a sitting director and was not previously eligible to participate in this Plan) may elect to defer Director Compensation no later than 30 days after the date of the director’s commencement of services as a director. Such deferral election shall be effective for Cash Compensation earned and Restricted Stock Units granted following the later of (A) the date of the director’s commencement of services as a director, and (B) the date an irrevocable election form is filed with the Company.</w:t>
      </w:r>
    </w:p>
    <w:p>
      <w:pPr>
        <w:spacing w:after="0" w:line="194"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Duration of Deferral Election</w:t>
      </w:r>
      <w:r>
        <w:rPr>
          <w:rFonts w:ascii="Times New Roman" w:cs="Times New Roman" w:eastAsia="Times New Roman" w:hAnsi="Times New Roman"/>
          <w:sz w:val="20"/>
          <w:szCs w:val="20"/>
          <w:color w:val="auto"/>
        </w:rPr>
        <w:t>. Unless otherwise specified in a deferral election form in a manner permitted by the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a deferral election will only apply to one Plan Year. A participant must make a new deferral election with respect to each Plan Year that the participant decides to defer Director Compensation.</w:t>
      </w:r>
    </w:p>
    <w:p>
      <w:pPr>
        <w:spacing w:after="0" w:line="186" w:lineRule="exact"/>
        <w:rPr>
          <w:rFonts w:ascii="Times New Roman" w:cs="Times New Roman" w:eastAsia="Times New Roman" w:hAnsi="Times New Roman"/>
          <w:sz w:val="20"/>
          <w:szCs w:val="20"/>
          <w:color w:val="auto"/>
        </w:rPr>
      </w:pPr>
    </w:p>
    <w:p>
      <w:pPr>
        <w:ind w:firstLine="8"/>
        <w:spacing w:after="0" w:line="269" w:lineRule="auto"/>
        <w:tabs>
          <w:tab w:leader="none" w:pos="50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Deferred Compensation Accounts</w:t>
      </w:r>
      <w:r>
        <w:rPr>
          <w:rFonts w:ascii="Times New Roman" w:cs="Times New Roman" w:eastAsia="Times New Roman" w:hAnsi="Times New Roman"/>
          <w:sz w:val="20"/>
          <w:szCs w:val="20"/>
          <w:color w:val="auto"/>
        </w:rPr>
        <w:t>. The Company shall establish on its books and records a Deferred Compensation Account for each participant, as provided below.</w:t>
      </w:r>
    </w:p>
    <w:p>
      <w:pPr>
        <w:spacing w:after="0" w:line="168" w:lineRule="exact"/>
        <w:rPr>
          <w:rFonts w:ascii="Times New Roman" w:cs="Times New Roman" w:eastAsia="Times New Roman" w:hAnsi="Times New Roman"/>
          <w:sz w:val="20"/>
          <w:szCs w:val="20"/>
          <w:color w:val="auto"/>
        </w:rPr>
      </w:pPr>
    </w:p>
    <w:p>
      <w:pPr>
        <w:jc w:val="both"/>
        <w:ind w:firstLine="757"/>
        <w:spacing w:after="0" w:line="276" w:lineRule="auto"/>
        <w:tabs>
          <w:tab w:leader="none" w:pos="1018"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Crediting of Cash Compensation</w:t>
      </w:r>
      <w:r>
        <w:rPr>
          <w:rFonts w:ascii="Times New Roman" w:cs="Times New Roman" w:eastAsia="Times New Roman" w:hAnsi="Times New Roman"/>
          <w:sz w:val="19"/>
          <w:szCs w:val="19"/>
          <w:color w:val="auto"/>
        </w:rPr>
        <w:t>. Deferred Cash Compensation shall be credited to the participant’s Deferred Compensation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 in the form of Deferred Stock Units on the date the deferred Cash Compensation would otherwise have been paid. On such date, the Company shall credit the Deferred Compensation Account with a number of Deferred Stock Units determined by dividing (i) the portion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2</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0"/>
          <w:szCs w:val="20"/>
          <w:color w:val="auto"/>
        </w:rPr>
        <w:t>the Cash Compensation that the participant elected to defer, by (ii) the Fair Market Value of a share of Common Stock on such date, rounded down to the nearest whole Deferred Stock Unit. No fractional Deferred Stock Units will be credited to a participant’s account. Unused cash attributable to a fractional Deferred Stock Unit will be refunded to the participant in cash as soon as practicable following the original payment date. A participant will be fully vested in each Deferred Stock Unit that relates to deferred Cash Compensation.</w:t>
      </w:r>
    </w:p>
    <w:p>
      <w:pPr>
        <w:spacing w:after="0" w:line="189" w:lineRule="exact"/>
        <w:rPr>
          <w:sz w:val="20"/>
          <w:szCs w:val="20"/>
          <w:color w:val="auto"/>
        </w:rPr>
      </w:pPr>
    </w:p>
    <w:p>
      <w:pPr>
        <w:jc w:val="both"/>
        <w:ind w:firstLine="757"/>
        <w:spacing w:after="0" w:line="247"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Crediting of Restricted Stock Units</w:t>
      </w:r>
      <w:r>
        <w:rPr>
          <w:rFonts w:ascii="Times New Roman" w:cs="Times New Roman" w:eastAsia="Times New Roman" w:hAnsi="Times New Roman"/>
          <w:sz w:val="20"/>
          <w:szCs w:val="20"/>
          <w:color w:val="auto"/>
        </w:rPr>
        <w:t>. Deferred Restricted Stock Units shall be credited to the participant’s Deferred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Account in an equal amount of Deferred Stock Units. The Deferred Stock Units related to such deferred Restricted Stock Units shall be subject to the same vesting or other forfeiture restrictions that would have otherwise applied to such Restricted Stock Units. In the event the participant forfeits Deferred Stock Units in accordance with the foregoing, the participant’s Deferred Compensation Account shall be debited for the number of Deferred Stock Units forfeited.</w:t>
      </w:r>
    </w:p>
    <w:p>
      <w:pPr>
        <w:spacing w:after="0" w:line="193"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 Equivalents</w:t>
      </w:r>
      <w:r>
        <w:rPr>
          <w:rFonts w:ascii="Times New Roman" w:cs="Times New Roman" w:eastAsia="Times New Roman" w:hAnsi="Times New Roman"/>
          <w:sz w:val="20"/>
          <w:szCs w:val="20"/>
          <w:color w:val="auto"/>
        </w:rPr>
        <w:t>. Each Deferred Stock Unit credited to a participant’s Deferred Compensation Account shall carry with it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right to receive dividend equivalents in respect of the share of Common Stock underlying such Deferred Stock Unit. Dividend equivalents shall be credited to participants’ Deferred Compensation Accounts on the Company’s applicable dividend payment date based on the number of Deferred Stock Units, whether vested or unvested, held in the director’s Deferred Compensation Account on the applicable Company record date. The dividend equivalent right associated with a Deferred Stock Unit shall remain outstanding until the delivery to the participant of the shares of Common Stock underlying such Deferred Stock Unit, and the dividend equivalents credited to a participant’s Deferred Compensation Account shall be paid to the participant in cash when the Deferred Stock Units to which such dividend equivalents relate are settled.</w:t>
      </w:r>
    </w:p>
    <w:p>
      <w:pPr>
        <w:spacing w:after="0" w:line="19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Adjustment of Deferred Stock Units</w:t>
      </w:r>
      <w:r>
        <w:rPr>
          <w:rFonts w:ascii="Times New Roman" w:cs="Times New Roman" w:eastAsia="Times New Roman" w:hAnsi="Times New Roman"/>
          <w:sz w:val="20"/>
          <w:szCs w:val="20"/>
          <w:color w:val="auto"/>
        </w:rPr>
        <w:t>. If the number of outstanding shares of Common Stock is increased or decreased 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Common Stock are changed into or exchanged for a different number or kind of stock or other securities of the Company on account of any recapitalization, reclassification, stock split, reverse split, combination of stock, exchange of stock, stock dividend, or other distribution payable in capital stock, or other increase or decrease in such stock effected without receipt of consideration by the Company occurring after the Effective Date (including any adjustment event described in Section 11 of the Equity Plan), the Plan Administrator will make appropriate adjustments to (i) the number and kind of shares of Common Stock for which Deferred Stock Units are outstanding, and</w:t>
      </w:r>
    </w:p>
    <w:p>
      <w:pPr>
        <w:ind w:left="300" w:hanging="292"/>
        <w:spacing w:after="0"/>
        <w:tabs>
          <w:tab w:leader="none" w:pos="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Deferred Stock Units credited to each participant’s Deferred Compensation Account.</w:t>
      </w:r>
    </w:p>
    <w:p>
      <w:pPr>
        <w:spacing w:after="0" w:line="207"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Deferred Compensation</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Distributions</w:t>
      </w:r>
      <w:r>
        <w:rPr>
          <w:rFonts w:ascii="Times New Roman" w:cs="Times New Roman" w:eastAsia="Times New Roman" w:hAnsi="Times New Roman"/>
          <w:sz w:val="20"/>
          <w:szCs w:val="20"/>
          <w:color w:val="auto"/>
        </w:rPr>
        <w:t>. The Deferred Stock Units shall be settled on the earliest to occur of:</w:t>
      </w:r>
    </w:p>
    <w:p>
      <w:pPr>
        <w:spacing w:after="0" w:line="233"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Separation from Service;</w:t>
      </w:r>
    </w:p>
    <w:p>
      <w:pPr>
        <w:spacing w:after="0" w:line="22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w:t>
      </w:r>
    </w:p>
    <w:p>
      <w:pPr>
        <w:spacing w:after="0" w:line="22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Disability; and</w:t>
      </w:r>
    </w:p>
    <w:p>
      <w:pPr>
        <w:spacing w:after="0" w:line="22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death.</w:t>
      </w:r>
    </w:p>
    <w:p>
      <w:pPr>
        <w:spacing w:after="0" w:line="22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Settlement shall be made by (x) 90 days following Separation from Service or Disability, (y) 30 days following a Change in Control, or (z) December 31 of the first calendar year following the year of death, as applicable. Notwithstanding anything to the contrary in the Plan, if on the date of the participant’s Separation from Service, the participant is a “</w:t>
      </w:r>
      <w:r>
        <w:rPr>
          <w:rFonts w:ascii="Times New Roman" w:cs="Times New Roman" w:eastAsia="Times New Roman" w:hAnsi="Times New Roman"/>
          <w:sz w:val="20"/>
          <w:szCs w:val="20"/>
          <w:i w:val="1"/>
          <w:iCs w:val="1"/>
          <w:color w:val="auto"/>
        </w:rPr>
        <w:t>specified employee</w:t>
      </w:r>
      <w:r>
        <w:rPr>
          <w:rFonts w:ascii="Times New Roman" w:cs="Times New Roman" w:eastAsia="Times New Roman" w:hAnsi="Times New Roman"/>
          <w:sz w:val="20"/>
          <w:szCs w:val="20"/>
          <w:color w:val="auto"/>
        </w:rPr>
        <w:t>” within the meaning of Section 409A,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3</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20"/>
          <w:szCs w:val="20"/>
          <w:color w:val="auto"/>
        </w:rPr>
        <w:t>the extent required to comply with Section 409A, the payment will occur on the later to occur of (x) the scheduled distribution date and (y) the first day of the seventh month following the date of the participant’s Separation from Service or, if earlier, the date of the participant’s death.</w:t>
      </w:r>
    </w:p>
    <w:p>
      <w:pPr>
        <w:spacing w:after="0" w:line="184" w:lineRule="exact"/>
        <w:rPr>
          <w:sz w:val="20"/>
          <w:szCs w:val="20"/>
          <w:color w:val="auto"/>
        </w:rPr>
      </w:pPr>
    </w:p>
    <w:p>
      <w:pPr>
        <w:jc w:val="both"/>
        <w:ind w:firstLine="757"/>
        <w:spacing w:after="0" w:line="250"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Medium of Payment</w:t>
      </w:r>
      <w:r>
        <w:rPr>
          <w:rFonts w:ascii="Times New Roman" w:cs="Times New Roman" w:eastAsia="Times New Roman" w:hAnsi="Times New Roman"/>
          <w:sz w:val="20"/>
          <w:szCs w:val="20"/>
          <w:color w:val="auto"/>
        </w:rPr>
        <w:t>. Payments from the Deferred Compensation Account shall be made in a whole share of Common Stock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whole Deferred Stock Unit, and in cash for any fractional Deferred Stock Unit; provided, that, the Company may choose in its discretion to pay the participant cash of an equivalent Fair Market Value in lieu of all or a portion of the shares of Common Stock. Deferred Stock Units issued to and shares of Common Stock paid to participants under the Plan shall be issued and paid from the Equity Plan.</w:t>
      </w:r>
    </w:p>
    <w:p>
      <w:pPr>
        <w:spacing w:after="0" w:line="193" w:lineRule="exact"/>
        <w:rPr>
          <w:rFonts w:ascii="Times New Roman" w:cs="Times New Roman" w:eastAsia="Times New Roman" w:hAnsi="Times New Roman"/>
          <w:sz w:val="20"/>
          <w:szCs w:val="20"/>
          <w:color w:val="auto"/>
        </w:rPr>
      </w:pPr>
    </w:p>
    <w:p>
      <w:pPr>
        <w:jc w:val="both"/>
        <w:ind w:firstLine="8"/>
        <w:spacing w:after="0" w:line="246" w:lineRule="auto"/>
        <w:tabs>
          <w:tab w:leader="none" w:pos="5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Promise to Pay; No Segregation of Funds or Assets</w:t>
      </w:r>
      <w:r>
        <w:rPr>
          <w:rFonts w:ascii="Times New Roman" w:cs="Times New Roman" w:eastAsia="Times New Roman" w:hAnsi="Times New Roman"/>
          <w:sz w:val="20"/>
          <w:szCs w:val="20"/>
          <w:color w:val="auto"/>
        </w:rPr>
        <w:t>. Nothing in this Plan shall require the segregation of any assets of the Company or any type of funding by the Company, it being the intention of the parties that the Plan be an unfunded arrangement for federal income tax purposes. No participant shall have any rights to or interest in any specific assets or shares of Common Stock by reason of the Plan, and any participant’s rights to enforce payment of the obligations of the Company hereunder shall be those of a general creditor of the Company.</w:t>
      </w:r>
    </w:p>
    <w:p>
      <w:pPr>
        <w:spacing w:after="0" w:line="198" w:lineRule="exact"/>
        <w:rPr>
          <w:rFonts w:ascii="Times New Roman" w:cs="Times New Roman" w:eastAsia="Times New Roman" w:hAnsi="Times New Roman"/>
          <w:sz w:val="20"/>
          <w:szCs w:val="20"/>
          <w:color w:val="auto"/>
        </w:rPr>
      </w:pPr>
    </w:p>
    <w:p>
      <w:pPr>
        <w:jc w:val="both"/>
        <w:ind w:firstLine="8"/>
        <w:spacing w:after="0" w:line="246" w:lineRule="auto"/>
        <w:tabs>
          <w:tab w:leader="none" w:pos="5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Nonassignability; Beneficiary Designation</w:t>
      </w:r>
      <w:r>
        <w:rPr>
          <w:rFonts w:ascii="Times New Roman" w:cs="Times New Roman" w:eastAsia="Times New Roman" w:hAnsi="Times New Roman"/>
          <w:sz w:val="20"/>
          <w:szCs w:val="20"/>
          <w:color w:val="auto"/>
        </w:rPr>
        <w:t>. The right of a participant to receive any unpaid portion of the participant’s Deferred Compensation Account shall not be assigned, transferred, pledged or encumbered or subjected in any manner to alienation or anticipation. However, in the event of a participant’s death, the Company will pay the unpaid portion of the participant’s Deferred Compensation Account to the participant’s designated beneficiaries. If the participant fails to complete a valid beneficiary designation, the participant’s beneficiary will be his or her estate.</w:t>
      </w:r>
    </w:p>
    <w:p>
      <w:pPr>
        <w:spacing w:after="0" w:line="198" w:lineRule="exact"/>
        <w:rPr>
          <w:rFonts w:ascii="Times New Roman" w:cs="Times New Roman" w:eastAsia="Times New Roman" w:hAnsi="Times New Roman"/>
          <w:sz w:val="20"/>
          <w:szCs w:val="20"/>
          <w:color w:val="auto"/>
        </w:rPr>
      </w:pPr>
    </w:p>
    <w:p>
      <w:pPr>
        <w:jc w:val="both"/>
        <w:ind w:firstLine="8"/>
        <w:spacing w:after="0" w:line="246" w:lineRule="auto"/>
        <w:tabs>
          <w:tab w:leader="none" w:pos="5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xml:space="preserve"> The Plan will be administered under the supervision of the Plan Administrator. The Plan Administrator will prescribe guidelines and forms for the implementation and administration of the Plan, interpret the terms of the Plan, and make all other substantive decisions regarding the operation of the Plan. The Plan Administrator’s decisions in its administration of the Plan are conclusive and binding on all persons. Any participant claiming a benefit, requesting an interpretation or ruling, or requesting information under the Plan shall present the request in writing to the Plan Administrator, who shall respond in writing as soon as practicable.</w:t>
      </w:r>
    </w:p>
    <w:p>
      <w:pPr>
        <w:spacing w:after="0" w:line="198" w:lineRule="exact"/>
        <w:rPr>
          <w:rFonts w:ascii="Times New Roman" w:cs="Times New Roman" w:eastAsia="Times New Roman" w:hAnsi="Times New Roman"/>
          <w:sz w:val="20"/>
          <w:szCs w:val="20"/>
          <w:color w:val="auto"/>
        </w:rPr>
      </w:pPr>
    </w:p>
    <w:p>
      <w:pPr>
        <w:jc w:val="both"/>
        <w:ind w:firstLine="8"/>
        <w:spacing w:after="0" w:line="242" w:lineRule="auto"/>
        <w:tabs>
          <w:tab w:leader="none" w:pos="5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xml:space="preserve"> The Plan is intended to comply with Section 409A and any regulations and guidance thereunder and shall be interpreted and operated in accordance with such intent. Notwithstanding anything to the contrary in the Plan, neither the Company, its affiliates, the Board, nor the Compensation Committee will have any obligation to take any action to prevent the assessment of any excise tax or penalty on any participant under Section 409A, and neither the Company, its affiliates, the Board, nor the Compensation Committee will have any liability to any participant for such tax or penalty. The laws of the State of Delaware shall govern all questions of law arising with respect to the Plan, without regard to the choice of law principles of any jurisdiction, except where the laws governing the Plan are preempted by the laws of the United States. The Plan is intended to be construed so that participation in the Plan will be exempt from Section 16(b) of the Securities Exchange Act of 1934, as amended, pursuant to regulations and interpretations issued from time to time by the Securities and Exchange Commission. If any provision of the Plan is held to be illegal or void, such illegality or invalidity shall not affect the remaining provisions of the Plan, but shall be fully severable, and the Plan shall be construed and enforced as if the illegal or invalid provision had never been inserted. This document constitutes the entire Plan, and supersedes any prior oral or written agreements on the subject matter hereof.</w:t>
      </w:r>
    </w:p>
    <w:p>
      <w:pPr>
        <w:spacing w:after="0" w:line="200" w:lineRule="exact"/>
        <w:rPr>
          <w:rFonts w:ascii="Times New Roman" w:cs="Times New Roman" w:eastAsia="Times New Roman" w:hAnsi="Times New Roman"/>
          <w:sz w:val="20"/>
          <w:szCs w:val="20"/>
          <w:color w:val="auto"/>
        </w:rPr>
      </w:pPr>
    </w:p>
    <w:p>
      <w:pPr>
        <w:ind w:firstLine="8"/>
        <w:spacing w:after="0" w:line="269" w:lineRule="auto"/>
        <w:tabs>
          <w:tab w:leader="none" w:pos="5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Any notice under the Plan shall be in writing, or by electronic means, and shall be received when actually delivered, or mailed posted paid as first-class U.S. mail. Notices shall be directed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ind w:firstLine="509"/>
        <w:spacing w:after="0" w:line="269" w:lineRule="auto"/>
        <w:rPr>
          <w:sz w:val="20"/>
          <w:szCs w:val="20"/>
          <w:color w:val="auto"/>
        </w:rPr>
      </w:pPr>
      <w:r>
        <w:rPr>
          <w:rFonts w:ascii="Times New Roman" w:cs="Times New Roman" w:eastAsia="Times New Roman" w:hAnsi="Times New Roman"/>
          <w:sz w:val="20"/>
          <w:szCs w:val="20"/>
          <w:color w:val="auto"/>
        </w:rPr>
        <w:t>Company at its principal business office at 14651 Dallas Parkway, Suite 500, Dallas, TX 75254 Attn: Plan Administrator for the Deferred Compensation Plan.</w:t>
      </w:r>
    </w:p>
    <w:p>
      <w:pPr>
        <w:spacing w:after="0" w:line="173" w:lineRule="exact"/>
        <w:rPr>
          <w:sz w:val="20"/>
          <w:szCs w:val="20"/>
          <w:color w:val="auto"/>
        </w:rPr>
      </w:pPr>
    </w:p>
    <w:p>
      <w:pPr>
        <w:jc w:val="both"/>
        <w:ind w:firstLine="8"/>
        <w:spacing w:after="0" w:line="249" w:lineRule="auto"/>
        <w:tabs>
          <w:tab w:leader="none" w:pos="50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All awards of Deferred Stock Units under the Plan will be subject to mandatory repayment by the participant to the Company to the extent the participant is, or in the future becomes, subject to any Company or affiliate “claw-back” or recoupment policy that is adopted to comply with the requirements of any applicable law, rule, regulation or otherwise, or any law, rule, or regulation that imposes mandatory recoupment, under circumstances set forth in such law, rule or regulation.</w:t>
      </w:r>
    </w:p>
    <w:p>
      <w:pPr>
        <w:spacing w:after="0" w:line="193" w:lineRule="exact"/>
        <w:rPr>
          <w:rFonts w:ascii="Times New Roman" w:cs="Times New Roman" w:eastAsia="Times New Roman" w:hAnsi="Times New Roman"/>
          <w:sz w:val="20"/>
          <w:szCs w:val="20"/>
          <w:color w:val="auto"/>
        </w:rPr>
      </w:pPr>
    </w:p>
    <w:p>
      <w:pPr>
        <w:jc w:val="both"/>
        <w:ind w:firstLine="8"/>
        <w:spacing w:after="0" w:line="245" w:lineRule="auto"/>
        <w:tabs>
          <w:tab w:leader="none" w:pos="50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The Board may amend, suspend, or terminate the Plan at any time and for any reason. No amendment, suspension, or termination will, without the consent of the participant, materially impair rights or obligations under any Deferred Stock Units previously awarded to the participant under the Plan, except as provided below. The Board may terminate the Plan and distribute the Deferred Compensation Accounts to participants in accordance with and subject to the rules of Treas. Reg. Section 1.409A-3(j)(4)(ix), or successor provisions, and any generally applicable guidance issued by the Internal Revenue Service permitting such termination and distribution.</w:t>
      </w:r>
    </w:p>
    <w:p>
      <w:pPr>
        <w:spacing w:after="0" w:line="197"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the Plan shall constitute a guaranty by the Company, the Compensation Committee, the Plan Administrator, or any other person or entity, that the assets of the Company will be sufficient to pay any benefit hereunder. No participant or beneficiary shall have any right to receive a distribution under the Plan except in accordance with the terms of the Plan.</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the Plan shall not be construed to give any participant the right to be retained as a member of the Board.</w:t>
      </w:r>
    </w:p>
    <w:p>
      <w:pPr>
        <w:spacing w:after="0" w:line="22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of any person or entity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or entity, including claims for alimony, support, separate maintenance and claims in bankruptcy proceedings.</w:t>
      </w:r>
    </w:p>
    <w:p>
      <w:pPr>
        <w:spacing w:after="0" w:line="193"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person entitled to a payment under the Plan is deemed by the Company to be incapable of personally receiving and giving a valid receipt for such payment, then, unless and until claim therefore shall have been made by a duly appointed guardian or other legal representative of such person, the Company may provide for such payment or any part thereof to be made to any other person or institution that is contributing toward or providing for the care and maintenance of such person. Any such payment shall be a payment for the account of such person and a complete discharge of any liability of the Company, the Compensation Committee, the Plan Administrator, and the Plan therefor.</w:t>
      </w:r>
    </w:p>
    <w:p>
      <w:pPr>
        <w:spacing w:after="0" w:line="197"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participant or beneficiary shall keep the Plan Administrator informed of his or her current address. The Plan Administrator shall not be obligated to search for the whereabouts of any person. If the location of a participant is not made known to the Plan Administrator within three years after the date on which payment of the participant’s benefits under the Plan may first be made, payment may be made as though the participant had died at the end of the three-year period. If, within one additional year after such three-year period has elapsed, or, within three years after the actual death of a participant, the Plan Administrator is unable to locate any beneficiary of the participant, then the Company shall have no further obligation to pay any benefit hereunder to such participant, or beneficiary or any other person and such benefit shall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5</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03" w:lineRule="exact"/>
        <w:rPr>
          <w:sz w:val="20"/>
          <w:szCs w:val="20"/>
          <w:color w:val="auto"/>
        </w:rPr>
      </w:pPr>
    </w:p>
    <w:p>
      <w:pPr>
        <w:jc w:val="both"/>
        <w:ind w:firstLine="757"/>
        <w:spacing w:after="0" w:line="249"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of the preceding provisions of the Plan, none of the Company, any member of the Compensation Committee, any Plan Administrator or any individual acting as an employee or agent of the Company, the Committee, or the Plan Administrator, shall be liable to any participant, former participant, or any beneficiary or other person for any claim, loss, liability or expense incurred by such participant, or beneficiary or other person in connection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4"/>
          <w:szCs w:val="14"/>
          <w:color w:val="auto"/>
        </w:rPr>
        <w:t>Deferred Compensation Plan for Non-Employee Directors</w:t>
      </w:r>
      <w:r>
        <w:rPr>
          <w:sz w:val="20"/>
          <w:szCs w:val="20"/>
          <w:color w:val="auto"/>
        </w:rPr>
        <w:tab/>
      </w:r>
      <w:r>
        <w:rPr>
          <w:rFonts w:ascii="Times New Roman" w:cs="Times New Roman" w:eastAsia="Times New Roman" w:hAnsi="Times New Roman"/>
          <w:sz w:val="14"/>
          <w:szCs w:val="14"/>
          <w:color w:val="auto"/>
        </w:rPr>
        <w:t>|Page 6</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4869-2204-7803.4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6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2"/>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6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State/County</w:t>
            </w:r>
          </w:p>
        </w:tc>
      </w:tr>
      <w:tr>
        <w:trPr>
          <w:trHeight w:val="216"/>
        </w:trPr>
        <w:tc>
          <w:tcPr>
            <w:tcW w:w="100" w:type="dxa"/>
            <w:vAlign w:val="bottom"/>
          </w:tcPr>
          <w:p>
            <w:pPr>
              <w:spacing w:after="0"/>
              <w:rPr>
                <w:sz w:val="18"/>
                <w:szCs w:val="18"/>
                <w:color w:val="auto"/>
              </w:rPr>
            </w:pPr>
          </w:p>
        </w:tc>
        <w:tc>
          <w:tcPr>
            <w:tcW w:w="888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Aarding Thermal Acoustics B.V.</w:t>
            </w:r>
          </w:p>
        </w:tc>
        <w:tc>
          <w:tcPr>
            <w:tcW w:w="22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Aarding Thermal Acoustics USA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Arkanum Management Limited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Solutions India Private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(Shanghai) Co., Ltd.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Arabia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Asia Pacific Pte. Ltd.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Corp.</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IP Inc.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Mexico S. de R. L. de C. V.</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Middle East DMCC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Netherlands B.V.</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Technologies DWC-LLC (Newly incorporated)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Group Global Holdings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Group, Inc.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Industrial Solutions,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Mexico Holdings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Peerless (China) Environmental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Peerless (China) Environmental Co., Ltd. - Shanghai Branch</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Peerless China Holdings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Compass Water Solutions, Inc.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DS21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of Korea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Pinnacle Processes Inc.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Emtrol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Emtrol LLC - UK Branch</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Emtrol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EnviroCare International,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Environmental Integrated Solutions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FKI,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Flextor,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Rubber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H.M. White,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Kemco Systems Co.,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Malvar Engineering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Mefiag B.V.</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Met-Pro Technologies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Peerless Europe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Peerless Europe, Ltd - Dubai Branch</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Peerless Mfg. Co.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Pinnacle Process Solutions,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Prochem, ULC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Profire Combustion, Inc.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8"/>
                <w:szCs w:val="18"/>
                <w:color w:val="auto"/>
              </w:rPr>
            </w:pPr>
          </w:p>
        </w:tc>
      </w:tr>
      <w:tr>
        <w:trPr>
          <w:trHeight w:val="198"/>
        </w:trPr>
        <w:tc>
          <w:tcPr>
            <w:tcW w:w="100" w:type="dxa"/>
            <w:vAlign w:val="bottom"/>
          </w:tcPr>
          <w:p>
            <w:pPr>
              <w:spacing w:after="0"/>
              <w:rPr>
                <w:sz w:val="17"/>
                <w:szCs w:val="17"/>
                <w:color w:val="auto"/>
              </w:rPr>
            </w:pPr>
          </w:p>
        </w:tc>
        <w:tc>
          <w:tcPr>
            <w:tcW w:w="8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Profire Energy, Inc.</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7"/>
                <w:szCs w:val="17"/>
                <w:color w:val="auto"/>
              </w:rPr>
            </w:pPr>
          </w:p>
        </w:tc>
      </w:tr>
      <w:tr>
        <w:trPr>
          <w:trHeight w:val="234"/>
        </w:trPr>
        <w:tc>
          <w:tcPr>
            <w:tcW w:w="8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Kirk &amp; Blum Manufacturing Company</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Transcend Solutions, LLC</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Verantis (Singapore) Pte.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Verantis Corporation</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Verantis Environmental Solutions (India) Private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Verantis Environmental Solutions Group (Shanghai) Co. Ltd.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Verantis Holdings,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Wakefield Acoustics Limited</w:t>
            </w: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979"/>
        </w:trPr>
        <w:tc>
          <w:tcPr>
            <w:tcW w:w="1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Western Air Ducts (UK) Limited</w:t>
            </w:r>
          </w:p>
        </w:tc>
        <w:tc>
          <w:tcPr>
            <w:tcW w:w="408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10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WK Asia-Pacific Environmental PTE. LTD.</w:t>
            </w:r>
          </w:p>
        </w:tc>
        <w:tc>
          <w:tcPr>
            <w:tcW w:w="406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w w:val="98"/>
              </w:rPr>
              <w:t>Singapore</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WK Wärmetechnische Anlagen, Kessel- und Apparatebau GmbH</w:t>
            </w:r>
          </w:p>
        </w:tc>
        <w:tc>
          <w:tcPr>
            <w:tcW w:w="4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WK-AP-China Environmental Co., Ltd.</w:t>
            </w:r>
          </w:p>
        </w:tc>
        <w:tc>
          <w:tcPr>
            <w:tcW w:w="4060" w:type="dxa"/>
            <w:vAlign w:val="bottom"/>
            <w:shd w:val="clear" w:color="auto" w:fill="CFF0FC"/>
          </w:tcPr>
          <w:p>
            <w:pPr>
              <w:jc w:val="center"/>
              <w:ind w:left="1710"/>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WK-Systems India Private Limited</w:t>
            </w:r>
          </w:p>
        </w:tc>
        <w:tc>
          <w:tcPr>
            <w:tcW w:w="40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7"/>
              </w:rPr>
              <w:t>India</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WK-Systems, Inc.</w:t>
            </w:r>
          </w:p>
        </w:tc>
        <w:tc>
          <w:tcPr>
            <w:tcW w:w="406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18"/>
                <w:szCs w:val="18"/>
                <w:color w:val="auto"/>
              </w:rPr>
            </w:pPr>
          </w:p>
        </w:tc>
      </w:tr>
      <w:tr>
        <w:trPr>
          <w:trHeight w:val="979"/>
        </w:trPr>
        <w:tc>
          <w:tcPr>
            <w:tcW w:w="1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333-291117) and Form S-8 (Nos. 333-239224, 333-239707, and 333-256466) of CECO Environmental Corp. (the Company) of our report dated February 25, 2025, except for the effects of the change in segment profit measure described in Note 16, as to which the date is March 2, 2026, relating to the consolidated financial statements, which appears in this Annual Report on Form 10-K.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P.C.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Cincinnati, Ohio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1082675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333-291117 on Form S-3 and Registration Statement Nos. 333-256466, 333-239707, and 333-239224 on Form S-8 of our reports dated March 2, 2026, relating to the consolidated financial statements of CECO Environmental Corp. and subsidiaries (“CECO”) and the effectiveness of CECO’s internal control over financial reporting, appearing in the Annual Report on Form 10-K of CECO for the year ended December 31,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2025,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6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2025, as filed with the Securities and Exchange Commission on the date hereof (the “Report”), I, Peter Johansson, Chief Financial and Strategy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2"/>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9"/>
    </w:lvl>
  </w:abstractNum>
  <w:abstractNum w:abstractNumId="22">
    <w:nsid w:val="5E884ADC"/>
    <w:multiLevelType w:val="hybridMultilevel"/>
    <w:lvl w:ilvl="0">
      <w:lvlJc w:val="left"/>
      <w:lvlText w:val="%1."/>
      <w:numFmt w:val="decimal"/>
      <w:start w:val="10"/>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1"/>
    </w:lvl>
  </w:abstractNum>
  <w:abstractNum w:abstractNumId="25">
    <w:nsid w:val="580BD78F"/>
    <w:multiLevelType w:val="hybridMultilevel"/>
    <w:lvl w:ilvl="0">
      <w:lvlJc w:val="left"/>
      <w:lvlText w:val="%1."/>
      <w:numFmt w:val="decimal"/>
      <w:start w:val="14"/>
    </w:lvl>
  </w:abstractNum>
  <w:abstractNum w:abstractNumId="26">
    <w:nsid w:val="153EA438"/>
    <w:multiLevelType w:val="hybridMultilevel"/>
    <w:lvl w:ilvl="0">
      <w:lvlJc w:val="left"/>
      <w:lvlText w:val="%1."/>
      <w:numFmt w:val="decimal"/>
      <w:start w:val="15"/>
    </w:lvl>
  </w:abstractNum>
  <w:abstractNum w:abstractNumId="27">
    <w:nsid w:val="3855585C"/>
    <w:multiLevelType w:val="hybridMultilevel"/>
    <w:lvl w:ilvl="0">
      <w:lvlJc w:val="left"/>
      <w:lvlText w:val="%1."/>
      <w:numFmt w:val="decimal"/>
      <w:start w:val="16"/>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3"/>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3"/>
    </w:lvl>
  </w:abstractNum>
  <w:abstractNum w:abstractNumId="34">
    <w:nsid w:val="57E4CCAF"/>
    <w:multiLevelType w:val="hybridMultilevel"/>
    <w:lvl w:ilvl="0">
      <w:lvlJc w:val="left"/>
      <w:lvlText w:val="%1."/>
      <w:numFmt w:val="decimal"/>
      <w:start w:val="17"/>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lvl w:ilvl="1">
      <w:lvlJc w:val="left"/>
      <w:lvlText w:val="(%2)"/>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43">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4">
    <w:nsid w:val="749ABB43"/>
    <w:multiLevelType w:val="hybridMultilevel"/>
    <w:lvl w:ilvl="0">
      <w:lvlJc w:val="left"/>
      <w:lvlText w:val="%1"/>
      <w:numFmt w:val="lowerLetter"/>
      <w:start w:val="1"/>
    </w:lvl>
    <w:lvl w:ilvl="1">
      <w:lvlJc w:val="left"/>
      <w:lvlText w:val="(%2)"/>
      <w:numFmt w:val="lowerLetter"/>
      <w:start w:val="2"/>
    </w:lvl>
  </w:abstractNum>
  <w:abstractNum w:abstractNumId="45">
    <w:nsid w:val="3DC240FB"/>
    <w:multiLevelType w:val="hybridMultilevel"/>
    <w:lvl w:ilvl="0">
      <w:lvlJc w:val="left"/>
      <w:lvlText w:val="(%1)"/>
      <w:numFmt w:val="lowerLetter"/>
      <w:start w:val="35"/>
    </w:lvl>
    <w:lvl w:ilvl="1">
      <w:lvlJc w:val="left"/>
      <w:lvlText w:val="%2"/>
      <w:numFmt w:val="lowerLetter"/>
      <w:start w:val="1"/>
    </w:lvl>
  </w:abstractNum>
  <w:abstractNum w:abstractNumId="46">
    <w:nsid w:val="1BA026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
    <w:nsid w:val="79A1DEAA"/>
    <w:multiLevelType w:val="hybridMultilevel"/>
    <w:lvl w:ilvl="0">
      <w:lvlJc w:val="left"/>
      <w:lvlText w:val="%1"/>
      <w:numFmt w:val="decimal"/>
      <w:start w:val="1"/>
    </w:lvl>
    <w:lvl w:ilvl="1">
      <w:lvlJc w:val="left"/>
      <w:lvlText w:val="(%2)"/>
      <w:numFmt w:val="lowerLetter"/>
      <w:start w:val="2"/>
    </w:lvl>
  </w:abstractNum>
  <w:abstractNum w:abstractNumId="48">
    <w:nsid w:val="75C6C33A"/>
    <w:multiLevelType w:val="hybridMultilevel"/>
    <w:lvl w:ilvl="0">
      <w:lvlJc w:val="left"/>
      <w:lvlText w:val="%1."/>
      <w:numFmt w:val="decimal"/>
      <w:start w:val="7"/>
    </w:lvl>
    <w:lvl w:ilvl="1">
      <w:lvlJc w:val="left"/>
      <w:lvlText w:val="%2"/>
      <w:numFmt w:val="lowerLetter"/>
      <w:start w:val="1"/>
    </w:lvl>
  </w:abstractNum>
  <w:abstractNum w:abstractNumId="49">
    <w:nsid w:val="12E685FB"/>
    <w:multiLevelType w:val="hybridMultilevel"/>
    <w:lvl w:ilvl="0">
      <w:lvlJc w:val="left"/>
      <w:lvlText w:val="%1."/>
      <w:numFmt w:val="decimal"/>
      <w:start w:val="12"/>
    </w:lvl>
    <w:lvl w:ilvl="1">
      <w:lvlJc w:val="left"/>
      <w:lvlText w:val="(%2)"/>
      <w:numFmt w:val="lowerLetter"/>
      <w:start w:val="1"/>
    </w:lvl>
  </w:abstractNum>
  <w:abstractNum w:abstractNumId="50">
    <w:nsid w:val="70C6A529"/>
    <w:multiLevelType w:val="hybridMultilevel"/>
    <w:lvl w:ilvl="0">
      <w:lvlJc w:val="left"/>
      <w:lvlText w:val="(%1)"/>
      <w:numFmt w:val="lowerLetter"/>
      <w:start w:val="6"/>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83" Type="http://schemas.openxmlformats.org/officeDocument/2006/relationships/image" Target="media/image446.png"/><Relationship Id="rId484" Type="http://schemas.openxmlformats.org/officeDocument/2006/relationships/image" Target="media/image447.png"/><Relationship Id="rId495" Type="http://schemas.openxmlformats.org/officeDocument/2006/relationships/image" Target="media/image448.png"/><Relationship Id="rId496" Type="http://schemas.openxmlformats.org/officeDocument/2006/relationships/image" Target="media/image449.png"/><Relationship Id="rId497" Type="http://schemas.openxmlformats.org/officeDocument/2006/relationships/image" Target="media/image450.png"/><Relationship Id="rId498" Type="http://schemas.openxmlformats.org/officeDocument/2006/relationships/image" Target="media/image451.png"/><Relationship Id="rId499" Type="http://schemas.openxmlformats.org/officeDocument/2006/relationships/image" Target="media/image452.png"/><Relationship Id="rId500" Type="http://schemas.openxmlformats.org/officeDocument/2006/relationships/image" Target="media/image453.png"/><Relationship Id="rId501" Type="http://schemas.openxmlformats.org/officeDocument/2006/relationships/image" Target="media/image454.png"/><Relationship Id="rId502" Type="http://schemas.openxmlformats.org/officeDocument/2006/relationships/image" Target="media/image455.png"/><Relationship Id="rId503" Type="http://schemas.openxmlformats.org/officeDocument/2006/relationships/image" Target="media/image456.png"/><Relationship Id="rId504" Type="http://schemas.openxmlformats.org/officeDocument/2006/relationships/image" Target="media/image457.png"/><Relationship Id="rId505" Type="http://schemas.openxmlformats.org/officeDocument/2006/relationships/image" Target="media/image458.png"/><Relationship Id="rId506" Type="http://schemas.openxmlformats.org/officeDocument/2006/relationships/image" Target="media/image459.png"/><Relationship Id="rId507" Type="http://schemas.openxmlformats.org/officeDocument/2006/relationships/image" Target="media/image460.png"/><Relationship Id="rId508" Type="http://schemas.openxmlformats.org/officeDocument/2006/relationships/image" Target="media/image461.png"/><Relationship Id="rId509" Type="http://schemas.openxmlformats.org/officeDocument/2006/relationships/image" Target="media/image462.png"/><Relationship Id="rId510" Type="http://schemas.openxmlformats.org/officeDocument/2006/relationships/image" Target="media/image463.png"/><Relationship Id="rId511" Type="http://schemas.openxmlformats.org/officeDocument/2006/relationships/image" Target="media/image464.png"/><Relationship Id="rId512" Type="http://schemas.openxmlformats.org/officeDocument/2006/relationships/image" Target="media/image465.png"/><Relationship Id="rId513" Type="http://schemas.openxmlformats.org/officeDocument/2006/relationships/image" Target="media/image466.png"/><Relationship Id="rId514" Type="http://schemas.openxmlformats.org/officeDocument/2006/relationships/image" Target="media/image467.png"/><Relationship Id="rId515" Type="http://schemas.openxmlformats.org/officeDocument/2006/relationships/image" Target="media/image468.png"/><Relationship Id="rId516" Type="http://schemas.openxmlformats.org/officeDocument/2006/relationships/image" Target="media/image469.png"/><Relationship Id="rId517" Type="http://schemas.openxmlformats.org/officeDocument/2006/relationships/image" Target="media/image470.png"/><Relationship Id="rId518" Type="http://schemas.openxmlformats.org/officeDocument/2006/relationships/image" Target="media/image471.png"/><Relationship Id="rId519" Type="http://schemas.openxmlformats.org/officeDocument/2006/relationships/image" Target="media/image472.png"/><Relationship Id="rId520" Type="http://schemas.openxmlformats.org/officeDocument/2006/relationships/image" Target="media/image473.png"/><Relationship Id="rId521" Type="http://schemas.openxmlformats.org/officeDocument/2006/relationships/image" Target="media/image474.png"/><Relationship Id="rId522" Type="http://schemas.openxmlformats.org/officeDocument/2006/relationships/image" Target="media/image475.png"/><Relationship Id="rId523" Type="http://schemas.openxmlformats.org/officeDocument/2006/relationships/image" Target="media/image476.png"/><Relationship Id="rId524" Type="http://schemas.openxmlformats.org/officeDocument/2006/relationships/image" Target="media/image477.png"/><Relationship Id="rId451" Type="http://schemas.openxmlformats.org/officeDocument/2006/relationships/hyperlink" Target="https://www.sec.gov/Archives/edgar/data/3197/000110465926018825/tm267105d1_ex2-1.htm" TargetMode="External"/><Relationship Id="rId452" Type="http://schemas.openxmlformats.org/officeDocument/2006/relationships/hyperlink" Target="https://www.sec.gov/Archives/edgar/data/0000003197/000095013102001241/dex3i.txt" TargetMode="External"/><Relationship Id="rId453" Type="http://schemas.openxmlformats.org/officeDocument/2006/relationships/hyperlink" Target="https://www.sec.gov/ix?doc=/Archives/edgar/data/0000003197/000095017024063379/ceco-20240520.htm" TargetMode="External"/><Relationship Id="rId454" Type="http://schemas.openxmlformats.org/officeDocument/2006/relationships/hyperlink" Target="https://www.sec.gov/Archives/edgar/data/3197/000095017023006934/ceco-ex3_1.htm" TargetMode="External"/><Relationship Id="rId455" Type="http://schemas.openxmlformats.org/officeDocument/2006/relationships/hyperlink" Target="https://www.sec.gov/Archives/edgar/data/3197/000156459020008551/cece-ex41_99.htm" TargetMode="External"/><Relationship Id="rId456" Type="http://schemas.openxmlformats.org/officeDocument/2006/relationships/hyperlink" Target="https://www.sec.gov/Archives/edgar/data/3197/000119312516590632/d130161dex101.htm" TargetMode="External"/><Relationship Id="rId457" Type="http://schemas.openxmlformats.org/officeDocument/2006/relationships/hyperlink" Target="https://www.sec.gov/Archives/edgar/data/3197/000119312520187900/d948376dex43.htm" TargetMode="External"/><Relationship Id="rId458" Type="http://schemas.openxmlformats.org/officeDocument/2006/relationships/hyperlink" Target="https://www.sec.gov/Archives/edgar/data/3197/000119312520187900/d948376dex44.htm" TargetMode="External"/><Relationship Id="rId459" Type="http://schemas.openxmlformats.org/officeDocument/2006/relationships/hyperlink" Target="https://www.sec.gov/Archives/edgar/data/3197/000119312520187900/d948376dex45.htm" TargetMode="External"/><Relationship Id="rId460" Type="http://schemas.openxmlformats.org/officeDocument/2006/relationships/hyperlink" Target="https://www.sec.gov/Archives/edgar/data/3197/000119312515311954/d73522dex106.htm" TargetMode="External"/><Relationship Id="rId461" Type="http://schemas.openxmlformats.org/officeDocument/2006/relationships/hyperlink" Target="https://www.sec.gov/Archives/edgar/data/3197/000119312511067373/dex1012.htm" TargetMode="External"/><Relationship Id="rId462" Type="http://schemas.openxmlformats.org/officeDocument/2006/relationships/hyperlink" Target="https://www.sec.gov/Archives/edgar/data/3197/000119312511067373/dex1013.htm" TargetMode="External"/><Relationship Id="rId463" Type="http://schemas.openxmlformats.org/officeDocument/2006/relationships/hyperlink" Target="https://www.sec.gov/Archives/edgar/data/3197/000119312517171790/d394916dex43.htm" TargetMode="External"/><Relationship Id="rId466" Type="http://schemas.openxmlformats.org/officeDocument/2006/relationships/hyperlink" Target="https://www.sec.gov/Archives/edgar/data/3197/000156459017016752/cece-ex102_87.htm" TargetMode="External"/><Relationship Id="rId467" Type="http://schemas.openxmlformats.org/officeDocument/2006/relationships/hyperlink" Target="https://www.sec.gov/Archives/edgar/data/3197/000156459017016752/cece-ex103_86.htm" TargetMode="External"/><Relationship Id="rId468" Type="http://schemas.openxmlformats.org/officeDocument/2006/relationships/hyperlink" Target="https://www.sec.gov/Archives/edgar/data/3197/000156459017016752/cece-ex104_88.htm" TargetMode="External"/><Relationship Id="rId469" Type="http://schemas.openxmlformats.org/officeDocument/2006/relationships/hyperlink" Target="https://www.sec.gov/Archives/edgar/data/3197/000156459017016752/cece-ex105_89.htm" TargetMode="External"/><Relationship Id="rId470" Type="http://schemas.openxmlformats.org/officeDocument/2006/relationships/hyperlink" Target="https://www.sec.gov/Archives/edgar/data/3197/000156459020029431/cece-ex101_16.htm" TargetMode="External"/><Relationship Id="rId471" Type="http://schemas.openxmlformats.org/officeDocument/2006/relationships/hyperlink" Target="https://www.sec.gov/Archives/edgar/data/3197/000156459021030239/cece-ex101_6.htm" TargetMode="External"/><Relationship Id="rId472" Type="http://schemas.openxmlformats.org/officeDocument/2006/relationships/hyperlink" Target="https://www.sec.gov/Archives/edgar/data/3197/000095017022003502/cece-ex10_19.htm" TargetMode="External"/><Relationship Id="rId473" Type="http://schemas.openxmlformats.org/officeDocument/2006/relationships/hyperlink" Target="https://www.sec.gov/Archives/edgar/data/3197/000095017022003502/cece-ex10_20.htm" TargetMode="External"/><Relationship Id="rId474" Type="http://schemas.openxmlformats.org/officeDocument/2006/relationships/hyperlink" Target="https://www.sec.gov/Archives/edgar/data/3197/000095017021003303/cece-ex10_1.htm" TargetMode="External"/><Relationship Id="rId475" Type="http://schemas.openxmlformats.org/officeDocument/2006/relationships/hyperlink" Target="https://www.sec.gov/ix?doc=/Archives/edgar/data/0000003197/000110465924107918/tm2425665d1_8k.htm" TargetMode="External"/><Relationship Id="rId476" Type="http://schemas.openxmlformats.org/officeDocument/2006/relationships/hyperlink" Target="https://www.sec.gov/Archives/edgar/data/3197/000095017023006169/ceco-ex10_26.htm" TargetMode="External"/><Relationship Id="rId477" Type="http://schemas.openxmlformats.org/officeDocument/2006/relationships/hyperlink" Target="https://www.sec.gov/Archives/edgar/data/3197/000095017023006169/ceco-ex10_27.htm" TargetMode="External"/><Relationship Id="rId478" Type="http://schemas.openxmlformats.org/officeDocument/2006/relationships/hyperlink" Target="https://www.sec.gov/Archives/edgar/data/3197/000095017023052069/ceco-ex10_1.htm" TargetMode="External"/><Relationship Id="rId479" Type="http://schemas.openxmlformats.org/officeDocument/2006/relationships/hyperlink" Target="https://www.sec.gov/Archives/edgar/data/3197/000095017023052069/ceco-ex10_2.htm" TargetMode="External"/><Relationship Id="rId480" Type="http://schemas.openxmlformats.org/officeDocument/2006/relationships/hyperlink" Target="https://www.sec.gov/Archives/edgar/data/3197/000095017023032456/ceco-ex10_1.htm" TargetMode="External"/><Relationship Id="rId481" Type="http://schemas.openxmlformats.org/officeDocument/2006/relationships/hyperlink" Target="https://www.sec.gov/Archives/edgar/data/3197/000095017023032456/ceco-ex10_2.htm" TargetMode="External"/><Relationship Id="rId482" Type="http://schemas.openxmlformats.org/officeDocument/2006/relationships/hyperlink" Target="https://www.sec.gov/Archives/edgar/data/3197/000095017023032456/ceco-ex10_3.htm" TargetMode="External"/><Relationship Id="rId485" Type="http://schemas.openxmlformats.org/officeDocument/2006/relationships/hyperlink" Target="https://www.sec.gov/Archives/edgar/data/3197/000095017024025511/ceco-ex10_32.htm" TargetMode="External"/><Relationship Id="rId486" Type="http://schemas.openxmlformats.org/officeDocument/2006/relationships/hyperlink" Target="https://www.sec.gov/Archives/edgar/data/3197/000095017024025511/ceco-ex10_33.htm" TargetMode="External"/><Relationship Id="rId487" Type="http://schemas.openxmlformats.org/officeDocument/2006/relationships/hyperlink" Target="https://www.sec.gov/Archives/edgar/data/3197/000095017024025511/ceco-ex10_34.htm" TargetMode="External"/><Relationship Id="rId488" Type="http://schemas.openxmlformats.org/officeDocument/2006/relationships/hyperlink" Target="https://www.sec.gov/Archives/edgar/data/3197/000095017025050881/ceco-ex10_1.htm" TargetMode="External"/><Relationship Id="rId489" Type="http://schemas.openxmlformats.org/officeDocument/2006/relationships/hyperlink" Target="https://www.sec.gov/Archives/edgar/data/3197/000095017025083221/ceco-ex10_1.htm" TargetMode="External"/><Relationship Id="rId490" Type="http://schemas.openxmlformats.org/officeDocument/2006/relationships/hyperlink" Target="https://www.sec.gov/Archives/edgar/data/3197/000119312525204657/ceco-ex10_1.htm" TargetMode="External"/><Relationship Id="rId491" Type="http://schemas.openxmlformats.org/officeDocument/2006/relationships/hyperlink" Target="https://www.sec.gov/Archives/edgar/data/3197/000119312526036815/ceco-ex10_1.htm" TargetMode="External"/><Relationship Id="rId492" Type="http://schemas.openxmlformats.org/officeDocument/2006/relationships/hyperlink" Target="https://www.sec.gov/Archives/edgar/data/3197/000095017025034216/ceco-ex16_1.htm" TargetMode="External"/><Relationship Id="rId493" Type="http://schemas.openxmlformats.org/officeDocument/2006/relationships/hyperlink" Target="https://www.sec.gov/Archives/edgar/data/3197/000095017025026562/ceco-ex19_1.htm" TargetMode="External"/><Relationship Id="rId494" Type="http://schemas.openxmlformats.org/officeDocument/2006/relationships/hyperlink" Target="https://www.sec.gov/ix?doc=/Archives/edgar/data/3197/000095017024025511/ceco-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2026-03-02T16:58:21Z</dcterms:created>
  <dcterms:modified xsi:type="dcterms:W3CDTF">2026-03-02T16:58:21Z</dcterms:modified>
</cp:coreProperties>
</file>