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w:t>
      </w: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August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80" w:space="720"/>
            <w:col w:w="2980" w:space="720"/>
            <w:col w:w="2080"/>
          </w:cols>
          <w:pgMar w:left="320" w:top="796" w:right="499" w:bottom="1440" w:gutter="0" w:footer="0" w:header="0"/>
          <w:type w:val="continuous"/>
        </w:sect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19"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0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14, 2023, CECO Environmental Corp. (the “Company”) previously reported on a Current Report on Form 8-K filed with the Securities and Exchange Commission that Ramesh Nuggihalli, Chief Operating Officer of the Company, would cease serving as Chief Operating Officer, effective August 20, 2023, and would leave the Company that same date (the “Departure Date”). Mr. Nuggihalli remained an employee of the Company through the Departure Date in order to facilitate a smooth and orderly transition of his responsibilities and was compensated in accordance with existing arrangements through the Departure Date.</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his departure, on August 21, 2023, the Company and Mr. Nuggihalli entered into an Executive Separation Agreement and Release (the “Separation Agreement”). Pursuant to the Separation Agreement, in exchange for Mr. Nuggihalli’s execution and non-revocation of a general release of claims contained in the Separation Agreement (the “Release”) and compliance with certain other restrictive covenants in the Company’s Executive Change in Control Severance Plan, with effective date July 6, 2023 (the “Plan”), in which Mr. Nuggihalli is a participant, he will receive (subject to applicable taxes and other deductions required by applicable law) certain compensation provided for under the Plan, consisting of: (1) $630,000 representing one- and one-half times Mr. Nuggihalli’s last effective base salary; (2) $20,000 to enable Mr. Nuggihalli to obtain executive-level outplacement services; and (3) $318,970 representing Mr. Nuggihalli’s pro-rated annual target bonus opportunity for 2023.</w:t>
      </w:r>
    </w:p>
    <w:p>
      <w:pPr>
        <w:spacing w:after="0" w:line="15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under the Separation Agreement, the Compensation Committee of the Company’s Board of Directors provided for Mr. Nuggihalli to receive accelerated vesting and payout of 43,113 service-based restricted stock units granted to Mr. Nuggihalli on various dates across 2021 and 2022 that remained unvested and outstanding as of the Departure Date.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 be entitled to the benefits under the Separation Agreement, Mr. Nuggihalli must (1) not revoke the Separation Agreement within the seven (7) day revocation period following the date he signed the Separation Agreement (that date being August 21, 2023), and (2) comply with his obligations under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Joycelynn Watkins-Asiyanbi</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2023-08-25T12:06:02Z</dcterms:created>
  <dcterms:modified xsi:type="dcterms:W3CDTF">2023-08-25T12:06:02Z</dcterms:modified>
</cp:coreProperties>
</file>