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373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WALLMAN RICHARD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14651 NORTH DALLAS PARKWAY SUITE 500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CECO ENVIRONMENTAL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shd w:val="clear" w:color="auto" w:fill="0000EE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FF"/>
                </w:rPr>
                <w:t xml:space="preserve">CECO </w:t>
              </w:r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19.7839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185,853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reflects the weighted average purchase price for multiple transactions that ranged from $19.30 to $20.15 per share. The Reporting Person undertakes to provide, upon request by the Commission Staff, the Issuer or a security holder of the Issuer, full information regarding the number of shares purchased at each separate price.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Kiril Kovachev,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518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8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Richard</w:t>
        <w:tab/>
        <w:t>03/08/2024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F. Wallman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016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98092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2024-03-08T08:35:34Z</dcterms:created>
  <dcterms:modified xsi:type="dcterms:W3CDTF">2024-03-08T08:35:34Z</dcterms:modified>
</cp:coreProperties>
</file>