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QUARTERLY REPORT UNDER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 THE QUARTERLY PERIOD ENDED JUNE 30, 2004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98"/>
        <w:gridCol w:w="510"/>
        <w:gridCol w:w="4797"/>
      </w:tblGrid>
      <w:tr>
        <w:trPr/>
        <w:tc>
          <w:tcPr>
            <w:tcW w:w="489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510"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489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510"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Class: Common, par value $.01 per share outstanding at August 11, 2004 - 9,991,678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2" w:name="toc"/>
      <w:bookmarkEnd w:id="2"/>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JUNE 30,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INDEX</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
        <w:gridCol w:w="204"/>
        <w:gridCol w:w="675"/>
        <w:gridCol w:w="215"/>
        <w:gridCol w:w="8599"/>
        <w:gridCol w:w="215"/>
        <w:gridCol w:w="238"/>
      </w:tblGrid>
      <w:tr>
        <w:trPr/>
        <w:tc>
          <w:tcPr>
            <w:tcW w:w="5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859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75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1.</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1">
              <w:r>
                <w:rPr>
                  <w:rStyle w:val="InternetLink"/>
                  <w:rFonts w:ascii="Times New Roman" w:hAnsi="Times New Roman"/>
                  <w:sz w:val="20"/>
                </w:rPr>
                <w:t>Condensed consolidated balance sheets as of June 30, 2004 and December 31, 2003</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2">
              <w:r>
                <w:rPr>
                  <w:rStyle w:val="InternetLink"/>
                  <w:rFonts w:ascii="Times New Roman" w:hAnsi="Times New Roman"/>
                  <w:sz w:val="20"/>
                </w:rPr>
                <w:t>Condensed consolidated statements of operations for the three-month and six-month periods ended June 30, 2004 and 2003</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3">
              <w:r>
                <w:rPr>
                  <w:rStyle w:val="InternetLink"/>
                  <w:rFonts w:ascii="Times New Roman" w:hAnsi="Times New Roman"/>
                  <w:sz w:val="20"/>
                </w:rPr>
                <w:t>Condensed consolidated statements of cash flows for the six-month periods ended June 30, 2004 and 2003</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4">
              <w:r>
                <w:rPr>
                  <w:rStyle w:val="InternetLink"/>
                  <w:rFonts w:ascii="Times New Roman" w:hAnsi="Times New Roman"/>
                  <w:sz w:val="20"/>
                </w:rPr>
                <w:t>Notes to condensed consolidated financial statements</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2.</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5">
              <w:r>
                <w:rPr>
                  <w:rStyle w:val="InternetLink"/>
                  <w:rFonts w:ascii="Times New Roman" w:hAnsi="Times New Roman"/>
                  <w:sz w:val="20"/>
                </w:rPr>
                <w:t>Managements discussion and analysis of financial condition and results of operations</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3.</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6">
              <w:r>
                <w:rPr>
                  <w:rStyle w:val="InternetLink"/>
                  <w:rFonts w:ascii="Times New Roman" w:hAnsi="Times New Roman"/>
                  <w:sz w:val="20"/>
                </w:rPr>
                <w:t>Quantitative and Qualitative Disclosure about Market Risk</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4.</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7">
              <w:r>
                <w:rPr>
                  <w:rStyle w:val="InternetLink"/>
                  <w:rFonts w:ascii="Times New Roman" w:hAnsi="Times New Roman"/>
                  <w:sz w:val="20"/>
                </w:rPr>
                <w:t>Controls and Procedures</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rHeight w:val="120" w:hRule="atLeast"/>
        </w:trPr>
        <w:tc>
          <w:tcPr>
            <w:tcW w:w="9752" w:type="dxa"/>
            <w:gridSpan w:val="5"/>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9752" w:type="dxa"/>
            <w:gridSpan w:val="5"/>
            <w:tcBorders/>
            <w:shd w:fill="auto" w:val="clear"/>
          </w:tcPr>
          <w:p>
            <w:pPr>
              <w:pStyle w:val="TableContents"/>
              <w:spacing w:before="0" w:after="283"/>
              <w:rPr/>
            </w:pPr>
            <w:r>
              <w:rPr>
                <w:rFonts w:ascii="Times New Roman" w:hAnsi="Times New Roman"/>
                <w:sz w:val="20"/>
              </w:rPr>
              <w:t xml:space="preserve">Part II - </w:t>
            </w:r>
            <w:hyperlink w:anchor="tx75463_8">
              <w:r>
                <w:rPr>
                  <w:rStyle w:val="InternetLink"/>
                  <w:rFonts w:ascii="Times New Roman" w:hAnsi="Times New Roman"/>
                  <w:sz w:val="20"/>
                </w:rPr>
                <w:t xml:space="preserve">Other Information </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rHeight w:val="120" w:hRule="atLeast"/>
        </w:trPr>
        <w:tc>
          <w:tcPr>
            <w:tcW w:w="59" w:type="dxa"/>
            <w:tcBorders/>
            <w:shd w:fill="auto" w:val="clear"/>
            <w:vAlign w:val="center"/>
          </w:tcPr>
          <w:p>
            <w:pPr>
              <w:pStyle w:val="TableContents"/>
              <w:spacing w:before="0" w:after="283"/>
              <w:rPr>
                <w:sz w:val="4"/>
                <w:szCs w:val="4"/>
              </w:rPr>
            </w:pPr>
            <w:r>
              <w:rPr>
                <w:sz w:val="4"/>
                <w:szCs w:val="4"/>
              </w:rPr>
            </w:r>
          </w:p>
        </w:tc>
        <w:tc>
          <w:tcPr>
            <w:tcW w:w="879" w:type="dxa"/>
            <w:gridSpan w:val="2"/>
            <w:tcBorders/>
            <w:shd w:fill="auto" w:val="clear"/>
            <w:vAlign w:val="center"/>
          </w:tcPr>
          <w:p>
            <w:pPr>
              <w:pStyle w:val="TableContents"/>
              <w:spacing w:before="0" w:after="283"/>
              <w:rPr>
                <w:sz w:val="4"/>
                <w:szCs w:val="4"/>
              </w:rPr>
            </w:pPr>
            <w:r>
              <w:rPr>
                <w:sz w:val="4"/>
                <w:szCs w:val="4"/>
              </w:rPr>
            </w:r>
          </w:p>
        </w:tc>
        <w:tc>
          <w:tcPr>
            <w:tcW w:w="8814" w:type="dxa"/>
            <w:gridSpan w:val="2"/>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Item 6.</w:t>
            </w:r>
          </w:p>
        </w:tc>
        <w:tc>
          <w:tcPr>
            <w:tcW w:w="215" w:type="dxa"/>
            <w:tcBorders/>
            <w:shd w:fill="auto" w:val="clear"/>
            <w:vAlign w:val="bottom"/>
          </w:tcPr>
          <w:p>
            <w:pPr>
              <w:pStyle w:val="TableContents"/>
              <w:spacing w:before="0" w:after="283"/>
              <w:rPr/>
            </w:pPr>
            <w:r>
              <w:rPr/>
              <w:t>  </w:t>
            </w:r>
          </w:p>
        </w:tc>
        <w:tc>
          <w:tcPr>
            <w:tcW w:w="8599" w:type="dxa"/>
            <w:tcBorders/>
            <w:shd w:fill="auto" w:val="clear"/>
            <w:vAlign w:val="bottom"/>
          </w:tcPr>
          <w:p>
            <w:pPr>
              <w:pStyle w:val="TableContents"/>
              <w:spacing w:before="0" w:after="283"/>
              <w:rPr/>
            </w:pPr>
            <w:hyperlink w:anchor="tx75463_9">
              <w:r>
                <w:rPr>
                  <w:rStyle w:val="InternetLink"/>
                  <w:rFonts w:ascii="Times New Roman" w:hAnsi="Times New Roman"/>
                  <w:sz w:val="20"/>
                </w:rPr>
                <w:t xml:space="preserve">Exhibits and reports on Form 8-K </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9752" w:type="dxa"/>
            <w:gridSpan w:val="5"/>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9752" w:type="dxa"/>
            <w:gridSpan w:val="5"/>
            <w:tcBorders/>
            <w:shd w:fill="auto" w:val="clear"/>
          </w:tcPr>
          <w:p>
            <w:pPr>
              <w:pStyle w:val="TableContents"/>
              <w:spacing w:before="0" w:after="283"/>
              <w:rPr/>
            </w:pPr>
            <w:hyperlink w:anchor="tx75463_10">
              <w:r>
                <w:rPr>
                  <w:rStyle w:val="InternetLink"/>
                  <w:rFonts w:ascii="Times New Roman" w:hAnsi="Times New Roman"/>
                  <w:sz w:val="20"/>
                </w:rPr>
                <w:t xml:space="preserve">Signature </w:t>
              </w:r>
            </w:hyperlink>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rHeight w:val="120" w:hRule="atLeast"/>
        </w:trPr>
        <w:tc>
          <w:tcPr>
            <w:tcW w:w="9752" w:type="dxa"/>
            <w:gridSpan w:val="5"/>
            <w:tcBorders/>
            <w:shd w:fill="auto" w:val="clear"/>
            <w:vAlign w:val="center"/>
          </w:tcPr>
          <w:p>
            <w:pPr>
              <w:pStyle w:val="TableContents"/>
              <w:spacing w:before="0" w:after="283"/>
              <w:rPr>
                <w:sz w:val="4"/>
                <w:szCs w:val="4"/>
              </w:rPr>
            </w:pPr>
            <w:r>
              <w:rPr>
                <w:sz w:val="4"/>
                <w:szCs w:val="4"/>
              </w:rPr>
            </w:r>
          </w:p>
        </w:tc>
        <w:tc>
          <w:tcPr>
            <w:tcW w:w="453" w:type="dxa"/>
            <w:gridSpan w:val="2"/>
            <w:tcBorders/>
            <w:shd w:fill="auto" w:val="clear"/>
            <w:vAlign w:val="center"/>
          </w:tcPr>
          <w:p>
            <w:pPr>
              <w:pStyle w:val="TableContents"/>
              <w:spacing w:before="0" w:after="283"/>
              <w:rPr>
                <w:sz w:val="4"/>
                <w:szCs w:val="4"/>
              </w:rPr>
            </w:pPr>
            <w:r>
              <w:rPr>
                <w:sz w:val="4"/>
                <w:szCs w:val="4"/>
              </w:rPr>
            </w:r>
          </w:p>
        </w:tc>
      </w:tr>
      <w:tr>
        <w:trPr/>
        <w:tc>
          <w:tcPr>
            <w:tcW w:w="975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Certifications</w:t>
            </w:r>
          </w:p>
        </w:tc>
        <w:tc>
          <w:tcPr>
            <w:tcW w:w="21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3" w:name="tx75463_1"/>
      <w:bookmarkEnd w:id="3"/>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06"/>
        <w:gridCol w:w="691"/>
        <w:gridCol w:w="164"/>
        <w:gridCol w:w="647"/>
        <w:gridCol w:w="132"/>
        <w:gridCol w:w="648"/>
        <w:gridCol w:w="193"/>
        <w:gridCol w:w="785"/>
        <w:gridCol w:w="139"/>
      </w:tblGrid>
      <w:tr>
        <w:trPr/>
        <w:tc>
          <w:tcPr>
            <w:tcW w:w="680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Dollars in thousands, except share data</w:t>
            </w:r>
          </w:p>
          <w:p>
            <w:pPr>
              <w:pStyle w:val="TableContents"/>
              <w:spacing w:before="0" w:after="15"/>
              <w:rPr/>
            </w:pPr>
            <w:r>
              <w:rPr/>
              <w:t> </w:t>
            </w:r>
          </w:p>
        </w:tc>
        <w:tc>
          <w:tcPr>
            <w:tcW w:w="691" w:type="dxa"/>
            <w:tcBorders/>
            <w:shd w:fill="auto" w:val="clear"/>
            <w:vAlign w:val="bottom"/>
          </w:tcPr>
          <w:p>
            <w:pPr>
              <w:pStyle w:val="TableContents"/>
              <w:spacing w:before="0" w:after="283"/>
              <w:rPr/>
            </w:pPr>
            <w:r>
              <w:rPr/>
              <w:t>  </w:t>
            </w:r>
          </w:p>
        </w:tc>
        <w:tc>
          <w:tcPr>
            <w:tcW w:w="8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JUNE 30,</w:t>
            </w:r>
          </w:p>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9" w:type="dxa"/>
            <w:tcBorders/>
            <w:shd w:fill="auto"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81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rHeight w:val="120" w:hRule="atLeast"/>
        </w:trPr>
        <w:tc>
          <w:tcPr>
            <w:tcW w:w="6806" w:type="dxa"/>
            <w:tcBorders/>
            <w:shd w:fill="auto" w:val="clear"/>
            <w:vAlign w:val="center"/>
          </w:tcPr>
          <w:p>
            <w:pPr>
              <w:pStyle w:val="TableContents"/>
              <w:spacing w:before="0" w:after="283"/>
              <w:rPr>
                <w:sz w:val="4"/>
                <w:szCs w:val="4"/>
              </w:rPr>
            </w:pPr>
            <w:r>
              <w:rPr>
                <w:sz w:val="4"/>
                <w:szCs w:val="4"/>
              </w:rPr>
            </w:r>
          </w:p>
        </w:tc>
        <w:tc>
          <w:tcPr>
            <w:tcW w:w="1634"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11,343</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11,398</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5,213</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5,309</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2,325</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20,805</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139" w:type="dxa"/>
            <w:tcBorders/>
            <w:shd w:fill="CCEEFF" w:val="clear"/>
            <w:vAlign w:val="bottom"/>
          </w:tcPr>
          <w:p>
            <w:pPr>
              <w:pStyle w:val="TableContents"/>
              <w:spacing w:before="0" w:after="283"/>
              <w:rPr/>
            </w:pPr>
            <w:r>
              <w:rPr/>
              <w:t> </w:t>
            </w:r>
          </w:p>
        </w:tc>
      </w:tr>
      <w:tr>
        <w:trPr>
          <w:trHeight w:val="120" w:hRule="atLeast"/>
        </w:trPr>
        <w:tc>
          <w:tcPr>
            <w:tcW w:w="6806" w:type="dxa"/>
            <w:tcBorders/>
            <w:shd w:fill="auto" w:val="clear"/>
            <w:vAlign w:val="center"/>
          </w:tcPr>
          <w:p>
            <w:pPr>
              <w:pStyle w:val="TableContents"/>
              <w:spacing w:before="0" w:after="283"/>
              <w:rPr>
                <w:sz w:val="4"/>
                <w:szCs w:val="4"/>
              </w:rPr>
            </w:pPr>
            <w:r>
              <w:rPr>
                <w:sz w:val="4"/>
                <w:szCs w:val="4"/>
              </w:rPr>
            </w:r>
          </w:p>
        </w:tc>
        <w:tc>
          <w:tcPr>
            <w:tcW w:w="1634"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9,571</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9,987</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776</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139" w:type="dxa"/>
            <w:tcBorders/>
            <w:shd w:fill="auto"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42,803</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18" w:space="0" w:color="000000"/>
              </w:pBdr>
              <w:spacing w:before="0" w:after="283"/>
              <w:rPr/>
            </w:pPr>
            <w:r>
              <w:rPr/>
            </w:r>
          </w:p>
        </w:tc>
        <w:tc>
          <w:tcPr>
            <w:tcW w:w="785" w:type="dxa"/>
            <w:tcBorders/>
            <w:shd w:fill="auto" w:val="clear"/>
            <w:vAlign w:val="bottom"/>
          </w:tcPr>
          <w:p>
            <w:pPr>
              <w:pStyle w:val="HorizontalLine"/>
              <w:pBdr>
                <w:bottom w:val="single" w:sz="18" w:space="0" w:color="000000"/>
              </w:pBdr>
              <w:spacing w:before="0" w:after="283"/>
              <w:rPr/>
            </w:pPr>
            <w:r>
              <w:rPr/>
            </w:r>
          </w:p>
        </w:tc>
        <w:tc>
          <w:tcPr>
            <w:tcW w:w="139" w:type="dxa"/>
            <w:tcBorders/>
            <w:shd w:fill="auto" w:val="clear"/>
            <w:vAlign w:val="bottom"/>
          </w:tcPr>
          <w:p>
            <w:pPr>
              <w:pStyle w:val="HorizontalLine"/>
              <w:pBdr>
                <w:bottom w:val="single" w:sz="18" w:space="0" w:color="FFFFFF"/>
              </w:pBdr>
              <w:spacing w:before="0" w:after="283"/>
              <w:rPr/>
            </w:pPr>
            <w:r>
              <w:rPr/>
            </w:r>
          </w:p>
        </w:tc>
      </w:tr>
      <w:tr>
        <w:trPr/>
        <w:tc>
          <w:tcPr>
            <w:tcW w:w="680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rHeight w:val="120" w:hRule="atLeast"/>
        </w:trPr>
        <w:tc>
          <w:tcPr>
            <w:tcW w:w="6806" w:type="dxa"/>
            <w:tcBorders/>
            <w:shd w:fill="auto" w:val="clear"/>
            <w:vAlign w:val="center"/>
          </w:tcPr>
          <w:p>
            <w:pPr>
              <w:pStyle w:val="TableContents"/>
              <w:spacing w:before="0" w:after="283"/>
              <w:rPr>
                <w:sz w:val="4"/>
                <w:szCs w:val="4"/>
              </w:rPr>
            </w:pPr>
            <w:r>
              <w:rPr>
                <w:sz w:val="4"/>
                <w:szCs w:val="4"/>
              </w:rPr>
            </w:r>
          </w:p>
        </w:tc>
        <w:tc>
          <w:tcPr>
            <w:tcW w:w="1634"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7,857</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2,094</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10,579</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11,309</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19,746</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14,723</w:t>
            </w:r>
          </w:p>
        </w:tc>
        <w:tc>
          <w:tcPr>
            <w:tcW w:w="139" w:type="dxa"/>
            <w:tcBorders/>
            <w:shd w:fill="CCEEFF" w:val="clear"/>
            <w:vAlign w:val="bottom"/>
          </w:tcPr>
          <w:p>
            <w:pPr>
              <w:pStyle w:val="TableContents"/>
              <w:spacing w:before="0" w:after="283"/>
              <w:rPr/>
            </w:pPr>
            <w:r>
              <w:rPr/>
              <w:t> </w:t>
            </w:r>
          </w:p>
        </w:tc>
      </w:tr>
      <w:tr>
        <w:trPr>
          <w:trHeight w:val="120" w:hRule="atLeast"/>
        </w:trPr>
        <w:tc>
          <w:tcPr>
            <w:tcW w:w="6806" w:type="dxa"/>
            <w:tcBorders/>
            <w:shd w:fill="auto" w:val="clear"/>
            <w:vAlign w:val="center"/>
          </w:tcPr>
          <w:p>
            <w:pPr>
              <w:pStyle w:val="TableContents"/>
              <w:spacing w:before="0" w:after="283"/>
              <w:rPr>
                <w:sz w:val="4"/>
                <w:szCs w:val="4"/>
              </w:rPr>
            </w:pPr>
            <w:r>
              <w:rPr>
                <w:sz w:val="4"/>
                <w:szCs w:val="4"/>
              </w:rPr>
            </w:r>
          </w:p>
        </w:tc>
        <w:tc>
          <w:tcPr>
            <w:tcW w:w="1634"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2,515</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2,591</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3,141</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7,863</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(related party - $5,222 and $5,093, respectively)</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5,669</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5,525</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34,256</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33,887</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10,792,898 shares issued at June 30, 2004 and 10,786,194 shares issued at December 31, 2003</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39" w:type="dxa"/>
            <w:tcBorders/>
            <w:shd w:fill="auto" w:val="clear"/>
            <w:vAlign w:val="bottom"/>
          </w:tcPr>
          <w:p>
            <w:pPr>
              <w:pStyle w:val="TableContents"/>
              <w:spacing w:before="0" w:after="283"/>
              <w:rPr/>
            </w:pPr>
            <w:r>
              <w:rPr/>
              <w:t> </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16,343</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16,333</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(5,202</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(4,503</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10,351</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11,040</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801,220 shares in 2004 and 2003</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8,547</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9,236</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c>
          <w:tcPr>
            <w:tcW w:w="139" w:type="dxa"/>
            <w:tcBorders/>
            <w:shd w:fill="auto" w:val="clear"/>
            <w:vAlign w:val="bottom"/>
          </w:tcPr>
          <w:p>
            <w:pPr>
              <w:pStyle w:val="HorizontalLine"/>
              <w:pBdr>
                <w:bottom w:val="single" w:sz="6" w:space="0" w:color="FFFFFF"/>
              </w:pBdr>
              <w:spacing w:before="0" w:after="283"/>
              <w:rPr/>
            </w:pPr>
            <w:r>
              <w:rPr/>
            </w:r>
          </w:p>
        </w:tc>
      </w:tr>
      <w:tr>
        <w:trPr/>
        <w:tc>
          <w:tcPr>
            <w:tcW w:w="6806" w:type="dxa"/>
            <w:tcBorders/>
            <w:shd w:fill="CCEEFF" w:val="clear"/>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42,803</w:t>
            </w:r>
          </w:p>
        </w:tc>
        <w:tc>
          <w:tcPr>
            <w:tcW w:w="132"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43,123</w:t>
            </w:r>
          </w:p>
        </w:tc>
        <w:tc>
          <w:tcPr>
            <w:tcW w:w="139" w:type="dxa"/>
            <w:tcBorders/>
            <w:shd w:fill="CCEEFF" w:val="clear"/>
            <w:vAlign w:val="bottom"/>
          </w:tcPr>
          <w:p>
            <w:pPr>
              <w:pStyle w:val="TableContents"/>
              <w:spacing w:before="0" w:after="283"/>
              <w:rPr/>
            </w:pPr>
            <w:r>
              <w:rPr/>
              <w:t> </w:t>
            </w:r>
          </w:p>
        </w:tc>
      </w:tr>
      <w:tr>
        <w:trPr/>
        <w:tc>
          <w:tcPr>
            <w:tcW w:w="680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164"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648" w:type="dxa"/>
            <w:tcBorders/>
            <w:shd w:fill="auto" w:val="clear"/>
            <w:vAlign w:val="bottom"/>
          </w:tcPr>
          <w:p>
            <w:pPr>
              <w:pStyle w:val="TableContents"/>
              <w:spacing w:before="0" w:after="283"/>
              <w:rPr/>
            </w:pPr>
            <w:r>
              <w:rPr/>
              <w:t> </w:t>
            </w:r>
          </w:p>
        </w:tc>
        <w:tc>
          <w:tcPr>
            <w:tcW w:w="193" w:type="dxa"/>
            <w:tcBorders/>
            <w:shd w:fill="auto" w:val="clear"/>
            <w:vAlign w:val="bottom"/>
          </w:tcPr>
          <w:p>
            <w:pPr>
              <w:pStyle w:val="HorizontalLine"/>
              <w:pBdr>
                <w:bottom w:val="single" w:sz="18" w:space="0" w:color="000000"/>
              </w:pBdr>
              <w:spacing w:before="0" w:after="283"/>
              <w:rPr/>
            </w:pPr>
            <w:r>
              <w:rPr/>
            </w:r>
          </w:p>
        </w:tc>
        <w:tc>
          <w:tcPr>
            <w:tcW w:w="785" w:type="dxa"/>
            <w:tcBorders/>
            <w:shd w:fill="auto" w:val="clear"/>
            <w:vAlign w:val="bottom"/>
          </w:tcPr>
          <w:p>
            <w:pPr>
              <w:pStyle w:val="HorizontalLine"/>
              <w:pBdr>
                <w:bottom w:val="single" w:sz="18" w:space="0" w:color="000000"/>
              </w:pBdr>
              <w:spacing w:before="0" w:after="283"/>
              <w:rPr/>
            </w:pPr>
            <w:r>
              <w:rPr/>
            </w:r>
          </w:p>
        </w:tc>
        <w:tc>
          <w:tcPr>
            <w:tcW w:w="13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4" w:name="tx75463_2"/>
      <w:bookmarkEnd w:id="4"/>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88"/>
        <w:gridCol w:w="491"/>
        <w:gridCol w:w="156"/>
        <w:gridCol w:w="846"/>
        <w:gridCol w:w="120"/>
        <w:gridCol w:w="443"/>
        <w:gridCol w:w="156"/>
        <w:gridCol w:w="846"/>
        <w:gridCol w:w="120"/>
        <w:gridCol w:w="442"/>
        <w:gridCol w:w="156"/>
        <w:gridCol w:w="846"/>
        <w:gridCol w:w="120"/>
        <w:gridCol w:w="443"/>
        <w:gridCol w:w="156"/>
        <w:gridCol w:w="846"/>
        <w:gridCol w:w="130"/>
      </w:tblGrid>
      <w:tr>
        <w:trPr/>
        <w:tc>
          <w:tcPr>
            <w:tcW w:w="388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10075" w:type="dxa"/>
            <w:gridSpan w:val="16"/>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56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JUNE 30,</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56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br/>
              <w:t>JUNE 30,</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Dollars in thousands, except per share data</w:t>
            </w:r>
          </w:p>
          <w:p>
            <w:pPr>
              <w:pStyle w:val="TableContents"/>
              <w:spacing w:before="0" w:after="15"/>
              <w:rPr/>
            </w:pPr>
            <w:r>
              <w:rPr/>
              <w:t> </w:t>
            </w:r>
          </w:p>
        </w:tc>
        <w:tc>
          <w:tcPr>
            <w:tcW w:w="491"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15,006</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17,754</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29,152</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32,955</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11,872</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14,592</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23,213</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26,724</w:t>
            </w:r>
          </w:p>
        </w:tc>
        <w:tc>
          <w:tcPr>
            <w:tcW w:w="130" w:type="dxa"/>
            <w:tcBorders/>
            <w:shd w:fill="auto" w:val="clear"/>
            <w:vAlign w:val="bottom"/>
          </w:tcPr>
          <w:p>
            <w:pPr>
              <w:pStyle w:val="TableContents"/>
              <w:spacing w:before="0" w:after="283"/>
              <w:rPr/>
            </w:pPr>
            <w:r>
              <w:rPr/>
              <w:t> </w:t>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2,785</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2,546</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5,360</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30" w:type="dxa"/>
            <w:tcBorders/>
            <w:shd w:fill="auto"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3888" w:type="dxa"/>
            <w:tcBorders/>
            <w:shd w:fill="CCEEFF" w:val="clear"/>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15,070</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17,534</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29,405</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32,611</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other income and interest expense</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30" w:type="dxa"/>
            <w:tcBorders/>
            <w:shd w:fill="auto" w:val="clear"/>
            <w:vAlign w:val="bottom"/>
          </w:tcPr>
          <w:p>
            <w:pPr>
              <w:pStyle w:val="TableContents"/>
              <w:spacing w:before="0" w:after="283"/>
              <w:rPr/>
            </w:pPr>
            <w:r>
              <w:rPr/>
              <w:t> </w:t>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$199 for each three-month and $398 for each six-month period, respectively)</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(699</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 net income (loss)</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r>
        <w:trPr/>
        <w:tc>
          <w:tcPr>
            <w:tcW w:w="3888"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3888" w:type="dxa"/>
            <w:tcBorders/>
            <w:shd w:fill="auto" w:val="clear"/>
          </w:tcPr>
          <w:p>
            <w:pPr>
              <w:pStyle w:val="TableContents"/>
              <w:spacing w:before="0" w:after="283"/>
              <w:rPr>
                <w:rFonts w:ascii="Times New Roman" w:hAnsi="Times New Roman"/>
                <w:sz w:val="20"/>
              </w:rPr>
            </w:pPr>
            <w:r>
              <w:rPr>
                <w:rFonts w:ascii="Times New Roman" w:hAnsi="Times New Roman"/>
                <w:sz w:val="20"/>
              </w:rPr>
              <w:t>Basic and diluted</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9,989,836</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9,852,876</w:t>
            </w:r>
          </w:p>
        </w:tc>
        <w:tc>
          <w:tcPr>
            <w:tcW w:w="12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9,987,405</w:t>
            </w:r>
          </w:p>
        </w:tc>
        <w:tc>
          <w:tcPr>
            <w:tcW w:w="1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9,722,033</w:t>
            </w:r>
          </w:p>
        </w:tc>
        <w:tc>
          <w:tcPr>
            <w:tcW w:w="130" w:type="dxa"/>
            <w:tcBorders/>
            <w:shd w:fill="auto" w:val="clear"/>
            <w:vAlign w:val="bottom"/>
          </w:tcPr>
          <w:p>
            <w:pPr>
              <w:pStyle w:val="TableContents"/>
              <w:spacing w:before="0" w:after="283"/>
              <w:rPr/>
            </w:pPr>
            <w:r>
              <w:rPr/>
              <w:t> </w:t>
            </w:r>
          </w:p>
        </w:tc>
      </w:tr>
      <w:tr>
        <w:trPr/>
        <w:tc>
          <w:tcPr>
            <w:tcW w:w="388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2"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43"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5" w:name="tx75463_3"/>
      <w:bookmarkEnd w:id="5"/>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65"/>
        <w:gridCol w:w="574"/>
        <w:gridCol w:w="188"/>
        <w:gridCol w:w="507"/>
        <w:gridCol w:w="148"/>
        <w:gridCol w:w="521"/>
        <w:gridCol w:w="188"/>
        <w:gridCol w:w="560"/>
        <w:gridCol w:w="154"/>
      </w:tblGrid>
      <w:tr>
        <w:trPr/>
        <w:tc>
          <w:tcPr>
            <w:tcW w:w="7365"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2112"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r>
          </w:p>
          <w:p>
            <w:pPr>
              <w:pStyle w:val="TableContents"/>
              <w:spacing w:before="0" w:after="0"/>
              <w:jc w:val="center"/>
              <w:rPr>
                <w:rFonts w:ascii="Times New Roman" w:hAnsi="Times New Roman"/>
                <w:b/>
                <w:sz w:val="14"/>
              </w:rPr>
            </w:pPr>
            <w:r>
              <w:rPr>
                <w:rFonts w:ascii="Times New Roman" w:hAnsi="Times New Roman"/>
                <w:b/>
                <w:sz w:val="14"/>
              </w:rPr>
              <w:t>JUNE 30,</w:t>
            </w:r>
          </w:p>
          <w:p>
            <w:pPr>
              <w:pStyle w:val="HorizontalLine"/>
              <w:pBdr>
                <w:bottom w:val="single" w:sz="6" w:space="0" w:color="000000"/>
              </w:pBdr>
              <w:spacing w:before="0" w:after="283"/>
              <w:rPr/>
            </w:pPr>
            <w:r>
              <w:rPr/>
            </w:r>
          </w:p>
        </w:tc>
        <w:tc>
          <w:tcPr>
            <w:tcW w:w="154" w:type="dxa"/>
            <w:tcBorders/>
            <w:shd w:fill="auto"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Dollars in thousands</w:t>
            </w:r>
          </w:p>
          <w:p>
            <w:pPr>
              <w:pStyle w:val="TableContents"/>
              <w:spacing w:before="0" w:after="15"/>
              <w:rPr/>
            </w:pPr>
            <w:r>
              <w:rPr/>
              <w:t> </w:t>
            </w:r>
          </w:p>
        </w:tc>
        <w:tc>
          <w:tcPr>
            <w:tcW w:w="574"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74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54"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(699</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used in operating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54"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Other non cash gains included in net loss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1,359</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54"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(1,788</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operating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(913</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equipment</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sale of property</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stock issuance</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4"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borrowings (repayments)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1,051</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 in cash</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54" w:type="dxa"/>
            <w:tcBorders/>
            <w:shd w:fill="auto"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07" w:type="dxa"/>
            <w:tcBorders/>
            <w:shd w:fill="auto" w:val="clear"/>
            <w:vAlign w:val="bottom"/>
          </w:tcPr>
          <w:p>
            <w:pPr>
              <w:pStyle w:val="HorizontalLine"/>
              <w:pBdr>
                <w:bottom w:val="single" w:sz="6" w:space="0" w:color="000000"/>
              </w:pBdr>
              <w:spacing w:before="0" w:after="283"/>
              <w:rPr/>
            </w:pPr>
            <w:r>
              <w:rPr/>
            </w:r>
          </w:p>
        </w:tc>
        <w:tc>
          <w:tcPr>
            <w:tcW w:w="148" w:type="dxa"/>
            <w:tcBorders/>
            <w:shd w:fill="auto" w:val="clear"/>
            <w:vAlign w:val="bottom"/>
          </w:tcPr>
          <w:p>
            <w:pPr>
              <w:pStyle w:val="HorizontalLine"/>
              <w:pBdr>
                <w:bottom w:val="single" w:sz="6"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6" w:space="0" w:color="000000"/>
              </w:pBdr>
              <w:spacing w:before="0" w:after="283"/>
              <w:rPr/>
            </w:pPr>
            <w:r>
              <w:rPr/>
            </w:r>
          </w:p>
        </w:tc>
        <w:tc>
          <w:tcPr>
            <w:tcW w:w="560"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07" w:type="dxa"/>
            <w:tcBorders/>
            <w:shd w:fill="auto" w:val="clear"/>
            <w:vAlign w:val="bottom"/>
          </w:tcPr>
          <w:p>
            <w:pPr>
              <w:pStyle w:val="HorizontalLine"/>
              <w:pBdr>
                <w:bottom w:val="single" w:sz="18" w:space="0" w:color="000000"/>
              </w:pBdr>
              <w:spacing w:before="0" w:after="283"/>
              <w:rPr/>
            </w:pPr>
            <w:r>
              <w:rPr/>
            </w:r>
          </w:p>
        </w:tc>
        <w:tc>
          <w:tcPr>
            <w:tcW w:w="148" w:type="dxa"/>
            <w:tcBorders/>
            <w:shd w:fill="auto" w:val="clear"/>
            <w:vAlign w:val="bottom"/>
          </w:tcPr>
          <w:p>
            <w:pPr>
              <w:pStyle w:val="HorizontalLine"/>
              <w:pBdr>
                <w:bottom w:val="single" w:sz="18"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60" w:type="dxa"/>
            <w:tcBorders/>
            <w:shd w:fill="auto" w:val="clear"/>
            <w:vAlign w:val="bottom"/>
          </w:tcPr>
          <w:p>
            <w:pPr>
              <w:pStyle w:val="HorizontalLine"/>
              <w:pBdr>
                <w:bottom w:val="single" w:sz="18" w:space="0" w:color="000000"/>
              </w:pBdr>
              <w:spacing w:before="0" w:after="283"/>
              <w:rPr/>
            </w:pPr>
            <w:r>
              <w:rPr/>
            </w:r>
          </w:p>
        </w:tc>
        <w:tc>
          <w:tcPr>
            <w:tcW w:w="154"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0051" w:type="dxa"/>
            <w:gridSpan w:val="8"/>
            <w:tcBorders/>
            <w:shd w:fill="auto"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154" w:type="dxa"/>
            <w:tcBorders/>
            <w:shd w:fill="auto" w:val="clear"/>
          </w:tcPr>
          <w:p>
            <w:pPr>
              <w:pStyle w:val="TableContents"/>
              <w:spacing w:before="0" w:after="283"/>
              <w:rPr/>
            </w:pPr>
            <w:r>
              <w:rPr/>
              <w:t> </w:t>
            </w:r>
          </w:p>
        </w:tc>
      </w:tr>
      <w:tr>
        <w:trPr>
          <w:trHeight w:val="240" w:hRule="atLeast"/>
        </w:trPr>
        <w:tc>
          <w:tcPr>
            <w:tcW w:w="7365" w:type="dxa"/>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c>
          <w:tcPr>
            <w:tcW w:w="1423" w:type="dxa"/>
            <w:gridSpan w:val="4"/>
            <w:tcBorders/>
            <w:shd w:fill="auto" w:val="clear"/>
            <w:vAlign w:val="center"/>
          </w:tcPr>
          <w:p>
            <w:pPr>
              <w:pStyle w:val="TableContents"/>
              <w:spacing w:before="0" w:after="283"/>
              <w:rPr>
                <w:sz w:val="4"/>
                <w:szCs w:val="4"/>
              </w:rPr>
            </w:pPr>
            <w:r>
              <w:rPr>
                <w:sz w:val="4"/>
                <w:szCs w:val="4"/>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(refunded) during the period for:</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r>
      <w:tr>
        <w:trPr>
          <w:trHeight w:val="120" w:hRule="atLeast"/>
        </w:trPr>
        <w:tc>
          <w:tcPr>
            <w:tcW w:w="7365" w:type="dxa"/>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c>
          <w:tcPr>
            <w:tcW w:w="1423" w:type="dxa"/>
            <w:gridSpan w:val="4"/>
            <w:tcBorders/>
            <w:shd w:fill="auto" w:val="clear"/>
            <w:vAlign w:val="center"/>
          </w:tcPr>
          <w:p>
            <w:pPr>
              <w:pStyle w:val="TableContents"/>
              <w:spacing w:before="0" w:after="283"/>
              <w:rPr>
                <w:sz w:val="4"/>
                <w:szCs w:val="4"/>
              </w:rPr>
            </w:pPr>
            <w:r>
              <w:rPr>
                <w:sz w:val="4"/>
                <w:szCs w:val="4"/>
              </w:rPr>
            </w:r>
          </w:p>
        </w:tc>
      </w:tr>
      <w:tr>
        <w:trPr/>
        <w:tc>
          <w:tcPr>
            <w:tcW w:w="7365"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w:t>
            </w:r>
          </w:p>
        </w:tc>
        <w:tc>
          <w:tcPr>
            <w:tcW w:w="148"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54" w:type="dxa"/>
            <w:tcBorders/>
            <w:shd w:fill="auto"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07" w:type="dxa"/>
            <w:tcBorders/>
            <w:shd w:fill="auto" w:val="clear"/>
            <w:vAlign w:val="bottom"/>
          </w:tcPr>
          <w:p>
            <w:pPr>
              <w:pStyle w:val="HorizontalLine"/>
              <w:pBdr>
                <w:bottom w:val="single" w:sz="18" w:space="0" w:color="000000"/>
              </w:pBdr>
              <w:spacing w:before="0" w:after="283"/>
              <w:rPr/>
            </w:pPr>
            <w:r>
              <w:rPr/>
            </w:r>
          </w:p>
        </w:tc>
        <w:tc>
          <w:tcPr>
            <w:tcW w:w="148" w:type="dxa"/>
            <w:tcBorders/>
            <w:shd w:fill="auto" w:val="clear"/>
            <w:vAlign w:val="bottom"/>
          </w:tcPr>
          <w:p>
            <w:pPr>
              <w:pStyle w:val="HorizontalLine"/>
              <w:pBdr>
                <w:bottom w:val="single" w:sz="18"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60" w:type="dxa"/>
            <w:tcBorders/>
            <w:shd w:fill="auto" w:val="clear"/>
            <w:vAlign w:val="bottom"/>
          </w:tcPr>
          <w:p>
            <w:pPr>
              <w:pStyle w:val="HorizontalLine"/>
              <w:pBdr>
                <w:bottom w:val="single" w:sz="18" w:space="0" w:color="000000"/>
              </w:pBdr>
              <w:spacing w:before="0" w:after="283"/>
              <w:rPr/>
            </w:pPr>
            <w:r>
              <w:rPr/>
            </w:r>
          </w:p>
        </w:tc>
        <w:tc>
          <w:tcPr>
            <w:tcW w:w="154" w:type="dxa"/>
            <w:tcBorders/>
            <w:shd w:fill="auto" w:val="clear"/>
            <w:vAlign w:val="bottom"/>
          </w:tcPr>
          <w:p>
            <w:pPr>
              <w:pStyle w:val="HorizontalLine"/>
              <w:pBdr>
                <w:bottom w:val="single" w:sz="18" w:space="0" w:color="FFFFFF"/>
              </w:pBdr>
              <w:spacing w:before="0" w:after="283"/>
              <w:rPr/>
            </w:pPr>
            <w:r>
              <w:rPr/>
            </w:r>
          </w:p>
        </w:tc>
      </w:tr>
      <w:tr>
        <w:trPr/>
        <w:tc>
          <w:tcPr>
            <w:tcW w:w="73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57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54" w:type="dxa"/>
            <w:tcBorders/>
            <w:shd w:fill="CCEEFF" w:val="clear"/>
            <w:vAlign w:val="bottom"/>
          </w:tcPr>
          <w:p>
            <w:pPr>
              <w:pStyle w:val="TableContents"/>
              <w:spacing w:before="0" w:after="283"/>
              <w:rPr/>
            </w:pPr>
            <w:r>
              <w:rPr/>
              <w:t> </w:t>
            </w:r>
          </w:p>
        </w:tc>
      </w:tr>
      <w:tr>
        <w:trPr/>
        <w:tc>
          <w:tcPr>
            <w:tcW w:w="736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07" w:type="dxa"/>
            <w:tcBorders/>
            <w:shd w:fill="auto" w:val="clear"/>
            <w:vAlign w:val="bottom"/>
          </w:tcPr>
          <w:p>
            <w:pPr>
              <w:pStyle w:val="HorizontalLine"/>
              <w:pBdr>
                <w:bottom w:val="single" w:sz="18" w:space="0" w:color="000000"/>
              </w:pBdr>
              <w:spacing w:before="0" w:after="283"/>
              <w:rPr/>
            </w:pPr>
            <w:r>
              <w:rPr/>
            </w:r>
          </w:p>
        </w:tc>
        <w:tc>
          <w:tcPr>
            <w:tcW w:w="148" w:type="dxa"/>
            <w:tcBorders/>
            <w:shd w:fill="auto" w:val="clear"/>
            <w:vAlign w:val="bottom"/>
          </w:tcPr>
          <w:p>
            <w:pPr>
              <w:pStyle w:val="HorizontalLine"/>
              <w:pBdr>
                <w:bottom w:val="single" w:sz="18" w:space="0" w:color="FFFFFF"/>
              </w:pBdr>
              <w:spacing w:before="0" w:after="283"/>
              <w:rPr/>
            </w:pPr>
            <w:r>
              <w:rPr/>
            </w:r>
          </w:p>
        </w:tc>
        <w:tc>
          <w:tcPr>
            <w:tcW w:w="521" w:type="dxa"/>
            <w:tcBorders/>
            <w:shd w:fill="auto" w:val="clear"/>
            <w:vAlign w:val="bottom"/>
          </w:tcPr>
          <w:p>
            <w:pPr>
              <w:pStyle w:val="TableContents"/>
              <w:spacing w:before="0" w:after="283"/>
              <w:rPr/>
            </w:pPr>
            <w:r>
              <w:rPr/>
              <w:t> </w:t>
            </w:r>
          </w:p>
        </w:tc>
        <w:tc>
          <w:tcPr>
            <w:tcW w:w="188" w:type="dxa"/>
            <w:tcBorders/>
            <w:shd w:fill="auto" w:val="clear"/>
            <w:vAlign w:val="bottom"/>
          </w:tcPr>
          <w:p>
            <w:pPr>
              <w:pStyle w:val="HorizontalLine"/>
              <w:pBdr>
                <w:bottom w:val="single" w:sz="18" w:space="0" w:color="000000"/>
              </w:pBdr>
              <w:spacing w:before="0" w:after="283"/>
              <w:rPr/>
            </w:pPr>
            <w:r>
              <w:rPr/>
            </w:r>
          </w:p>
        </w:tc>
        <w:tc>
          <w:tcPr>
            <w:tcW w:w="560" w:type="dxa"/>
            <w:tcBorders/>
            <w:shd w:fill="auto" w:val="clear"/>
            <w:vAlign w:val="bottom"/>
          </w:tcPr>
          <w:p>
            <w:pPr>
              <w:pStyle w:val="HorizontalLine"/>
              <w:pBdr>
                <w:bottom w:val="single" w:sz="18" w:space="0" w:color="000000"/>
              </w:pBdr>
              <w:spacing w:before="0" w:after="283"/>
              <w:rPr/>
            </w:pPr>
            <w:r>
              <w:rPr/>
            </w:r>
          </w:p>
        </w:tc>
        <w:tc>
          <w:tcPr>
            <w:tcW w:w="15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6" w:name="tx75463_4"/>
      <w:bookmarkEnd w:id="6"/>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of reporting for condensed consolidated financial statements.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June 30, 2004 and December 31, 2003 and the results of operations for the three-month and six-month periods ended June 30, 2004 and 2003 and of cash flows for the six-month periods ended June 30, 2004 and 2003. The results of operations for the three-month period and six-month period ended June 30, 2004 are not necessarily indicative of the results to be expected for the full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our 2003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2004 or 2003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2004 and 2003 as reported to the pro forma results, considering both options and warrants discussed in Note 11 in our 2003 Annual Report filed on Form 10-K, had we adopted the expense recognition provision of SFAS No. 123: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73"/>
        <w:gridCol w:w="384"/>
        <w:gridCol w:w="174"/>
        <w:gridCol w:w="397"/>
        <w:gridCol w:w="137"/>
        <w:gridCol w:w="334"/>
        <w:gridCol w:w="174"/>
        <w:gridCol w:w="397"/>
        <w:gridCol w:w="137"/>
        <w:gridCol w:w="334"/>
        <w:gridCol w:w="173"/>
        <w:gridCol w:w="397"/>
        <w:gridCol w:w="137"/>
        <w:gridCol w:w="334"/>
        <w:gridCol w:w="174"/>
        <w:gridCol w:w="397"/>
        <w:gridCol w:w="152"/>
      </w:tblGrid>
      <w:tr>
        <w:trPr/>
        <w:tc>
          <w:tcPr>
            <w:tcW w:w="597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r>
      <w:tr>
        <w:trPr/>
        <w:tc>
          <w:tcPr>
            <w:tcW w:w="59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61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w:t>
            </w:r>
          </w:p>
          <w:p>
            <w:pPr>
              <w:pStyle w:val="TableContents"/>
              <w:spacing w:before="0" w:after="0"/>
              <w:jc w:val="center"/>
              <w:rPr>
                <w:rFonts w:ascii="Times New Roman" w:hAnsi="Times New Roman"/>
                <w:b/>
                <w:sz w:val="14"/>
              </w:rPr>
            </w:pPr>
            <w:r>
              <w:rPr>
                <w:rFonts w:ascii="Times New Roman" w:hAnsi="Times New Roman"/>
                <w:b/>
                <w:sz w:val="14"/>
              </w:rPr>
              <w:t>Ended June 30,</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12"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Six Months</w:t>
            </w:r>
          </w:p>
          <w:p>
            <w:pPr>
              <w:pStyle w:val="TableContents"/>
              <w:spacing w:before="0" w:after="0"/>
              <w:jc w:val="center"/>
              <w:rPr>
                <w:rFonts w:ascii="Times New Roman" w:hAnsi="Times New Roman"/>
                <w:b/>
                <w:sz w:val="14"/>
              </w:rPr>
            </w:pPr>
            <w:r>
              <w:rPr>
                <w:rFonts w:ascii="Times New Roman" w:hAnsi="Times New Roman"/>
                <w:b/>
                <w:sz w:val="14"/>
              </w:rPr>
              <w:t>Ended June 30,</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r>
      <w:tr>
        <w:trPr/>
        <w:tc>
          <w:tcPr>
            <w:tcW w:w="59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57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7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7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r>
      <w:tr>
        <w:trPr/>
        <w:tc>
          <w:tcPr>
            <w:tcW w:w="5973"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as reported</w:t>
            </w:r>
          </w:p>
        </w:tc>
        <w:tc>
          <w:tcPr>
            <w:tcW w:w="38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(699</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73"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38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137" w:type="dxa"/>
            <w:tcBorders/>
            <w:shd w:fill="auto" w:val="clear"/>
            <w:vAlign w:val="bottom"/>
          </w:tcPr>
          <w:p>
            <w:pPr>
              <w:pStyle w:val="HorizontalLine"/>
              <w:pBdr>
                <w:bottom w:val="single" w:sz="6"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137" w:type="dxa"/>
            <w:tcBorders/>
            <w:shd w:fill="auto" w:val="clear"/>
            <w:vAlign w:val="bottom"/>
          </w:tcPr>
          <w:p>
            <w:pPr>
              <w:pStyle w:val="HorizontalLine"/>
              <w:pBdr>
                <w:bottom w:val="single" w:sz="6"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137" w:type="dxa"/>
            <w:tcBorders/>
            <w:shd w:fill="auto" w:val="clear"/>
            <w:vAlign w:val="bottom"/>
          </w:tcPr>
          <w:p>
            <w:pPr>
              <w:pStyle w:val="HorizontalLine"/>
              <w:pBdr>
                <w:bottom w:val="single" w:sz="6"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6" w:space="0" w:color="000000"/>
              </w:pBdr>
              <w:spacing w:before="0" w:after="283"/>
              <w:rPr/>
            </w:pPr>
            <w:r>
              <w:rPr/>
            </w:r>
          </w:p>
        </w:tc>
        <w:tc>
          <w:tcPr>
            <w:tcW w:w="397"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HorizontalLine"/>
              <w:pBdr>
                <w:bottom w:val="single" w:sz="6" w:space="0" w:color="FFFFFF"/>
              </w:pBdr>
              <w:spacing w:before="0" w:after="283"/>
              <w:rPr/>
            </w:pPr>
            <w:r>
              <w:rPr/>
            </w:r>
          </w:p>
        </w:tc>
      </w:tr>
      <w:tr>
        <w:trPr/>
        <w:tc>
          <w:tcPr>
            <w:tcW w:w="5973"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loss under SFAS No. 123</w:t>
            </w:r>
          </w:p>
        </w:tc>
        <w:tc>
          <w:tcPr>
            <w:tcW w:w="38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7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137" w:type="dxa"/>
            <w:tcBorders/>
            <w:shd w:fill="auto" w:val="clear"/>
            <w:vAlign w:val="bottom"/>
          </w:tcPr>
          <w:p>
            <w:pPr>
              <w:pStyle w:val="HorizontalLine"/>
              <w:pBdr>
                <w:bottom w:val="single" w:sz="18"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137" w:type="dxa"/>
            <w:tcBorders/>
            <w:shd w:fill="auto" w:val="clear"/>
            <w:vAlign w:val="bottom"/>
          </w:tcPr>
          <w:p>
            <w:pPr>
              <w:pStyle w:val="HorizontalLine"/>
              <w:pBdr>
                <w:bottom w:val="single" w:sz="18"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137" w:type="dxa"/>
            <w:tcBorders/>
            <w:shd w:fill="auto" w:val="clear"/>
            <w:vAlign w:val="bottom"/>
          </w:tcPr>
          <w:p>
            <w:pPr>
              <w:pStyle w:val="HorizontalLine"/>
              <w:pBdr>
                <w:bottom w:val="single" w:sz="18" w:space="0" w:color="FFFFFF"/>
              </w:pBdr>
              <w:spacing w:before="0" w:after="283"/>
              <w:rPr/>
            </w:pPr>
            <w:r>
              <w:rPr/>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HorizontalLine"/>
              <w:pBdr>
                <w:bottom w:val="single" w:sz="18" w:space="0" w:color="000000"/>
              </w:pBdr>
              <w:spacing w:before="0" w:after="283"/>
              <w:rPr/>
            </w:pPr>
            <w:r>
              <w:rPr/>
            </w:r>
          </w:p>
        </w:tc>
        <w:tc>
          <w:tcPr>
            <w:tcW w:w="397"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HorizontalLine"/>
              <w:pBdr>
                <w:bottom w:val="single" w:sz="18" w:space="0" w:color="FFFFFF"/>
              </w:pBdr>
              <w:spacing w:before="0" w:after="283"/>
              <w:rPr/>
            </w:pPr>
            <w:r>
              <w:rPr/>
            </w:r>
          </w:p>
        </w:tc>
      </w:tr>
      <w:tr>
        <w:trPr/>
        <w:tc>
          <w:tcPr>
            <w:tcW w:w="5973" w:type="dxa"/>
            <w:tcBorders/>
            <w:shd w:fill="CCEEFF" w:val="clear"/>
          </w:tcPr>
          <w:p>
            <w:pPr>
              <w:pStyle w:val="TableContents"/>
              <w:spacing w:before="0" w:after="283"/>
              <w:rPr>
                <w:rFonts w:ascii="Times New Roman" w:hAnsi="Times New Roman"/>
                <w:sz w:val="20"/>
              </w:rPr>
            </w:pPr>
            <w:r>
              <w:rPr>
                <w:rFonts w:ascii="Times New Roman" w:hAnsi="Times New Roman"/>
                <w:sz w:val="20"/>
              </w:rPr>
              <w:t>Basic and diluted loss per share:</w:t>
            </w:r>
          </w:p>
        </w:tc>
        <w:tc>
          <w:tcPr>
            <w:tcW w:w="38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5973"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38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73"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under SFAS No. 123</w:t>
            </w:r>
          </w:p>
        </w:tc>
        <w:tc>
          <w:tcPr>
            <w:tcW w:w="38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amounts in the June 30, 2003 financial statements have been reclassified to conform to the June 30, 2004 presentation.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Standards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the FASB issued Statement No. 148, Accounting for Stock-Based Compensation - Transition and Disclosure which we adopted in 2003. The Statement provides alternative methods of transition for a voluntary change to the fair value method of accounting for stock options. At this time, we do not anticipate making any voluntary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April 30, 2003, the FASB issued SFAS No. 149, Amendment of Statement 133 on Derivative Instruments and Hedging Activities. This statement amends and clarifies accounting for derivative instruments, including certain derivative instruments embedded in other contracts, and for hedging activities under SFAS No. 133. This statement is effective for contracts entered into or modified after June 30, 2003, for hedging relationships designated after June 30, 2003, and to certain pre-existing contracts. We adopted SFAS No. 149 on a prospective basis at its effective date on July 1, 2003.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This statement was effective for financial instruments entered into or modified after May 31, 2003 and pre-existing instruments as of the beginning of the first interim period that commences after June 15, 2003, except for mandatorily redeemable financial instruments. Mandatorily redeemable financial instruments are subject to the provisions of this statement beginning on January 1, 2004. We have not entered into or modified any financial instruments subsequent to May 31, 2003 affected by this statement nor do we have any mandatorily redeemable financial instruments. The adoption of this statement did not have a material impact on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Interpretation No. 45 (FIN 45) Guarantors Accounting and Disclosure requirements for Guarantees, Including Indirect Guarantees of Indebtedness of Others. FIN 45 elaborates on the existing disclosure requirements for most guarantees, including loan guarantees. It also clarifies that at the time a company issues a guarantee, the company must recognize an initial liability for the fair value, or market value, of the obligations it assumes under that guarantee. However, the provisions related to recognizing a liability at inception of the guarantee for the fair value of the guarantors obligations does not apply to product warranties or to guarantees accounted for as derivatives. The initial recognition and initial measurement provisions apply on a prospective basis to guarantees issued or modified after December 31, 2002. The disclosure requirements of FIN 45 are effective for financial statements of interim or annual periods ending after December 15, 2002 and had no effect on our financial statement disclosures.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Interpretation No. 46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FIN 46 applies to variable interest entities created after January 31, 2003, and to variable interest entities in which an enterprise obtains an interest in after that date. The adoption of this interpretation on January 1, 2004 did not affect our financial condition or results of operations, as we do not have any variable interest entities.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FASBs Emerging Issues Task Force (EITF) reached a consensus on EITF Issue No. 00-21, Revenue Arrangements with Multiple Deliverables. EITF No. 00-21 provides guidance for revenue arrangements that involve the delivery or performance of multiple products or services where performance may occur at different points or over different periods of time. EITF No. 00-21 is effective for revenue arrangements entered into in fiscal periods beginning after June 15, 2003 (i.e., our fiscal 2004). The adoption of this interpretation on January 1, 2004 did not affect our financial condition or results of operations, as we do not have any revenue arrangements with multiple deliverables.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FASB issued FASB Statement No. 132 (Revised 2003), Employers Disclosures about Pensions and Other Postretirement Benefits. The statement increases the existing disclosure requirements by requiring more details about pension plan assets, benefit obligations, cash flows, benefit costs and related information. We are required to segregate plan assets by category, such as debt, equity and real estate, and to provide certain expected rates of return and other informational disclosures. We have adopted the disclosure requirement of SFAS No. 132-R for our December 31, 2003 financial statements, as well as disclosure requirements for various elements of pension and postretirement benefit costs in interim period financial statements for quarters beginning with our first quarter ended March 31,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Inventories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550" w:type="pct"/>
        <w:jc w:val="center"/>
        <w:tblInd w:w="0" w:type="dxa"/>
        <w:tblCellMar>
          <w:top w:w="0" w:type="dxa"/>
          <w:left w:w="0" w:type="dxa"/>
          <w:bottom w:w="0" w:type="dxa"/>
          <w:right w:w="0" w:type="dxa"/>
        </w:tblCellMar>
      </w:tblPr>
      <w:tblGrid>
        <w:gridCol w:w="6734"/>
        <w:gridCol w:w="526"/>
        <w:gridCol w:w="156"/>
        <w:gridCol w:w="540"/>
        <w:gridCol w:w="526"/>
        <w:gridCol w:w="177"/>
        <w:gridCol w:w="627"/>
      </w:tblGrid>
      <w:tr>
        <w:trPr/>
        <w:tc>
          <w:tcPr>
            <w:tcW w:w="673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r>
      <w:tr>
        <w:trPr/>
        <w:tc>
          <w:tcPr>
            <w:tcW w:w="6734"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69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June 30,</w:t>
            </w:r>
          </w:p>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526" w:type="dxa"/>
            <w:tcBorders/>
            <w:shd w:fill="auto" w:val="clear"/>
            <w:vAlign w:val="bottom"/>
          </w:tcPr>
          <w:p>
            <w:pPr>
              <w:pStyle w:val="TableContents"/>
              <w:spacing w:before="0" w:after="283"/>
              <w:rPr/>
            </w:pPr>
            <w:r>
              <w:rPr/>
              <w:t>  </w:t>
            </w:r>
          </w:p>
        </w:tc>
        <w:tc>
          <w:tcPr>
            <w:tcW w:w="80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r>
      <w:tr>
        <w:trPr/>
        <w:tc>
          <w:tcPr>
            <w:tcW w:w="6734"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5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w:t>
            </w:r>
          </w:p>
        </w:tc>
        <w:tc>
          <w:tcPr>
            <w:tcW w:w="52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r>
      <w:tr>
        <w:trPr/>
        <w:tc>
          <w:tcPr>
            <w:tcW w:w="6734"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5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52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r>
      <w:tr>
        <w:trPr/>
        <w:tc>
          <w:tcPr>
            <w:tcW w:w="6734"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5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52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r>
      <w:tr>
        <w:trPr/>
        <w:tc>
          <w:tcPr>
            <w:tcW w:w="6734"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6" w:space="0" w:color="000000"/>
              </w:pBdr>
              <w:spacing w:before="0" w:after="283"/>
              <w:rPr/>
            </w:pPr>
            <w:r>
              <w:rPr/>
            </w:r>
          </w:p>
        </w:tc>
        <w:tc>
          <w:tcPr>
            <w:tcW w:w="540" w:type="dxa"/>
            <w:tcBorders/>
            <w:shd w:fill="auto" w:val="clear"/>
            <w:vAlign w:val="bottom"/>
          </w:tcPr>
          <w:p>
            <w:pPr>
              <w:pStyle w:val="HorizontalLine"/>
              <w:pBdr>
                <w:bottom w:val="single" w:sz="6" w:space="0" w:color="000000"/>
              </w:pBdr>
              <w:spacing w:before="0" w:after="283"/>
              <w:rPr/>
            </w:pPr>
            <w:r>
              <w:rPr/>
            </w:r>
          </w:p>
        </w:tc>
        <w:tc>
          <w:tcPr>
            <w:tcW w:w="526"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6" w:space="0" w:color="000000"/>
              </w:pBdr>
              <w:spacing w:before="0" w:after="283"/>
              <w:rPr/>
            </w:pPr>
            <w:r>
              <w:rPr/>
            </w:r>
          </w:p>
        </w:tc>
        <w:tc>
          <w:tcPr>
            <w:tcW w:w="627" w:type="dxa"/>
            <w:tcBorders/>
            <w:shd w:fill="auto" w:val="clear"/>
            <w:vAlign w:val="bottom"/>
          </w:tcPr>
          <w:p>
            <w:pPr>
              <w:pStyle w:val="HorizontalLine"/>
              <w:pBdr>
                <w:bottom w:val="single" w:sz="6" w:space="0" w:color="000000"/>
              </w:pBdr>
              <w:spacing w:before="0" w:after="283"/>
              <w:rPr/>
            </w:pPr>
            <w:r>
              <w:rPr/>
            </w:r>
          </w:p>
        </w:tc>
      </w:tr>
      <w:tr>
        <w:trPr/>
        <w:tc>
          <w:tcPr>
            <w:tcW w:w="6734" w:type="dxa"/>
            <w:tcBorders/>
            <w:shd w:fill="CCEEFF" w:val="clear"/>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526"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1,575</w:t>
            </w:r>
          </w:p>
        </w:tc>
      </w:tr>
      <w:tr>
        <w:trPr/>
        <w:tc>
          <w:tcPr>
            <w:tcW w:w="6734"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56" w:type="dxa"/>
            <w:tcBorders/>
            <w:shd w:fill="auto" w:val="clear"/>
            <w:vAlign w:val="bottom"/>
          </w:tcPr>
          <w:p>
            <w:pPr>
              <w:pStyle w:val="HorizontalLine"/>
              <w:pBdr>
                <w:bottom w:val="single" w:sz="18" w:space="0" w:color="000000"/>
              </w:pBdr>
              <w:spacing w:before="0" w:after="283"/>
              <w:rPr/>
            </w:pPr>
            <w:r>
              <w:rPr/>
            </w:r>
          </w:p>
        </w:tc>
        <w:tc>
          <w:tcPr>
            <w:tcW w:w="540" w:type="dxa"/>
            <w:tcBorders/>
            <w:shd w:fill="auto" w:val="clear"/>
            <w:vAlign w:val="bottom"/>
          </w:tcPr>
          <w:p>
            <w:pPr>
              <w:pStyle w:val="HorizontalLine"/>
              <w:pBdr>
                <w:bottom w:val="single" w:sz="18" w:space="0" w:color="000000"/>
              </w:pBdr>
              <w:spacing w:before="0" w:after="283"/>
              <w:rPr/>
            </w:pPr>
            <w:r>
              <w:rPr/>
            </w:r>
          </w:p>
        </w:tc>
        <w:tc>
          <w:tcPr>
            <w:tcW w:w="526"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18" w:space="0" w:color="000000"/>
              </w:pBdr>
              <w:spacing w:before="0" w:after="283"/>
              <w:rPr/>
            </w:pPr>
            <w:r>
              <w:rPr/>
            </w:r>
          </w:p>
        </w:tc>
        <w:tc>
          <w:tcPr>
            <w:tcW w:w="627"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Goodwill and Intangible Assets </w:t>
            </w:r>
          </w:p>
        </w:tc>
      </w:tr>
    </w:tbl>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447"/>
        <w:gridCol w:w="515"/>
        <w:gridCol w:w="166"/>
        <w:gridCol w:w="514"/>
        <w:gridCol w:w="132"/>
        <w:gridCol w:w="468"/>
        <w:gridCol w:w="191"/>
        <w:gridCol w:w="613"/>
        <w:gridCol w:w="138"/>
      </w:tblGrid>
      <w:tr>
        <w:trPr/>
        <w:tc>
          <w:tcPr>
            <w:tcW w:w="644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r>
        <w:trPr/>
        <w:tc>
          <w:tcPr>
            <w:tcW w:w="6447"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6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June 30,</w:t>
            </w:r>
          </w:p>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80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8" w:type="dxa"/>
            <w:tcBorders/>
            <w:shd w:fill="auto" w:val="clear"/>
            <w:vAlign w:val="bottom"/>
          </w:tcPr>
          <w:p>
            <w:pPr>
              <w:pStyle w:val="TableContents"/>
              <w:spacing w:before="0" w:after="283"/>
              <w:rPr/>
            </w:pPr>
            <w:r>
              <w:rPr/>
              <w:t> </w:t>
            </w:r>
          </w:p>
        </w:tc>
      </w:tr>
      <w:tr>
        <w:trPr/>
        <w:tc>
          <w:tcPr>
            <w:tcW w:w="6447"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51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2"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138" w:type="dxa"/>
            <w:tcBorders/>
            <w:shd w:fill="CCEEFF" w:val="clear"/>
            <w:vAlign w:val="bottom"/>
          </w:tcPr>
          <w:p>
            <w:pPr>
              <w:pStyle w:val="TableContents"/>
              <w:spacing w:before="0" w:after="283"/>
              <w:rPr/>
            </w:pPr>
            <w:r>
              <w:rPr/>
              <w:t> </w:t>
            </w:r>
          </w:p>
        </w:tc>
      </w:tr>
      <w:tr>
        <w:trPr/>
        <w:tc>
          <w:tcPr>
            <w:tcW w:w="6447"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14"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613"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r>
        <w:trPr/>
        <w:tc>
          <w:tcPr>
            <w:tcW w:w="6447"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finite life</w:t>
            </w:r>
          </w:p>
        </w:tc>
        <w:tc>
          <w:tcPr>
            <w:tcW w:w="51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32"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38" w:type="dxa"/>
            <w:tcBorders/>
            <w:shd w:fill="CCEEFF" w:val="clear"/>
            <w:vAlign w:val="bottom"/>
          </w:tcPr>
          <w:p>
            <w:pPr>
              <w:pStyle w:val="TableContents"/>
              <w:spacing w:before="0" w:after="283"/>
              <w:rPr/>
            </w:pPr>
            <w:r>
              <w:rPr/>
              <w:t> </w:t>
            </w:r>
          </w:p>
        </w:tc>
      </w:tr>
      <w:tr>
        <w:trPr/>
        <w:tc>
          <w:tcPr>
            <w:tcW w:w="6447"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amortization</w:t>
            </w:r>
          </w:p>
        </w:tc>
        <w:tc>
          <w:tcPr>
            <w:tcW w:w="51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(670</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47"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514"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bottom"/>
          </w:tcPr>
          <w:p>
            <w:pPr>
              <w:pStyle w:val="HorizontalLine"/>
              <w:pBdr>
                <w:bottom w:val="single" w:sz="6" w:space="0" w:color="FFFFFF"/>
              </w:pBdr>
              <w:spacing w:before="0" w:after="283"/>
              <w:rPr/>
            </w:pPr>
            <w:r>
              <w:rPr/>
            </w:r>
          </w:p>
        </w:tc>
      </w:tr>
      <w:tr>
        <w:trPr/>
        <w:tc>
          <w:tcPr>
            <w:tcW w:w="6447" w:type="dxa"/>
            <w:tcBorders/>
            <w:shd w:fill="CCEEFF" w:val="clear"/>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776</w:t>
            </w:r>
          </w:p>
        </w:tc>
        <w:tc>
          <w:tcPr>
            <w:tcW w:w="132"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w:t>
            </w:r>
          </w:p>
        </w:tc>
        <w:tc>
          <w:tcPr>
            <w:tcW w:w="138" w:type="dxa"/>
            <w:tcBorders/>
            <w:shd w:fill="CCEEFF" w:val="clear"/>
            <w:vAlign w:val="bottom"/>
          </w:tcPr>
          <w:p>
            <w:pPr>
              <w:pStyle w:val="TableContents"/>
              <w:spacing w:before="0" w:after="283"/>
              <w:rPr/>
            </w:pPr>
            <w:r>
              <w:rPr/>
              <w:t> </w:t>
            </w:r>
          </w:p>
        </w:tc>
      </w:tr>
      <w:tr>
        <w:trPr/>
        <w:tc>
          <w:tcPr>
            <w:tcW w:w="6447"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14"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613"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r>
        <w:trPr/>
        <w:tc>
          <w:tcPr>
            <w:tcW w:w="6447"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indefinite life</w:t>
            </w:r>
          </w:p>
        </w:tc>
        <w:tc>
          <w:tcPr>
            <w:tcW w:w="51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2"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38" w:type="dxa"/>
            <w:tcBorders/>
            <w:shd w:fill="CCEEFF" w:val="clear"/>
            <w:vAlign w:val="bottom"/>
          </w:tcPr>
          <w:p>
            <w:pPr>
              <w:pStyle w:val="TableContents"/>
              <w:spacing w:before="0" w:after="283"/>
              <w:rPr/>
            </w:pPr>
            <w:r>
              <w:rPr/>
              <w:t> </w:t>
            </w:r>
          </w:p>
        </w:tc>
      </w:tr>
      <w:tr>
        <w:trPr/>
        <w:tc>
          <w:tcPr>
            <w:tcW w:w="6447"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514"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c>
          <w:tcPr>
            <w:tcW w:w="468" w:type="dxa"/>
            <w:tcBorders/>
            <w:shd w:fill="auto" w:val="clear"/>
            <w:vAlign w:val="bottom"/>
          </w:tcPr>
          <w:p>
            <w:pPr>
              <w:pStyle w:val="TableContents"/>
              <w:spacing w:before="0" w:after="283"/>
              <w:rPr/>
            </w:pPr>
            <w:r>
              <w:rPr/>
              <w:t> </w:t>
            </w:r>
          </w:p>
        </w:tc>
        <w:tc>
          <w:tcPr>
            <w:tcW w:w="191" w:type="dxa"/>
            <w:tcBorders/>
            <w:shd w:fill="auto" w:val="clear"/>
            <w:vAlign w:val="bottom"/>
          </w:tcPr>
          <w:p>
            <w:pPr>
              <w:pStyle w:val="HorizontalLine"/>
              <w:pBdr>
                <w:bottom w:val="single" w:sz="18" w:space="0" w:color="000000"/>
              </w:pBdr>
              <w:spacing w:before="0" w:after="283"/>
              <w:rPr/>
            </w:pPr>
            <w:r>
              <w:rPr/>
            </w:r>
          </w:p>
        </w:tc>
        <w:tc>
          <w:tcPr>
            <w:tcW w:w="613" w:type="dxa"/>
            <w:tcBorders/>
            <w:shd w:fill="auto" w:val="clear"/>
            <w:vAlign w:val="bottom"/>
          </w:tcPr>
          <w:p>
            <w:pPr>
              <w:pStyle w:val="HorizontalLine"/>
              <w:pBdr>
                <w:bottom w:val="single" w:sz="18" w:space="0" w:color="000000"/>
              </w:pBdr>
              <w:spacing w:before="0" w:after="283"/>
              <w:rPr/>
            </w:pPr>
            <w:r>
              <w:rPr/>
            </w:r>
          </w:p>
        </w:tc>
        <w:tc>
          <w:tcPr>
            <w:tcW w:w="13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Amortization expense was $20 for the second quarters of 2004 and 2003, and $40 and $39 for the first six months of 2004 and 2003, respectively. Amortization of finite life intangible assets over the next five years is $79 for 2005, $78 in 2006 and 2007, and $77 in 2008 and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Business Segment Information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Per Share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three months ended June 30, 2004 and 2003, both basic weighted average common shares outstanding and diluted average common shares outstanding were 9,989,836 and 9,852,876, respectively. For the six months ended June 30, 2004 and 2003, both basic weighted average common shares outstanding and diluted average common shares outstanding were 9,987,405 and 9,722,033, respectively. We consider outstanding options and warrants in computing diluted net loss per share only when they are dilutive. Options and warrants to purchase 3,503,700 and 3,451,700 shares for the three months and six months ended June 30, 2004 and 2003, respectively, were not included in the computation of diluted earnings per share due to their having an anti-dilutive effect. There were no adjustments to net loss for the basic or diluted earnings per share computations.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June 30, 2004 was $10,998 and $9,957 at December 31, 2003. Unused credit availability under our $8 million revolving line of credit at June 30, 2004 was $2,237. Availability is determined by a borrowing base formula contained in the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revolving line of credit of the bank credit facility is reported as current portion of debt in the balance sheet at June 30, 2004 since the line matures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The bank credit facility was also amended during August 2004 by extending the term loan to July 2005 and by waiving the leverage financial covenant as of June 30,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evaluating, in light of the current market conditions and company performance, our options and seeking alternative financing. Our refinancing strategy for the existing revolving credit agreement and term loan is to obtain new financings that will extend the maturities and increase our cash flow by lowering the scheduled principal amortization on term debt for our machinery, equipment and real estate, and reducing interest costs. We believe that we will be able to restructure or refinance our existing credit facility before the scheduled maturity in January 2005 based on our recent extension of the term loan to July 2005, among other factors. However, there can be no assurance that we will able to do so. In addition to pursuing opportunities where we have been historically successful, we are evaluating new markets and exploring opportunities internationally. In addition, we have identified and implemented various cost containment and reduction initiatives through better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utilization of our manufacturing capacity, utilizing lower labor costs and making more efficient use of our central services and design/drafting staff. These efforts are expected to provide approximately $1,300 in annualized savings beginning in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option to the potential purchaser to acquire the property until November 2004 in exchange for $100 (which will be held in escrow until certain contingencies are satisfied).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8.</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Benefit Plans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Retirement and health care plan expense is based on valuations performed by plan actuaries as of the beginning of each fiscal year. The components of the expense consisted of the following: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590"/>
        <w:gridCol w:w="570"/>
        <w:gridCol w:w="161"/>
        <w:gridCol w:w="373"/>
        <w:gridCol w:w="125"/>
        <w:gridCol w:w="482"/>
        <w:gridCol w:w="161"/>
        <w:gridCol w:w="375"/>
        <w:gridCol w:w="111"/>
        <w:gridCol w:w="471"/>
        <w:gridCol w:w="138"/>
        <w:gridCol w:w="394"/>
        <w:gridCol w:w="111"/>
        <w:gridCol w:w="471"/>
        <w:gridCol w:w="138"/>
        <w:gridCol w:w="395"/>
        <w:gridCol w:w="118"/>
      </w:tblGrid>
      <w:tr>
        <w:trPr/>
        <w:tc>
          <w:tcPr>
            <w:tcW w:w="459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r>
      <w:tr>
        <w:trPr/>
        <w:tc>
          <w:tcPr>
            <w:tcW w:w="459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67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June 30,</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647"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br/>
              <w:t>June 30,</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459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5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2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5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5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53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5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18"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5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5"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18"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5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8"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(gain)/loss</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18" w:type="dxa"/>
            <w:tcBorders/>
            <w:shd w:fill="auto" w:val="clear"/>
            <w:vAlign w:val="bottom"/>
          </w:tcPr>
          <w:p>
            <w:pPr>
              <w:pStyle w:val="TableContents"/>
              <w:spacing w:before="0" w:after="283"/>
              <w:rPr/>
            </w:pPr>
            <w:r>
              <w:rPr/>
              <w:t> </w:t>
            </w:r>
          </w:p>
        </w:tc>
      </w:tr>
      <w:tr>
        <w:trPr/>
        <w:tc>
          <w:tcPr>
            <w:tcW w:w="459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73"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7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394"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395"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5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125"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18" w:type="dxa"/>
            <w:tcBorders/>
            <w:shd w:fill="CCEEFF" w:val="clear"/>
            <w:vAlign w:val="bottom"/>
          </w:tcPr>
          <w:p>
            <w:pPr>
              <w:pStyle w:val="TableContents"/>
              <w:spacing w:before="0" w:after="283"/>
              <w:rPr/>
            </w:pPr>
            <w:r>
              <w:rPr/>
              <w:t> </w:t>
            </w:r>
          </w:p>
        </w:tc>
      </w:tr>
      <w:tr>
        <w:trPr/>
        <w:tc>
          <w:tcPr>
            <w:tcW w:w="459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73"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7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394"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57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11"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8" w:type="dxa"/>
            <w:tcBorders/>
            <w:shd w:fill="auto" w:val="clear"/>
            <w:vAlign w:val="bottom"/>
          </w:tcPr>
          <w:p>
            <w:pPr>
              <w:pStyle w:val="TableContents"/>
              <w:spacing w:before="0" w:after="283"/>
              <w:rPr/>
            </w:pPr>
            <w:r>
              <w:rPr/>
              <w:t> </w:t>
            </w:r>
          </w:p>
        </w:tc>
      </w:tr>
      <w:tr>
        <w:trPr/>
        <w:tc>
          <w:tcPr>
            <w:tcW w:w="459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73"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c>
          <w:tcPr>
            <w:tcW w:w="48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7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394"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471"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395"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previously disclosed in our financial statements for the year ended December 31, 2003 that we expected to make $854 in contributions to the Pension Plan during the year ending December 31, 2004. As of June 30, 2004, $166 has been contributed to the Pension Plan and we anticipate making an additional $414 during the remainder of Fiscal Year 2004 for a revised total of $580.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x75463_5"/>
      <w:bookmarkEnd w:id="7"/>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Critical Accounting Policies are discussed in Item 7. Managements Discussion and Analysis of Financial Condition and Results of Operations to our Annual Report on Form 10-K for the year ended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condensed consolidated statements of operations for the three-month and six-month periods ended June 30, 2004 and 2003 reflect our operations consolidated with the operations of our subsidiaries.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10"/>
        <w:gridCol w:w="417"/>
        <w:gridCol w:w="158"/>
        <w:gridCol w:w="380"/>
        <w:gridCol w:w="248"/>
        <w:gridCol w:w="372"/>
        <w:gridCol w:w="158"/>
        <w:gridCol w:w="380"/>
        <w:gridCol w:w="203"/>
        <w:gridCol w:w="372"/>
        <w:gridCol w:w="157"/>
        <w:gridCol w:w="380"/>
        <w:gridCol w:w="248"/>
        <w:gridCol w:w="372"/>
        <w:gridCol w:w="158"/>
        <w:gridCol w:w="380"/>
        <w:gridCol w:w="212"/>
      </w:tblGrid>
      <w:tr>
        <w:trPr/>
        <w:tc>
          <w:tcPr>
            <w:tcW w:w="561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561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696"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June 30,</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69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Six Months Ended</w:t>
              <w:br/>
              <w:t>June 30,</w:t>
            </w:r>
          </w:p>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r>
      <w:tr>
        <w:trPr/>
        <w:tc>
          <w:tcPr>
            <w:tcW w:w="561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millions)</w:t>
            </w:r>
          </w:p>
          <w:p>
            <w:pPr>
              <w:pStyle w:val="TableContents"/>
              <w:spacing w:before="0" w:after="15"/>
              <w:rPr/>
            </w:pPr>
            <w:r>
              <w:rPr/>
              <w:t> </w:t>
            </w:r>
          </w:p>
        </w:tc>
        <w:tc>
          <w:tcPr>
            <w:tcW w:w="417" w:type="dxa"/>
            <w:tcBorders/>
            <w:shd w:fill="auto" w:val="clear"/>
            <w:vAlign w:val="bottom"/>
          </w:tcPr>
          <w:p>
            <w:pPr>
              <w:pStyle w:val="TableContents"/>
              <w:spacing w:before="0" w:after="283"/>
              <w:rPr/>
            </w:pPr>
            <w:r>
              <w:rPr/>
              <w:t>  </w:t>
            </w:r>
          </w:p>
        </w:tc>
        <w:tc>
          <w:tcPr>
            <w:tcW w:w="5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24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5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53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24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5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r>
      <w:tr>
        <w:trPr/>
        <w:tc>
          <w:tcPr>
            <w:tcW w:w="5610"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41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03"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212" w:type="dxa"/>
            <w:tcBorders/>
            <w:shd w:fill="CCEEFF" w:val="clear"/>
            <w:vAlign w:val="bottom"/>
          </w:tcPr>
          <w:p>
            <w:pPr>
              <w:pStyle w:val="TableContents"/>
              <w:spacing w:before="0" w:after="283"/>
              <w:rPr/>
            </w:pPr>
            <w:r>
              <w:rPr/>
              <w:t> </w:t>
            </w:r>
          </w:p>
        </w:tc>
      </w:tr>
      <w:tr>
        <w:trPr/>
        <w:tc>
          <w:tcPr>
            <w:tcW w:w="561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41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24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203"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24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212" w:type="dxa"/>
            <w:tcBorders/>
            <w:shd w:fill="auto" w:val="clear"/>
            <w:vAlign w:val="bottom"/>
          </w:tcPr>
          <w:p>
            <w:pPr>
              <w:pStyle w:val="TableContents"/>
              <w:spacing w:before="0" w:after="283"/>
              <w:rPr/>
            </w:pPr>
            <w:r>
              <w:rPr/>
              <w:t> </w:t>
            </w:r>
          </w:p>
        </w:tc>
      </w:tr>
      <w:tr>
        <w:trPr/>
        <w:tc>
          <w:tcPr>
            <w:tcW w:w="561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248" w:type="dxa"/>
            <w:tcBorders/>
            <w:shd w:fill="auto" w:val="clear"/>
            <w:vAlign w:val="bottom"/>
          </w:tcPr>
          <w:p>
            <w:pPr>
              <w:pStyle w:val="HorizontalLine"/>
              <w:pBdr>
                <w:bottom w:val="single" w:sz="6"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HorizontalLine"/>
              <w:pBdr>
                <w:bottom w:val="single" w:sz="6"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248" w:type="dxa"/>
            <w:tcBorders/>
            <w:shd w:fill="auto" w:val="clear"/>
            <w:vAlign w:val="bottom"/>
          </w:tcPr>
          <w:p>
            <w:pPr>
              <w:pStyle w:val="HorizontalLine"/>
              <w:pBdr>
                <w:bottom w:val="single" w:sz="6" w:space="0" w:color="FFFFFF"/>
              </w:pBdr>
              <w:spacing w:before="0" w:after="283"/>
              <w:rPr/>
            </w:pPr>
            <w:r>
              <w:rPr/>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HorizontalLine"/>
              <w:pBdr>
                <w:bottom w:val="single" w:sz="6" w:space="0" w:color="FFFFFF"/>
              </w:pBdr>
              <w:spacing w:before="0" w:after="283"/>
              <w:rPr/>
            </w:pPr>
            <w:r>
              <w:rPr/>
            </w:r>
          </w:p>
        </w:tc>
      </w:tr>
      <w:tr>
        <w:trPr/>
        <w:tc>
          <w:tcPr>
            <w:tcW w:w="5610"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41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203"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12" w:type="dxa"/>
            <w:tcBorders/>
            <w:shd w:fill="CCEEFF" w:val="clear"/>
            <w:vAlign w:val="bottom"/>
          </w:tcPr>
          <w:p>
            <w:pPr>
              <w:pStyle w:val="TableContents"/>
              <w:spacing w:before="0" w:after="283"/>
              <w:rPr/>
            </w:pPr>
            <w:r>
              <w:rPr/>
              <w:t> </w:t>
            </w:r>
          </w:p>
        </w:tc>
      </w:tr>
      <w:tr>
        <w:trPr/>
        <w:tc>
          <w:tcPr>
            <w:tcW w:w="561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610" w:type="dxa"/>
            <w:tcBorders/>
            <w:shd w:fill="auto" w:val="clear"/>
            <w:vAlign w:val="center"/>
          </w:tcPr>
          <w:p>
            <w:pPr>
              <w:pStyle w:val="TableContents"/>
              <w:spacing w:before="0" w:after="283"/>
              <w:rPr>
                <w:sz w:val="4"/>
                <w:szCs w:val="4"/>
              </w:rPr>
            </w:pPr>
            <w:r>
              <w:rPr>
                <w:sz w:val="4"/>
                <w:szCs w:val="4"/>
              </w:rPr>
            </w:r>
          </w:p>
        </w:tc>
        <w:tc>
          <w:tcPr>
            <w:tcW w:w="1203"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c>
          <w:tcPr>
            <w:tcW w:w="1157" w:type="dxa"/>
            <w:gridSpan w:val="4"/>
            <w:tcBorders/>
            <w:shd w:fill="auto" w:val="clear"/>
            <w:vAlign w:val="center"/>
          </w:tcPr>
          <w:p>
            <w:pPr>
              <w:pStyle w:val="TableContents"/>
              <w:spacing w:before="0" w:after="283"/>
              <w:rPr>
                <w:sz w:val="4"/>
                <w:szCs w:val="4"/>
              </w:rPr>
            </w:pPr>
            <w:r>
              <w:rPr>
                <w:sz w:val="4"/>
                <w:szCs w:val="4"/>
              </w:rPr>
            </w:r>
          </w:p>
        </w:tc>
        <w:tc>
          <w:tcPr>
            <w:tcW w:w="1122" w:type="dxa"/>
            <w:gridSpan w:val="4"/>
            <w:tcBorders/>
            <w:shd w:fill="auto" w:val="clear"/>
            <w:vAlign w:val="center"/>
          </w:tcPr>
          <w:p>
            <w:pPr>
              <w:pStyle w:val="TableContents"/>
              <w:spacing w:before="0" w:after="283"/>
              <w:rPr>
                <w:sz w:val="4"/>
                <w:szCs w:val="4"/>
              </w:rPr>
            </w:pPr>
            <w:r>
              <w:rPr>
                <w:sz w:val="4"/>
                <w:szCs w:val="4"/>
              </w:rPr>
            </w:r>
          </w:p>
        </w:tc>
      </w:tr>
      <w:tr>
        <w:trPr/>
        <w:tc>
          <w:tcPr>
            <w:tcW w:w="561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41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03"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4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212" w:type="dxa"/>
            <w:tcBorders/>
            <w:shd w:fill="CCEEFF" w:val="clear"/>
            <w:vAlign w:val="bottom"/>
          </w:tcPr>
          <w:p>
            <w:pPr>
              <w:pStyle w:val="TableContents"/>
              <w:spacing w:before="0" w:after="283"/>
              <w:rPr/>
            </w:pPr>
            <w:r>
              <w:rPr/>
              <w:t> </w:t>
            </w:r>
          </w:p>
        </w:tc>
      </w:tr>
      <w:tr>
        <w:trPr/>
        <w:tc>
          <w:tcPr>
            <w:tcW w:w="561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5610" w:type="dxa"/>
            <w:tcBorders/>
            <w:shd w:fill="auto" w:val="clear"/>
            <w:vAlign w:val="center"/>
          </w:tcPr>
          <w:p>
            <w:pPr>
              <w:pStyle w:val="TableContents"/>
              <w:spacing w:before="0" w:after="283"/>
              <w:rPr>
                <w:sz w:val="4"/>
                <w:szCs w:val="4"/>
              </w:rPr>
            </w:pPr>
            <w:r>
              <w:rPr>
                <w:sz w:val="4"/>
                <w:szCs w:val="4"/>
              </w:rPr>
            </w:r>
          </w:p>
        </w:tc>
        <w:tc>
          <w:tcPr>
            <w:tcW w:w="1203" w:type="dxa"/>
            <w:gridSpan w:val="4"/>
            <w:tcBorders/>
            <w:shd w:fill="auto" w:val="clear"/>
            <w:vAlign w:val="center"/>
          </w:tcPr>
          <w:p>
            <w:pPr>
              <w:pStyle w:val="TableContents"/>
              <w:spacing w:before="0" w:after="283"/>
              <w:rPr>
                <w:sz w:val="4"/>
                <w:szCs w:val="4"/>
              </w:rPr>
            </w:pPr>
            <w:r>
              <w:rPr>
                <w:sz w:val="4"/>
                <w:szCs w:val="4"/>
              </w:rPr>
            </w:r>
          </w:p>
        </w:tc>
        <w:tc>
          <w:tcPr>
            <w:tcW w:w="1113" w:type="dxa"/>
            <w:gridSpan w:val="4"/>
            <w:tcBorders/>
            <w:shd w:fill="auto" w:val="clear"/>
            <w:vAlign w:val="center"/>
          </w:tcPr>
          <w:p>
            <w:pPr>
              <w:pStyle w:val="TableContents"/>
              <w:spacing w:before="0" w:after="283"/>
              <w:rPr>
                <w:sz w:val="4"/>
                <w:szCs w:val="4"/>
              </w:rPr>
            </w:pPr>
            <w:r>
              <w:rPr>
                <w:sz w:val="4"/>
                <w:szCs w:val="4"/>
              </w:rPr>
            </w:r>
          </w:p>
        </w:tc>
        <w:tc>
          <w:tcPr>
            <w:tcW w:w="1157" w:type="dxa"/>
            <w:gridSpan w:val="4"/>
            <w:tcBorders/>
            <w:shd w:fill="auto" w:val="clear"/>
            <w:vAlign w:val="center"/>
          </w:tcPr>
          <w:p>
            <w:pPr>
              <w:pStyle w:val="TableContents"/>
              <w:spacing w:before="0" w:after="283"/>
              <w:rPr>
                <w:sz w:val="4"/>
                <w:szCs w:val="4"/>
              </w:rPr>
            </w:pPr>
            <w:r>
              <w:rPr>
                <w:sz w:val="4"/>
                <w:szCs w:val="4"/>
              </w:rPr>
            </w:r>
          </w:p>
        </w:tc>
        <w:tc>
          <w:tcPr>
            <w:tcW w:w="1122" w:type="dxa"/>
            <w:gridSpan w:val="4"/>
            <w:tcBorders/>
            <w:shd w:fill="auto" w:val="clear"/>
            <w:vAlign w:val="center"/>
          </w:tcPr>
          <w:p>
            <w:pPr>
              <w:pStyle w:val="TableContents"/>
              <w:spacing w:before="0" w:after="283"/>
              <w:rPr>
                <w:sz w:val="4"/>
                <w:szCs w:val="4"/>
              </w:rPr>
            </w:pPr>
            <w:r>
              <w:rPr>
                <w:sz w:val="4"/>
                <w:szCs w:val="4"/>
              </w:rPr>
            </w:r>
          </w:p>
        </w:tc>
      </w:tr>
      <w:tr>
        <w:trPr/>
        <w:tc>
          <w:tcPr>
            <w:tcW w:w="561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(loss) income</w:t>
            </w:r>
          </w:p>
        </w:tc>
        <w:tc>
          <w:tcPr>
            <w:tcW w:w="41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03"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12" w:type="dxa"/>
            <w:tcBorders/>
            <w:shd w:fill="CCEEFF" w:val="clear"/>
            <w:vAlign w:val="bottom"/>
          </w:tcPr>
          <w:p>
            <w:pPr>
              <w:pStyle w:val="TableContents"/>
              <w:spacing w:before="0" w:after="283"/>
              <w:rPr/>
            </w:pPr>
            <w:r>
              <w:rPr/>
              <w:t> </w:t>
            </w:r>
          </w:p>
        </w:tc>
      </w:tr>
      <w:tr>
        <w:trPr/>
        <w:tc>
          <w:tcPr>
            <w:tcW w:w="5610"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41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for the second quarter were $15,006,000, a decrease of $2,748,000, compared to the same quarter in 2003. Consolidated net sales for the first six months of 2004 were $29,152,000, a decrease of $3,803,000 compared to the same period in 2003. Lower construction and Busch revenues partially offset by increased sales from our component parts and duct product lines accounted for most of the fluctuation in sales. Lower backlog was the driving factor for the reduction in our construction revenues. The completion of two steel rolling mill projects was the primary reason for lower revenue from Busch during the second quarter. Sales of our component parts and duct product lines, which are sold to contractors and end-users throughout North America, experienced increased sales volume during the second quarter and first six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Orders booked were $15,894,000 during the second quarter of 2004 and $30,901,000 for the first six months of 2004, as compared to $16,955,000 during the second quarter of 2003 and $31,305,000 in the first half of 2003. First quarter 2003 bookings included one $2.8 million order with no comparably sized orders in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Second quarter 2004 gross profit was $3,134,000. This compares to gross profit of $3,162,000 during the same period in 2003. Gross profit as a percentage of revenues for the three-month period ended June 30, 2004 was 20.9% compared with 17.8% for the comparable period in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Gross profit was $5,939,000 for the first six months of 2004, a decrease of $292,000 compared to the same period in 2003. Gross profit as a percentage of revenues for the first six months of 2004 was 20.4% compared with 18.9% for the comparable period in 2003. We increased gross margin during the second quarter by 3.1 percentage points and 1.5 percentage points during the first half of 2004 compared with the same periods in 2003 principally due to increased construction margins along with reduced overhead spending.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increased by $239,000 or 9.4% to $2,785,000 during the second quarter of 2004 from $2,546,000 in the same period of 2003. Selling and administrative expenses increased by $272,000 or 5.3% to $5,360,000 during the first six months of 2004 from $5,088,000 in the same period of 2003. Cost reduction initiatives in 2003 were offset by increased healthcare and compensation costs in the second quarter and first half of 2004. In light of the current level of revenue, during May 2004, we initiated additional cost reductions, which is expected to provide annualized savings of $1.3 million, beginning in the third quarter of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increased by $17,000 to $413,000 during the second quarter of 2004 from $396,000 in the same period of 2003. Depreciation and amortization increased by $33,000 to $832,000 in the first six months of 2003 from $799,000 in the same period of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income was $18,000 in the second quarter of 2004 compared to $222,000 in the second quarter of 2003. Other income for the first six months of 2004 was $36,000 compared to $222,000 during the same period in 2003. The other income during 2004 is the amortization of the deferred gain recognized from the sale and leaseback of our Conshohocken, Pennsylvania property. The other income during 2003 is the result of the gain recognized from the sale and leaseback of this property during the second quarter of 2003 of $222,000. A deferred gain of $218,000 is being recognized over the ensuing three-year leaseback period.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loss was ($64,000) in the second quarter of 2004 compared to operating income of $220,000 during the same quarter of 2003. Operating loss for the first six months of 2004 was ($253,000) compared to operating income of $344,000 during the same period of 2003. The impact on operating income from lower sales along with increases in selling and administrative expenses and depreciation and amortization, only partially offset by reduced factory overhead spending, were the primary factors for the decrease in operating income.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by $62,000 to $533,000 from $595,000 during the second quarter of 2004. Interest expense decreased by $133,000 to $1,055,000 from $1,188,000 during the first six months of 2004. The decrease was due to lower debt during the quarter that was partially offset by higher interest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benefit was $261,000 during the second quarter of 2004 and $71,000 during the second quarter of 2003. Federal and state income tax benefit was $573,000 for the first six months of 2004, an increase $282,000 from the comparable period in 2003. The federal and state income tax benefit in the first quarter of 2004 was 45%, which reflects the estimated effective tax rate for 2004. Our statutory income tax rate is affected by certain permanent differences including non-deductible interest expense.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loss for the quarter ended June 30, 2004 was ($318,000) compared with a net loss of ($82,000) for the same period in 2003. Net loss for the six months ended June 30, 2004 was ($699,000) compared with a net loss of ($331,000) for the same period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Our backlog, as of June 30, 2004 was $9.6 million compared to $7.3 million as of December 31, 2003. There can be no assurances that backlog will be replicated or increased or translated into higher revenues in the future. The success of our business depends on a multitude of factors that are out of our control. Our operating results can be affected by the introduction of new products, new manufacturing technologies, rapid change of the demand for our products, decrease in average selling prices over the life of the product as competition increases and our dependence to some degree on efforts of intermediaries to sell a portion of our product.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Condition, 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June 30, 2004 and December 31, 2003, cash and cash equivalents totaled $155,000 and $136,000, respectively. Generally, we do not carry significant cash and cash equivalent balances because excess amounts are used to pay down our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June 30, 2004 was $10,998,000 and $9,957,000 at December 31, 2003. Unused credit availability under our $8 million revolving line of credit at June 30, 2004 was $2,237,000. Availability is determined by a borrowing base formula contained in the credit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revolving line of credit of the bank credit facility is reported as current portion of debt in the balance sheet at June 30, 2004 since the line matures in January 2005. The bank credit facility was amended in November 2003 by extending the maturities of the revolving line of credit and the final payment due under the term loan to January 2005. No extinguishment loss was recognized as a result of this amendment. The amendment also reduced minimum coverage requirements under several financial covenants through December 31, 2004. The bank credit facility was also amended during August 2004 by extending the term loan to July 2005 and by waiving the leverage financial covenant as of June 30,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evaluating, in light of the current market conditions and company performance, our options and seeking alternative financing. Our refinancing strategy for the existing revolving credit agreement and term loan is to obtain new financings that will extend the maturities and increase our cash flow by lowering the scheduled principal amortization on term debt for our machinery, equipment and real estate, and reducing interest cost. We believe that we will be able to restructure or refinance our existing credit facility before the scheduled maturity in January 2005 based on our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recent extension of the term loan to July 2005, among other factors. However, there can be no assurance that we will be able to do so. In addition to pursuing opportunities where we have been historically successful, we are evaluating new markets and exploring opportunities internationally. In addition, we have identified and implemented various cost containment and reduction initiatives through better utilization of our manufacturing capacity, utilizing lower labor costs and making more efficient use of our central services and design/drafting staff. These efforts are expected to provide approximately $1.3 million in annualized savings beginning in the third quarter of 2004. We expect to be able to achieve these initiatives without disrupting services to current customers. We believe that the successful achievement of the refinancing and cost reduction initiatives should provide us with sufficient resources to meet our near term cash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Overview of Cash Flows and Liquidity</w:t>
      </w:r>
      <w:r>
        <w:rPr>
          <w:rFonts w:ascii="Times New Roman" w:hAnsi="Times New Roman"/>
          <w:sz w:val="20"/>
        </w:rPr>
        <w:t xml:space="preserve"> </w:t>
      </w:r>
    </w:p>
    <w:p>
      <w:pPr>
        <w:pStyle w:val="TextBody"/>
        <w:spacing w:before="0" w:after="0"/>
        <w:rPr/>
      </w:pPr>
      <w:r>
        <w:rPr/>
        <w:t>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274"/>
        <w:gridCol w:w="581"/>
        <w:gridCol w:w="177"/>
        <w:gridCol w:w="518"/>
        <w:gridCol w:w="134"/>
        <w:gridCol w:w="469"/>
        <w:gridCol w:w="177"/>
        <w:gridCol w:w="697"/>
        <w:gridCol w:w="137"/>
      </w:tblGrid>
      <w:tr>
        <w:trPr/>
        <w:tc>
          <w:tcPr>
            <w:tcW w:w="527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r>
      <w:tr>
        <w:trPr/>
        <w:tc>
          <w:tcPr>
            <w:tcW w:w="5274"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2172"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six months ended</w:t>
            </w:r>
          </w:p>
          <w:p>
            <w:pPr>
              <w:pStyle w:val="TableContents"/>
              <w:spacing w:before="0" w:after="0"/>
              <w:jc w:val="center"/>
              <w:rPr>
                <w:rFonts w:ascii="Times New Roman" w:hAnsi="Times New Roman"/>
                <w:b/>
                <w:sz w:val="14"/>
              </w:rPr>
            </w:pPr>
            <w:r>
              <w:rPr>
                <w:rFonts w:ascii="Times New Roman" w:hAnsi="Times New Roman"/>
                <w:b/>
                <w:sz w:val="14"/>
              </w:rPr>
              <w:t>June 30,</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r>
      <w:tr>
        <w:trPr/>
        <w:tc>
          <w:tcPr>
            <w:tcW w:w="5274"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thousands)</w:t>
            </w:r>
          </w:p>
          <w:p>
            <w:pPr>
              <w:pStyle w:val="TableContents"/>
              <w:spacing w:before="0" w:after="15"/>
              <w:rPr/>
            </w:pPr>
            <w:r>
              <w:rPr/>
              <w:t> </w:t>
            </w:r>
          </w:p>
        </w:tc>
        <w:tc>
          <w:tcPr>
            <w:tcW w:w="581"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34"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37" w:type="dxa"/>
            <w:tcBorders/>
            <w:shd w:fill="auto" w:val="clear"/>
            <w:vAlign w:val="bottom"/>
          </w:tcPr>
          <w:p>
            <w:pPr>
              <w:pStyle w:val="TableContents"/>
              <w:spacing w:before="0" w:after="283"/>
              <w:rPr/>
            </w:pPr>
            <w:r>
              <w:rPr/>
              <w:t> </w:t>
            </w:r>
          </w:p>
        </w:tc>
      </w:tr>
      <w:tr>
        <w:trPr/>
        <w:tc>
          <w:tcPr>
            <w:tcW w:w="5274"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cash flow (used)</w:t>
            </w:r>
          </w:p>
        </w:tc>
        <w:tc>
          <w:tcPr>
            <w:tcW w:w="58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(913</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74"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58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9"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137" w:type="dxa"/>
            <w:tcBorders/>
            <w:shd w:fill="auto" w:val="clear"/>
            <w:vAlign w:val="bottom"/>
          </w:tcPr>
          <w:p>
            <w:pPr>
              <w:pStyle w:val="TableContents"/>
              <w:spacing w:before="0" w:after="283"/>
              <w:rPr/>
            </w:pPr>
            <w:r>
              <w:rPr/>
              <w:t> </w:t>
            </w:r>
          </w:p>
        </w:tc>
      </w:tr>
      <w:tr>
        <w:trPr/>
        <w:tc>
          <w:tcPr>
            <w:tcW w:w="5274"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58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1,051</w:t>
            </w:r>
          </w:p>
        </w:tc>
        <w:tc>
          <w:tcPr>
            <w:tcW w:w="134"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74"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6" w:space="0" w:color="000000"/>
              </w:pBdr>
              <w:spacing w:before="0" w:after="283"/>
              <w:rPr/>
            </w:pPr>
            <w:r>
              <w:rPr/>
            </w:r>
          </w:p>
        </w:tc>
        <w:tc>
          <w:tcPr>
            <w:tcW w:w="518" w:type="dxa"/>
            <w:tcBorders/>
            <w:shd w:fill="auto" w:val="clear"/>
            <w:vAlign w:val="bottom"/>
          </w:tcPr>
          <w:p>
            <w:pPr>
              <w:pStyle w:val="HorizontalLine"/>
              <w:pBdr>
                <w:bottom w:val="single" w:sz="6" w:space="0" w:color="000000"/>
              </w:pBdr>
              <w:spacing w:before="0" w:after="283"/>
              <w:rPr/>
            </w:pPr>
            <w:r>
              <w:rPr/>
            </w:r>
          </w:p>
        </w:tc>
        <w:tc>
          <w:tcPr>
            <w:tcW w:w="134" w:type="dxa"/>
            <w:tcBorders/>
            <w:shd w:fill="auto" w:val="clear"/>
            <w:vAlign w:val="bottom"/>
          </w:tcPr>
          <w:p>
            <w:pPr>
              <w:pStyle w:val="HorizontalLine"/>
              <w:pBdr>
                <w:bottom w:val="single" w:sz="6" w:space="0" w:color="FFFFFF"/>
              </w:pBdr>
              <w:spacing w:before="0" w:after="283"/>
              <w:rPr/>
            </w:pPr>
            <w:r>
              <w:rPr/>
            </w:r>
          </w:p>
        </w:tc>
        <w:tc>
          <w:tcPr>
            <w:tcW w:w="469"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37" w:type="dxa"/>
            <w:tcBorders/>
            <w:shd w:fill="auto" w:val="clear"/>
            <w:vAlign w:val="bottom"/>
          </w:tcPr>
          <w:p>
            <w:pPr>
              <w:pStyle w:val="HorizontalLine"/>
              <w:pBdr>
                <w:bottom w:val="single" w:sz="6" w:space="0" w:color="FFFFFF"/>
              </w:pBdr>
              <w:spacing w:before="0" w:after="283"/>
              <w:rPr/>
            </w:pPr>
            <w:r>
              <w:rPr/>
            </w:r>
          </w:p>
        </w:tc>
      </w:tr>
      <w:tr>
        <w:trPr/>
        <w:tc>
          <w:tcPr>
            <w:tcW w:w="527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(decrease)</w:t>
            </w:r>
          </w:p>
        </w:tc>
        <w:tc>
          <w:tcPr>
            <w:tcW w:w="58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34"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274"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18" w:space="0" w:color="000000"/>
              </w:pBdr>
              <w:spacing w:before="0" w:after="283"/>
              <w:rPr/>
            </w:pPr>
            <w:r>
              <w:rPr/>
            </w:r>
          </w:p>
        </w:tc>
        <w:tc>
          <w:tcPr>
            <w:tcW w:w="518" w:type="dxa"/>
            <w:tcBorders/>
            <w:shd w:fill="auto" w:val="clear"/>
            <w:vAlign w:val="bottom"/>
          </w:tcPr>
          <w:p>
            <w:pPr>
              <w:pStyle w:val="HorizontalLine"/>
              <w:pBdr>
                <w:bottom w:val="single" w:sz="18" w:space="0" w:color="000000"/>
              </w:pBdr>
              <w:spacing w:before="0" w:after="283"/>
              <w:rPr/>
            </w:pPr>
            <w:r>
              <w:rPr/>
            </w:r>
          </w:p>
        </w:tc>
        <w:tc>
          <w:tcPr>
            <w:tcW w:w="134" w:type="dxa"/>
            <w:tcBorders/>
            <w:shd w:fill="auto" w:val="clear"/>
            <w:vAlign w:val="bottom"/>
          </w:tcPr>
          <w:p>
            <w:pPr>
              <w:pStyle w:val="HorizontalLine"/>
              <w:pBdr>
                <w:bottom w:val="single" w:sz="18" w:space="0" w:color="FFFFFF"/>
              </w:pBdr>
              <w:spacing w:before="0" w:after="283"/>
              <w:rPr/>
            </w:pPr>
            <w:r>
              <w:rPr/>
            </w:r>
          </w:p>
        </w:tc>
        <w:tc>
          <w:tcPr>
            <w:tcW w:w="469" w:type="dxa"/>
            <w:tcBorders/>
            <w:shd w:fill="auto" w:val="clear"/>
            <w:vAlign w:val="bottom"/>
          </w:tcPr>
          <w:p>
            <w:pPr>
              <w:pStyle w:val="TableContents"/>
              <w:spacing w:before="0" w:after="283"/>
              <w:rPr/>
            </w:pPr>
            <w:r>
              <w:rPr/>
              <w:t> </w:t>
            </w:r>
          </w:p>
        </w:tc>
        <w:tc>
          <w:tcPr>
            <w:tcW w:w="177"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3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used in operating activities decreased in 2004 compared to 2003. Cash used in operating activities for the first six months of 2004 was the result of reductions to accounts payable and accrued expenses of $730,000, and increases to prepaid and other current assets of $405,000 and inventories of $194,000. Cash was provided by reductions to costs and estimated earnings in excess of billings on uncompleted contracts of $96,000. Other changes in working capital items provided cash of $187,000. Our net investment in working capital (excluding cash and cash equivalents and current portion of debt) at June 30, 2004 and December 31, 2003 was $8,761,000 and $7,636,000,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property and equipment was $119,000 for the first six months of 2004 compared with $57,000 for the same period in 2003. Cash provided by investing activities of $1,568,000 for the first six months of 2003 relates to cash proceeds from the sale and leaseback of our Conshohocken, Pennsylvania property. A $222,000 gain was recognized during the second quarter of 2003 from the sale of the Conshohocken property as well as a $218,000 deferred gain, which will be recognized over the ensuing three-year leaseback period. Approximately, $700,000 was used to reduce the revolving line of credit and the balance was used to reduce term debt. We are managing our capital expenditure spending in light of the current level of sales. Should sales increase in 2004, we would anticipate increased capital spending. Additionally, capital expenditures may be incurred depending on the ultimate disposition of our Cincinnati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provided cash of $1,051,000 during the first six months of 2004 compared with cash used in financing activities of $355,000 during the same period of 2003. Current year financing activities included net borrowings and issuance of common stock under our employee stock purchase plan, and 2003 financing activities included repayments under the bank credit facility. In November 2003, we accepted an offer to sell our Cincinnati property with a contemplated closing date of May 1, 2004 subject to various contingencies. The agreement was terminated due to the purchaser failing to close in accordance with the terms of the agreement. In August 2004, the agreement was amended providing an option to the potential purchaser to acquire the property until November 2004 in exchange for $100,000 (which will be held in escrow until certain contingencies are satisfied).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8" w:name="tx75463_6"/>
      <w:bookmarkEnd w:id="8"/>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3. QUANTITATIVE AND QUALITATIVE DISCLOSURE ABOUT MARKET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to adjust the proportion of our total debt that is subject to variable interest rates. Our interest rate swap contract matured in 2002 and was not renewed.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the Companys 2003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9" w:name="tx75463_7"/>
      <w:bookmarkEnd w:id="9"/>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Within ninety days prior to the filing of this Report, the Companys Chief Executive Officer and Chief Financial Officer evaluated the effectiveness of the design and operation of the Companys disclosure controls and procedures, which are designed to ensure that the Company records, processes, summarizes and reports in a timely and effective manner the information required to be disclosed in the reports filed with or submitted to the Securities and Exchange Commission. Based upon this evaluation, they concluded that, as of the date of the evaluation, the Companys disclosure controls are effective. Since the date of this evaluation, there have been no significant changes in the Companys internal controls or in other factors that could significantly affect those controls.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0" w:name="tx75463_8"/>
      <w:bookmarkEnd w:id="10"/>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PART II - -OTHER INFORMATION </w:t>
      </w:r>
    </w:p>
    <w:p>
      <w:pPr>
        <w:pStyle w:val="TextBody"/>
        <w:spacing w:before="0" w:after="0"/>
        <w:rPr/>
      </w:pPr>
      <w:r>
        <w:rPr/>
        <w:t> </w:t>
      </w:r>
    </w:p>
    <w:p>
      <w:pPr>
        <w:pStyle w:val="TextBody"/>
        <w:spacing w:before="0" w:after="0"/>
        <w:rPr>
          <w:rFonts w:ascii="Times New Roman" w:hAnsi="Times New Roman"/>
          <w:sz w:val="20"/>
        </w:rPr>
      </w:pPr>
      <w:bookmarkStart w:id="11" w:name="tx75463_9"/>
      <w:bookmarkEnd w:id="11"/>
      <w:r>
        <w:rPr>
          <w:rFonts w:ascii="Times New Roman" w:hAnsi="Times New Roman"/>
          <w:sz w:val="20"/>
        </w:rPr>
        <w:t xml:space="preserve">ITEM 6.     EXHIBITS AND REPORTS ON FORM 8-K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31.1     Rule 13(a)/15d-14(a) Certification by Chief Executive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31.2     Rule 13(a)/15d-14(a) Certification by Chief Financial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32.1     Certification of Chief Executive Officer (18 U.S.C. Section 1350)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32.2     Certification of Chief Financial Officer (18 U.S.C. Section 1350)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Reports on Form 8-K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did not file any Form 8-K during the second quarter of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2" w:name="tx75463_10"/>
      <w:bookmarkEnd w:id="12"/>
      <w:r>
        <w:rPr>
          <w:rFonts w:ascii="Times New Roman" w:hAnsi="Times New Roman"/>
          <w:sz w:val="20"/>
          <w:u w:val="single"/>
        </w:rPr>
        <w:t>CECO ENVIRONMENTAL CORP.</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4082"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w:t>
            </w:r>
          </w:p>
          <w:p>
            <w:pPr>
              <w:pStyle w:val="TableContents"/>
              <w:spacing w:before="0" w:after="15"/>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August 13,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TextBody"/>
        <w:spacing w:before="0" w:after="0"/>
        <w:jc w:val="right"/>
        <w:rPr>
          <w:rFonts w:ascii="Times New Roman" w:hAnsi="Times New Roman"/>
          <w:b/>
          <w:sz w:val="20"/>
        </w:rPr>
      </w:pPr>
      <w:bookmarkStart w:id="13" w:name="dex311.htm"/>
      <w:bookmarkStart w:id="14" w:name="ksdex311"/>
      <w:bookmarkEnd w:id="13"/>
      <w:bookmarkEnd w:id="14"/>
      <w:r>
        <w:rPr>
          <w:rFonts w:ascii="Times New Roman" w:hAnsi="Times New Roman"/>
          <w:b/>
          <w:sz w:val="20"/>
        </w:rPr>
        <w:t xml:space="preserve">Exhibit 31.1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August 13, 2004</w:t>
            </w:r>
          </w:p>
        </w:tc>
      </w:tr>
    </w:tbl>
    <w:p>
      <w:pPr>
        <w:pStyle w:val="TextBody"/>
        <w:spacing w:before="0" w:after="0"/>
        <w:jc w:val="right"/>
        <w:rPr>
          <w:rFonts w:ascii="Times New Roman" w:hAnsi="Times New Roman"/>
          <w:b/>
          <w:sz w:val="20"/>
        </w:rPr>
      </w:pPr>
      <w:r>
        <w:br w:type="page"/>
      </w:r>
      <w:bookmarkStart w:id="15" w:name="dex312.htm"/>
      <w:bookmarkStart w:id="16" w:name="ksdex312"/>
      <w:bookmarkEnd w:id="15"/>
      <w:bookmarkEnd w:id="16"/>
      <w:r>
        <w:rPr>
          <w:rFonts w:ascii="Times New Roman" w:hAnsi="Times New Roman"/>
          <w:b/>
          <w:sz w:val="20"/>
        </w:rPr>
        <w:t xml:space="preserve">Exhibit 31.2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Marshall J. Morris,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August 13, 2004</w:t>
            </w:r>
          </w:p>
        </w:tc>
      </w:tr>
    </w:tbl>
    <w:p>
      <w:pPr>
        <w:pStyle w:val="TextBody"/>
        <w:spacing w:before="0" w:after="0"/>
        <w:jc w:val="right"/>
        <w:rPr>
          <w:rFonts w:ascii="Times New Roman" w:hAnsi="Times New Roman"/>
          <w:b/>
          <w:sz w:val="20"/>
        </w:rPr>
      </w:pPr>
      <w:r>
        <w:br w:type="page"/>
      </w:r>
      <w:bookmarkStart w:id="17" w:name="dex321.htm"/>
      <w:bookmarkStart w:id="18" w:name="ksdex321"/>
      <w:bookmarkEnd w:id="17"/>
      <w:bookmarkEnd w:id="18"/>
      <w:r>
        <w:rPr>
          <w:rFonts w:ascii="Times New Roman" w:hAnsi="Times New Roman"/>
          <w:b/>
          <w:sz w:val="20"/>
        </w:rPr>
        <w:t xml:space="preserve">Exhibit 32.1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2004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August 13, 2004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r>
        <w:br w:type="page"/>
      </w:r>
    </w:p>
    <w:p>
      <w:pPr>
        <w:pStyle w:val="TextBody"/>
        <w:spacing w:before="0" w:after="0"/>
        <w:jc w:val="right"/>
        <w:rPr>
          <w:rFonts w:ascii="Times New Roman" w:hAnsi="Times New Roman"/>
          <w:b/>
          <w:sz w:val="20"/>
        </w:rPr>
      </w:pPr>
      <w:bookmarkStart w:id="19" w:name="dex322.htm"/>
      <w:bookmarkStart w:id="20" w:name="ksdex322"/>
      <w:bookmarkEnd w:id="19"/>
      <w:bookmarkEnd w:id="20"/>
      <w:r>
        <w:rPr>
          <w:rFonts w:ascii="Times New Roman" w:hAnsi="Times New Roman"/>
          <w:b/>
          <w:sz w:val="20"/>
        </w:rPr>
        <w:t xml:space="preserve">Exhibit 32.2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June 30, 2004 as filed with the Securities and Exchange Commission on the date hereof (the Report), I, Marshall J. Morris,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Marshall J. Morris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Marshall J. Morris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August 13, 2004</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7896</Words>
  <CharactersWithSpaces>49912</CharactersWithSpaces>
  <Paragraphs>2209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