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orizontalLine"/>
        <w:pBdr>
          <w:bottom w:val="single" w:sz="24" w:space="0" w:color="000000"/>
        </w:pBdr>
        <w:rPr/>
      </w:pPr>
      <w:r>
        <w:rPr/>
      </w:r>
      <w:bookmarkStart w:id="0" w:name="rrd91431.htm"/>
      <w:bookmarkStart w:id="1" w:name="ksrrd91431"/>
      <w:bookmarkStart w:id="2" w:name="rrd91431.htm"/>
      <w:bookmarkStart w:id="3" w:name="ksrrd91431"/>
      <w:bookmarkEnd w:id="2"/>
      <w:bookmarkEnd w:id="3"/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UNITED STATES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SECURITIES AND EXCHANGE COMMISSION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 xml:space="preserve">Washington D.C., 20549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 xml:space="preserve">Form 8-K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Current Report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Pursuant to Section 13 or 15(d) of the Securities Exchange Act of 1934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Date Of Report (Date Of Earliest Event Reported):  09/07/2005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 xml:space="preserve">CECO ENVIRONMENTAL CORP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(Exact Name of Registrant as Specified in its Charter)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Commission File Number:  0-7099</w:t>
      </w:r>
    </w:p>
    <w:p>
      <w:pPr>
        <w:pStyle w:val="TextBody"/>
        <w:spacing w:before="0" w:after="0"/>
        <w:rPr/>
      </w:pPr>
      <w:r>
        <w:rPr/>
        <w:t> 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6022"/>
        <w:gridCol w:w="304"/>
        <w:gridCol w:w="3879"/>
      </w:tblGrid>
      <w:tr>
        <w:trPr/>
        <w:tc>
          <w:tcPr>
            <w:tcW w:w="602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DE</w:t>
            </w:r>
            <w:r>
              <w:rPr/>
              <w:t xml:space="preserve"> </w:t>
            </w:r>
          </w:p>
        </w:tc>
        <w:tc>
          <w:tcPr>
            <w:tcW w:w="30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  </w:t>
            </w:r>
          </w:p>
        </w:tc>
        <w:tc>
          <w:tcPr>
            <w:tcW w:w="387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13-2566064</w:t>
            </w:r>
            <w:r>
              <w:rPr/>
              <w:t xml:space="preserve"> </w:t>
            </w:r>
          </w:p>
        </w:tc>
      </w:tr>
      <w:tr>
        <w:trPr/>
        <w:tc>
          <w:tcPr>
            <w:tcW w:w="6022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(State or Other Jurisdiction of</w:t>
            </w:r>
            <w:r>
              <w:rPr/>
              <w:t xml:space="preserve"> </w:t>
            </w:r>
          </w:p>
        </w:tc>
        <w:tc>
          <w:tcPr>
            <w:tcW w:w="30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  </w:t>
            </w:r>
          </w:p>
        </w:tc>
        <w:tc>
          <w:tcPr>
            <w:tcW w:w="387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(I.R.S. Employer</w:t>
            </w:r>
            <w:r>
              <w:rPr/>
              <w:t xml:space="preserve"> </w:t>
            </w:r>
          </w:p>
        </w:tc>
      </w:tr>
      <w:tr>
        <w:trPr/>
        <w:tc>
          <w:tcPr>
            <w:tcW w:w="6022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Incorporation or Organization)</w:t>
            </w:r>
            <w:r>
              <w:rPr/>
              <w:t xml:space="preserve"> </w:t>
            </w:r>
          </w:p>
        </w:tc>
        <w:tc>
          <w:tcPr>
            <w:tcW w:w="30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  </w:t>
            </w:r>
          </w:p>
        </w:tc>
        <w:tc>
          <w:tcPr>
            <w:tcW w:w="387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Identification No.)</w:t>
            </w:r>
            <w:r>
              <w:rPr/>
              <w:t xml:space="preserve"> </w:t>
            </w:r>
          </w:p>
        </w:tc>
      </w:tr>
    </w:tbl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3120 Forrer Street, Cincinnati, OH 45209</w:t>
      </w:r>
    </w:p>
    <w:p>
      <w:pPr>
        <w:pStyle w:val="TextBody"/>
        <w:spacing w:before="0" w:after="0"/>
        <w:jc w:val="center"/>
        <w:rPr/>
      </w:pPr>
      <w:r>
        <w:rPr>
          <w:rFonts w:ascii="times New Roman" w:hAnsi="times New Roman"/>
          <w:b/>
          <w:color w:val="000000"/>
          <w:sz w:val="20"/>
        </w:rPr>
        <w:t>(Address of Principal Executive Offices, Including Zip Code)</w:t>
      </w:r>
      <w:r>
        <w:rPr/>
        <w:t xml:space="preserve">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(416) 593-6543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 xml:space="preserve">(Registrants Telephone Number, Including Area Code)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 xml:space="preserve">(Former name or former address, if changed since last report) </w:t>
      </w:r>
    </w:p>
    <w:p>
      <w:pPr>
        <w:pStyle w:val="TextBody"/>
        <w:spacing w:before="0" w:after="0"/>
        <w:rPr/>
      </w:pPr>
      <w:r>
        <w:rPr/>
        <w:t xml:space="preserve">  </w:t>
      </w:r>
    </w:p>
    <w:p>
      <w:pPr>
        <w:pStyle w:val="TextBody"/>
        <w:jc w:val="left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Check the appropriate box below if the Form 8-K filing is intended to simultaneously satisfy the filing obligation of the registrant under any of the following provisions:</w:t>
      </w:r>
    </w:p>
    <w:p>
      <w:pPr>
        <w:pStyle w:val="TextBody"/>
        <w:spacing w:before="0" w:after="0"/>
        <w:jc w:val="left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[  ]   Written communications pursuant to Rule 425 under the Securities Act (17 CFR 230.425)</w:t>
        <w:br/>
        <w:br/>
        <w:t>[  ]   Soliciting material pursuant to Rule 14a-12 under the Exchange Act(17CFR240.14a-12)</w:t>
        <w:br/>
        <w:br/>
        <w:t>[  ]   Pre-commencement communications pursuant to Rule 14d-2(b) under the Exchange Act(17CFR240.14d-2(b))</w:t>
        <w:br/>
        <w:br/>
        <w:t xml:space="preserve">[  ]   Pre-commencement communications pursuant to Rule 13e-4(c) under the Exchange Act(17CFR240.13e-4(c)) </w:t>
      </w:r>
    </w:p>
    <w:p>
      <w:pPr>
        <w:pStyle w:val="TextBody"/>
        <w:spacing w:before="0" w:after="0"/>
        <w:rPr/>
      </w:pPr>
      <w:r>
        <w:rPr/>
        <w:t xml:space="preserve">  </w:t>
      </w:r>
    </w:p>
    <w:p>
      <w:pPr>
        <w:pStyle w:val="HorizontalLine"/>
        <w:pBdr>
          <w:bottom w:val="single" w:sz="24" w:space="0" w:color="000000"/>
        </w:pBdr>
        <w:rPr/>
      </w:pPr>
      <w:r>
        <w:rPr/>
      </w:r>
      <w:r>
        <w:br w:type="page"/>
      </w:r>
    </w:p>
    <w:p>
      <w:pPr>
        <w:pStyle w:val="TextBody"/>
        <w:spacing w:before="0" w:after="0"/>
        <w:jc w:val="center"/>
        <w:rPr>
          <w:sz w:val="20"/>
        </w:rPr>
      </w:pPr>
      <w:r>
        <w:rPr>
          <w:sz w:val="20"/>
        </w:rPr>
        <w:t xml:space="preserve">Items to be Included in this Report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left"/>
        <w:rPr/>
      </w:pPr>
      <w:r>
        <w:rPr>
          <w:rFonts w:ascii="times New Roman" w:hAnsi="times New Roman"/>
          <w:b/>
          <w:color w:val="000000"/>
          <w:sz w:val="20"/>
        </w:rPr>
        <w:t>Item 1.01.    Entry into a Material Definitive Agreement</w:t>
      </w:r>
      <w:r>
        <w:rPr/>
        <w:t xml:space="preserve"> </w:t>
      </w:r>
    </w:p>
    <w:p>
      <w:pPr>
        <w:pStyle w:val="TextBody"/>
        <w:spacing w:before="0" w:after="0"/>
        <w:rPr/>
      </w:pPr>
      <w:r>
        <w:rPr/>
        <w:t xml:space="preserve">  </w:t>
      </w:r>
    </w:p>
    <w:p>
      <w:pPr>
        <w:pStyle w:val="TextBody"/>
        <w:jc w:val="left"/>
        <w:rPr>
          <w:color w:val="000000"/>
        </w:rPr>
      </w:pPr>
      <w:r>
        <w:rPr>
          <w:color w:val="000000"/>
        </w:rPr>
        <w:t xml:space="preserve">On September 7, 2005, The Kirk and Blum Manufacturing Company ("K&amp;B"), an indirectly wholly owned subsidiary of CECO Environmental Corp. ("CECO"), entered into an agreement with Buckley Properties Co.("Buckley") for the purchase of a manufacturing and corporate office facility located in Woodlawn, Ohio, consisting of 5.6 acres and approximately 145,870 square feet of improvements. </w:t>
      </w:r>
    </w:p>
    <w:p>
      <w:pPr>
        <w:pStyle w:val="TextBody"/>
        <w:jc w:val="left"/>
        <w:rPr>
          <w:color w:val="000000"/>
        </w:rPr>
      </w:pPr>
      <w:r>
        <w:rPr>
          <w:color w:val="000000"/>
        </w:rPr>
        <w:t>The purchase agreement calls for a closing date of November 15, 2005 and a purchase price of $3,300,000. K&amp;B intends to spend an additional $1.0 to $1.3 million in building improvements and office renovations.</w:t>
      </w:r>
    </w:p>
    <w:p>
      <w:pPr>
        <w:pStyle w:val="TextBody"/>
        <w:jc w:val="left"/>
        <w:rPr>
          <w:color w:val="000000"/>
        </w:rPr>
      </w:pPr>
      <w:r>
        <w:rPr>
          <w:color w:val="000000"/>
        </w:rPr>
        <w:t xml:space="preserve">Buckley will have the right, pursuant to a License Agreement that was entered into simultaneously with the Purchase Agreement, to occupy the property with no rent obligations for a period of up to four months following the closing on the property, and a smaller portion of the property for an additional two months, for an aggregate of six months. K&amp;B will, however, have access to portions of the property to perform cert ain renovations. </w:t>
      </w:r>
    </w:p>
    <w:p>
      <w:pPr>
        <w:pStyle w:val="TextBody"/>
        <w:jc w:val="left"/>
        <w:rPr>
          <w:color w:val="000000"/>
        </w:rPr>
      </w:pPr>
      <w:r>
        <w:rPr>
          <w:color w:val="000000"/>
        </w:rPr>
        <w:t>The closing of the acquisition is subject to various customary closing conditions. Additionally, closing is subject to certain special conditions such as the closing by K&amp;B of the sale of its 3120 Forrer Street, Cincinnati Ohio property.</w:t>
      </w:r>
    </w:p>
    <w:p>
      <w:pPr>
        <w:pStyle w:val="TextBody"/>
        <w:spacing w:before="0" w:after="0"/>
        <w:jc w:val="left"/>
        <w:rPr>
          <w:color w:val="000000"/>
        </w:rPr>
      </w:pPr>
      <w:r>
        <w:rPr>
          <w:color w:val="000000"/>
        </w:rPr>
        <w:t>This report contains statements about the future, sometimes referred to as "forward--looking" statements. Forward-looking statements are typically identified by the use of the words "believe," "may," "should," "expect," "anticipate," "estimate," "project," "propose,""plan," "intend" and similar words and expressions. Forward--looking statements are not guarantees of completion of proposed transactions, availability of tax-free treatment, or similar matters. Forward--looking statements are subject to risks and uncertainties outside CECO's control. Actual events or results may differ materially from the forward-looking statements. For a discussion of additional contingencies and uncertainties to which information respecting future events is subject, see CECO's other SEC reports.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HorizontalLine"/>
        <w:pBdr>
          <w:bottom w:val="double" w:sz="6" w:space="0" w:color="CCEEFF"/>
        </w:pBdr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  <w:t xml:space="preserve"> 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 xml:space="preserve">Signature(s)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Pursuant to the Requirements of the Securities Exchange Act of 1934, the Registrant has duly caused this Report to be signed on its behalf by the Undersigned hereunto duly authorized. </w:t>
      </w:r>
    </w:p>
    <w:p>
      <w:pPr>
        <w:pStyle w:val="TextBody"/>
        <w:spacing w:before="0" w:after="0"/>
        <w:rPr/>
      </w:pPr>
      <w:r>
        <w:rPr/>
        <w:t> 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457"/>
        <w:gridCol w:w="313"/>
        <w:gridCol w:w="1458"/>
        <w:gridCol w:w="312"/>
        <w:gridCol w:w="208"/>
        <w:gridCol w:w="313"/>
        <w:gridCol w:w="312"/>
        <w:gridCol w:w="312"/>
        <w:gridCol w:w="5520"/>
      </w:tblGrid>
      <w:tr>
        <w:trPr/>
        <w:tc>
          <w:tcPr>
            <w:tcW w:w="3228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2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31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520" w:type="dxa"/>
            <w:tcBorders/>
            <w:shd w:fill="auto" w:val="clear"/>
          </w:tcPr>
          <w:p>
            <w:pPr>
              <w:pStyle w:val="TableContents"/>
              <w:spacing w:before="0" w:after="0"/>
              <w:rPr/>
            </w:pPr>
            <w:r>
              <w:rPr>
                <w:rFonts w:ascii="times New Roman" w:hAnsi="times New Roman"/>
                <w:color w:val="000000"/>
                <w:sz w:val="20"/>
              </w:rPr>
              <w:t>CECO ENVIRONMENTAL CORP</w:t>
            </w:r>
            <w:r>
              <w:rPr/>
              <w:t xml:space="preserve"> </w:t>
            </w:r>
          </w:p>
        </w:tc>
      </w:tr>
      <w:tr>
        <w:trPr/>
        <w:tc>
          <w:tcPr>
            <w:tcW w:w="145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748" w:type="dxa"/>
            <w:gridSpan w:val="8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5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748" w:type="dxa"/>
            <w:gridSpan w:val="8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8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0"/>
              <w:rPr/>
            </w:pPr>
            <w:r>
              <w:rPr>
                <w:rFonts w:ascii="times New Roman" w:hAnsi="times New Roman"/>
                <w:color w:val="000000"/>
                <w:sz w:val="20"/>
              </w:rPr>
              <w:t>Date: September 12, 2005.</w:t>
            </w:r>
            <w:r>
              <w:rPr/>
              <w:t xml:space="preserve"> </w:t>
            </w:r>
          </w:p>
        </w:tc>
        <w:tc>
          <w:tcPr>
            <w:tcW w:w="31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2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31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  <w:sz w:val="20"/>
              </w:rPr>
              <w:t>By:</w:t>
            </w:r>
            <w:r>
              <w:rPr/>
              <w:t xml:space="preserve"> </w:t>
            </w:r>
          </w:p>
        </w:tc>
        <w:tc>
          <w:tcPr>
            <w:tcW w:w="31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520" w:type="dxa"/>
            <w:tcBorders/>
            <w:shd w:fill="auto" w:val="clear"/>
          </w:tcPr>
          <w:p>
            <w:pPr>
              <w:pStyle w:val="TableContents"/>
              <w:spacing w:before="0" w:after="0"/>
              <w:rPr/>
            </w:pPr>
            <w:r>
              <w:rPr>
                <w:rFonts w:ascii="times New Roman" w:hAnsi="times New Roman"/>
                <w:color w:val="000000"/>
                <w:sz w:val="20"/>
              </w:rPr>
              <w:t>/s/    Dennis W. Blazer</w:t>
            </w:r>
            <w:r>
              <w:rPr/>
              <w:t xml:space="preserve"> </w:t>
            </w:r>
          </w:p>
          <w:p>
            <w:pPr>
              <w:pStyle w:val="HorizontalLine"/>
              <w:pBdr>
                <w:bottom w:val="single" w:sz="20" w:space="0" w:color="000000"/>
              </w:pBdr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45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1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45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1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1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1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1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52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0"/>
              <w:rPr/>
            </w:pPr>
            <w:r>
              <w:rPr>
                <w:rFonts w:ascii="times New Roman" w:hAnsi="times New Roman"/>
                <w:color w:val="000000"/>
                <w:sz w:val="20"/>
              </w:rPr>
              <w:t>Dennis W. Blazer</w:t>
            </w:r>
            <w:r>
              <w:rPr/>
              <w:t xml:space="preserve"> </w:t>
            </w:r>
          </w:p>
        </w:tc>
      </w:tr>
      <w:tr>
        <w:trPr/>
        <w:tc>
          <w:tcPr>
            <w:tcW w:w="145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1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45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1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1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1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1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52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0"/>
              <w:rPr/>
            </w:pPr>
            <w:r>
              <w:rPr>
                <w:rFonts w:ascii="times New Roman" w:hAnsi="times New Roman"/>
                <w:color w:val="000000"/>
                <w:sz w:val="20"/>
              </w:rPr>
              <w:t>Chief Financial Officer and Vice President--Finance and Administration</w:t>
            </w:r>
            <w:r>
              <w:rPr/>
              <w:t xml:space="preserve"> </w:t>
            </w:r>
          </w:p>
        </w:tc>
      </w:tr>
      <w:tr>
        <w:trPr/>
        <w:tc>
          <w:tcPr>
            <w:tcW w:w="145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748" w:type="dxa"/>
            <w:gridSpan w:val="8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5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748" w:type="dxa"/>
            <w:gridSpan w:val="8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547</Words>
  <CharactersWithSpaces>3833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